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left"/>
        <w:pageBreakBefore w:val="0"/>
        <w:spacing w:line="520" w:lineRule="exact"/>
        <w:rPr>
          <w:rFonts w:hint="eastAsia" w:ascii="黑体" w:hAnsi="黑体" w:eastAsia="黑体" w:cs="黑体"/>
          <w:b w:val="0"/>
          <w:bCs w:val="0"/>
          <w:sz w:val="32"/>
          <w:szCs w:val="32"/>
          <w:highlight w:val="yellow"/>
          <w:lang w:eastAsia="zh-CN"/>
        </w:rPr>
      </w:pPr>
      <w:r>
        <w:rPr>
          <w:rFonts w:hint="eastAsia" w:ascii="黑体" w:hAnsi="黑体" w:eastAsia="黑体" w:cs="黑体"/>
          <w:b w:val="0"/>
          <w:bCs w:val="0"/>
          <w:sz w:val="32"/>
          <w:szCs w:val="32"/>
          <w:highlight w:val="yellow"/>
          <w:lang w:eastAsia="zh-CN"/>
        </w:rPr>
        <w:t xml:space="preserve">【</w:t>
      </w:r>
      <w:r>
        <w:rPr>
          <w:rFonts w:hint="eastAsia" w:ascii="黑体" w:hAnsi="黑体" w:eastAsia="黑体" w:cs="黑体"/>
          <w:b w:val="0"/>
          <w:bCs w:val="0"/>
          <w:sz w:val="32"/>
          <w:szCs w:val="32"/>
          <w:highlight w:val="yellow"/>
          <w:lang w:val="en-US" w:eastAsia="zh-CN"/>
        </w:rPr>
        <w:t xml:space="preserve">10.13 定稿</w:t>
      </w:r>
      <w:r>
        <w:rPr>
          <w:rFonts w:hint="eastAsia" w:ascii="黑体" w:hAnsi="黑体" w:eastAsia="黑体" w:cs="黑体"/>
          <w:b w:val="0"/>
          <w:bCs w:val="0"/>
          <w:sz w:val="32"/>
          <w:szCs w:val="32"/>
          <w:highlight w:val="yellow"/>
          <w:lang w:eastAsia="zh-CN"/>
        </w:rPr>
        <w:t xml:space="preserve">】</w:t>
      </w:r>
      <w:r/>
    </w:p>
    <w:p>
      <w:pPr>
        <w:pStyle w:val="821"/>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rPr>
      </w:pPr>
      <w:r>
        <w:rPr>
          <w:rFonts w:hint="eastAsia"/>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rPr>
          <w:rFonts w:hint="eastAsia"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竞争性磋商文件</w:t>
      </w:r>
      <w:r/>
    </w:p>
    <w:p>
      <w:pPr>
        <w:pStyle w:val="821"/>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227" w:hanging="1807"/>
        <w:jc w:val="left"/>
        <w:keepLines w:val="0"/>
        <w:keepNext w:val="0"/>
        <w:pageBreakBefore w:val="0"/>
        <w:spacing w:after="240"/>
        <w:widowControl w:val="off"/>
        <w:rPr>
          <w:rFonts w:hint="default" w:ascii="楷体" w:hAnsi="楷体" w:eastAsia="楷体"/>
          <w:b/>
          <w:bCs/>
          <w:color w:val="000000"/>
          <w:sz w:val="36"/>
          <w:u w:val="single"/>
          <w:lang w:val="en-US"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lang w:val="en-US" w:eastAsia="zh-CN"/>
        </w:rPr>
        <w:t xml:space="preserve">     血压仪数据采集接口改造服务     </w:t>
      </w:r>
      <w:r/>
    </w:p>
    <w:p>
      <w:pPr>
        <w:ind w:left="420"/>
        <w:jc w:val="left"/>
        <w:keepLines w:val="0"/>
        <w:keepNext w:val="0"/>
        <w:pageBreakBefore w:val="0"/>
        <w:spacing w:after="240"/>
        <w:widowControl w:val="off"/>
        <w:rPr>
          <w:rFonts w:hint="default" w:ascii="楷体" w:hAnsi="楷体" w:eastAsia="楷体"/>
          <w:b/>
          <w:bCs/>
          <w:sz w:val="36"/>
          <w:lang w:val="en-US" w:eastAsia="zh-CN"/>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lang w:val="en-US" w:eastAsia="zh-CN"/>
        </w:rPr>
        <w:t xml:space="preserve">    JSZC-321281-JZCG-C2026-0017    </w:t>
      </w:r>
      <w:r>
        <w:rPr>
          <w:rFonts w:hint="eastAsia" w:ascii="楷体" w:hAnsi="楷体" w:eastAsia="楷体"/>
          <w:b/>
          <w:bCs/>
          <w:sz w:val="36"/>
          <w:highlight w:val="none"/>
          <w:u w:val="single"/>
          <w:lang w:val="en-US" w:eastAsia="zh-CN"/>
        </w:rPr>
        <w:t xml:space="preserve"> </w:t>
      </w:r>
      <w:r/>
    </w:p>
    <w:p>
      <w:pPr>
        <w:ind w:left="420"/>
        <w:jc w:val="left"/>
        <w:keepLines w:val="0"/>
        <w:keepNext w:val="0"/>
        <w:pageBreakBefore w:val="0"/>
        <w:widowControl w:val="off"/>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rPr>
          <w:rFonts w:hint="eastAsia" w:ascii="楷体" w:hAnsi="楷体" w:eastAsia="楷体"/>
          <w:b/>
          <w:bCs/>
          <w:color w:val="000000"/>
          <w:sz w:val="36"/>
          <w:u w:val="single"/>
          <w:lang w:eastAsia="zh-CN"/>
        </w:rPr>
        <w:t xml:space="preserve">兴化市陈堡镇卫生院</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firstLine="2530"/>
        <w:spacing w:after="240"/>
        <w:rPr>
          <w:rFonts w:hint="eastAsia" w:ascii="楷体" w:hAnsi="楷体" w:eastAsia="楷体"/>
          <w:b/>
          <w:bCs/>
          <w:sz w:val="36"/>
          <w:lang w:val="en-US" w:eastAsia="zh-CN"/>
        </w:rPr>
      </w:pPr>
      <w:r>
        <w:rPr>
          <w:rFonts w:hint="eastAsia" w:ascii="楷体" w:hAnsi="楷体" w:eastAsia="楷体"/>
          <w:b/>
          <w:bCs/>
          <w:sz w:val="36"/>
          <w:lang w:val="en-US" w:eastAsia="zh-CN"/>
        </w:rPr>
        <w:t xml:space="preserve"> </w:t>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pStyle w:val="819"/>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pStyle w:val="819"/>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819"/>
        <w:ind w:left="0" w:firstLine="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jc w:val="center"/>
        <w:spacing w:line="520" w:lineRule="exact"/>
        <w:rPr>
          <w:rFonts w:hint="eastAsia" w:ascii="仿宋_GB2312" w:hAnsi="仿宋_GB2312" w:eastAsia="仿宋_GB2312" w:cs="仿宋_GB2312"/>
          <w:sz w:val="28"/>
          <w:szCs w:val="28"/>
        </w:rPr>
      </w:pPr>
      <w:r>
        <w:rPr>
          <w:rFonts w:hint="eastAsia" w:ascii="黑体" w:hAnsi="Century Schoolbook" w:eastAsia="黑体"/>
          <w:color w:val="000000"/>
          <w:sz w:val="36"/>
          <w:szCs w:val="20"/>
          <w:lang w:val="en-US" w:eastAsia="zh-CN"/>
        </w:rPr>
        <w:t xml:space="preserve">2026</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10</w:t>
      </w:r>
      <w:r>
        <w:rPr>
          <w:rFonts w:hint="eastAsia" w:ascii="黑体" w:hAnsi="Century Schoolbook" w:eastAsia="黑体"/>
          <w:color w:val="000000"/>
          <w:sz w:val="36"/>
          <w:szCs w:val="20"/>
        </w:rPr>
        <w:t xml:space="preserve">月</w:t>
      </w:r>
      <w:r>
        <w:rPr>
          <w:rFonts w:hint="eastAsia" w:ascii="仿宋_GB2312" w:hAnsi="仿宋_GB2312" w:eastAsia="仿宋_GB2312" w:cs="仿宋_GB2312"/>
          <w:sz w:val="28"/>
          <w:szCs w:val="28"/>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
    </w:p>
    <w:p>
      <w:pPr>
        <w:ind w:left="0" w:right="0" w:firstLine="562"/>
        <w:jc w:val="center"/>
        <w:pageBreakBefore w:val="0"/>
        <w:spacing w:line="520" w:lineRule="exact"/>
        <w:rPr>
          <w:rFonts w:hint="eastAsia" w:ascii="仿宋_GB2312" w:hAnsi="仿宋_GB2312" w:eastAsia="仿宋_GB2312" w:cs="仿宋_GB2312"/>
          <w:b/>
          <w:sz w:val="28"/>
          <w:szCs w:val="28"/>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仿宋_GB2312" w:hAnsi="仿宋_GB2312" w:eastAsia="仿宋_GB2312" w:cs="仿宋_GB2312"/>
          <w:b/>
          <w:sz w:val="28"/>
          <w:szCs w:val="28"/>
        </w:rPr>
      </w:r>
      <w:r/>
    </w:p>
    <w:p>
      <w:pPr>
        <w:jc w:val="center"/>
        <w:rPr>
          <w:rFonts w:ascii="方正小标宋_GBK" w:hAnsi="方正小标宋_GBK" w:eastAsia="方正小标宋_GBK" w:cs="Times New Roman"/>
          <w:sz w:val="36"/>
          <w:szCs w:val="36"/>
        </w:rPr>
      </w:pPr>
      <w:r>
        <w:rPr>
          <w:rFonts w:hint="eastAsia" w:ascii="方正小标宋_GBK" w:hAnsi="方正小标宋_GBK" w:eastAsia="方正小标宋_GBK" w:cs="Times New Roman"/>
          <w:sz w:val="36"/>
          <w:szCs w:val="36"/>
        </w:rPr>
        <w:t xml:space="preserve">兴化市</w:t>
      </w:r>
      <w:r>
        <w:rPr>
          <w:rFonts w:ascii="方正小标宋_GBK" w:hAnsi="方正小标宋_GBK" w:eastAsia="方正小标宋_GBK" w:cs="Times New Roman"/>
          <w:sz w:val="36"/>
          <w:szCs w:val="36"/>
        </w:rPr>
        <w:t xml:space="preserve">政府采购</w:t>
      </w:r>
      <w:r>
        <w:rPr>
          <w:rFonts w:hint="eastAsia" w:ascii="方正小标宋_GBK" w:hAnsi="方正小标宋_GBK" w:eastAsia="方正小标宋_GBK"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19"/>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19"/>
        <w:jc w:val="center"/>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wp:posOffset>
                </wp:positionH>
                <wp:positionV relativeFrom="paragraph">
                  <wp:posOffset>59690</wp:posOffset>
                </wp:positionV>
                <wp:extent cx="5898515" cy="1791970"/>
                <wp:effectExtent l="0" t="0" r="6985" b="17780"/>
                <wp:wrapSquare wrapText="bothSides"/>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7"/>
                        <a:stretch/>
                      </pic:blipFill>
                      <pic:spPr bwMode="auto">
                        <a:xfrm>
                          <a:off x="0" y="0"/>
                          <a:ext cx="5898515" cy="1791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alse">
                <v:path textboxrect="0,0,0,0"/>
                <w10:wrap type="square"/>
                <v:imagedata r:id="rId17" o:title=""/>
              </v:shape>
            </w:pict>
          </mc:Fallback>
        </mc:AlternateContent>
      </w:r>
      <w:r/>
    </w:p>
    <w:p>
      <w:pPr>
        <w:pStyle w:val="819"/>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1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19"/>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1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1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1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1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1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1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1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1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1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1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19"/>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827"/>
          <w:rFonts w:hint="eastAsia" w:ascii="仿宋" w:hAnsi="仿宋" w:eastAsia="仿宋" w:cs="仿宋"/>
          <w:color w:val="auto"/>
          <w:spacing w:val="1"/>
          <w:sz w:val="28"/>
          <w:szCs w:val="28"/>
        </w:rPr>
        <w:t xml:space="preserve">http://www.ccgp-jiangsu.gov.cn/jiangsu/paying.html</w:t>
      </w:r>
      <w:r>
        <w:rPr>
          <w:rStyle w:val="827"/>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827"/>
          <w:rFonts w:hint="eastAsia" w:ascii="仿宋" w:hAnsi="仿宋" w:eastAsia="仿宋" w:cs="仿宋"/>
          <w:color w:val="auto"/>
          <w:spacing w:val="1"/>
          <w:sz w:val="28"/>
          <w:szCs w:val="28"/>
        </w:rPr>
        <w:t xml:space="preserve">https://www.crcrfsp.com/</w:t>
      </w:r>
      <w:r>
        <w:rPr>
          <w:rStyle w:val="827"/>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财政局政府采购管理科</w:t>
      </w:r>
      <w:r>
        <w:rPr>
          <w:rFonts w:hint="eastAsia" w:ascii="仿宋" w:hAnsi="仿宋" w:eastAsia="仿宋" w:cs="仿宋"/>
          <w:spacing w:val="1"/>
          <w:sz w:val="28"/>
          <w:szCs w:val="28"/>
        </w:rPr>
        <w:t xml:space="preserve">     联系电话：0523-82020605</w:t>
      </w:r>
      <w:r/>
    </w:p>
    <w:p>
      <w:pPr>
        <w:ind w:firstLine="560"/>
        <w:keepLines w:val="0"/>
        <w:keepNext w:val="0"/>
        <w:pageBreakBefore w:val="0"/>
        <w:spacing w:line="420" w:lineRule="exact"/>
        <w:widowControl w:val="off"/>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98"/>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98"/>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20" w:lineRule="exact"/>
        <w:widowControl w:val="off"/>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详见招标文件第一章</w:t>
      </w:r>
      <w:r/>
    </w:p>
    <w:p>
      <w:pPr>
        <w:ind w:firstLine="560"/>
        <w:keepLines w:val="0"/>
        <w:keepNext w:val="0"/>
        <w:pageBreakBefore w:val="0"/>
        <w:spacing w:line="4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20" w:lineRule="exact"/>
        <w:widowControl w:val="off"/>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81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81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81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1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19"/>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81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81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1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19"/>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821"/>
      </w:pPr>
      <w:r/>
      <w:r/>
    </w:p>
    <w:p>
      <w:pPr>
        <w:pStyle w:val="821"/>
      </w:pPr>
      <w:r/>
      <w:r/>
    </w:p>
    <w:p>
      <w:r/>
      <w:r/>
    </w:p>
    <w:p>
      <w:r/>
      <w:r/>
    </w:p>
    <w:p>
      <w:pPr>
        <w:jc w:val="center"/>
        <w:rPr>
          <w:rFonts w:hint="eastAsia" w:ascii="方正小标宋_GBK" w:hAnsi="方正小标宋_GBK" w:eastAsia="方正小标宋_GBK" w:cs="方正小标宋_GBK"/>
          <w:spacing w:val="20"/>
          <w:sz w:val="40"/>
          <w:szCs w:val="44"/>
          <w:highlight w:val="yellow"/>
          <w:lang w:val="en-US" w:eastAsia="zh-CN"/>
        </w:rPr>
      </w:pPr>
      <w:r>
        <w:rPr>
          <w:rFonts w:hint="eastAsia" w:ascii="方正小标宋_GBK" w:hAnsi="方正小标宋_GBK" w:eastAsia="方正小标宋_GBK" w:cs="方正小标宋_GBK"/>
          <w:spacing w:val="20"/>
          <w:sz w:val="40"/>
          <w:szCs w:val="44"/>
          <w:highlight w:val="yellow"/>
          <w:lang w:val="en-US" w:eastAsia="zh-CN"/>
        </w:rPr>
        <w:t xml:space="preserve">反诈提醒</w:t>
      </w:r>
      <w:r/>
    </w:p>
    <w:p>
      <w:pPr>
        <w:jc w:val="center"/>
        <w:rPr>
          <w:rFonts w:hint="eastAsia" w:ascii="黑体" w:hAnsi="黑体" w:eastAsia="黑体" w:cs="黑体"/>
          <w:sz w:val="36"/>
          <w:szCs w:val="40"/>
          <w:highlight w:val="yellow"/>
          <w:lang w:val="en-US" w:eastAsia="zh-CN"/>
        </w:rPr>
      </w:pPr>
      <w:r>
        <w:rPr>
          <w:rFonts w:hint="eastAsia" w:ascii="黑体" w:hAnsi="黑体" w:eastAsia="黑体" w:cs="黑体"/>
          <w:sz w:val="36"/>
          <w:szCs w:val="40"/>
          <w:highlight w:val="yellow"/>
          <w:lang w:val="en-US" w:eastAsia="zh-CN"/>
        </w:rPr>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近期发现有仿冒江苏省政府采购网、江苏政府采购管理交易系统（“苏采云”平台）等虚假网站，请供应商注意甄别官方渠道。</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本中心全程免费、无代办服务，不主动添加微信，谨防诈骗。如遇诈骗，请向公安部门报案。</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pacing w:val="-6"/>
          <w:sz w:val="32"/>
          <w:szCs w:val="36"/>
          <w:lang w:val="en-US" w:eastAsia="zh-CN"/>
        </w:rPr>
        <w:t xml:space="preserve">1.</w:t>
      </w:r>
      <w:r>
        <w:rPr>
          <w:rFonts w:hint="eastAsia" w:ascii="黑体" w:hAnsi="黑体" w:eastAsia="黑体" w:cs="黑体"/>
          <w:spacing w:val="0"/>
          <w:sz w:val="32"/>
          <w:szCs w:val="36"/>
          <w:lang w:val="en-US" w:eastAsia="zh-CN"/>
        </w:rPr>
        <w:t xml:space="preserve">江苏省政府采购网网址：</w:t>
      </w:r>
      <w:r>
        <w:rPr>
          <w:rFonts w:hint="eastAsia" w:ascii="黑体" w:hAnsi="黑体" w:eastAsia="黑体" w:cs="黑体"/>
          <w:spacing w:val="0"/>
          <w:sz w:val="32"/>
          <w:szCs w:val="36"/>
          <w:lang w:val="en-US" w:eastAsia="zh-CN"/>
        </w:rPr>
        <w:fldChar w:fldCharType="begin"/>
      </w:r>
      <w:r>
        <w:rPr>
          <w:rFonts w:hint="eastAsia" w:ascii="黑体" w:hAnsi="黑体" w:eastAsia="黑体" w:cs="黑体"/>
          <w:spacing w:val="0"/>
          <w:sz w:val="32"/>
          <w:szCs w:val="36"/>
          <w:lang w:val="en-US" w:eastAsia="zh-CN"/>
        </w:rPr>
        <w:instrText xml:space="preserve"> HYPERLINK "http://www.ccgp-jiangsu.gov.cn/" \t "http://jszfcg.jsczt.cn/jszc/_blank" </w:instrText>
      </w:r>
      <w:r>
        <w:rPr>
          <w:rFonts w:hint="eastAsia" w:ascii="黑体" w:hAnsi="黑体" w:eastAsia="黑体" w:cs="黑体"/>
          <w:spacing w:val="0"/>
          <w:sz w:val="32"/>
          <w:szCs w:val="36"/>
          <w:lang w:val="en-US" w:eastAsia="zh-CN"/>
        </w:rPr>
        <w:fldChar w:fldCharType="separate"/>
      </w:r>
      <w:r>
        <w:rPr>
          <w:rFonts w:hint="eastAsia" w:ascii="黑体" w:hAnsi="黑体" w:eastAsia="黑体" w:cs="黑体"/>
          <w:spacing w:val="0"/>
          <w:sz w:val="32"/>
          <w:szCs w:val="36"/>
        </w:rPr>
        <w:t xml:space="preserve">http://www.ccgp-jiangsu.gov.cn</w:t>
      </w:r>
      <w:r>
        <w:rPr>
          <w:rFonts w:hint="eastAsia" w:ascii="黑体" w:hAnsi="黑体" w:eastAsia="黑体" w:cs="黑体"/>
          <w:spacing w:val="0"/>
          <w:sz w:val="32"/>
          <w:szCs w:val="36"/>
          <w:lang w:val="en-US" w:eastAsia="zh-CN"/>
        </w:rPr>
        <w:fldChar w:fldCharType="end"/>
      </w:r>
      <w:r/>
    </w:p>
    <w:p>
      <w:pPr>
        <w:keepLines w:val="0"/>
        <w:keepNext w:val="0"/>
        <w:pageBreakBefore w:val="0"/>
        <w:spacing w:before="181" w:after="181"/>
        <w:widowControl w:val="off"/>
        <w:rPr>
          <w:rFonts w:hint="eastAsia" w:ascii="黑体" w:hAnsi="黑体" w:eastAsia="黑体" w:cs="黑体"/>
          <w:spacing w:val="-6"/>
          <w:sz w:val="32"/>
          <w:szCs w:val="36"/>
        </w:rPr>
      </w:pPr>
      <w:r>
        <w:rPr>
          <w:rFonts w:hint="eastAsia" w:ascii="黑体" w:hAnsi="黑体" w:eastAsia="黑体" w:cs="黑体"/>
          <w:sz w:val="32"/>
          <w:szCs w:val="36"/>
          <w:lang w:val="en-US" w:eastAsia="zh-CN"/>
        </w:rPr>
        <w:t xml:space="preserve">2.</w:t>
      </w:r>
      <w:r>
        <w:rPr>
          <w:rFonts w:hint="eastAsia" w:ascii="黑体" w:hAnsi="黑体" w:eastAsia="黑体" w:cs="黑体"/>
          <w:spacing w:val="-6"/>
          <w:sz w:val="32"/>
          <w:szCs w:val="36"/>
          <w:lang w:val="en-US" w:eastAsia="zh-CN"/>
        </w:rPr>
        <w:t xml:space="preserve">“苏采云” 平台网址：https://jszfcg.jsczt.cn/jszc/login</w:t>
      </w:r>
      <w:r/>
    </w:p>
    <w:p>
      <w:pPr>
        <w:sectPr>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r/>
    </w:p>
    <w:p>
      <w:pPr>
        <w:ind w:left="0" w:right="0" w:firstLine="562"/>
        <w:jc w:val="center"/>
        <w:pageBreakBefore w:val="0"/>
        <w:spacing w:line="520" w:lineRule="exact"/>
        <w:rPr>
          <w:rFonts w:hint="eastAsia" w:ascii="仿宋_GB2312" w:hAnsi="仿宋_GB2312" w:eastAsia="仿宋_GB2312" w:cs="仿宋_GB2312"/>
          <w:b/>
          <w:bCs w:val="0"/>
          <w:sz w:val="28"/>
          <w:szCs w:val="28"/>
        </w:rPr>
        <w:outlineLvl w:val="0"/>
      </w:pPr>
      <w:r>
        <w:rPr>
          <w:rFonts w:hint="eastAsia" w:ascii="仿宋_GB2312" w:hAnsi="仿宋_GB2312" w:eastAsia="仿宋_GB2312" w:cs="仿宋_GB2312"/>
          <w:b/>
          <w:bCs w:val="0"/>
          <w:sz w:val="28"/>
          <w:szCs w:val="28"/>
        </w:rPr>
      </w:r>
      <w:r/>
    </w:p>
    <w:p>
      <w:pPr>
        <w:ind w:left="0" w:right="0" w:firstLine="803"/>
        <w:jc w:val="center"/>
        <w:pageBreakBefore w:val="0"/>
        <w:spacing w:line="520" w:lineRule="exact"/>
        <w:rPr>
          <w:rFonts w:hint="eastAsia" w:ascii="黑体" w:hAnsi="黑体" w:eastAsia="黑体" w:cs="黑体"/>
          <w:b/>
          <w:bCs w:val="0"/>
          <w:sz w:val="40"/>
          <w:szCs w:val="40"/>
        </w:rPr>
        <w:outlineLvl w:val="0"/>
      </w:pPr>
      <w:r>
        <w:rPr>
          <w:rFonts w:hint="eastAsia" w:ascii="黑体" w:hAnsi="黑体" w:eastAsia="黑体" w:cs="黑体"/>
          <w:b/>
          <w:bCs w:val="0"/>
          <w:sz w:val="40"/>
          <w:szCs w:val="40"/>
        </w:rPr>
      </w:r>
      <w:r/>
    </w:p>
    <w:p>
      <w:pPr>
        <w:ind w:right="0"/>
        <w:jc w:val="center"/>
        <w:keepLines w:val="0"/>
        <w:keepNext w:val="0"/>
        <w:pageBreakBefore w:val="0"/>
        <w:spacing w:line="720" w:lineRule="exact"/>
        <w:widowControl w:val="off"/>
        <w:rPr>
          <w:rFonts w:hint="eastAsia" w:ascii="黑体" w:hAnsi="黑体" w:eastAsia="黑体" w:cs="黑体"/>
          <w:b/>
          <w:bCs w:val="0"/>
          <w:sz w:val="48"/>
          <w:szCs w:val="48"/>
        </w:rPr>
        <w:outlineLvl w:val="0"/>
      </w:pPr>
      <w:r>
        <w:rPr>
          <w:rFonts w:hint="eastAsia" w:ascii="黑体" w:hAnsi="黑体" w:eastAsia="黑体" w:cs="黑体"/>
          <w:b/>
          <w:bCs w:val="0"/>
          <w:sz w:val="48"/>
          <w:szCs w:val="48"/>
        </w:rPr>
        <w:t xml:space="preserve">总  目  录</w:t>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磋商邀请…………………………………… </w:t>
      </w:r>
      <w:r>
        <w:rPr>
          <w:rFonts w:hint="eastAsia" w:ascii="黑体" w:hAnsi="黑体" w:eastAsia="黑体" w:cs="黑体"/>
          <w:bCs/>
          <w:sz w:val="36"/>
          <w:szCs w:val="36"/>
          <w:lang w:val="en-US" w:eastAsia="zh-CN"/>
        </w:rPr>
        <w:t xml:space="preserve">1</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供应商须知………………………………… </w:t>
      </w:r>
      <w:r>
        <w:rPr>
          <w:rFonts w:hint="eastAsia" w:ascii="黑体" w:hAnsi="黑体" w:eastAsia="黑体" w:cs="黑体"/>
          <w:bCs/>
          <w:sz w:val="36"/>
          <w:szCs w:val="36"/>
          <w:lang w:val="en-US" w:eastAsia="zh-CN"/>
        </w:rPr>
        <w:t xml:space="preserve">4</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lang w:val="en-US" w:eastAsia="zh-CN"/>
        </w:rPr>
        <w:t xml:space="preserve">17</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lang w:val="en-US" w:eastAsia="zh-CN"/>
        </w:rPr>
        <w:t xml:space="preserve">22</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评审方法与评审标准………………………2</w:t>
      </w:r>
      <w:r>
        <w:rPr>
          <w:rFonts w:hint="eastAsia" w:ascii="黑体" w:hAnsi="黑体" w:eastAsia="黑体" w:cs="黑体"/>
          <w:bCs/>
          <w:sz w:val="36"/>
          <w:szCs w:val="36"/>
          <w:lang w:val="en-US" w:eastAsia="zh-CN"/>
        </w:rPr>
        <w:t xml:space="preserve">9</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响应文件格式………………………………</w:t>
      </w:r>
      <w:r>
        <w:rPr>
          <w:rFonts w:hint="eastAsia" w:ascii="黑体" w:hAnsi="黑体" w:eastAsia="黑体" w:cs="黑体"/>
          <w:bCs/>
          <w:sz w:val="36"/>
          <w:szCs w:val="36"/>
          <w:lang w:val="en-US" w:eastAsia="zh-CN"/>
        </w:rPr>
        <w:t xml:space="preserve">33</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Next/>
        <w:pageBreakBefore w:val="0"/>
        <w:spacing w:line="520" w:lineRule="exact"/>
        <w:rPr>
          <w:rFonts w:hint="eastAsia"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hint="eastAsia" w:ascii="黑体" w:hAnsi="黑体" w:eastAsia="黑体" w:cs="黑体"/>
          <w:sz w:val="36"/>
          <w:szCs w:val="36"/>
        </w:rPr>
      </w:r>
      <w:r/>
    </w:p>
    <w:p>
      <w:pPr>
        <w:ind w:right="0"/>
        <w:jc w:val="center"/>
        <w:keepNext/>
        <w:pageBreakBefore w:val="0"/>
        <w:spacing w:line="520" w:lineRule="exact"/>
        <w:rPr>
          <w:rFonts w:hint="eastAsia"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磋商邀请</w:t>
      </w:r>
      <w:r/>
    </w:p>
    <w:p>
      <w:pPr>
        <w:ind w:right="0"/>
        <w:jc w:val="center"/>
        <w:keepNext/>
        <w:pageBreakBefore w:val="0"/>
        <w:spacing w:line="520" w:lineRule="exact"/>
        <w:rPr>
          <w:rFonts w:hint="eastAsia" w:ascii="黑体" w:hAnsi="黑体" w:eastAsia="黑体" w:cs="黑体"/>
          <w:sz w:val="28"/>
          <w:szCs w:val="28"/>
        </w:rPr>
        <w:outlineLvl w:val="0"/>
      </w:pPr>
      <w:r>
        <w:rPr>
          <w:rFonts w:hint="eastAsia" w:ascii="黑体" w:hAnsi="黑体" w:eastAsia="黑体" w:cs="黑体"/>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lang w:eastAsia="zh-CN"/>
        </w:rPr>
        <w:t xml:space="preserve">兴化市陈堡镇卫生院</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的委托，兴化市政务服务中心就</w:t>
      </w:r>
      <w:r>
        <w:rPr>
          <w:rFonts w:hint="eastAsia" w:ascii="仿宋_GB2312" w:hAnsi="仿宋_GB2312" w:eastAsia="仿宋_GB2312" w:cs="仿宋_GB2312"/>
          <w:sz w:val="28"/>
          <w:szCs w:val="28"/>
          <w:u w:val="single"/>
          <w:lang w:val="en-US" w:eastAsia="zh-CN"/>
        </w:rPr>
        <w:t xml:space="preserve"> 血压仪数据采集接口改造服务 </w:t>
      </w:r>
      <w:r>
        <w:rPr>
          <w:rFonts w:hint="eastAsia" w:ascii="仿宋_GB2312" w:hAnsi="仿宋_GB2312" w:eastAsia="仿宋_GB2312" w:cs="仿宋_GB2312"/>
          <w:sz w:val="28"/>
          <w:szCs w:val="28"/>
        </w:rPr>
        <w:t xml:space="preserve">(JSZC-321281-JZCG-C2026-0017</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rPr>
        <w:t xml:space="preserve">进行竞争性磋商采购，欢迎符合条件的供应商参加磋商。</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b/>
          <w:bCs/>
          <w:sz w:val="28"/>
          <w:szCs w:val="28"/>
        </w:rPr>
        <w:t xml:space="preserve">项目概况</w:t>
      </w:r>
      <w:r/>
    </w:p>
    <w:p>
      <w:pPr>
        <w:ind w:left="0" w:right="0" w:firstLine="560"/>
        <w:pageBreakBefore w:val="0"/>
        <w:spacing w:line="520" w:lineRule="exact"/>
        <w:rPr>
          <w:rFonts w:hint="eastAsia" w:ascii="仿宋_GB2312" w:hAnsi="仿宋_GB2312" w:eastAsia="仿宋_GB2312" w:cs="仿宋_GB2312"/>
          <w:b w:val="0"/>
          <w:bCs w:val="0"/>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sz w:val="28"/>
          <w:szCs w:val="28"/>
          <w:u w:val="single"/>
          <w:lang w:val="en-US" w:eastAsia="zh-CN"/>
        </w:rPr>
        <w:t xml:space="preserve">血压仪数据采集接口改造服务 </w:t>
      </w:r>
      <w:r>
        <w:rPr>
          <w:rFonts w:hint="eastAsia" w:ascii="仿宋_GB2312" w:hAnsi="仿宋_GB2312" w:eastAsia="仿宋_GB2312" w:cs="仿宋_GB2312"/>
          <w:b w:val="0"/>
          <w:bCs w:val="0"/>
          <w:color w:val="auto"/>
          <w:sz w:val="28"/>
          <w:szCs w:val="28"/>
          <w:highlight w:val="none"/>
        </w:rPr>
        <w:t xml:space="preserve">竞争性磋商项目的潜在供应商可在</w:t>
      </w:r>
      <w:r>
        <w:rPr>
          <w:rFonts w:hint="eastAsia" w:ascii="仿宋_GB2312" w:hAnsi="仿宋_GB2312" w:eastAsia="仿宋_GB2312" w:cs="仿宋_GB2312"/>
          <w:b w:val="0"/>
          <w:bCs w:val="0"/>
          <w:color w:val="auto"/>
          <w:sz w:val="28"/>
          <w:szCs w:val="28"/>
          <w:highlight w:val="none"/>
          <w:u w:val="single"/>
        </w:rPr>
        <w:t xml:space="preserve">“苏采云”系统</w:t>
      </w:r>
      <w:r>
        <w:rPr>
          <w:rFonts w:hint="eastAsia" w:ascii="仿宋_GB2312" w:hAnsi="仿宋_GB2312" w:eastAsia="仿宋_GB2312" w:cs="仿宋_GB2312"/>
          <w:b w:val="0"/>
          <w:bCs w:val="0"/>
          <w:color w:val="auto"/>
          <w:sz w:val="28"/>
          <w:szCs w:val="28"/>
          <w:highlight w:val="none"/>
          <w:u w:val="single"/>
          <w:lang w:val="en-US" w:eastAsia="zh-CN"/>
        </w:rPr>
        <w:t xml:space="preserve"> </w:t>
      </w:r>
      <w:r>
        <w:rPr>
          <w:rFonts w:hint="eastAsia" w:ascii="仿宋_GB2312" w:hAnsi="仿宋_GB2312" w:eastAsia="仿宋_GB2312" w:cs="仿宋_GB2312"/>
          <w:b w:val="0"/>
          <w:bCs w:val="0"/>
          <w:color w:val="auto"/>
          <w:sz w:val="28"/>
          <w:szCs w:val="28"/>
          <w:highlight w:val="none"/>
          <w:u w:val="none"/>
          <w:lang w:eastAsia="zh-CN"/>
        </w:rPr>
        <w:t xml:space="preserve">获取</w:t>
      </w:r>
      <w:r>
        <w:rPr>
          <w:rFonts w:hint="eastAsia" w:ascii="仿宋_GB2312" w:hAnsi="仿宋_GB2312" w:eastAsia="仿宋_GB2312" w:cs="仿宋_GB2312"/>
          <w:b w:val="0"/>
          <w:bCs w:val="0"/>
          <w:sz w:val="28"/>
          <w:szCs w:val="28"/>
          <w:highlight w:val="none"/>
        </w:rPr>
        <w:t xml:space="preserve">磋商文件，</w:t>
      </w:r>
      <w:r>
        <w:rPr>
          <w:rFonts w:hint="eastAsia" w:ascii="仿宋_GB2312" w:hAnsi="仿宋_GB2312" w:eastAsia="仿宋_GB2312" w:cs="仿宋_GB2312"/>
          <w:b w:val="0"/>
          <w:bCs w:val="0"/>
          <w:color w:val="auto"/>
          <w:sz w:val="28"/>
          <w:szCs w:val="28"/>
          <w:highlight w:val="none"/>
        </w:rPr>
        <w:t xml:space="preserve">并于</w:t>
      </w:r>
      <w:r>
        <w:rPr>
          <w:rFonts w:hint="eastAsia" w:ascii="仿宋_GB2312" w:hAnsi="仿宋_GB2312" w:eastAsia="仿宋_GB2312" w:cs="仿宋_GB2312"/>
          <w:b/>
          <w:bCs/>
          <w:color w:val="auto"/>
          <w:sz w:val="28"/>
          <w:szCs w:val="28"/>
          <w:highlight w:val="none"/>
          <w:u w:val="single"/>
        </w:rPr>
        <w:t xml:space="preserve">202</w:t>
      </w:r>
      <w:r>
        <w:rPr>
          <w:rFonts w:hint="eastAsia" w:ascii="仿宋_GB2312" w:hAnsi="仿宋_GB2312" w:eastAsia="仿宋_GB2312" w:cs="仿宋_GB2312"/>
          <w:b/>
          <w:bCs/>
          <w:color w:val="auto"/>
          <w:sz w:val="28"/>
          <w:szCs w:val="28"/>
          <w:highlight w:val="none"/>
          <w:u w:val="single"/>
          <w:lang w:val="en-US" w:eastAsia="zh-CN"/>
        </w:rPr>
        <w:t xml:space="preserve">6</w:t>
      </w:r>
      <w:r>
        <w:rPr>
          <w:rFonts w:hint="eastAsia" w:ascii="仿宋_GB2312" w:hAnsi="仿宋_GB2312" w:eastAsia="仿宋_GB2312" w:cs="仿宋_GB2312"/>
          <w:b/>
          <w:bCs/>
          <w:color w:val="auto"/>
          <w:sz w:val="28"/>
          <w:szCs w:val="28"/>
          <w:highlight w:val="none"/>
          <w:u w:val="single"/>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10</w:t>
      </w:r>
      <w:r>
        <w:rPr>
          <w:rFonts w:hint="eastAsia" w:ascii="仿宋_GB2312" w:hAnsi="仿宋_GB2312" w:eastAsia="仿宋_GB2312" w:cs="仿宋_GB2312"/>
          <w:b/>
          <w:bCs/>
          <w:color w:val="auto"/>
          <w:sz w:val="28"/>
          <w:szCs w:val="28"/>
          <w:highlight w:val="yellow"/>
          <w:u w:val="single"/>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28</w:t>
      </w:r>
      <w:r>
        <w:rPr>
          <w:rFonts w:hint="eastAsia" w:ascii="仿宋_GB2312" w:hAnsi="仿宋_GB2312" w:eastAsia="仿宋_GB2312" w:cs="仿宋_GB2312"/>
          <w:b/>
          <w:bCs/>
          <w:color w:val="auto"/>
          <w:sz w:val="28"/>
          <w:szCs w:val="28"/>
          <w:highlight w:val="yellow"/>
          <w:u w:val="single"/>
        </w:rPr>
        <w:t xml:space="preserve">日</w:t>
      </w:r>
      <w:r>
        <w:rPr>
          <w:rFonts w:hint="eastAsia" w:ascii="仿宋_GB2312" w:hAnsi="仿宋_GB2312" w:eastAsia="仿宋_GB2312" w:cs="仿宋_GB2312"/>
          <w:b/>
          <w:bCs/>
          <w:color w:val="auto"/>
          <w:sz w:val="28"/>
          <w:szCs w:val="28"/>
          <w:highlight w:val="none"/>
          <w:u w:val="single"/>
          <w:lang w:val="en-US" w:eastAsia="zh-CN"/>
        </w:rPr>
        <w:t xml:space="preserve">9</w:t>
      </w:r>
      <w:r>
        <w:rPr>
          <w:rFonts w:hint="eastAsia" w:ascii="仿宋_GB2312" w:hAnsi="仿宋_GB2312" w:eastAsia="仿宋_GB2312" w:cs="仿宋_GB2312"/>
          <w:b/>
          <w:bCs/>
          <w:color w:val="auto"/>
          <w:sz w:val="28"/>
          <w:szCs w:val="28"/>
          <w:highlight w:val="none"/>
          <w:u w:val="single"/>
        </w:rPr>
        <w:t xml:space="preserve">点</w:t>
      </w:r>
      <w:r>
        <w:rPr>
          <w:rFonts w:hint="eastAsia" w:ascii="仿宋_GB2312" w:hAnsi="仿宋_GB2312" w:eastAsia="仿宋_GB2312" w:cs="仿宋_GB2312"/>
          <w:b/>
          <w:bCs/>
          <w:color w:val="auto"/>
          <w:sz w:val="28"/>
          <w:szCs w:val="28"/>
          <w:highlight w:val="none"/>
          <w:u w:val="single"/>
          <w:lang w:val="en-US" w:eastAsia="zh-CN"/>
        </w:rPr>
        <w:t xml:space="preserve">30</w:t>
      </w:r>
      <w:r>
        <w:rPr>
          <w:rFonts w:hint="eastAsia" w:ascii="仿宋_GB2312" w:hAnsi="仿宋_GB2312" w:eastAsia="仿宋_GB2312" w:cs="仿宋_GB2312"/>
          <w:b/>
          <w:bCs/>
          <w:color w:val="auto"/>
          <w:sz w:val="28"/>
          <w:szCs w:val="28"/>
          <w:highlight w:val="none"/>
          <w:u w:val="single"/>
        </w:rPr>
        <w:t xml:space="preserve">分</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rPr>
        <w:t xml:space="preserve">北京时间）前递交响应文件。</w:t>
      </w:r>
      <w:r/>
    </w:p>
    <w:p>
      <w:pPr>
        <w:ind w:left="0" w:right="0" w:firstLine="560"/>
        <w:keepLines/>
        <w:keepNext/>
        <w:pageBreakBefore w:val="0"/>
        <w:spacing w:line="520" w:lineRule="exact"/>
        <w:rPr>
          <w:rFonts w:hint="eastAsia" w:ascii="黑体" w:hAnsi="黑体" w:eastAsia="黑体" w:cs="黑体"/>
          <w:b w:val="0"/>
          <w:bCs w:val="0"/>
          <w:color w:val="auto"/>
          <w:sz w:val="28"/>
          <w:szCs w:val="28"/>
          <w:highlight w:val="none"/>
        </w:rPr>
        <w:outlineLvl w:val="2"/>
      </w:pPr>
      <w:r/>
      <w:bookmarkStart w:id="7" w:name="_Toc28359079"/>
      <w:r/>
      <w:bookmarkStart w:id="8" w:name="_Toc35393790"/>
      <w:r/>
      <w:bookmarkStart w:id="9" w:name="_Toc28359002"/>
      <w:r/>
      <w:bookmarkStart w:id="10" w:name="_Toc38985263"/>
      <w:r/>
      <w:bookmarkStart w:id="11" w:name="_Toc35393621"/>
      <w:r/>
      <w:bookmarkStart w:id="12" w:name="_Hlk24379207"/>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一、项目基本情况</w:t>
      </w:r>
      <w:bookmarkEnd w:id="7"/>
      <w:r/>
      <w:bookmarkEnd w:id="8"/>
      <w:r/>
      <w:bookmarkEnd w:id="9"/>
      <w:r/>
      <w:bookmarkEnd w:id="10"/>
      <w:r/>
      <w:bookmarkEnd w:id="11"/>
      <w:r/>
      <w:bookmarkEnd w:id="12"/>
      <w:r/>
    </w:p>
    <w:p>
      <w:pPr>
        <w:ind w:left="0" w:right="0" w:firstLine="560"/>
        <w:keepLines w:val="0"/>
        <w:keepNext w:val="0"/>
        <w:pageBreakBefore w:val="0"/>
        <w:spacing w:line="500" w:lineRule="exact"/>
        <w:widowControl w:val="off"/>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1.项目编号：JSZC-321281-JZCG-C2026-0017</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2.项目名称：</w:t>
      </w:r>
      <w:r>
        <w:rPr>
          <w:rFonts w:hint="eastAsia" w:ascii="仿宋_GB2312" w:hAnsi="仿宋_GB2312" w:eastAsia="仿宋_GB2312" w:cs="仿宋_GB2312"/>
          <w:color w:val="auto"/>
          <w:sz w:val="28"/>
          <w:szCs w:val="28"/>
          <w:highlight w:val="none"/>
          <w:lang w:val="en-US" w:eastAsia="zh-CN"/>
        </w:rPr>
        <w:t xml:space="preserve">血压仪数据采集接口改造服务</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lang w:eastAsia="zh-CN"/>
        </w:rPr>
        <w:t xml:space="preserve">采购方式：竞争性磋商</w:t>
      </w:r>
      <w:r/>
    </w:p>
    <w:p>
      <w:pPr>
        <w:ind w:left="0" w:right="0" w:firstLine="560"/>
        <w:pageBreakBefore w:val="0"/>
        <w:spacing w:line="500" w:lineRule="exact"/>
        <w:widowControl w:val="off"/>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预算金额</w:t>
      </w:r>
      <w:r>
        <w:rPr>
          <w:rFonts w:hint="eastAsia" w:ascii="仿宋_GB2312" w:hAnsi="仿宋_GB2312" w:eastAsia="仿宋_GB2312" w:cs="仿宋_GB2312"/>
          <w:color w:val="auto"/>
          <w:sz w:val="28"/>
          <w:szCs w:val="28"/>
          <w:highlight w:val="none"/>
          <w:lang w:eastAsia="zh-CN"/>
        </w:rPr>
        <w:t xml:space="preserve">：人民币</w:t>
      </w:r>
      <w:r>
        <w:rPr>
          <w:rFonts w:hint="eastAsia" w:ascii="仿宋_GB2312" w:hAnsi="仿宋_GB2312" w:eastAsia="仿宋_GB2312" w:cs="仿宋_GB2312"/>
          <w:color w:val="auto"/>
          <w:sz w:val="28"/>
          <w:szCs w:val="28"/>
          <w:highlight w:val="none"/>
          <w:lang w:val="en-US" w:eastAsia="zh-CN"/>
        </w:rPr>
        <w:t xml:space="preserve"> 捌万元</w:t>
      </w:r>
      <w:r>
        <w:rPr>
          <w:rFonts w:hint="eastAsia" w:ascii="仿宋_GB2312" w:hAnsi="仿宋_GB2312" w:eastAsia="仿宋_GB2312" w:cs="仿宋_GB2312"/>
          <w:b/>
          <w:bCs/>
          <w:color w:val="auto"/>
          <w:sz w:val="28"/>
          <w:szCs w:val="28"/>
          <w:highlight w:val="none"/>
          <w:lang w:eastAsia="zh-CN"/>
        </w:rPr>
        <w:t xml:space="preserve">（</w:t>
      </w:r>
      <w:r>
        <w:rPr>
          <w:rFonts w:hint="default" w:ascii="Arial" w:hAnsi="Arial" w:eastAsia="仿宋_GB2312" w:cs="Arial"/>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80000.00</w:t>
      </w:r>
      <w:r>
        <w:rPr>
          <w:rFonts w:hint="eastAsia" w:ascii="仿宋_GB2312" w:hAnsi="仿宋_GB2312" w:eastAsia="仿宋_GB2312" w:cs="仿宋_GB2312"/>
          <w:b/>
          <w:bCs/>
          <w:color w:val="auto"/>
          <w:sz w:val="28"/>
          <w:szCs w:val="28"/>
          <w:highlight w:val="none"/>
          <w:lang w:eastAsia="zh-CN"/>
        </w:rPr>
        <w:t xml:space="preserve">元）。</w:t>
      </w:r>
      <w:r/>
    </w:p>
    <w:p>
      <w:pPr>
        <w:ind w:left="0" w:right="0" w:firstLine="560"/>
        <w:keepLines w:val="0"/>
        <w:keepNext w:val="0"/>
        <w:pageBreakBefore w:val="0"/>
        <w:spacing w:line="500" w:lineRule="exact"/>
        <w:widowControl w:val="off"/>
        <w:rPr>
          <w:rFonts w:hint="eastAsia" w:ascii="黑体" w:hAnsi="黑体" w:eastAsia="黑体" w:cs="黑体"/>
          <w:i/>
          <w:iCs/>
          <w:color w:val="auto"/>
          <w:spacing w:val="0"/>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 xml:space="preserve">5.最高限价：</w:t>
      </w:r>
      <w:r>
        <w:rPr>
          <w:rFonts w:hint="eastAsia" w:ascii="黑体" w:hAnsi="黑体" w:eastAsia="黑体" w:cs="仿宋"/>
          <w:i/>
          <w:iCs w:val="0"/>
          <w:sz w:val="28"/>
          <w:szCs w:val="28"/>
          <w:u w:val="single"/>
          <w:lang w:eastAsia="zh-CN"/>
        </w:rPr>
        <w:t xml:space="preserve">响应</w:t>
      </w:r>
      <w:r>
        <w:rPr>
          <w:rFonts w:hint="eastAsia" w:ascii="黑体" w:hAnsi="黑体" w:eastAsia="黑体" w:cs="仿宋"/>
          <w:i/>
          <w:iCs w:val="0"/>
          <w:sz w:val="28"/>
          <w:szCs w:val="28"/>
          <w:u w:val="single"/>
        </w:rPr>
        <w:t xml:space="preserve">报价超出预算价的将视为无效</w:t>
      </w:r>
      <w:r>
        <w:rPr>
          <w:rFonts w:hint="eastAsia" w:ascii="黑体" w:hAnsi="黑体" w:eastAsia="黑体" w:cs="仿宋"/>
          <w:i/>
          <w:iCs w:val="0"/>
          <w:sz w:val="28"/>
          <w:szCs w:val="28"/>
          <w:u w:val="single"/>
          <w:lang w:eastAsia="zh-CN"/>
        </w:rPr>
        <w:t xml:space="preserve">响应</w:t>
      </w:r>
      <w:r>
        <w:rPr>
          <w:rFonts w:hint="eastAsia" w:ascii="仿宋_GB2312" w:hAnsi="仿宋_GB2312" w:eastAsia="仿宋_GB2312" w:cs="仿宋_GB2312"/>
          <w:color w:val="auto"/>
          <w:sz w:val="28"/>
          <w:szCs w:val="28"/>
          <w:highlight w:val="none"/>
          <w:lang w:val="en-US" w:eastAsia="zh-CN"/>
        </w:rPr>
        <w:t xml:space="preserve">。</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zh-CN" w:eastAsia="zh-CN"/>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w:t>
      </w:r>
      <w:bookmarkStart w:id="13" w:name="_Hlk134691785"/>
      <w:r>
        <w:rPr>
          <w:rFonts w:hint="eastAsia" w:ascii="仿宋_GB2312" w:hAnsi="仿宋_GB2312" w:eastAsia="仿宋_GB2312" w:cs="仿宋_GB2312"/>
          <w:color w:val="auto"/>
          <w:sz w:val="28"/>
          <w:szCs w:val="28"/>
          <w:highlight w:val="none"/>
          <w:lang w:eastAsia="zh-CN"/>
        </w:rPr>
        <w:t xml:space="preserve">本项目需完成兴化市公卫系统对接乡村医疗机构配备筒式血压仪项目接口建设，实时上传血压仪采集的数据，符合江苏省卫生健康信息中心《居民自测血压仪结果查询页面接口规范》相关要求。</w:t>
      </w:r>
      <w:bookmarkEnd w:id="13"/>
      <w:r>
        <w:rPr>
          <w:rFonts w:hint="eastAsia" w:ascii="仿宋_GB2312" w:hAnsi="仿宋_GB2312" w:eastAsia="仿宋_GB2312" w:cs="仿宋_GB2312"/>
          <w:sz w:val="28"/>
          <w:szCs w:val="28"/>
          <w:highlight w:val="none"/>
          <w:lang w:val="zh-CN"/>
        </w:rPr>
        <w:t xml:space="preserve">详见磋商文件</w:t>
      </w:r>
      <w:r>
        <w:rPr>
          <w:rFonts w:hint="eastAsia" w:ascii="仿宋_GB2312" w:hAnsi="仿宋_GB2312" w:eastAsia="仿宋_GB2312" w:cs="仿宋_GB2312"/>
          <w:color w:val="auto"/>
          <w:sz w:val="28"/>
          <w:szCs w:val="28"/>
          <w:highlight w:val="none"/>
          <w:lang w:val="zh-CN"/>
        </w:rPr>
        <w:t xml:space="preserve">第四章</w:t>
      </w:r>
      <w:r>
        <w:rPr>
          <w:rFonts w:hint="eastAsia" w:ascii="仿宋_GB2312" w:hAnsi="仿宋_GB2312" w:eastAsia="仿宋_GB2312" w:cs="仿宋_GB2312"/>
          <w:color w:val="auto"/>
          <w:sz w:val="28"/>
          <w:szCs w:val="28"/>
          <w:highlight w:val="none"/>
        </w:rPr>
        <w:t xml:space="preserve"> </w:t>
      </w:r>
      <w:r>
        <w:rPr>
          <w:rFonts w:hint="eastAsia" w:ascii="仿宋_GB2312" w:hAnsi="仿宋_GB2312" w:eastAsia="仿宋_GB2312" w:cs="仿宋_GB2312"/>
          <w:color w:val="auto"/>
          <w:sz w:val="28"/>
          <w:szCs w:val="28"/>
          <w:highlight w:val="none"/>
          <w:lang w:val="zh-CN"/>
        </w:rPr>
        <w:t xml:space="preserve">项目需求</w:t>
      </w:r>
      <w:r>
        <w:rPr>
          <w:rFonts w:hint="eastAsia" w:ascii="仿宋_GB2312" w:hAnsi="仿宋_GB2312" w:eastAsia="仿宋_GB2312" w:cs="仿宋_GB2312"/>
          <w:color w:val="auto"/>
          <w:sz w:val="28"/>
          <w:szCs w:val="28"/>
          <w:highlight w:val="none"/>
          <w:lang w:val="zh-CN" w:eastAsia="zh-CN"/>
        </w:rPr>
        <w:t xml:space="preserve">。</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7</w:t>
      </w:r>
      <w:r>
        <w:rPr>
          <w:rFonts w:hint="eastAsia" w:ascii="仿宋_GB2312" w:hAnsi="仿宋_GB2312" w:eastAsia="仿宋_GB2312" w:cs="仿宋_GB2312"/>
          <w:color w:val="auto"/>
          <w:sz w:val="28"/>
          <w:szCs w:val="28"/>
          <w:highlight w:val="none"/>
        </w:rPr>
        <w:t xml:space="preserve">.合同履行期限：自合同签订之日起</w:t>
      </w:r>
      <w:r>
        <w:rPr>
          <w:rFonts w:hint="eastAsia" w:ascii="仿宋_GB2312" w:hAnsi="仿宋_GB2312" w:eastAsia="仿宋_GB2312" w:cs="仿宋_GB2312"/>
          <w:color w:val="auto"/>
          <w:sz w:val="28"/>
          <w:szCs w:val="28"/>
          <w:highlight w:val="none"/>
          <w:lang w:val="en-US" w:eastAsia="zh-CN"/>
        </w:rPr>
        <w:t xml:space="preserve">60日</w:t>
      </w:r>
      <w:r>
        <w:rPr>
          <w:rFonts w:hint="eastAsia" w:ascii="仿宋_GB2312" w:hAnsi="仿宋_GB2312" w:eastAsia="仿宋_GB2312" w:cs="仿宋_GB2312"/>
          <w:color w:val="auto"/>
          <w:sz w:val="28"/>
          <w:szCs w:val="28"/>
          <w:highlight w:val="none"/>
        </w:rPr>
        <w:t xml:space="preserve">内，完成本项目全部建设内容并交付采购人。</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8</w:t>
      </w:r>
      <w:r>
        <w:rPr>
          <w:rFonts w:hint="eastAsia" w:ascii="仿宋_GB2312" w:hAnsi="仿宋_GB2312" w:eastAsia="仿宋_GB2312" w:cs="仿宋_GB2312"/>
          <w:color w:val="auto"/>
          <w:sz w:val="28"/>
          <w:szCs w:val="28"/>
          <w:highlight w:val="none"/>
          <w:lang w:val="zh-CN"/>
        </w:rPr>
        <w:t xml:space="preserve">.本次招标</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zh-CN"/>
        </w:rPr>
        <w:t xml:space="preserve">不收取</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zh-CN"/>
        </w:rPr>
        <w:t xml:space="preserve">磋商保证金。</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9.</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不接受</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联合体参与</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bookmarkStart w:id="14" w:name="_Toc28359080"/>
      <w:r/>
      <w:bookmarkStart w:id="15" w:name="_Toc38985264"/>
      <w:r/>
      <w:bookmarkStart w:id="16" w:name="_Toc28359003"/>
      <w:r/>
      <w:bookmarkStart w:id="17" w:name="_Toc35393622"/>
      <w:r/>
      <w:bookmarkStart w:id="18" w:name="_Toc35393791"/>
      <w:r>
        <w:rPr>
          <w:rFonts w:hint="eastAsia" w:ascii="黑体" w:hAnsi="黑体" w:eastAsia="黑体" w:cs="黑体"/>
          <w:b w:val="0"/>
          <w:bCs w:val="0"/>
          <w:color w:val="auto"/>
          <w:sz w:val="28"/>
          <w:szCs w:val="28"/>
          <w:highlight w:val="none"/>
        </w:rPr>
        <w:t xml:space="preserve">二、申请人的资格要求</w:t>
      </w:r>
      <w:bookmarkEnd w:id="14"/>
      <w:r/>
      <w:bookmarkEnd w:id="15"/>
      <w:r/>
      <w:bookmarkEnd w:id="16"/>
      <w:r/>
      <w:bookmarkEnd w:id="17"/>
      <w:r/>
      <w:bookmarkEnd w:id="18"/>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bookmarkStart w:id="19" w:name="_Toc38985265"/>
      <w:r/>
      <w:bookmarkStart w:id="20" w:name="_Toc35393792"/>
      <w:r/>
      <w:bookmarkStart w:id="21" w:name="_Toc35393623"/>
      <w:r/>
      <w:bookmarkStart w:id="22" w:name="_Toc28359004"/>
      <w:r/>
      <w:bookmarkStart w:id="23" w:name="_Toc28359081"/>
      <w:r>
        <w:rPr>
          <w:rFonts w:hint="eastAsia" w:ascii="方正楷体_GBK" w:hAnsi="方正楷体_GBK" w:eastAsia="方正楷体_GBK" w:cs="方正楷体_GBK"/>
          <w:b/>
          <w:bCs/>
          <w:color w:val="auto"/>
          <w:sz w:val="28"/>
          <w:szCs w:val="28"/>
          <w:highlight w:val="none"/>
        </w:rPr>
        <w:t xml:space="preserve">（一）通用资格要求</w:t>
      </w:r>
      <w:r>
        <w:rPr>
          <w:rFonts w:hint="eastAsia" w:ascii="方正楷体_GBK" w:hAnsi="方正楷体_GBK" w:eastAsia="方正楷体_GBK" w:cs="方正楷体_GBK"/>
          <w:b/>
          <w:bCs/>
          <w:color w:val="auto"/>
          <w:sz w:val="28"/>
          <w:szCs w:val="28"/>
          <w:highlight w:val="none"/>
          <w:lang w:eastAsia="zh-CN"/>
        </w:rPr>
        <w:t xml:space="preserve">：</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1.满足《中华人民共和国政府采购法》第二十二条规定，并提供下列材料：</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 法人或者其他组织的营业执照等证明文件；</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1.2</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财务状况报告（成立不满一年无需提供）；</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1.3</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依法缴纳税收和社会保障资金的相关材料；</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具备履行合同所必需的设备和专业技术能力的书面声明；</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参加政府采购活动前3年内在经营活动中没有重大违法记录的书面声明。</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（二）落实政府采购政策需满足的资格要求：</w:t>
      </w:r>
      <w:r/>
    </w:p>
    <w:p>
      <w:pPr>
        <w:ind w:left="0" w:right="0" w:firstLine="560"/>
        <w:jc w:val="both"/>
        <w:keepLines w:val="0"/>
        <w:keepNext w:val="0"/>
        <w:pageBreakBefore w:val="0"/>
        <w:spacing w:beforeAutospacing="0" w:afterAutospacing="0" w:line="48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黑体" w:hAnsi="黑体" w:eastAsia="黑体" w:cs="黑体"/>
          <w:i/>
          <w:iCs/>
          <w:color w:val="000000"/>
          <w:sz w:val="28"/>
          <w:szCs w:val="28"/>
          <w:u w:val="single"/>
          <w:lang w:eastAsia="zh-CN"/>
        </w:rPr>
        <w:t xml:space="preserve">本项目属于专门面向中小企业采购的项目,供应商应为中小微企业、监狱企业、残疾人福利性单位</w:t>
      </w:r>
      <w:r>
        <w:rPr>
          <w:rFonts w:hint="eastAsia" w:ascii="仿宋_GB2312" w:hAnsi="仿宋_GB2312" w:eastAsia="仿宋_GB2312" w:cs="仿宋_GB2312"/>
          <w:color w:val="000000"/>
          <w:sz w:val="28"/>
          <w:szCs w:val="28"/>
        </w:rPr>
        <w:t xml:space="preserve">；</w:t>
      </w:r>
      <w:r/>
    </w:p>
    <w:p>
      <w:pPr>
        <w:numPr>
          <w:ilvl w:val="0"/>
          <w:numId w:val="0"/>
        </w:numPr>
        <w:ind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000000"/>
          <w:sz w:val="28"/>
          <w:szCs w:val="28"/>
        </w:rPr>
        <w:t xml:space="preserve">供应商提供明确以上事项的《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黑体" w:hAnsi="黑体" w:eastAsia="黑体" w:cs="黑体"/>
          <w:b w:val="0"/>
          <w:bCs w:val="0"/>
          <w:i w:val="0"/>
          <w:iCs w:val="0"/>
          <w:color w:val="auto"/>
          <w:sz w:val="28"/>
          <w:szCs w:val="28"/>
          <w:highlight w:val="none"/>
          <w:u w:val="none"/>
          <w:lang w:eastAsia="zh-CN"/>
        </w:rPr>
        <w:t xml:space="preserve">。</w:t>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rPr>
          <w:rFonts w:hint="eastAsia" w:ascii="方正楷体_GBK" w:hAnsi="方正楷体_GBK" w:eastAsia="方正楷体_GBK" w:cs="方正楷体_GBK"/>
          <w:b/>
          <w:bCs/>
          <w:color w:val="auto"/>
          <w:sz w:val="28"/>
          <w:szCs w:val="28"/>
          <w:highlight w:val="none"/>
        </w:rPr>
        <w:t xml:space="preserve">（</w:t>
      </w:r>
      <w:r>
        <w:rPr>
          <w:rFonts w:hint="eastAsia" w:ascii="方正楷体_GBK" w:hAnsi="方正楷体_GBK" w:eastAsia="方正楷体_GBK" w:cs="方正楷体_GBK"/>
          <w:b/>
          <w:bCs/>
          <w:color w:val="auto"/>
          <w:sz w:val="28"/>
          <w:szCs w:val="28"/>
          <w:highlight w:val="none"/>
          <w:lang w:eastAsia="zh-CN"/>
        </w:rPr>
        <w:t xml:space="preserve">三</w:t>
      </w:r>
      <w:r>
        <w:rPr>
          <w:rFonts w:hint="eastAsia" w:ascii="方正楷体_GBK" w:hAnsi="方正楷体_GBK" w:eastAsia="方正楷体_GBK" w:cs="方正楷体_GBK"/>
          <w:b/>
          <w:bCs/>
          <w:color w:val="auto"/>
          <w:sz w:val="28"/>
          <w:szCs w:val="28"/>
          <w:highlight w:val="none"/>
        </w:rPr>
        <w:t xml:space="preserve">）本项目的特定资格要求</w:t>
      </w:r>
      <w:r>
        <w:rPr>
          <w:rFonts w:hint="eastAsia" w:ascii="方正楷体_GBK" w:hAnsi="方正楷体_GBK" w:eastAsia="方正楷体_GBK" w:cs="方正楷体_GBK"/>
          <w:b/>
          <w:bCs/>
          <w:color w:val="auto"/>
          <w:sz w:val="28"/>
          <w:szCs w:val="28"/>
          <w:highlight w:val="none"/>
          <w:lang w:eastAsia="zh-CN"/>
        </w:rPr>
        <w:t xml:space="preserve">：</w:t>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rPr>
          <w:rFonts w:hint="eastAsia" w:ascii="方正楷体_GBK" w:hAnsi="方正楷体_GBK" w:eastAsia="方正楷体_GBK" w:cs="方正楷体_GBK"/>
          <w:b/>
          <w:bCs/>
          <w:color w:val="auto"/>
          <w:sz w:val="28"/>
          <w:szCs w:val="28"/>
          <w:highlight w:val="none"/>
          <w:lang w:eastAsia="zh-CN"/>
        </w:rPr>
        <w:t xml:space="preserve">无。</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三、获取</w:t>
      </w:r>
      <w:bookmarkEnd w:id="19"/>
      <w:r/>
      <w:bookmarkEnd w:id="20"/>
      <w:r/>
      <w:bookmarkEnd w:id="21"/>
      <w:r/>
      <w:bookmarkEnd w:id="22"/>
      <w:r/>
      <w:bookmarkEnd w:id="23"/>
      <w:r>
        <w:rPr>
          <w:rFonts w:hint="eastAsia" w:ascii="黑体" w:hAnsi="黑体" w:eastAsia="黑体" w:cs="黑体"/>
          <w:b w:val="0"/>
          <w:bCs w:val="0"/>
          <w:color w:val="auto"/>
          <w:sz w:val="28"/>
          <w:szCs w:val="28"/>
          <w:highlight w:val="none"/>
        </w:rPr>
        <w:t xml:space="preserve">磋商文件</w:t>
      </w:r>
      <w:bookmarkStart w:id="24" w:name="_Toc28359082"/>
      <w:r/>
      <w:bookmarkStart w:id="25" w:name="_Toc35393624"/>
      <w:r/>
      <w:bookmarkStart w:id="26" w:name="_Toc35393793"/>
      <w:r/>
      <w:bookmarkStart w:id="27" w:name="_Toc28359005"/>
      <w:r/>
      <w:bookmarkStart w:id="28" w:name="_Toc38985266"/>
      <w:r/>
      <w:r/>
    </w:p>
    <w:p>
      <w:pPr>
        <w:ind w:left="0" w:right="0" w:firstLine="560"/>
        <w:keepLines/>
        <w:keepNext/>
        <w:pageBreakBefore w:val="0"/>
        <w:spacing w:line="500" w:lineRule="exact"/>
        <w:widowControl w:val="off"/>
        <w:rPr>
          <w:rFonts w:hint="eastAsia" w:ascii="仿宋_GB2312" w:hAnsi="仿宋_GB2312" w:eastAsia="仿宋_GB2312" w:cs="仿宋_GB2312"/>
          <w:b/>
          <w:color w:val="auto"/>
          <w:sz w:val="28"/>
          <w:szCs w:val="28"/>
          <w:highlight w:val="none"/>
        </w:rPr>
        <w:outlineLvl w:val="2"/>
      </w:pPr>
      <w:r>
        <w:rPr>
          <w:rFonts w:hint="eastAsia" w:ascii="仿宋_GB2312" w:hAnsi="仿宋_GB2312" w:eastAsia="仿宋_GB2312" w:cs="仿宋_GB2312"/>
          <w:color w:val="auto"/>
          <w:sz w:val="28"/>
          <w:szCs w:val="28"/>
          <w:highlight w:val="none"/>
        </w:rPr>
        <w:t xml:space="preserve">1.时间：自磋商文件公告发布之日起5个工作日。</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2.</w:t>
      </w:r>
      <w:r>
        <w:rPr>
          <w:rFonts w:hint="eastAsia" w:ascii="仿宋_GB2312" w:hAnsi="仿宋_GB2312" w:eastAsia="仿宋_GB2312" w:cs="仿宋_GB2312"/>
          <w:color w:val="auto"/>
          <w:sz w:val="28"/>
          <w:szCs w:val="28"/>
          <w:highlight w:val="none"/>
          <w:lang w:eastAsia="zh-CN"/>
        </w:rPr>
        <w:t xml:space="preserve">地点</w:t>
      </w:r>
      <w:r>
        <w:rPr>
          <w:rFonts w:hint="eastAsia" w:ascii="仿宋_GB2312" w:hAnsi="仿宋_GB2312" w:eastAsia="仿宋_GB2312" w:cs="仿宋_GB2312"/>
          <w:color w:val="auto"/>
          <w:sz w:val="28"/>
          <w:szCs w:val="28"/>
          <w:highlight w:val="none"/>
        </w:rPr>
        <w:t xml:space="preserve">：“苏采云”系统</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方式：“苏采云”系统获取</w:t>
      </w:r>
      <w:r/>
    </w:p>
    <w:p>
      <w:pPr>
        <w:ind w:left="0" w:right="0" w:firstLine="560"/>
        <w:pageBreakBefore w:val="0"/>
        <w:spacing w:line="50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售价：0.00元</w:t>
      </w:r>
      <w:bookmarkEnd w:id="24"/>
      <w:bookmarkEnd w:id="25"/>
      <w:bookmarkEnd w:id="26"/>
      <w:bookmarkEnd w:id="27"/>
      <w:bookmarkEnd w:id="28"/>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u w:val="none"/>
          <w:lang w:val="en-US" w:eastAsia="zh-CN"/>
        </w:rPr>
        <w:outlineLvl w:val="2"/>
      </w:pPr>
      <w:r/>
      <w:bookmarkStart w:id="29" w:name="_Toc35393794"/>
      <w:r/>
      <w:bookmarkStart w:id="30" w:name="_Toc28359007"/>
      <w:r/>
      <w:bookmarkStart w:id="31" w:name="_Toc35393625"/>
      <w:r/>
      <w:bookmarkStart w:id="32" w:name="_Toc28359084"/>
      <w:r/>
      <w:bookmarkStart w:id="33" w:name="_Toc38985267"/>
      <w:r>
        <w:rPr>
          <w:rFonts w:hint="eastAsia" w:ascii="黑体" w:hAnsi="黑体" w:eastAsia="黑体" w:cs="黑体"/>
          <w:b w:val="0"/>
          <w:bCs w:val="0"/>
          <w:color w:val="auto"/>
          <w:sz w:val="28"/>
          <w:szCs w:val="28"/>
          <w:highlight w:val="none"/>
          <w:lang w:val="en-US" w:eastAsia="zh-CN"/>
        </w:rPr>
        <w:t xml:space="preserve">四、响</w:t>
      </w:r>
      <w:r>
        <w:rPr>
          <w:rFonts w:hint="eastAsia" w:ascii="黑体" w:hAnsi="黑体" w:eastAsia="黑体" w:cs="黑体"/>
          <w:b w:val="0"/>
          <w:bCs w:val="0"/>
          <w:color w:val="auto"/>
          <w:sz w:val="28"/>
          <w:szCs w:val="28"/>
          <w:highlight w:val="none"/>
          <w:u w:val="none"/>
          <w:lang w:val="en-US" w:eastAsia="zh-CN"/>
        </w:rPr>
        <w:t xml:space="preserve">应文件提交</w:t>
      </w:r>
      <w:r/>
    </w:p>
    <w:p>
      <w:pPr>
        <w:ind w:left="0" w:right="0" w:firstLine="560"/>
        <w:pageBreakBefore w:val="0"/>
        <w:spacing w:line="500" w:lineRule="exact"/>
        <w:widowControl w:val="off"/>
        <w:rPr>
          <w:rFonts w:hint="eastAsia" w:ascii="仿宋_GB2312" w:hAnsi="仿宋_GB2312" w:eastAsia="仿宋_GB2312" w:cs="仿宋_GB2312"/>
          <w:bCs/>
          <w:color w:val="auto"/>
          <w:sz w:val="28"/>
          <w:szCs w:val="28"/>
          <w:highlight w:val="none"/>
          <w:u w:val="none"/>
          <w:lang w:val="en-US" w:eastAsia="zh-CN"/>
        </w:rPr>
      </w:pPr>
      <w:r>
        <w:rPr>
          <w:rFonts w:hint="eastAsia" w:ascii="仿宋_GB2312" w:hAnsi="仿宋_GB2312" w:eastAsia="仿宋_GB2312" w:cs="仿宋_GB2312"/>
          <w:bCs/>
          <w:color w:val="auto"/>
          <w:sz w:val="28"/>
          <w:szCs w:val="28"/>
          <w:highlight w:val="none"/>
          <w:u w:val="none"/>
          <w:lang w:val="en-US" w:eastAsia="zh-CN"/>
        </w:rPr>
        <w:t xml:space="preserve">截止时间</w:t>
      </w:r>
      <w:r>
        <w:rPr>
          <w:rFonts w:hint="eastAsia" w:ascii="仿宋_GB2312" w:hAnsi="仿宋_GB2312" w:eastAsia="仿宋_GB2312" w:cs="仿宋_GB2312"/>
          <w:bCs/>
          <w:color w:val="auto"/>
          <w:sz w:val="28"/>
          <w:szCs w:val="28"/>
          <w:highlight w:val="none"/>
          <w:u w:val="none"/>
        </w:rPr>
        <w:t xml:space="preserve">：</w:t>
      </w:r>
      <w:r>
        <w:rPr>
          <w:rFonts w:hint="eastAsia" w:ascii="仿宋_GB2312" w:hAnsi="仿宋_GB2312" w:eastAsia="仿宋_GB2312" w:cs="仿宋_GB2312"/>
          <w:b/>
          <w:bCs/>
          <w:color w:val="auto"/>
          <w:sz w:val="28"/>
          <w:szCs w:val="28"/>
          <w:highlight w:val="yellow"/>
          <w:u w:val="none"/>
        </w:rPr>
        <w:t xml:space="preserve">202</w:t>
      </w:r>
      <w:r>
        <w:rPr>
          <w:rFonts w:hint="eastAsia" w:ascii="仿宋_GB2312" w:hAnsi="仿宋_GB2312" w:eastAsia="仿宋_GB2312" w:cs="仿宋_GB2312"/>
          <w:b/>
          <w:bCs/>
          <w:color w:val="auto"/>
          <w:sz w:val="28"/>
          <w:szCs w:val="28"/>
          <w:highlight w:val="yellow"/>
          <w:u w:val="none"/>
          <w:lang w:val="en-US" w:eastAsia="zh-CN"/>
        </w:rPr>
        <w:t xml:space="preserve">6</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10</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28  </w:t>
      </w:r>
      <w:r>
        <w:rPr>
          <w:rFonts w:hint="eastAsia" w:ascii="仿宋_GB2312" w:hAnsi="仿宋_GB2312" w:eastAsia="仿宋_GB2312" w:cs="仿宋_GB2312"/>
          <w:b/>
          <w:bCs/>
          <w:color w:val="auto"/>
          <w:sz w:val="28"/>
          <w:szCs w:val="28"/>
          <w:highlight w:val="yellow"/>
          <w:u w:val="none"/>
        </w:rPr>
        <w:t xml:space="preserve">09:30</w:t>
      </w:r>
      <w:r>
        <w:rPr>
          <w:rFonts w:hint="eastAsia" w:ascii="仿宋_GB2312" w:hAnsi="仿宋_GB2312" w:eastAsia="仿宋_GB2312" w:cs="仿宋_GB2312"/>
          <w:b w:val="0"/>
          <w:bCs w:val="0"/>
          <w:color w:val="auto"/>
          <w:sz w:val="28"/>
          <w:szCs w:val="28"/>
          <w:highlight w:val="none"/>
          <w:u w:val="none"/>
        </w:rPr>
        <w:t xml:space="preserve">（北京时间）</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bookmarkStart w:id="34" w:name="_Hlk76636893"/>
      <w:r>
        <w:rPr>
          <w:rFonts w:hint="eastAsia" w:ascii="仿宋_GB2312" w:hAnsi="仿宋_GB2312" w:eastAsia="仿宋_GB2312" w:cs="仿宋_GB2312"/>
          <w:color w:val="auto"/>
          <w:sz w:val="28"/>
          <w:szCs w:val="28"/>
          <w:highlight w:val="none"/>
        </w:rPr>
        <w:t xml:space="preserve">地点：“苏采云”系统</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lang w:eastAsia="zh-CN"/>
        </w:rPr>
        <w:outlineLvl w:val="2"/>
      </w:pPr>
      <w:r>
        <w:rPr>
          <w:rFonts w:hint="eastAsia" w:ascii="黑体" w:hAnsi="黑体" w:eastAsia="黑体" w:cs="黑体"/>
          <w:b w:val="0"/>
          <w:bCs w:val="0"/>
          <w:color w:val="auto"/>
          <w:sz w:val="28"/>
          <w:szCs w:val="28"/>
          <w:highlight w:val="none"/>
          <w:lang w:eastAsia="zh-CN"/>
        </w:rPr>
        <w:t xml:space="preserve">五、开启</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时间：</w:t>
      </w:r>
      <w:r>
        <w:rPr>
          <w:rFonts w:hint="eastAsia" w:ascii="仿宋_GB2312" w:hAnsi="仿宋_GB2312" w:eastAsia="仿宋_GB2312" w:cs="仿宋_GB2312"/>
          <w:b/>
          <w:bCs/>
          <w:color w:val="auto"/>
          <w:sz w:val="28"/>
          <w:szCs w:val="28"/>
          <w:highlight w:val="yellow"/>
        </w:rPr>
        <w:t xml:space="preserve">202</w:t>
      </w:r>
      <w:r>
        <w:rPr>
          <w:rFonts w:hint="eastAsia" w:ascii="仿宋_GB2312" w:hAnsi="仿宋_GB2312" w:eastAsia="仿宋_GB2312" w:cs="仿宋_GB2312"/>
          <w:b/>
          <w:bCs/>
          <w:color w:val="auto"/>
          <w:sz w:val="28"/>
          <w:szCs w:val="28"/>
          <w:highlight w:val="yellow"/>
          <w:lang w:val="en-US" w:eastAsia="zh-CN"/>
        </w:rPr>
        <w:t xml:space="preserve">6</w:t>
      </w:r>
      <w:r>
        <w:rPr>
          <w:rFonts w:hint="eastAsia" w:ascii="仿宋_GB2312" w:hAnsi="仿宋_GB2312" w:eastAsia="仿宋_GB2312" w:cs="仿宋_GB2312"/>
          <w:b/>
          <w:bCs/>
          <w:color w:val="auto"/>
          <w:sz w:val="28"/>
          <w:szCs w:val="28"/>
          <w:highlight w:val="yellow"/>
        </w:rPr>
        <w:t xml:space="preserve">-</w:t>
      </w:r>
      <w:r>
        <w:rPr>
          <w:rFonts w:hint="eastAsia" w:ascii="仿宋_GB2312" w:hAnsi="仿宋_GB2312" w:eastAsia="仿宋_GB2312" w:cs="仿宋_GB2312"/>
          <w:b/>
          <w:bCs/>
          <w:color w:val="auto"/>
          <w:sz w:val="28"/>
          <w:szCs w:val="28"/>
          <w:highlight w:val="yellow"/>
          <w:lang w:val="en-US" w:eastAsia="zh-CN"/>
        </w:rPr>
        <w:t xml:space="preserve">10</w:t>
      </w:r>
      <w:r>
        <w:rPr>
          <w:rFonts w:hint="eastAsia" w:ascii="仿宋_GB2312" w:hAnsi="仿宋_GB2312" w:eastAsia="仿宋_GB2312" w:cs="仿宋_GB2312"/>
          <w:b/>
          <w:bCs/>
          <w:color w:val="auto"/>
          <w:sz w:val="28"/>
          <w:szCs w:val="28"/>
          <w:highlight w:val="yellow"/>
        </w:rPr>
        <w:t xml:space="preserve">-</w:t>
      </w:r>
      <w:r>
        <w:rPr>
          <w:rFonts w:hint="eastAsia" w:ascii="仿宋_GB2312" w:hAnsi="仿宋_GB2312" w:eastAsia="仿宋_GB2312" w:cs="仿宋_GB2312"/>
          <w:b/>
          <w:bCs/>
          <w:color w:val="auto"/>
          <w:sz w:val="28"/>
          <w:szCs w:val="28"/>
          <w:highlight w:val="yellow"/>
          <w:lang w:val="en-US" w:eastAsia="zh-CN"/>
        </w:rPr>
        <w:t xml:space="preserve">28</w:t>
      </w:r>
      <w:r>
        <w:rPr>
          <w:rFonts w:hint="eastAsia" w:ascii="仿宋_GB2312" w:hAnsi="仿宋_GB2312" w:eastAsia="仿宋_GB2312" w:cs="仿宋_GB2312"/>
          <w:b/>
          <w:bCs/>
          <w:color w:val="auto"/>
          <w:sz w:val="28"/>
          <w:szCs w:val="28"/>
          <w:highlight w:val="yellow"/>
        </w:rPr>
        <w:t xml:space="preserve"> 09:30</w:t>
      </w:r>
      <w:r>
        <w:rPr>
          <w:rFonts w:hint="eastAsia" w:ascii="仿宋_GB2312" w:hAnsi="仿宋_GB2312" w:eastAsia="仿宋_GB2312" w:cs="仿宋_GB2312"/>
          <w:color w:val="auto"/>
          <w:sz w:val="28"/>
          <w:szCs w:val="28"/>
          <w:highlight w:val="yellow"/>
        </w:rPr>
        <w:t xml:space="preserve"> </w:t>
      </w:r>
      <w:r>
        <w:rPr>
          <w:rFonts w:hint="eastAsia" w:ascii="仿宋_GB2312" w:hAnsi="仿宋_GB2312" w:eastAsia="仿宋_GB2312" w:cs="仿宋_GB2312"/>
          <w:color w:val="auto"/>
          <w:sz w:val="28"/>
          <w:szCs w:val="28"/>
          <w:highlight w:val="none"/>
        </w:rPr>
        <w:t xml:space="preserve">（北京时间）</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地点：“苏采云”</w:t>
      </w:r>
      <w:r>
        <w:rPr>
          <w:rFonts w:hint="eastAsia" w:ascii="仿宋_GB2312" w:hAnsi="仿宋_GB2312" w:eastAsia="仿宋_GB2312" w:cs="仿宋_GB2312"/>
          <w:color w:val="auto"/>
          <w:sz w:val="28"/>
          <w:szCs w:val="28"/>
          <w:highlight w:val="none"/>
          <w:lang w:eastAsia="zh-CN"/>
        </w:rPr>
        <w:t xml:space="preserve">系统</w:t>
      </w:r>
      <w:bookmarkEnd w:id="34"/>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lang w:eastAsia="zh-CN"/>
        </w:rPr>
        <w:t xml:space="preserve">六</w:t>
      </w:r>
      <w:r>
        <w:rPr>
          <w:rFonts w:hint="eastAsia" w:ascii="黑体" w:hAnsi="黑体" w:eastAsia="黑体" w:cs="黑体"/>
          <w:b w:val="0"/>
          <w:bCs w:val="0"/>
          <w:color w:val="auto"/>
          <w:sz w:val="28"/>
          <w:szCs w:val="28"/>
          <w:highlight w:val="none"/>
        </w:rPr>
        <w:t xml:space="preserve">、公告期限</w:t>
      </w:r>
      <w:bookmarkEnd w:id="29"/>
      <w:r/>
      <w:bookmarkEnd w:id="30"/>
      <w:r/>
      <w:bookmarkEnd w:id="31"/>
      <w:r/>
      <w:bookmarkEnd w:id="32"/>
      <w:r/>
      <w:bookmarkEnd w:id="33"/>
      <w:r/>
      <w:r/>
    </w:p>
    <w:p>
      <w:pPr>
        <w:ind w:left="0" w:right="0" w:firstLine="560"/>
        <w:pageBreakBefore w:val="0"/>
        <w:spacing w:line="500" w:lineRule="exact"/>
        <w:widowControl w:val="off"/>
        <w:rPr>
          <w:rFonts w:hint="eastAsia" w:ascii="仿宋_GB2312" w:hAnsi="仿宋_GB2312" w:eastAsia="仿宋_GB2312" w:cs="仿宋_GB2312"/>
          <w:sz w:val="28"/>
          <w:szCs w:val="28"/>
          <w:highlight w:val="none"/>
        </w:rPr>
      </w:pPr>
      <w:r/>
      <w:bookmarkStart w:id="35" w:name="_Toc35393626"/>
      <w:r/>
      <w:bookmarkStart w:id="36" w:name="_Toc38985268"/>
      <w:r/>
      <w:bookmarkStart w:id="37" w:name="_Toc35393795"/>
      <w:r>
        <w:rPr>
          <w:rFonts w:hint="eastAsia" w:ascii="仿宋_GB2312" w:hAnsi="仿宋_GB2312" w:eastAsia="仿宋_GB2312" w:cs="仿宋_GB2312"/>
          <w:color w:val="auto"/>
          <w:sz w:val="28"/>
          <w:szCs w:val="28"/>
          <w:highlight w:val="none"/>
        </w:rPr>
        <w:t xml:space="preserve">磋商公告及磋商文件公告期限为自本公告发布之日起</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个</w:t>
      </w:r>
      <w:r>
        <w:rPr>
          <w:rFonts w:hint="eastAsia" w:ascii="仿宋_GB2312" w:hAnsi="仿宋_GB2312" w:eastAsia="仿宋_GB2312" w:cs="仿宋_GB2312"/>
          <w:sz w:val="28"/>
          <w:szCs w:val="28"/>
          <w:highlight w:val="none"/>
        </w:rPr>
        <w:t xml:space="preserve">工作日。</w:t>
      </w:r>
      <w:r/>
    </w:p>
    <w:p>
      <w:pPr>
        <w:ind w:left="0" w:right="0" w:firstLine="560"/>
        <w:keepLines/>
        <w:keepNext/>
        <w:pageBreakBefore w:val="0"/>
        <w:spacing w:line="50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lang w:eastAsia="zh-CN"/>
        </w:rPr>
        <w:t xml:space="preserve">七</w:t>
      </w:r>
      <w:r>
        <w:rPr>
          <w:rFonts w:hint="eastAsia" w:ascii="黑体" w:hAnsi="黑体" w:eastAsia="黑体" w:cs="黑体"/>
          <w:b w:val="0"/>
          <w:bCs w:val="0"/>
          <w:sz w:val="28"/>
          <w:szCs w:val="28"/>
          <w:highlight w:val="none"/>
        </w:rPr>
        <w:t xml:space="preserve">、其他补充事宜</w:t>
      </w:r>
      <w:bookmarkEnd w:id="35"/>
      <w:r/>
      <w:bookmarkEnd w:id="36"/>
      <w:r/>
      <w:bookmarkEnd w:id="37"/>
      <w:r/>
      <w:bookmarkStart w:id="247" w:name="_GoBack"/>
      <w:r/>
      <w:bookmarkEnd w:id="247"/>
      <w:r/>
      <w:r/>
    </w:p>
    <w:p>
      <w:pPr>
        <w:ind w:firstLine="560"/>
        <w:pageBreakBefore w:val="0"/>
        <w:spacing w:line="500" w:lineRule="exact"/>
        <w:rPr>
          <w:rFonts w:hint="eastAsia" w:ascii="仿宋_GB2312" w:hAnsi="仿宋_GB2312" w:eastAsia="仿宋_GB2312" w:cs="仿宋_GB2312"/>
          <w:color w:val="auto"/>
          <w:sz w:val="28"/>
          <w:szCs w:val="28"/>
          <w:highlight w:val="none"/>
        </w:rPr>
      </w:pPr>
      <w:r/>
      <w:bookmarkStart w:id="38" w:name="_Toc35393627"/>
      <w:r/>
      <w:bookmarkStart w:id="39" w:name="_Toc28359085"/>
      <w:r/>
      <w:bookmarkStart w:id="40" w:name="_Toc28359008"/>
      <w:r/>
      <w:bookmarkStart w:id="41" w:name="_Toc38985269"/>
      <w:r/>
      <w:bookmarkStart w:id="42" w:name="_Toc35393796"/>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 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50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泰州市高港区泰州大道388号（原中国医药城会展交易中心W3馆西南角）公共资源交易中心一楼大厅6号窗口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500" w:lineRule="exact"/>
        <w:rPr>
          <w:rFonts w:hint="eastAsia" w:ascii="黑体" w:hAnsi="黑体" w:eastAsia="黑体" w:cs="黑体"/>
          <w:i/>
          <w:iCs/>
          <w:color w:val="auto"/>
          <w:sz w:val="28"/>
          <w:szCs w:val="28"/>
          <w:highlight w:val="none"/>
          <w:u w:val="single"/>
          <w:lang w:eastAsia="zh-CN"/>
        </w:rPr>
      </w:pPr>
      <w:r>
        <w:rPr>
          <w:rFonts w:hint="eastAsia" w:ascii="黑体" w:hAnsi="黑体" w:eastAsia="黑体" w:cs="黑体"/>
          <w:i/>
          <w:iCs/>
          <w:color w:val="auto"/>
          <w:sz w:val="28"/>
          <w:szCs w:val="28"/>
          <w:highlight w:val="none"/>
          <w:u w:val="single"/>
        </w:rPr>
        <w:t xml:space="preserve">如潜在</w:t>
      </w:r>
      <w:r>
        <w:rPr>
          <w:rFonts w:hint="eastAsia" w:ascii="黑体" w:hAnsi="黑体" w:eastAsia="黑体" w:cs="黑体"/>
          <w:i/>
          <w:iCs/>
          <w:color w:val="auto"/>
          <w:sz w:val="28"/>
          <w:szCs w:val="28"/>
          <w:highlight w:val="none"/>
          <w:u w:val="single"/>
          <w:lang w:eastAsia="zh-CN"/>
        </w:rPr>
        <w:t xml:space="preserve">投标人</w:t>
      </w:r>
      <w:r>
        <w:rPr>
          <w:rFonts w:hint="eastAsia" w:ascii="黑体" w:hAnsi="黑体" w:eastAsia="黑体" w:cs="黑体"/>
          <w:i/>
          <w:iCs/>
          <w:color w:val="auto"/>
          <w:sz w:val="28"/>
          <w:szCs w:val="28"/>
          <w:highlight w:val="none"/>
          <w:u w:val="single"/>
        </w:rPr>
        <w:t xml:space="preserve">未按上述要求操作，将自行承担所产生的风险。</w:t>
      </w:r>
      <w:r/>
    </w:p>
    <w:p>
      <w:pPr>
        <w:ind w:firstLine="560"/>
        <w:pageBreakBefore w:val="0"/>
        <w:spacing w:line="50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500" w:lineRule="exact"/>
        <w:rPr>
          <w:rFonts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ind w:left="0" w:right="0" w:firstLine="560"/>
        <w:keepLines/>
        <w:keepNext/>
        <w:pageBreakBefore w:val="0"/>
        <w:spacing w:line="50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rPr>
        <w:t xml:space="preserve">七、本次磋商联系方式</w:t>
      </w:r>
      <w:bookmarkEnd w:id="38"/>
      <w:r/>
      <w:bookmarkEnd w:id="39"/>
      <w:r/>
      <w:bookmarkEnd w:id="40"/>
      <w:r/>
      <w:bookmarkEnd w:id="41"/>
      <w:r/>
      <w:bookmarkEnd w:id="42"/>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bookmarkStart w:id="43" w:name="_Toc28359009"/>
      <w:r/>
      <w:bookmarkStart w:id="44" w:name="_Toc28359086"/>
      <w:r/>
      <w:bookmarkStart w:id="45" w:name="OLE_LINK4"/>
      <w:r/>
      <w:bookmarkStart w:id="46" w:name="OLE_LINK9"/>
      <w:r/>
      <w:bookmarkStart w:id="47" w:name="_Toc28359010"/>
      <w:r/>
      <w:bookmarkStart w:id="48" w:name="OLE_LINK3"/>
      <w:r/>
      <w:bookmarkStart w:id="49" w:name="OLE_LINK22"/>
      <w:r/>
      <w:bookmarkStart w:id="50" w:name="_Toc28359087"/>
      <w:r>
        <w:rPr>
          <w:rFonts w:hint="eastAsia" w:ascii="仿宋_GB2312" w:hAnsi="仿宋_GB2312" w:eastAsia="仿宋_GB2312" w:cs="仿宋_GB2312"/>
          <w:sz w:val="28"/>
          <w:szCs w:val="28"/>
          <w:highlight w:val="none"/>
        </w:rPr>
        <w:t xml:space="preserve">1.采购人信息</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名称：兴化市陈堡镇卫生院</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地址：兴化市陈堡镇人民路321号</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sz w:val="28"/>
          <w:szCs w:val="28"/>
          <w:highlight w:val="none"/>
        </w:rPr>
        <w:t xml:space="preserve">联系方式：</w:t>
      </w:r>
      <w:r>
        <w:rPr>
          <w:rFonts w:hint="eastAsia" w:ascii="仿宋_GB2312" w:hAnsi="仿宋_GB2312" w:eastAsia="仿宋_GB2312" w:cs="仿宋_GB2312"/>
          <w:sz w:val="28"/>
          <w:szCs w:val="28"/>
          <w:highlight w:val="none"/>
          <w:lang w:eastAsia="zh-CN"/>
        </w:rPr>
        <w:t xml:space="preserve">李先生</w:t>
      </w: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en-US" w:eastAsia="zh-CN"/>
        </w:rPr>
        <w:t xml:space="preserve"> 18252634157</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2.采购代理机构信息</w:t>
      </w:r>
      <w:bookmarkEnd w:id="43"/>
      <w:r/>
      <w:bookmarkEnd w:id="44"/>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名称：兴化市政务服务中心</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地址：</w:t>
      </w:r>
      <w:r>
        <w:rPr>
          <w:rFonts w:hint="eastAsia" w:ascii="仿宋_GB2312" w:hAnsi="仿宋_GB2312" w:eastAsia="仿宋_GB2312" w:cs="仿宋_GB2312"/>
          <w:sz w:val="28"/>
          <w:szCs w:val="28"/>
          <w:highlight w:val="none"/>
          <w:lang w:eastAsia="zh-CN"/>
        </w:rPr>
        <w:t xml:space="preserve">兴化市长安中路</w:t>
      </w:r>
      <w:r>
        <w:rPr>
          <w:rFonts w:hint="eastAsia" w:ascii="仿宋_GB2312" w:hAnsi="仿宋_GB2312" w:eastAsia="仿宋_GB2312" w:cs="仿宋_GB2312"/>
          <w:sz w:val="28"/>
          <w:szCs w:val="28"/>
          <w:highlight w:val="none"/>
          <w:lang w:val="en-US" w:eastAsia="zh-CN"/>
        </w:rPr>
        <w:t xml:space="preserve">13-1号</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联系方式：</w:t>
      </w:r>
      <w:r>
        <w:rPr>
          <w:rFonts w:hint="eastAsia" w:ascii="仿宋_GB2312" w:hAnsi="仿宋_GB2312" w:eastAsia="仿宋_GB2312" w:cs="仿宋_GB2312"/>
          <w:sz w:val="28"/>
          <w:szCs w:val="28"/>
          <w:highlight w:val="none"/>
          <w:lang w:eastAsia="zh-CN"/>
        </w:rPr>
        <w:t xml:space="preserve">刘</w:t>
      </w:r>
      <w:r>
        <w:rPr>
          <w:rFonts w:hint="eastAsia" w:ascii="仿宋_GB2312" w:hAnsi="仿宋_GB2312" w:eastAsia="仿宋_GB2312" w:cs="仿宋_GB2312"/>
          <w:sz w:val="28"/>
          <w:szCs w:val="28"/>
          <w:highlight w:val="none"/>
        </w:rPr>
        <w:t xml:space="preserve">先生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 xml:space="preserve">0523-83388218 </w:t>
      </w:r>
      <w:bookmarkEnd w:id="45"/>
      <w:r/>
      <w:bookmarkEnd w:id="46"/>
      <w:r/>
      <w:bookmarkEnd w:id="47"/>
      <w:r/>
      <w:bookmarkEnd w:id="48"/>
      <w:r/>
      <w:bookmarkEnd w:id="49"/>
      <w:r/>
      <w:bookmarkEnd w:id="50"/>
      <w:r/>
      <w:r/>
    </w:p>
    <w:p>
      <w:pPr>
        <w:ind w:firstLine="600"/>
        <w:jc w:val="left"/>
        <w:keepLines w:val="0"/>
        <w:keepNext w:val="0"/>
        <w:pageBreakBefore w:val="0"/>
        <w:spacing w:line="500" w:lineRule="exact"/>
        <w:widowControl/>
        <w:rPr>
          <w:rFonts w:hint="eastAsia" w:ascii="仿宋_GB2312" w:hAnsi="仿宋_GB2312" w:eastAsia="仿宋_GB2312" w:cs="仿宋_GB2312"/>
          <w:color w:val="auto"/>
          <w:sz w:val="30"/>
          <w:szCs w:val="30"/>
          <w:highlight w:val="none"/>
          <w:lang w:val="en-US" w:eastAsia="zh-CN"/>
        </w:rPr>
        <w:outlineLvl w:val="1"/>
      </w:pPr>
      <w:r>
        <w:rPr>
          <w:rFonts w:hint="eastAsia" w:ascii="仿宋_GB2312" w:hAnsi="仿宋_GB2312" w:eastAsia="仿宋_GB2312" w:cs="仿宋_GB2312"/>
          <w:color w:val="auto"/>
          <w:sz w:val="30"/>
          <w:szCs w:val="30"/>
          <w:highlight w:val="none"/>
          <w:lang w:val="en-US" w:eastAsia="zh-CN"/>
        </w:rPr>
        <w:t xml:space="preserve">3.项目联系方式</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联系人：</w:t>
      </w:r>
      <w:r>
        <w:rPr>
          <w:rFonts w:hint="eastAsia" w:ascii="仿宋_GB2312" w:hAnsi="仿宋_GB2312" w:eastAsia="仿宋_GB2312" w:cs="仿宋_GB2312"/>
          <w:sz w:val="28"/>
          <w:szCs w:val="28"/>
          <w:highlight w:val="none"/>
          <w:lang w:eastAsia="zh-CN"/>
        </w:rPr>
        <w:t xml:space="preserve">李先生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en-US" w:eastAsia="zh-CN"/>
        </w:rPr>
        <w:t xml:space="preserve">18252634157</w:t>
      </w:r>
      <w:r>
        <w:rPr>
          <w:rFonts w:hint="eastAsia" w:ascii="仿宋_GB2312" w:hAnsi="仿宋_GB2312" w:eastAsia="仿宋_GB2312" w:cs="仿宋_GB2312"/>
          <w:sz w:val="28"/>
          <w:szCs w:val="28"/>
          <w:highlight w:val="none"/>
          <w:lang w:eastAsia="zh-CN"/>
        </w:rPr>
        <w:t xml:space="preserve">（采购人）</w:t>
      </w:r>
      <w:r/>
    </w:p>
    <w:p>
      <w:pPr>
        <w:ind w:left="0" w:right="0" w:firstLine="168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sz w:val="28"/>
          <w:szCs w:val="28"/>
          <w:highlight w:val="none"/>
          <w:lang w:eastAsia="zh-CN"/>
        </w:rPr>
        <w:t xml:space="preserve">刘先生   0523-83388218（代理机构）</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bookmarkStart w:id="51" w:name="_Toc120614211"/>
      <w:r>
        <w:rPr>
          <w:rFonts w:hint="eastAsia" w:ascii="黑体" w:hAnsi="黑体" w:eastAsia="黑体" w:cs="黑体"/>
          <w:b w:val="0"/>
          <w:bCs w:val="0"/>
          <w:sz w:val="36"/>
          <w:szCs w:val="36"/>
        </w:rPr>
        <w:t xml:space="preserve">第二章  </w:t>
      </w:r>
      <w:bookmarkEnd w:id="1"/>
      <w:r/>
      <w:bookmarkEnd w:id="2"/>
      <w:r/>
      <w:bookmarkEnd w:id="3"/>
      <w:r/>
      <w:bookmarkEnd w:id="4"/>
      <w:r/>
      <w:bookmarkEnd w:id="5"/>
      <w:r/>
      <w:bookmarkEnd w:id="51"/>
      <w:r>
        <w:rPr>
          <w:rFonts w:hint="eastAsia" w:ascii="黑体" w:hAnsi="黑体" w:eastAsia="黑体" w:cs="黑体"/>
          <w:b w:val="0"/>
          <w:bCs w:val="0"/>
          <w:sz w:val="36"/>
          <w:szCs w:val="36"/>
        </w:rPr>
        <w:t xml:space="preserve">供应商须知</w:t>
      </w:r>
      <w:r/>
    </w:p>
    <w:p>
      <w:pPr>
        <w:ind w:firstLine="436"/>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52" w:name="_Toc120614214"/>
      <w:r/>
      <w:bookmarkStart w:id="53" w:name="_Toc20823275"/>
      <w:r/>
      <w:bookmarkStart w:id="54" w:name="_Toc513029203"/>
      <w:r/>
      <w:bookmarkStart w:id="55" w:name="_Toc16938519"/>
      <w:r/>
      <w:bookmarkStart w:id="56" w:name="_Toc20823314"/>
      <w:r/>
      <w:bookmarkStart w:id="57" w:name="_Toc513029242"/>
      <w:r/>
      <w:bookmarkStart w:id="58" w:name="_Toc16938558"/>
      <w:r/>
      <w:bookmarkStart w:id="59" w:name="_Toc120614221"/>
      <w:r/>
      <w:bookmarkStart w:id="60" w:name="_Toc479757207"/>
      <w:r>
        <w:rPr>
          <w:rFonts w:hint="eastAsia" w:ascii="仿宋_GB2312" w:hAnsi="仿宋_GB2312" w:eastAsia="仿宋_GB2312" w:cs="仿宋_GB2312"/>
          <w:b/>
          <w:bCs/>
          <w:sz w:val="28"/>
          <w:szCs w:val="28"/>
        </w:rPr>
        <w:t xml:space="preserve">一、总则</w:t>
      </w:r>
      <w:bookmarkEnd w:id="52"/>
      <w:r/>
      <w:bookmarkEnd w:id="53"/>
      <w:r/>
      <w:bookmarkEnd w:id="54"/>
      <w:r/>
      <w:bookmarkEnd w:id="55"/>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1" w:name="_Hlt16619475"/>
      <w:r/>
      <w:bookmarkEnd w:id="61"/>
      <w:r/>
      <w:bookmarkStart w:id="62" w:name="_Toc458694821"/>
      <w:r/>
      <w:bookmarkStart w:id="63" w:name="_Toc513029204"/>
      <w:r/>
      <w:bookmarkStart w:id="64" w:name="_Toc20823276"/>
      <w:r/>
      <w:bookmarkStart w:id="65" w:name="_Toc16938520"/>
      <w:r>
        <w:rPr>
          <w:rFonts w:hint="eastAsia" w:ascii="仿宋_GB2312" w:hAnsi="仿宋_GB2312" w:eastAsia="仿宋_GB2312" w:cs="仿宋_GB2312"/>
          <w:sz w:val="28"/>
          <w:szCs w:val="28"/>
        </w:rPr>
        <w:t xml:space="preserve">1</w:t>
      </w:r>
      <w:bookmarkEnd w:id="62"/>
      <w:r>
        <w:rPr>
          <w:rFonts w:hint="eastAsia" w:ascii="仿宋_GB2312" w:hAnsi="仿宋_GB2312" w:eastAsia="仿宋_GB2312" w:cs="仿宋_GB2312"/>
          <w:sz w:val="28"/>
          <w:szCs w:val="28"/>
        </w:rPr>
        <w:t xml:space="preserve">、采购方式</w:t>
      </w:r>
      <w:bookmarkEnd w:id="63"/>
      <w:r/>
      <w:bookmarkEnd w:id="64"/>
      <w:r/>
      <w:bookmarkEnd w:id="6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本次政府采购活动采取竞争性磋商(以下简称磋商)方式，本磋商文件仅适用于磋商公告中所述项目。</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6" w:name="_Toc513029205"/>
      <w:r/>
      <w:bookmarkStart w:id="67" w:name="_Toc20823277"/>
      <w:r/>
      <w:bookmarkStart w:id="68" w:name="_Toc16938521"/>
      <w:r>
        <w:rPr>
          <w:rFonts w:hint="eastAsia" w:ascii="仿宋_GB2312" w:hAnsi="仿宋_GB2312" w:eastAsia="仿宋_GB2312" w:cs="仿宋_GB2312"/>
          <w:sz w:val="28"/>
          <w:szCs w:val="28"/>
        </w:rPr>
        <w:t xml:space="preserve">2、合格的</w:t>
      </w:r>
      <w:bookmarkEnd w:id="66"/>
      <w:r/>
      <w:bookmarkEnd w:id="67"/>
      <w:r/>
      <w:bookmarkEnd w:id="68"/>
      <w:r>
        <w:rPr>
          <w:rFonts w:hint="eastAsia" w:ascii="仿宋_GB2312" w:hAnsi="仿宋_GB2312" w:eastAsia="仿宋_GB2312" w:cs="仿宋_GB2312"/>
          <w:sz w:val="28"/>
          <w:szCs w:val="28"/>
        </w:rPr>
        <w:t xml:space="preserve">供应商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2.1满足磋商公告中供应商资格要求的规定。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满足本磋商文件实质性要求和条件的规定。</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9" w:name="_Toc16938522"/>
      <w:r/>
      <w:bookmarkStart w:id="70" w:name="_Toc513029206"/>
      <w:r/>
      <w:bookmarkStart w:id="71" w:name="_Toc20823278"/>
      <w:r>
        <w:rPr>
          <w:rFonts w:hint="eastAsia" w:ascii="仿宋_GB2312" w:hAnsi="仿宋_GB2312" w:eastAsia="仿宋_GB2312" w:cs="仿宋_GB2312"/>
          <w:sz w:val="28"/>
          <w:szCs w:val="28"/>
        </w:rPr>
        <w:t xml:space="preserve">3、适用法律</w:t>
      </w:r>
      <w:bookmarkEnd w:id="69"/>
      <w:r/>
      <w:bookmarkEnd w:id="70"/>
      <w:r/>
      <w:bookmarkEnd w:id="71"/>
      <w:r/>
      <w:r/>
    </w:p>
    <w:p>
      <w:pPr>
        <w:ind w:firstLine="49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本次磋商及由此产生的合同受中华人民共和国有关的法律法规制约和保护。</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72" w:name="_Toc20823279"/>
      <w:r/>
      <w:bookmarkStart w:id="73" w:name="_Toc16938523"/>
      <w:r/>
      <w:bookmarkStart w:id="74" w:name="_Toc462564067"/>
      <w:r/>
      <w:bookmarkStart w:id="75" w:name="_Toc513029207"/>
      <w:r>
        <w:rPr>
          <w:rFonts w:hint="eastAsia" w:ascii="仿宋_GB2312" w:hAnsi="仿宋_GB2312" w:eastAsia="仿宋_GB2312" w:cs="仿宋_GB2312"/>
          <w:sz w:val="28"/>
          <w:szCs w:val="28"/>
        </w:rPr>
        <w:t xml:space="preserve">4、磋商费用</w:t>
      </w:r>
      <w:bookmarkEnd w:id="72"/>
      <w:r/>
      <w:bookmarkEnd w:id="73"/>
      <w:r/>
      <w:bookmarkEnd w:id="74"/>
      <w:r/>
      <w:bookmarkEnd w:id="7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供应商应自行承担所有与参加本次磋商有关的费用，无论磋商过程中的做法和结果如何，</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（以下简称</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）在任何情况下均无义务和责任承担这些费用。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4.2本次磋商</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和采购人不收取标书工本费与成交服务费。</w:t>
      </w:r>
      <w:r/>
    </w:p>
    <w:p>
      <w:pPr>
        <w:ind w:firstLine="281"/>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磋商文件的约束力</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供应商一旦参加本项目采购活动，即被认为接受了本磋商文件的规定和约束。</w:t>
      </w:r>
      <w:r/>
    </w:p>
    <w:p>
      <w:pPr>
        <w:ind w:firstLine="281"/>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76" w:name="_Toc513029209"/>
      <w:r/>
      <w:bookmarkStart w:id="77" w:name="_Toc20823281"/>
      <w:r/>
      <w:bookmarkStart w:id="78" w:name="_Toc16938525"/>
      <w:r/>
      <w:bookmarkStart w:id="79" w:name="_Toc120614215"/>
      <w:r>
        <w:rPr>
          <w:rFonts w:hint="eastAsia" w:ascii="仿宋_GB2312" w:hAnsi="仿宋_GB2312" w:eastAsia="仿宋_GB2312" w:cs="仿宋_GB2312"/>
          <w:b/>
          <w:bCs/>
          <w:sz w:val="28"/>
          <w:szCs w:val="28"/>
        </w:rPr>
        <w:t xml:space="preserve">二、</w:t>
      </w:r>
      <w:bookmarkEnd w:id="76"/>
      <w:r/>
      <w:bookmarkEnd w:id="77"/>
      <w:r/>
      <w:bookmarkEnd w:id="78"/>
      <w:r/>
      <w:bookmarkEnd w:id="79"/>
      <w:r>
        <w:rPr>
          <w:rFonts w:hint="eastAsia" w:ascii="仿宋_GB2312" w:hAnsi="仿宋_GB2312" w:eastAsia="仿宋_GB2312" w:cs="仿宋_GB2312"/>
          <w:b/>
          <w:bCs/>
          <w:sz w:val="28"/>
          <w:szCs w:val="28"/>
        </w:rPr>
        <w:t xml:space="preserve">磋商文件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0" w:name="_Toc16938526"/>
      <w:r/>
      <w:bookmarkStart w:id="81" w:name="_Toc513029210"/>
      <w:r/>
      <w:bookmarkStart w:id="82" w:name="_Toc20823282"/>
      <w:r>
        <w:rPr>
          <w:rFonts w:hint="eastAsia" w:ascii="仿宋_GB2312" w:hAnsi="仿宋_GB2312" w:eastAsia="仿宋_GB2312" w:cs="仿宋_GB2312"/>
          <w:sz w:val="28"/>
          <w:szCs w:val="28"/>
        </w:rPr>
        <w:t xml:space="preserve">6、磋商文件构成</w:t>
      </w:r>
      <w:bookmarkEnd w:id="80"/>
      <w:r/>
      <w:bookmarkEnd w:id="81"/>
      <w:r/>
      <w:bookmarkEnd w:id="8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磋商文件由以下部分组成：</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（1）磋商邀请</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（5）评审方法与评审标准</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（6）响应文件格式</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请仔细检查磋商文件是否齐全，如有缺漏请立即与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联系解决。</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3" w:name="_Toc20823283"/>
      <w:r/>
      <w:bookmarkStart w:id="84" w:name="_Toc513029211"/>
      <w:r/>
      <w:bookmarkStart w:id="85" w:name="_Toc16938527"/>
      <w:r/>
      <w:bookmarkStart w:id="86" w:name="_Toc462564070"/>
      <w:r>
        <w:rPr>
          <w:rFonts w:hint="eastAsia" w:ascii="仿宋_GB2312" w:hAnsi="仿宋_GB2312" w:eastAsia="仿宋_GB2312" w:cs="仿宋_GB2312"/>
          <w:sz w:val="28"/>
          <w:szCs w:val="28"/>
        </w:rPr>
        <w:t xml:space="preserve">7、磋商文件的澄清</w:t>
      </w:r>
      <w:bookmarkEnd w:id="83"/>
      <w:r/>
      <w:bookmarkEnd w:id="84"/>
      <w:r/>
      <w:bookmarkEnd w:id="85"/>
      <w:r/>
      <w:bookmarkEnd w:id="86"/>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任何要求对磋商文件进行澄清的供应商，应在磋商截止期5日前按磋商公告中的通讯地址，以书面形式通知</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7" w:name="_Toc20823284"/>
      <w:r/>
      <w:bookmarkStart w:id="88" w:name="_Toc462564071"/>
      <w:r/>
      <w:bookmarkStart w:id="89" w:name="_Toc513029212"/>
      <w:r/>
      <w:bookmarkStart w:id="90" w:name="_Toc16938528"/>
      <w:r>
        <w:rPr>
          <w:rFonts w:hint="eastAsia" w:ascii="仿宋_GB2312" w:hAnsi="仿宋_GB2312" w:eastAsia="仿宋_GB2312" w:cs="仿宋_GB2312"/>
          <w:sz w:val="28"/>
          <w:szCs w:val="28"/>
        </w:rPr>
        <w:t xml:space="preserve">8、磋商文件的澄清和修改</w:t>
      </w:r>
      <w:bookmarkEnd w:id="87"/>
      <w:r/>
      <w:bookmarkEnd w:id="88"/>
      <w:r/>
      <w:bookmarkEnd w:id="89"/>
      <w:r/>
      <w:bookmarkEnd w:id="90"/>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 在响应文件提交截止时间前，</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可以对磋商文件进行澄清和修改, 澄清或者修改的内容作为磋商文件的组成部分。澄清或者修改的内容可能影响响应文件编制的，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将顺延提交首次响应文件截止时间。</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8.2</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可以视采购项目的具体情况，组织供应商进行现场考察或召开磋商前答疑会，但不单独或分别组织只有一个供应商参加的现场考察和答疑会。</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91" w:name="_Toc513029213"/>
      <w:r/>
      <w:bookmarkStart w:id="92" w:name="_Toc120614216"/>
      <w:r/>
      <w:bookmarkStart w:id="93" w:name="_Toc20823285"/>
      <w:r/>
      <w:bookmarkStart w:id="94" w:name="_Toc16938529"/>
      <w:r/>
      <w:bookmarkStart w:id="95" w:name="_Toc462564072"/>
      <w:r>
        <w:rPr>
          <w:rFonts w:hint="eastAsia" w:ascii="仿宋_GB2312" w:hAnsi="仿宋_GB2312" w:eastAsia="仿宋_GB2312" w:cs="仿宋_GB2312"/>
          <w:b/>
          <w:bCs/>
          <w:sz w:val="28"/>
          <w:szCs w:val="28"/>
        </w:rPr>
        <w:t xml:space="preserve">三、响应文件的编制</w:t>
      </w:r>
      <w:bookmarkEnd w:id="91"/>
      <w:r/>
      <w:bookmarkEnd w:id="92"/>
      <w:r/>
      <w:bookmarkEnd w:id="93"/>
      <w:r/>
      <w:bookmarkEnd w:id="94"/>
      <w:r/>
      <w:bookmarkEnd w:id="95"/>
      <w:r/>
      <w:r/>
    </w:p>
    <w:p>
      <w:pPr>
        <w:ind w:firstLine="560"/>
        <w:keepLines/>
        <w:keepNext/>
        <w:pageBreakBefore w:val="0"/>
        <w:spacing w:line="500" w:lineRule="exact"/>
        <w:widowControl w:val="off"/>
        <w:rPr>
          <w:rFonts w:hint="eastAsia" w:ascii="仿宋_GB2312" w:hAnsi="仿宋_GB2312" w:eastAsia="仿宋_GB2312" w:cs="仿宋_GB2312"/>
          <w:b/>
          <w:sz w:val="28"/>
          <w:szCs w:val="28"/>
        </w:rPr>
        <w:outlineLvl w:val="3"/>
      </w:pPr>
      <w:r/>
      <w:bookmarkStart w:id="96" w:name="_Toc16938530"/>
      <w:r/>
      <w:bookmarkStart w:id="97" w:name="_Toc513029214"/>
      <w:r/>
      <w:bookmarkStart w:id="98" w:name="_Toc462564073"/>
      <w:r/>
      <w:bookmarkStart w:id="99" w:name="_Toc20823286"/>
      <w:r>
        <w:rPr>
          <w:rFonts w:hint="eastAsia" w:ascii="仿宋_GB2312" w:hAnsi="仿宋_GB2312" w:eastAsia="仿宋_GB2312" w:cs="仿宋_GB2312"/>
          <w:sz w:val="28"/>
          <w:szCs w:val="28"/>
        </w:rPr>
        <w:t xml:space="preserve">9、响应文件的语言及度量衡单位</w:t>
      </w:r>
      <w:bookmarkEnd w:id="96"/>
      <w:r/>
      <w:bookmarkEnd w:id="97"/>
      <w:r/>
      <w:bookmarkEnd w:id="98"/>
      <w:r/>
      <w:bookmarkEnd w:id="9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供应商提交的响应文件以及供应商与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就有关磋商的所有来往通知、函件和文件均应使用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0" w:name="_Toc513029215"/>
      <w:r/>
      <w:bookmarkStart w:id="101" w:name="_Toc16938531"/>
      <w:r/>
      <w:bookmarkStart w:id="102" w:name="_Toc20823287"/>
      <w:r/>
      <w:bookmarkStart w:id="103" w:name="_Toc462564074"/>
      <w:r>
        <w:rPr>
          <w:rFonts w:hint="eastAsia" w:ascii="仿宋_GB2312" w:hAnsi="仿宋_GB2312" w:eastAsia="仿宋_GB2312" w:cs="仿宋_GB2312"/>
          <w:sz w:val="28"/>
          <w:szCs w:val="28"/>
        </w:rPr>
        <w:t xml:space="preserve">10、响应文件构成</w:t>
      </w:r>
      <w:bookmarkEnd w:id="100"/>
      <w:r/>
      <w:bookmarkEnd w:id="101"/>
      <w:r/>
      <w:bookmarkEnd w:id="102"/>
      <w:r/>
      <w:bookmarkEnd w:id="103"/>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10.1</w:t>
      </w:r>
      <w:r>
        <w:rPr>
          <w:rFonts w:hint="eastAsia" w:ascii="仿宋_GB2312" w:hAnsi="仿宋_GB2312" w:eastAsia="仿宋_GB2312" w:cs="仿宋_GB2312"/>
          <w:sz w:val="28"/>
          <w:szCs w:val="28"/>
        </w:rPr>
        <w:t xml:space="preserve">供应商编写的响应文件应包括资格证明文件、符合性证明文件、分项报价表、技术要求响应及偏离表、商务要求响应及偏离表、其他证明文件、磋商响应函等部分。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如标书制作工具中格式和内容与“江苏政府采购网”发布的磋商文件不一致，请以“江苏政府采购网”发布的磋商文件为准。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4" w:name="_Hlt26954838"/>
      <w:r/>
      <w:bookmarkEnd w:id="104"/>
      <w:r/>
      <w:bookmarkStart w:id="105" w:name="_Hlt26668975"/>
      <w:r/>
      <w:bookmarkEnd w:id="105"/>
      <w:r/>
      <w:bookmarkStart w:id="106" w:name="_Hlt26670360"/>
      <w:r/>
      <w:bookmarkEnd w:id="106"/>
      <w:r/>
      <w:bookmarkStart w:id="107" w:name="_Toc49090509"/>
      <w:r/>
      <w:bookmarkStart w:id="108" w:name="_Toc14577357"/>
      <w:r/>
      <w:bookmarkStart w:id="109" w:name="_Toc513029219"/>
      <w:r/>
      <w:bookmarkStart w:id="110" w:name="_Toc513029216"/>
      <w:r/>
      <w:bookmarkStart w:id="111" w:name="_Toc14577354"/>
      <w:r/>
      <w:bookmarkStart w:id="112" w:name="_Toc49090507"/>
      <w:r/>
      <w:bookmarkStart w:id="113" w:name="_Toc49090508"/>
      <w:r/>
      <w:bookmarkStart w:id="114" w:name="_Toc14577355"/>
      <w:r>
        <w:rPr>
          <w:rFonts w:hint="eastAsia" w:ascii="仿宋_GB2312" w:hAnsi="仿宋_GB2312" w:eastAsia="仿宋_GB2312" w:cs="仿宋_GB2312"/>
          <w:sz w:val="28"/>
          <w:szCs w:val="28"/>
        </w:rPr>
        <w:t xml:space="preserve">11、证明磋商响应标的符合磋商文件规定的文件</w:t>
      </w:r>
      <w:bookmarkEnd w:id="107"/>
      <w:r/>
      <w:bookmarkEnd w:id="108"/>
      <w:r/>
      <w:bookmarkEnd w:id="109"/>
      <w:r/>
      <w:bookmarkEnd w:id="110"/>
      <w:bookmarkEnd w:id="111"/>
      <w:bookmarkEnd w:id="112"/>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11.1供应商应按照磋商文件要求提交证明文件，证明其及磋商响应标的符合磋商文件规定。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11.2磋商文件对证明文件无明确形式要求的，证明文件可以以文字资料、图纸和数据等形式提交。</w:t>
      </w:r>
      <w:bookmarkEnd w:id="113"/>
      <w:bookmarkEnd w:id="114"/>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12、分项报价表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12.1</w:t>
      </w:r>
      <w:r>
        <w:rPr>
          <w:rFonts w:hint="eastAsia" w:ascii="仿宋_GB2312" w:hAnsi="仿宋_GB2312" w:eastAsia="仿宋_GB2312" w:cs="仿宋_GB2312"/>
          <w:sz w:val="28"/>
          <w:szCs w:val="28"/>
        </w:rPr>
        <w:t xml:space="preserve">供应商应按照磋商文件规定格式填报分项报价表。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12.2</w:t>
      </w:r>
      <w:r>
        <w:rPr>
          <w:rFonts w:hint="eastAsia" w:ascii="仿宋_GB2312" w:hAnsi="仿宋_GB2312" w:eastAsia="仿宋_GB2312" w:cs="仿宋_GB2312"/>
          <w:bCs/>
          <w:sz w:val="28"/>
          <w:szCs w:val="28"/>
        </w:rPr>
        <w:t xml:space="preserve">磋商货币。响应文件中的单价和总价无特殊规定的采用人民币报价，以元为单位标注。</w:t>
      </w:r>
      <w:r>
        <w:rPr>
          <w:rFonts w:hint="eastAsia" w:ascii="仿宋_GB2312" w:hAnsi="仿宋_GB2312" w:eastAsia="仿宋_GB2312" w:cs="仿宋_GB2312"/>
          <w:sz w:val="28"/>
          <w:szCs w:val="28"/>
        </w:rPr>
        <w:t xml:space="preserve">磋商文件中另有规定的按规定执行。</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15" w:name="_Hlt26954731"/>
      <w:r/>
      <w:bookmarkEnd w:id="115"/>
      <w:r/>
      <w:bookmarkStart w:id="116" w:name="_Hlt26670482"/>
      <w:r/>
      <w:bookmarkEnd w:id="116"/>
      <w:r/>
      <w:bookmarkStart w:id="117" w:name="_Hlt26954848"/>
      <w:r/>
      <w:bookmarkEnd w:id="117"/>
      <w:r/>
      <w:bookmarkStart w:id="118" w:name="_Hlt26954846"/>
      <w:r/>
      <w:bookmarkEnd w:id="118"/>
      <w:r/>
      <w:bookmarkStart w:id="119" w:name="_Hlt26670486"/>
      <w:r/>
      <w:bookmarkEnd w:id="119"/>
      <w:r>
        <w:rPr>
          <w:rFonts w:hint="eastAsia" w:ascii="仿宋_GB2312" w:hAnsi="仿宋_GB2312" w:eastAsia="仿宋_GB2312" w:cs="仿宋_GB2312"/>
          <w:sz w:val="28"/>
          <w:szCs w:val="28"/>
        </w:rPr>
        <w:t xml:space="preserve">13、技术要求响应及偏离表、商务要求响应及偏离表</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13.1</w:t>
      </w:r>
      <w:r>
        <w:rPr>
          <w:rFonts w:hint="eastAsia" w:ascii="仿宋_GB2312" w:hAnsi="仿宋_GB2312" w:eastAsia="仿宋_GB2312" w:cs="仿宋_GB2312"/>
          <w:sz w:val="28"/>
          <w:szCs w:val="28"/>
          <w:lang w:val="zh-CN"/>
        </w:rPr>
        <w:t xml:space="preserve">供应商需对磋商文件中的技术要求与商务要求逐项作出响应或偏离，并说明原因。</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13.2供应商可在响应文件中提供认为需要的其他技术文件或说明。</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14、服务承诺、培训计划、人员安排及其他</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14.2供应商需根据磋商文件要求提供培训计划。</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14.3供应商需根据磋商文件要求提供</w:t>
      </w:r>
      <w:r>
        <w:rPr>
          <w:rFonts w:hint="eastAsia" w:ascii="仿宋_GB2312" w:hAnsi="仿宋_GB2312" w:eastAsia="仿宋_GB2312" w:cs="仿宋_GB2312"/>
          <w:sz w:val="28"/>
          <w:szCs w:val="28"/>
          <w:lang w:val="zh-CN"/>
        </w:rPr>
        <w:t xml:space="preserve">磋商响应标的的主要组成部分、功能设计、实现思路及关键技术等。</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0" w:name="_Toc49090510"/>
      <w:r/>
      <w:bookmarkStart w:id="121" w:name="_Toc14577359"/>
      <w:r>
        <w:rPr>
          <w:rFonts w:hint="eastAsia" w:ascii="仿宋_GB2312" w:hAnsi="仿宋_GB2312" w:eastAsia="仿宋_GB2312" w:cs="仿宋_GB2312"/>
          <w:sz w:val="28"/>
          <w:szCs w:val="28"/>
        </w:rPr>
        <w:t xml:space="preserve">15、磋商响应函</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15.1</w:t>
      </w:r>
      <w:r>
        <w:rPr>
          <w:rFonts w:hint="eastAsia" w:ascii="仿宋_GB2312" w:hAnsi="仿宋_GB2312" w:eastAsia="仿宋_GB2312" w:cs="仿宋_GB2312"/>
          <w:sz w:val="28"/>
          <w:szCs w:val="28"/>
        </w:rPr>
        <w:t xml:space="preserve">供应商应按照磋商文件中提供的格式完整、正确填写磋商响应函。</w:t>
      </w:r>
      <w:bookmarkEnd w:id="120"/>
      <w:bookmarkEnd w:id="121"/>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2" w:name="_Toc49090511"/>
      <w:r/>
      <w:bookmarkStart w:id="123" w:name="_Toc14577360"/>
      <w:r>
        <w:rPr>
          <w:rFonts w:hint="eastAsia" w:ascii="仿宋_GB2312" w:hAnsi="仿宋_GB2312" w:eastAsia="仿宋_GB2312" w:cs="仿宋_GB2312"/>
          <w:sz w:val="28"/>
          <w:szCs w:val="28"/>
        </w:rPr>
        <w:t xml:space="preserve">16、磋商有效期</w:t>
      </w:r>
      <w:bookmarkEnd w:id="122"/>
      <w:r/>
      <w:bookmarkEnd w:id="123"/>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16.1磋商有效期为</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。磋商有效期比规定短的将被视为非实质性响应磋商文件而予以拒绝。</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17、磋商有效期的延长</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17.1在特殊情况下，</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于原磋商有效期满之前，可向供应商提出延长磋商有效期的要求。这种要求与答复均应采用书面形式。供应商可以拒绝</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的这一要求而放弃磋商，同意延长磋商有效期的供应商既不能要求也不允许修改其响应文件。</w:t>
      </w:r>
      <w:r>
        <w:rPr>
          <w:rFonts w:hint="eastAsia" w:ascii="仿宋_GB2312" w:hAnsi="仿宋_GB2312" w:eastAsia="仿宋_GB2312" w:cs="仿宋_GB2312"/>
          <w:sz w:val="28"/>
          <w:szCs w:val="28"/>
        </w:rPr>
        <w:t xml:space="preserve">受磋商有效期约束的所有权利与义务均延长至新的有效期</w:t>
      </w:r>
      <w:r>
        <w:rPr>
          <w:rFonts w:hint="eastAsia" w:ascii="仿宋_GB2312" w:hAnsi="仿宋_GB2312" w:eastAsia="仿宋_GB2312" w:cs="仿宋_GB2312"/>
          <w:bCs/>
          <w:sz w:val="28"/>
          <w:szCs w:val="28"/>
        </w:rPr>
        <w:t xml:space="preserve">。</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24" w:name="_Hlt26954852"/>
      <w:r/>
      <w:bookmarkEnd w:id="124"/>
      <w:r/>
      <w:bookmarkStart w:id="125" w:name="_Hlt26954739"/>
      <w:r/>
      <w:bookmarkEnd w:id="125"/>
      <w:r/>
      <w:bookmarkStart w:id="126" w:name="_Toc513029224"/>
      <w:r/>
      <w:bookmarkStart w:id="127" w:name="_Toc16938540"/>
      <w:r/>
      <w:bookmarkStart w:id="128" w:name="_Toc120614217"/>
      <w:r/>
      <w:bookmarkStart w:id="129" w:name="_Toc20823296"/>
      <w:r>
        <w:rPr>
          <w:rFonts w:hint="eastAsia" w:ascii="仿宋_GB2312" w:hAnsi="仿宋_GB2312" w:eastAsia="仿宋_GB2312" w:cs="仿宋_GB2312"/>
          <w:b/>
          <w:bCs/>
          <w:sz w:val="28"/>
          <w:szCs w:val="28"/>
        </w:rPr>
        <w:t xml:space="preserve">四、响应文件的递交</w:t>
      </w:r>
      <w:bookmarkEnd w:id="126"/>
      <w:r/>
      <w:bookmarkEnd w:id="127"/>
      <w:r/>
      <w:bookmarkEnd w:id="128"/>
      <w:r/>
      <w:bookmarkEnd w:id="129"/>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0" w:name="_Toc513029225"/>
      <w:r/>
      <w:bookmarkStart w:id="131" w:name="_Toc20823297"/>
      <w:r/>
      <w:bookmarkStart w:id="132" w:name="_Toc462564084"/>
      <w:r/>
      <w:bookmarkStart w:id="133" w:name="_Toc16938541"/>
      <w:r>
        <w:rPr>
          <w:rFonts w:hint="eastAsia" w:ascii="仿宋_GB2312" w:hAnsi="仿宋_GB2312" w:eastAsia="仿宋_GB2312" w:cs="仿宋_GB2312"/>
          <w:sz w:val="28"/>
          <w:szCs w:val="28"/>
        </w:rPr>
        <w:t xml:space="preserve">18、电子磋商</w:t>
      </w:r>
      <w:bookmarkEnd w:id="130"/>
      <w:r/>
      <w:bookmarkEnd w:id="131"/>
      <w:r/>
      <w:bookmarkEnd w:id="132"/>
      <w:r/>
      <w:bookmarkEnd w:id="133"/>
      <w:r>
        <w:rPr>
          <w:rFonts w:hint="eastAsia" w:ascii="仿宋_GB2312" w:hAnsi="仿宋_GB2312" w:eastAsia="仿宋_GB2312" w:cs="仿宋_GB2312"/>
          <w:sz w:val="28"/>
          <w:szCs w:val="28"/>
        </w:rPr>
        <w:t xml:space="preserve">响应文件的递交</w:t>
      </w:r>
      <w:r/>
    </w:p>
    <w:p>
      <w:pPr>
        <w:ind w:firstLine="70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18.1供应商应当按照《操作手册》规定，在提交响应文件截止时间前制作并上传电子响应文件。</w:t>
      </w:r>
      <w:bookmarkStart w:id="134" w:name="_Toc20823298"/>
      <w:r/>
      <w:bookmarkStart w:id="135" w:name="_Toc16938542"/>
      <w:r/>
      <w:bookmarkStart w:id="136" w:name="_Toc513029226"/>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19、提交响应文件截止时间</w:t>
      </w:r>
      <w:bookmarkEnd w:id="134"/>
      <w:r/>
      <w:bookmarkEnd w:id="135"/>
      <w:r/>
      <w:bookmarkEnd w:id="136"/>
      <w:r/>
      <w:r/>
    </w:p>
    <w:p>
      <w:pPr>
        <w:ind w:firstLine="560"/>
        <w:pageBreakBefore w:val="0"/>
        <w:spacing w:line="500" w:lineRule="exact"/>
        <w:widowControl w:val="off"/>
        <w:rPr>
          <w:rFonts w:hint="eastAsia" w:ascii="黑体" w:hAnsi="黑体" w:eastAsia="黑体" w:cs="黑体"/>
          <w:bCs/>
          <w:i/>
          <w:sz w:val="28"/>
          <w:szCs w:val="28"/>
          <w:u w:val="single"/>
        </w:rPr>
      </w:pPr>
      <w:r>
        <w:rPr>
          <w:rFonts w:hint="eastAsia" w:ascii="黑体" w:hAnsi="黑体" w:eastAsia="黑体" w:cs="黑体"/>
          <w:i/>
          <w:sz w:val="28"/>
          <w:szCs w:val="28"/>
          <w:u w:val="single"/>
        </w:rPr>
        <w:t xml:space="preserve">19.1</w:t>
      </w:r>
      <w:r>
        <w:rPr>
          <w:rFonts w:hint="eastAsia" w:ascii="黑体" w:hAnsi="黑体" w:eastAsia="黑体" w:cs="黑体"/>
          <w:bCs/>
          <w:i/>
          <w:sz w:val="28"/>
          <w:szCs w:val="28"/>
          <w:u w:val="single"/>
        </w:rPr>
        <w:t xml:space="preserve">供应商上传电子响应文件的时间不得迟于磋商公告中规定的提交响应文件截止时间。</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19.2</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7" w:name="_Toc16938543"/>
      <w:r/>
      <w:bookmarkStart w:id="138" w:name="_Toc513029227"/>
      <w:r/>
      <w:bookmarkStart w:id="139" w:name="_Toc20823299"/>
      <w:r>
        <w:rPr>
          <w:rFonts w:hint="eastAsia" w:ascii="仿宋_GB2312" w:hAnsi="仿宋_GB2312" w:eastAsia="仿宋_GB2312" w:cs="仿宋_GB2312"/>
          <w:sz w:val="28"/>
          <w:szCs w:val="28"/>
        </w:rPr>
        <w:t xml:space="preserve">20、响应文件</w:t>
      </w:r>
      <w:bookmarkEnd w:id="137"/>
      <w:r/>
      <w:bookmarkEnd w:id="138"/>
      <w:r/>
      <w:bookmarkEnd w:id="139"/>
      <w:r>
        <w:rPr>
          <w:rFonts w:hint="eastAsia" w:ascii="仿宋_GB2312" w:hAnsi="仿宋_GB2312" w:eastAsia="仿宋_GB2312" w:cs="仿宋_GB2312"/>
          <w:sz w:val="28"/>
          <w:szCs w:val="28"/>
        </w:rPr>
        <w:t xml:space="preserve">的拒收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20.1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拒绝接收在其规定的提交响应文件截止时间后上传的任何电子响应文件。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40" w:name="_Toc20823300"/>
      <w:r/>
      <w:bookmarkStart w:id="141" w:name="_Toc16938544"/>
      <w:r/>
      <w:bookmarkStart w:id="142" w:name="_Toc513029228"/>
      <w:r>
        <w:rPr>
          <w:rFonts w:hint="eastAsia" w:ascii="仿宋_GB2312" w:hAnsi="仿宋_GB2312" w:eastAsia="仿宋_GB2312" w:cs="仿宋_GB2312"/>
          <w:sz w:val="28"/>
          <w:szCs w:val="28"/>
        </w:rPr>
        <w:t xml:space="preserve">21、响应文件的撤回和修改</w:t>
      </w:r>
      <w:bookmarkEnd w:id="140"/>
      <w:r/>
      <w:bookmarkEnd w:id="141"/>
      <w:r/>
      <w:bookmarkEnd w:id="14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21.1.1 电子响应文件的撤回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21.1.2供应商撤回电子响应文件，则认为其不再参与本项目磋商活动。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21.2响应文件的修改</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21.4</w:t>
      </w:r>
      <w:r>
        <w:rPr>
          <w:rFonts w:hint="eastAsia" w:ascii="仿宋_GB2312" w:hAnsi="仿宋_GB2312" w:eastAsia="仿宋_GB2312" w:cs="仿宋_GB2312"/>
          <w:bCs/>
          <w:sz w:val="28"/>
          <w:szCs w:val="28"/>
        </w:rPr>
        <w:t xml:space="preserve"> 在提交响应文件截止时间至磋商文件中规定的磋商有效期满之间的这段时间内，供应商不得撤回其响应文件。</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43" w:name="_Toc513029229"/>
      <w:r/>
      <w:bookmarkStart w:id="144" w:name="_Toc20823301"/>
      <w:r/>
      <w:bookmarkStart w:id="145" w:name="_Toc120614218"/>
      <w:r/>
      <w:bookmarkStart w:id="146" w:name="_Toc16938545"/>
      <w:r>
        <w:rPr>
          <w:rFonts w:hint="eastAsia" w:ascii="仿宋_GB2312" w:hAnsi="仿宋_GB2312" w:eastAsia="仿宋_GB2312" w:cs="仿宋_GB2312"/>
          <w:b/>
          <w:bCs/>
          <w:sz w:val="28"/>
          <w:szCs w:val="28"/>
        </w:rPr>
        <w:t xml:space="preserve">五、响应文件</w:t>
      </w:r>
      <w:r>
        <w:rPr>
          <w:rFonts w:hint="eastAsia" w:ascii="仿宋_GB2312" w:hAnsi="仿宋_GB2312" w:eastAsia="仿宋_GB2312" w:cs="仿宋_GB2312"/>
          <w:b/>
          <w:bCs/>
          <w:color w:val="auto"/>
          <w:sz w:val="28"/>
          <w:szCs w:val="28"/>
        </w:rPr>
        <w:t xml:space="preserve">的解密与评审</w:t>
      </w:r>
      <w:bookmarkEnd w:id="143"/>
      <w:r/>
      <w:bookmarkEnd w:id="144"/>
      <w:r/>
      <w:bookmarkEnd w:id="145"/>
      <w:r/>
      <w:bookmarkEnd w:id="146"/>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47" w:name="_Toc20823302"/>
      <w:r/>
      <w:bookmarkStart w:id="148" w:name="_Toc16938546"/>
      <w:r/>
      <w:bookmarkStart w:id="149" w:name="_Toc513029230"/>
      <w:r>
        <w:rPr>
          <w:rFonts w:hint="eastAsia" w:ascii="仿宋_GB2312" w:hAnsi="仿宋_GB2312" w:eastAsia="仿宋_GB2312" w:cs="仿宋_GB2312"/>
          <w:color w:val="auto"/>
          <w:sz w:val="28"/>
          <w:szCs w:val="28"/>
        </w:rPr>
        <w:t xml:space="preserve">22、</w:t>
      </w:r>
      <w:bookmarkEnd w:id="147"/>
      <w:r/>
      <w:bookmarkEnd w:id="148"/>
      <w:r/>
      <w:bookmarkEnd w:id="149"/>
      <w:r>
        <w:rPr>
          <w:rFonts w:hint="eastAsia" w:ascii="仿宋_GB2312" w:hAnsi="仿宋_GB2312" w:eastAsia="仿宋_GB2312" w:cs="仿宋_GB2312"/>
          <w:color w:val="auto"/>
          <w:sz w:val="28"/>
          <w:szCs w:val="28"/>
        </w:rPr>
        <w:t xml:space="preserve">响应文件解密</w:t>
      </w:r>
      <w:r/>
    </w:p>
    <w:p>
      <w:pPr>
        <w:ind w:firstLine="42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22.1供应商应当按照《操作手册》规定，在苏采云系统规定的时间内对磋商响应文件进行解密。</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0" w:name="_Toc16938547"/>
      <w:r/>
      <w:bookmarkStart w:id="151" w:name="_Toc20823303"/>
      <w:r/>
      <w:bookmarkStart w:id="152" w:name="_Toc513029231"/>
      <w:r>
        <w:rPr>
          <w:rFonts w:hint="eastAsia" w:ascii="仿宋_GB2312" w:hAnsi="仿宋_GB2312" w:eastAsia="仿宋_GB2312" w:cs="仿宋_GB2312"/>
          <w:color w:val="auto"/>
          <w:sz w:val="28"/>
          <w:szCs w:val="28"/>
        </w:rPr>
        <w:t xml:space="preserve">23、磋商小组</w:t>
      </w:r>
      <w:r/>
    </w:p>
    <w:p>
      <w:pPr>
        <w:pageBreakBefore w:val="0"/>
        <w:spacing w:line="500" w:lineRule="exact"/>
        <w:widowControl w:val="off"/>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  </w:t>
      </w:r>
      <w:r>
        <w:rPr>
          <w:rFonts w:hint="eastAsia" w:ascii="仿宋_GB2312" w:hAnsi="仿宋_GB2312" w:eastAsia="仿宋_GB2312" w:cs="仿宋_GB2312"/>
          <w:color w:val="auto"/>
          <w:sz w:val="28"/>
          <w:szCs w:val="28"/>
        </w:rPr>
        <w:t xml:space="preserve"> 23.1</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23.2磋商小组独立工作，负责评审所有响应文件并确定成交侯选人。</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24、评审过程的保密与公正</w:t>
      </w:r>
      <w:bookmarkEnd w:id="150"/>
      <w:bookmarkEnd w:id="151"/>
      <w:bookmarkEnd w:id="152"/>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24.1</w:t>
      </w:r>
      <w:r>
        <w:rPr>
          <w:rFonts w:hint="eastAsia" w:ascii="仿宋_GB2312" w:hAnsi="仿宋_GB2312" w:eastAsia="仿宋_GB2312" w:cs="仿宋_GB2312"/>
          <w:bCs/>
          <w:sz w:val="28"/>
          <w:szCs w:val="28"/>
        </w:rPr>
        <w:t xml:space="preserve">磋商小组、采购人和</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工作人员、相关监督人员等与评审工作有关的人员，对评审情况以及在评审过程中获悉的国家秘密、商业秘密负有保密责任。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24.2在评审过程中，供应商不得以任何行为影响磋商评审过程，否则其响应文件将被作为无效响应文件。</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24.3在项目评审期间，</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将设专门人员与供应商联系。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24.4 </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和磋商小组不向未成交的供应商解释未成交原因，也不公布评审过程中的相关细节。</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53" w:name="_Toc16938548"/>
      <w:r/>
      <w:bookmarkStart w:id="154" w:name="_Toc20823304"/>
      <w:r/>
      <w:bookmarkStart w:id="155" w:name="_Toc513029232"/>
      <w:r>
        <w:rPr>
          <w:rFonts w:hint="eastAsia" w:ascii="仿宋_GB2312" w:hAnsi="仿宋_GB2312" w:eastAsia="仿宋_GB2312" w:cs="仿宋_GB2312"/>
          <w:sz w:val="28"/>
          <w:szCs w:val="28"/>
        </w:rPr>
        <w:t xml:space="preserve">25、评审过程中的的澄清</w:t>
      </w:r>
      <w:bookmarkEnd w:id="153"/>
      <w:r/>
      <w:bookmarkEnd w:id="154"/>
      <w:r/>
      <w:bookmarkEnd w:id="155"/>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25.1项目评审期间，磋商小组有权要求供应商对响应文件中含义不明确、同类问题表述不一致或者有明显文字和计算错误的内容等作出必要的澄清、说明或者更正。供应商的澄清</w:t>
      </w:r>
      <w:r>
        <w:rPr>
          <w:rFonts w:hint="eastAsia" w:ascii="仿宋_GB2312" w:hAnsi="仿宋_GB2312" w:eastAsia="仿宋_GB2312" w:cs="仿宋_GB2312"/>
          <w:color w:val="auto"/>
          <w:sz w:val="28"/>
          <w:szCs w:val="28"/>
        </w:rPr>
        <w:t xml:space="preserve">、说明或者更正不得超出响应文件的范围或者改变响应文件的实质性内容。</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磋商小组并非对每个供应商都作澄清要求。</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25.3 接到磋商小组澄清、说明和更正要求的供应商如未按规定做出澄清、说明和更正，其风险由供应商自行承担。</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6" w:name="_Toc20823305"/>
      <w:r/>
      <w:bookmarkStart w:id="157" w:name="_Toc513029233"/>
      <w:r/>
      <w:bookmarkStart w:id="158" w:name="_Toc16938549"/>
      <w:r>
        <w:rPr>
          <w:rFonts w:hint="eastAsia" w:ascii="仿宋_GB2312" w:hAnsi="仿宋_GB2312" w:eastAsia="仿宋_GB2312" w:cs="仿宋_GB2312"/>
          <w:color w:val="auto"/>
          <w:sz w:val="28"/>
          <w:szCs w:val="28"/>
        </w:rPr>
        <w:t xml:space="preserve">26、对响应文件的审</w:t>
      </w:r>
      <w:bookmarkEnd w:id="156"/>
      <w:r/>
      <w:bookmarkEnd w:id="157"/>
      <w:r/>
      <w:bookmarkEnd w:id="158"/>
      <w:r>
        <w:rPr>
          <w:rFonts w:hint="eastAsia" w:ascii="仿宋_GB2312" w:hAnsi="仿宋_GB2312" w:eastAsia="仿宋_GB2312" w:cs="仿宋_GB2312"/>
          <w:color w:val="auto"/>
          <w:sz w:val="28"/>
          <w:szCs w:val="28"/>
        </w:rPr>
        <w:t xml:space="preserve">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26.1</w:t>
      </w:r>
      <w:r>
        <w:rPr>
          <w:rFonts w:hint="eastAsia" w:ascii="仿宋_GB2312" w:hAnsi="仿宋_GB2312" w:eastAsia="仿宋_GB2312" w:cs="仿宋_GB2312"/>
          <w:bCs/>
          <w:color w:val="auto"/>
          <w:sz w:val="28"/>
          <w:szCs w:val="28"/>
        </w:rPr>
        <w:t xml:space="preserve">响应文件审查分为资格审查和符合性审查。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26.1.1 资格审查：由磋商小组依据法律法规和磋商文件的规定，对响应文件中的资格证明文件进行审查，以确定供应商是否具备参加磋商的资格。</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磋商小组在进行资格审查的同时，将在“信用中国”网站（www.creditchina.gov.cn）查询供应商的信用记录，以确定供应商是否具备磋商资格,查询结果留存并归档。</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26.1.3 未通过资格审查或符合性审查的供应商，磋商小组将在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中告知未通过资格审查或符合性审查的原因，评审结束后，磋商小组将不再告知未通过资格审查或符合性审查的原因。</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所谓重大偏离或保留是指与磋商文件规定的实质性要求存在负偏离，或者在实质上与磋商文件不一致，而且限制了合同中买方和</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26.3未实质性响应磋商文件的情形</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26.3.1供应商在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规定的时间内未成功解密电子响应文件的。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26.3.2供应商未按照磋商文件要求上传电子响应文件的。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26.3.3同一供应商提交两个（含两个）以上不同的响应文件或者最后报价的。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26.3.4供应商不具备磋商文件中规定资格要求的。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26.3.5供应商的最后报价超过了采购预算。</w:t>
      </w:r>
      <w:r/>
    </w:p>
    <w:p>
      <w:pPr>
        <w:ind w:firstLine="560"/>
        <w:pageBreakBefore w:val="0"/>
        <w:spacing w:line="500" w:lineRule="exact"/>
        <w:widowControl w:val="off"/>
        <w:rPr>
          <w:rFonts w:hint="eastAsia" w:ascii="黑体" w:hAnsi="黑体" w:eastAsia="黑体" w:cs="黑体"/>
          <w:bCs/>
          <w:sz w:val="28"/>
          <w:szCs w:val="28"/>
        </w:rPr>
      </w:pPr>
      <w:r>
        <w:rPr>
          <w:rFonts w:hint="eastAsia" w:ascii="仿宋_GB2312" w:hAnsi="仿宋_GB2312" w:eastAsia="仿宋_GB2312" w:cs="仿宋_GB2312"/>
          <w:bCs/>
          <w:sz w:val="28"/>
          <w:szCs w:val="28"/>
        </w:rPr>
        <w:t xml:space="preserve">26.3.6不符合磋商文件中规定的实质性要求和条件的</w:t>
      </w:r>
      <w:r>
        <w:rPr>
          <w:rFonts w:hint="eastAsia" w:ascii="黑体" w:hAnsi="黑体" w:eastAsia="黑体" w:cs="黑体"/>
          <w:bCs/>
          <w:i/>
          <w:sz w:val="28"/>
          <w:szCs w:val="28"/>
          <w:u w:val="single"/>
        </w:rPr>
        <w:t xml:space="preserve">（本磋商文件中斜体且有下划线部分为实质性要求和条件）。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26.3.8  响应文件含有采购人不能接受的附加条件的。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26.3.10响应文件未按照磋商文件要求加盖CA电子公章的。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sz w:val="28"/>
          <w:szCs w:val="28"/>
        </w:rPr>
        <w:t xml:space="preserve">26.4未实质性响应磋商文件的响应</w:t>
      </w:r>
      <w:r>
        <w:rPr>
          <w:rFonts w:hint="eastAsia" w:ascii="仿宋_GB2312" w:hAnsi="仿宋_GB2312" w:eastAsia="仿宋_GB2312" w:cs="仿宋_GB2312"/>
          <w:bCs/>
          <w:color w:val="auto"/>
          <w:sz w:val="28"/>
          <w:szCs w:val="28"/>
        </w:rPr>
        <w:t xml:space="preserve">文件按无效响应处理。</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26.5</w:t>
      </w:r>
      <w:r>
        <w:rPr>
          <w:rFonts w:hint="eastAsia" w:ascii="仿宋_GB2312" w:hAnsi="仿宋_GB2312" w:eastAsia="仿宋_GB2312" w:cs="仿宋_GB2312"/>
          <w:bCs/>
          <w:color w:val="auto"/>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pageBreakBefore w:val="0"/>
        <w:spacing w:line="500" w:lineRule="exact"/>
        <w:widowControl w:val="off"/>
        <w:rPr>
          <w:rFonts w:hint="eastAsia" w:ascii="仿宋_GB2312" w:hAnsi="仿宋_GB2312" w:eastAsia="仿宋_GB2312" w:cs="仿宋_GB2312"/>
          <w:color w:val="auto"/>
          <w:sz w:val="28"/>
          <w:szCs w:val="28"/>
        </w:rPr>
      </w:pPr>
      <w:r/>
      <w:bookmarkStart w:id="159" w:name="_Toc513029234"/>
      <w:r/>
      <w:bookmarkStart w:id="160" w:name="_Toc20823306"/>
      <w:r/>
      <w:bookmarkStart w:id="161" w:name="_Toc16938550"/>
      <w:r>
        <w:rPr>
          <w:rFonts w:hint="eastAsia" w:ascii="仿宋_GB2312" w:hAnsi="仿宋_GB2312" w:eastAsia="仿宋_GB2312" w:cs="仿宋_GB2312"/>
          <w:color w:val="auto"/>
          <w:sz w:val="28"/>
          <w:szCs w:val="28"/>
        </w:rPr>
        <w:t xml:space="preserve">26.6供应商在项目评审全过程中应保持通讯畅通，并安排专人与</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及磋商小组联系。</w:t>
      </w:r>
      <w:r/>
    </w:p>
    <w:p>
      <w:pPr>
        <w:ind w:firstLine="56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rPr>
          <w:rFonts w:hint="eastAsia" w:ascii="仿宋_GB2312" w:hAnsi="仿宋_GB2312" w:eastAsia="仿宋_GB2312" w:cs="仿宋_GB2312"/>
          <w:color w:val="auto"/>
          <w:sz w:val="28"/>
          <w:szCs w:val="28"/>
        </w:rPr>
        <w:t xml:space="preserve">27、</w:t>
      </w:r>
      <w:bookmarkEnd w:id="159"/>
      <w:r/>
      <w:bookmarkEnd w:id="160"/>
      <w:r/>
      <w:bookmarkEnd w:id="161"/>
      <w:r>
        <w:rPr>
          <w:rFonts w:hint="eastAsia" w:ascii="仿宋_GB2312" w:hAnsi="仿宋_GB2312" w:eastAsia="仿宋_GB2312" w:cs="仿宋_GB2312"/>
          <w:color w:val="auto"/>
          <w:sz w:val="28"/>
          <w:szCs w:val="28"/>
        </w:rPr>
        <w:t xml:space="preserve">磋商程序及评审方法和评审标准</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27.1磋商程序</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27.1.2磋商文件能够详细列明采购标的的技术、服务要求的，磋商结束后，磋商小组将在苏采云系统向所有实质性响应的供应商发布“最后报价要求函”，要求所有实质性响应的供应商在规定时间内提交最后报价。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ageBreakBefore w:val="0"/>
        <w:spacing w:line="500" w:lineRule="exact"/>
        <w:widowControl w:val="off"/>
        <w:tabs>
          <w:tab w:val="left" w:pos="900" w:leader="none"/>
        </w:tabs>
        <w:rPr>
          <w:rFonts w:hint="eastAsia" w:ascii="仿宋_GB2312" w:hAnsi="仿宋_GB2312" w:eastAsia="仿宋_GB2312" w:cs="仿宋_GB2312"/>
          <w:sz w:val="28"/>
          <w:szCs w:val="28"/>
        </w:rPr>
      </w:pPr>
      <w:r>
        <w:rPr>
          <w:rFonts w:hint="eastAsia" w:ascii="仿宋" w:hAnsi="仿宋" w:eastAsia="仿宋" w:cs="仿宋_GB2312"/>
          <w:b/>
          <w:bCs/>
          <w:sz w:val="28"/>
          <w:szCs w:val="28"/>
          <w:highlight w:val="none"/>
        </w:rPr>
        <w:t xml:space="preserve">（</w:t>
      </w:r>
      <w:r>
        <w:rPr>
          <w:rFonts w:hint="eastAsia" w:ascii="仿宋" w:hAnsi="仿宋" w:eastAsia="仿宋" w:cs="仿宋_GB2312"/>
          <w:b/>
          <w:bCs/>
          <w:sz w:val="28"/>
          <w:szCs w:val="28"/>
          <w:highlight w:val="yellow"/>
          <w:lang w:eastAsia="zh-CN"/>
        </w:rPr>
        <w:t xml:space="preserve">特别提醒</w:t>
      </w:r>
      <w:r>
        <w:rPr>
          <w:rFonts w:hint="eastAsia" w:ascii="仿宋" w:hAnsi="仿宋" w:eastAsia="仿宋" w:cs="仿宋_GB2312"/>
          <w:b/>
          <w:bCs/>
          <w:sz w:val="28"/>
          <w:szCs w:val="28"/>
          <w:highlight w:val="none"/>
          <w:lang w:eastAsia="zh-CN"/>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w:t>
      </w:r>
      <w:r>
        <w:rPr>
          <w:rFonts w:hint="eastAsia" w:ascii="仿宋" w:hAnsi="仿宋" w:eastAsia="仿宋"/>
          <w:b/>
          <w:color w:val="ff0000"/>
          <w:sz w:val="28"/>
          <w:szCs w:val="28"/>
          <w:lang w:eastAsia="zh-CN"/>
        </w:rPr>
        <w:t xml:space="preserve">。</w:t>
      </w:r>
      <w:r>
        <w:rPr>
          <w:rFonts w:hint="eastAsia" w:ascii="仿宋" w:hAnsi="仿宋" w:eastAsia="仿宋"/>
          <w:b/>
          <w:color w:val="ff0000"/>
          <w:sz w:val="28"/>
          <w:szCs w:val="28"/>
        </w:rPr>
        <w:t xml:space="preserve">未在规定时间内提交最后报价的，视同退出本次</w:t>
      </w:r>
      <w:r>
        <w:rPr>
          <w:rFonts w:hint="eastAsia" w:ascii="仿宋" w:hAnsi="仿宋" w:eastAsia="仿宋"/>
          <w:b/>
          <w:color w:val="ff0000"/>
          <w:sz w:val="28"/>
          <w:szCs w:val="28"/>
          <w:lang w:eastAsia="zh-CN"/>
        </w:rPr>
        <w:t xml:space="preserve">磋商。</w:t>
      </w:r>
      <w:r>
        <w:rPr>
          <w:rFonts w:hint="eastAsia" w:ascii="仿宋" w:hAnsi="仿宋" w:eastAsia="仿宋" w:cs="仿宋_GB2312"/>
          <w:sz w:val="28"/>
          <w:szCs w:val="28"/>
        </w:rPr>
        <w:t xml:space="preserve">）</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 评审方法和评审标准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27.2.2评审标准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见本磋商文件第五章规定。</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27.3采购活动终止的情况</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出现下列情形之一的，本次竞争性磋商采购活动将被终止：</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27.3.1因情况变化，不再符合规定的竞争性磋商采购方式适用情形的。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27.3.2出现影响采购公正的违法、违规行为的。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27.3.3除本磋商文件第二章第27.1.2条第三款规定的情形外，在采购过程中符合要求的供应商或者最后报价未超过采购预算的供应商不足3家的。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27.3.4在苏采云系统规定时间内成功解密电子响应文件的供应商不足3家的。</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62" w:name="_Toc513029235"/>
      <w:r/>
      <w:bookmarkStart w:id="163" w:name="_Toc120614219"/>
      <w:r/>
      <w:bookmarkStart w:id="164" w:name="_Toc16938551"/>
      <w:r/>
      <w:bookmarkStart w:id="165" w:name="_Toc20823307"/>
      <w:r>
        <w:rPr>
          <w:rFonts w:hint="eastAsia" w:ascii="仿宋_GB2312" w:hAnsi="仿宋_GB2312" w:eastAsia="仿宋_GB2312" w:cs="仿宋_GB2312"/>
          <w:b/>
          <w:bCs/>
          <w:color w:val="auto"/>
          <w:sz w:val="28"/>
          <w:szCs w:val="28"/>
        </w:rPr>
        <w:t xml:space="preserve">六、</w:t>
      </w:r>
      <w:bookmarkEnd w:id="162"/>
      <w:r/>
      <w:bookmarkEnd w:id="163"/>
      <w:r/>
      <w:bookmarkEnd w:id="164"/>
      <w:r/>
      <w:bookmarkEnd w:id="165"/>
      <w:r>
        <w:rPr>
          <w:rFonts w:hint="eastAsia" w:ascii="仿宋_GB2312" w:hAnsi="仿宋_GB2312" w:eastAsia="仿宋_GB2312" w:cs="仿宋_GB2312"/>
          <w:b/>
          <w:bCs/>
          <w:color w:val="auto"/>
          <w:sz w:val="28"/>
          <w:szCs w:val="28"/>
        </w:rPr>
        <w:t xml:space="preserve">成交</w:t>
      </w:r>
      <w:r/>
    </w:p>
    <w:p>
      <w:pPr>
        <w:ind w:firstLine="560"/>
        <w:keepLines/>
        <w:keepNext/>
        <w:pageBreakBefore w:val="0"/>
        <w:spacing w:line="500" w:lineRule="exact"/>
        <w:widowControl w:val="off"/>
        <w:rPr>
          <w:rFonts w:hint="eastAsia" w:ascii="仿宋_GB2312" w:hAnsi="仿宋_GB2312" w:eastAsia="仿宋_GB2312" w:cs="仿宋_GB2312"/>
          <w:bCs/>
          <w:color w:val="auto"/>
          <w:sz w:val="28"/>
          <w:szCs w:val="28"/>
        </w:rPr>
        <w:outlineLvl w:val="3"/>
      </w:pPr>
      <w:r/>
      <w:bookmarkStart w:id="166" w:name="_Toc513029238"/>
      <w:r/>
      <w:bookmarkStart w:id="167" w:name="_Toc16938554"/>
      <w:r/>
      <w:bookmarkStart w:id="168" w:name="_Toc20823310"/>
      <w:r>
        <w:rPr>
          <w:rFonts w:hint="eastAsia" w:ascii="仿宋_GB2312" w:hAnsi="仿宋_GB2312" w:eastAsia="仿宋_GB2312" w:cs="仿宋_GB2312"/>
          <w:bCs/>
          <w:color w:val="auto"/>
          <w:sz w:val="28"/>
          <w:szCs w:val="28"/>
        </w:rPr>
        <w:t xml:space="preserve">28、</w:t>
      </w:r>
      <w:bookmarkEnd w:id="166"/>
      <w:r>
        <w:rPr>
          <w:rFonts w:hint="eastAsia" w:ascii="仿宋_GB2312" w:hAnsi="仿宋_GB2312" w:eastAsia="仿宋_GB2312" w:cs="仿宋_GB2312"/>
          <w:bCs/>
          <w:color w:val="auto"/>
          <w:sz w:val="28"/>
          <w:szCs w:val="28"/>
        </w:rPr>
        <w:t xml:space="preserve">确定</w:t>
      </w:r>
      <w:bookmarkEnd w:id="167"/>
      <w:r/>
      <w:bookmarkEnd w:id="168"/>
      <w:r>
        <w:rPr>
          <w:rFonts w:hint="eastAsia" w:ascii="仿宋_GB2312" w:hAnsi="仿宋_GB2312" w:eastAsia="仿宋_GB2312" w:cs="仿宋_GB2312"/>
          <w:bCs/>
          <w:color w:val="auto"/>
          <w:sz w:val="28"/>
          <w:szCs w:val="28"/>
        </w:rPr>
        <w:t xml:space="preserve">成交单位</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bCs/>
          <w:color w:val="auto"/>
          <w:sz w:val="28"/>
          <w:szCs w:val="28"/>
        </w:rPr>
        <w:t xml:space="preserve">28.1</w:t>
      </w:r>
      <w:r>
        <w:rPr>
          <w:rFonts w:hint="eastAsia" w:ascii="仿宋_GB2312" w:hAnsi="仿宋_GB2312" w:eastAsia="仿宋_GB2312" w:cs="仿宋_GB2312"/>
          <w:color w:val="auto"/>
          <w:sz w:val="28"/>
          <w:szCs w:val="28"/>
        </w:rPr>
        <w:t xml:space="preserve">磋商小组根据综合评分情况，按照评审得分由高到低顺序推荐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w:t>
      </w:r>
      <w:r>
        <w:rPr>
          <w:rFonts w:hint="eastAsia" w:ascii="仿宋_GB2312" w:hAnsi="仿宋_GB2312" w:eastAsia="仿宋_GB2312" w:cs="仿宋_GB2312"/>
          <w:sz w:val="28"/>
          <w:szCs w:val="28"/>
        </w:rPr>
        <w:t xml:space="preserve">一个供应商获得成交供应商推荐资格，磋商文件未规定的采取随机抽取方式确定，其他同品牌同型号供应商不作为成交候选人。</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28.2采购人从评审报告提出的成交候选供应商中，按照排序由高到低的原则确定成交供应商。采购人确定成交供应商后，</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将在“江苏政府采购网”发布成交结果公告，公告期限为1个工作日。</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28.3若有充分证据证明，成交供应商出现下列情况之一的，一经查实，将被取消成交资格：</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28.3.1提供虚假材料谋取成交的。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28.3.2与评审专家、采购人、其他供应商或者</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工作人员恶意串通的。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28.3.3向评审专家、采购人或</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工作人员行贿或者提供其他不正当利益的。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28.3.4恶意竞争，最后报价明显低于其自身合理成本且又无法提供证明的。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28.3.5不满足本磋商文件规定的实质性要求，但在评审过程中又未被磋商小组发现的。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28.3.6成交后无正当理由拒不与采购人签订政府采购合同或者未按照磋商文件确定的事项签订政府采购合同的。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28.3.7将政府采购合同转包的。</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69" w:name="_Toc200451960"/>
      <w:r>
        <w:rPr>
          <w:rFonts w:hint="eastAsia" w:ascii="仿宋_GB2312" w:hAnsi="仿宋_GB2312" w:eastAsia="仿宋_GB2312" w:cs="仿宋_GB2312"/>
          <w:bCs/>
          <w:sz w:val="28"/>
          <w:szCs w:val="28"/>
        </w:rPr>
        <w:t xml:space="preserve">29、质疑处理</w:t>
      </w:r>
      <w:bookmarkEnd w:id="16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 提出质疑的供应商应当是参与所质疑项目采购活动的供应商。潜在供应商依法获取其可质疑的采购文件的，可以对采购文件提出质疑。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或采购人提出质疑。上述应知其权益受到损害之日，是指：</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29.2.1</w:t>
      </w:r>
      <w:r>
        <w:rPr>
          <w:rFonts w:hint="eastAsia" w:ascii="仿宋_GB2312" w:hAnsi="仿宋_GB2312" w:eastAsia="仿宋_GB2312" w:cs="仿宋_GB2312"/>
          <w:sz w:val="28"/>
          <w:szCs w:val="28"/>
        </w:rPr>
        <w:t xml:space="preserve">对可以质疑的采购文件提出质疑的，为收到采购文件之日或者采购文件公告期限届满之日。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29.2.2</w:t>
      </w:r>
      <w:r>
        <w:rPr>
          <w:rFonts w:hint="eastAsia" w:ascii="仿宋_GB2312" w:hAnsi="仿宋_GB2312" w:eastAsia="仿宋_GB2312" w:cs="仿宋_GB2312"/>
          <w:sz w:val="28"/>
          <w:szCs w:val="28"/>
        </w:rPr>
        <w:t xml:space="preserve">对采购过程提出质疑的，为各采购程序环节结束之日。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29.2.3</w:t>
      </w:r>
      <w:r>
        <w:rPr>
          <w:rFonts w:hint="eastAsia" w:ascii="仿宋_GB2312" w:hAnsi="仿宋_GB2312" w:eastAsia="仿宋_GB2312" w:cs="仿宋_GB2312"/>
          <w:sz w:val="28"/>
          <w:szCs w:val="28"/>
        </w:rPr>
        <w:t xml:space="preserve">对成交结果提出质疑的，为成交结果公告期限届满之日。</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、采购人将只对供应商第一次质疑作出答复。</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lang w:val="en-US" w:eastAsia="zh-CN"/>
        </w:rPr>
        <w:t xml:space="preserve">29</w:t>
      </w:r>
      <w:r>
        <w:rPr>
          <w:rFonts w:hint="eastAsia" w:ascii="仿宋_GB2312" w:hAnsi="仿宋_GB2312" w:eastAsia="仿宋_GB2312" w:cs="仿宋_GB2312"/>
          <w:sz w:val="28"/>
          <w:szCs w:val="28"/>
        </w:rPr>
        <w:t xml:space="preserve">.4</w:t>
      </w:r>
      <w:r>
        <w:rPr>
          <w:rFonts w:hint="eastAsia" w:ascii="仿宋_GB2312" w:hAnsi="仿宋_GB2312" w:eastAsia="仿宋_GB2312" w:cs="仿宋_GB2312"/>
          <w:sz w:val="28"/>
          <w:szCs w:val="28"/>
          <w:lang w:val="en-US" w:eastAsia="zh-CN"/>
        </w:rPr>
        <w:t xml:space="preserve"> 供应商（含潜在供应商）对采购方式、采购需求、供应商资格条件及审查结果、评</w:t>
      </w:r>
      <w:r>
        <w:rPr>
          <w:rFonts w:hint="eastAsia" w:ascii="仿宋_GB2312" w:hAnsi="仿宋_GB2312" w:eastAsia="仿宋_GB2312" w:cs="仿宋_GB2312"/>
          <w:b w:val="0"/>
          <w:bCs w:val="0"/>
          <w:sz w:val="28"/>
          <w:szCs w:val="28"/>
          <w:lang w:val="en-US" w:eastAsia="zh-CN"/>
        </w:rPr>
        <w:t xml:space="preserve">标方法和评标标准、合同文本的询问、质疑请向采购人提出，由采购人负责答复。供应商对除上述事项以外其他事项的询问、质疑请向政务中心提出，由政务中心负责答复</w:t>
      </w:r>
      <w:r>
        <w:rPr>
          <w:rFonts w:hint="eastAsia" w:ascii="仿宋_GB2312" w:hAnsi="仿宋_GB2312" w:eastAsia="仿宋_GB2312" w:cs="仿宋_GB2312"/>
          <w:b w:val="0"/>
          <w:bCs w:val="0"/>
          <w:sz w:val="28"/>
          <w:szCs w:val="28"/>
        </w:rPr>
        <w:t xml:space="preserve">。</w:t>
      </w:r>
      <w:r/>
    </w:p>
    <w:p>
      <w:pPr>
        <w:ind w:firstLine="560"/>
        <w:pageBreakBefore w:val="0"/>
        <w:spacing w:line="500" w:lineRule="exact"/>
        <w:widowControl w:val="off"/>
        <w:rPr>
          <w:rFonts w:hint="eastAsia" w:ascii="仿宋_GB2312" w:hAnsi="仿宋_GB2312" w:eastAsia="仿宋_GB2312" w:cs="仿宋_GB2312"/>
          <w:b/>
          <w:bCs/>
          <w:color w:val="auto"/>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只接收以纸质原件形式送达的质疑,建议供应商尽量通过邮寄方式提交质疑</w:t>
      </w:r>
      <w:r>
        <w:rPr>
          <w:rFonts w:hint="eastAsia" w:ascii="仿宋_GB2312" w:hAnsi="仿宋_GB2312" w:eastAsia="仿宋_GB2312" w:cs="仿宋_GB2312"/>
          <w:b/>
          <w:bCs/>
          <w:color w:val="auto"/>
          <w:sz w:val="28"/>
          <w:szCs w:val="28"/>
        </w:rPr>
        <w:t xml:space="preserve">（采购人</w:t>
      </w:r>
      <w:r>
        <w:rPr>
          <w:rFonts w:hint="eastAsia" w:ascii="仿宋_GB2312" w:hAnsi="仿宋_GB2312" w:eastAsia="仿宋_GB2312" w:cs="仿宋_GB2312"/>
          <w:b/>
          <w:bCs/>
          <w:color w:val="auto"/>
          <w:sz w:val="28"/>
          <w:szCs w:val="28"/>
          <w:lang w:eastAsia="zh-CN"/>
        </w:rPr>
        <w:t xml:space="preserve">、政务中心</w:t>
      </w:r>
      <w:r>
        <w:rPr>
          <w:rFonts w:hint="eastAsia" w:ascii="仿宋_GB2312" w:hAnsi="仿宋_GB2312" w:eastAsia="仿宋_GB2312" w:cs="仿宋_GB2312"/>
          <w:b/>
          <w:bCs/>
          <w:color w:val="auto"/>
          <w:sz w:val="28"/>
          <w:szCs w:val="28"/>
        </w:rPr>
        <w:t xml:space="preserve">不接受未填写快递运单的快件）。</w:t>
      </w:r>
      <w:r/>
    </w:p>
    <w:p>
      <w:pPr>
        <w:ind w:firstLine="560"/>
        <w:pageBreakBefore w:val="0"/>
        <w:spacing w:line="500" w:lineRule="exact"/>
        <w:widowControl w:val="off"/>
        <w:rPr>
          <w:rFonts w:hint="eastAsia" w:ascii="仿宋_GB2312" w:hAnsi="仿宋_GB2312" w:eastAsia="仿宋_GB2312" w:cs="仿宋_GB2312"/>
          <w:b/>
          <w:bCs/>
          <w:color w:val="auto"/>
          <w:sz w:val="28"/>
          <w:szCs w:val="28"/>
          <w:u w:val="single"/>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质疑接收人及联系方式见本磋商文件</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第一章。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 以下情形的质疑不予受理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29.5.1 内容不符合《政府采购质疑和投诉办法》第十二条规定的质疑。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29.5.2 超出政府采购法定期限的质疑。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29.5.3 以传真、电子邮件等方式递交的非原件形式的质疑。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29.5.4 未参加磋商活动的供应商或在磋商活动中自身权益未受到损害的供应商所提出的质疑。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29.5.5供应商组成联合体参加磋商，联合体中任何一方或多方未按要求签字、盖章、加盖公章的质疑。</w:t>
      </w:r>
      <w:r/>
    </w:p>
    <w:p>
      <w:pPr>
        <w:ind w:firstLine="546"/>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29.6  供应商提出书面质疑必须有理、有据，不得捏造事实、提供虚假材料进行恶意质疑。否则，一经查实，</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有权依据政府采购的有关规定，报请政府采购监管部门对该供应商进行相应的行政处罚和记录该供应商的失信信息。</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30、成交通知书</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30.1成交结果确定后，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将向成交供应商发出成交通知书。</w:t>
      </w:r>
      <w:r>
        <w:rPr>
          <w:rFonts w:hint="eastAsia" w:ascii="仿宋_GB2312" w:hAnsi="仿宋_GB2312" w:eastAsia="仿宋_GB2312" w:cs="仿宋_GB2312"/>
          <w:color w:val="auto"/>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30.2成交通知书将是合同的一个组成部分。对采购人和成交供应商均具有法律效力。成交通知书发出后，采购人改</w:t>
      </w:r>
      <w:r>
        <w:rPr>
          <w:rFonts w:hint="eastAsia" w:ascii="仿宋_GB2312" w:hAnsi="仿宋_GB2312" w:eastAsia="仿宋_GB2312" w:cs="仿宋_GB2312"/>
          <w:sz w:val="28"/>
          <w:szCs w:val="28"/>
        </w:rPr>
        <w:t xml:space="preserve">变成交结果的，或者成交供应商放弃成交项目的，应当依法承担法律责任。</w:t>
      </w:r>
      <w:r/>
    </w:p>
    <w:p>
      <w:pPr>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70" w:name="_Toc120614220"/>
      <w:r/>
      <w:bookmarkStart w:id="171" w:name="_Toc20823308"/>
      <w:r/>
      <w:bookmarkStart w:id="172" w:name="_Toc16938552"/>
      <w:r/>
      <w:bookmarkStart w:id="173" w:name="_Toc513029236"/>
      <w:r>
        <w:rPr>
          <w:rFonts w:hint="eastAsia" w:ascii="仿宋_GB2312" w:hAnsi="仿宋_GB2312" w:eastAsia="仿宋_GB2312" w:cs="仿宋_GB2312"/>
          <w:b/>
          <w:bCs/>
          <w:sz w:val="28"/>
          <w:szCs w:val="28"/>
        </w:rPr>
        <w:t xml:space="preserve">七、授予合同</w:t>
      </w:r>
      <w:bookmarkEnd w:id="170"/>
      <w:r/>
      <w:bookmarkEnd w:id="171"/>
      <w:bookmarkEnd w:id="172"/>
      <w:bookmarkEnd w:id="173"/>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74" w:name="_Toc20823309"/>
      <w:r/>
      <w:bookmarkStart w:id="175" w:name="_Toc513029237"/>
      <w:r/>
      <w:bookmarkStart w:id="176" w:name="_Toc16938553"/>
      <w:r>
        <w:rPr>
          <w:rFonts w:hint="eastAsia" w:ascii="仿宋_GB2312" w:hAnsi="仿宋_GB2312" w:eastAsia="仿宋_GB2312" w:cs="仿宋_GB2312"/>
          <w:bCs/>
          <w:sz w:val="28"/>
          <w:szCs w:val="28"/>
        </w:rPr>
        <w:t xml:space="preserve">31. 签订合同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31</w:t>
      </w:r>
      <w:r>
        <w:rPr>
          <w:rFonts w:hint="eastAsia" w:ascii="仿宋_GB2312" w:hAnsi="仿宋_GB2312" w:eastAsia="仿宋_GB2312" w:cs="仿宋_GB2312"/>
          <w:sz w:val="28"/>
          <w:szCs w:val="28"/>
        </w:rPr>
        <w:t xml:space="preserve">.l成交供应商应当在成交通知书发出之日起三十日内，按照磋商文件确定的事项与采购人签订政府采购合同。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31.2磋商文件、成交供应商的响应文件及磋商过程中有关澄清、承诺文件均应作为合同附件。</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31.3 签订合同后</w:t>
      </w:r>
      <w:r>
        <w:rPr>
          <w:rFonts w:hint="eastAsia" w:ascii="黑体" w:hAnsi="黑体" w:eastAsia="黑体" w:cs="黑体"/>
          <w:sz w:val="28"/>
          <w:szCs w:val="28"/>
        </w:rPr>
        <w:t xml:space="preserve">，</w:t>
      </w:r>
      <w:r>
        <w:rPr>
          <w:rFonts w:hint="eastAsia" w:ascii="黑体" w:hAnsi="黑体" w:eastAsia="黑体" w:cs="黑体"/>
          <w:i/>
          <w:sz w:val="28"/>
          <w:szCs w:val="28"/>
          <w:u w:val="single"/>
        </w:rPr>
        <w:t xml:space="preserve">成交供应商不得将合同标的进行转包</w:t>
      </w:r>
      <w:r>
        <w:rPr>
          <w:rFonts w:hint="eastAsia" w:ascii="黑体" w:hAnsi="黑体" w:eastAsia="黑体" w:cs="黑体"/>
          <w:sz w:val="28"/>
          <w:szCs w:val="28"/>
        </w:rPr>
        <w:t xml:space="preserve">。</w:t>
      </w:r>
      <w:r>
        <w:rPr>
          <w:rFonts w:hint="eastAsia" w:ascii="仿宋_GB2312" w:hAnsi="仿宋_GB2312" w:eastAsia="仿宋_GB2312" w:cs="仿宋_GB2312"/>
          <w:color w:val="auto"/>
          <w:sz w:val="28"/>
          <w:szCs w:val="28"/>
        </w:rPr>
        <w:t xml:space="preserve">未经采购人同意，成交供应商也不得采用分包形式履行合同,否则采购人有权终止合同。转包或分包造成采购人损失的，成交供应商应承担相应赔偿责任。</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32、标的物的追加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4"/>
      <w:bookmarkEnd w:id="175"/>
      <w:bookmarkEnd w:id="176"/>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33、政府采购履约资金扶持政策</w:t>
      </w:r>
      <w:r/>
    </w:p>
    <w:p>
      <w:pPr>
        <w:ind w:firstLine="555"/>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rPr>
          <w:rFonts w:eastAsia="黑体"/>
        </w:rPr>
      </w:pPr>
      <w:r>
        <w:rPr>
          <w:rFonts w:eastAsia="黑体"/>
        </w:rPr>
      </w:r>
      <w:r/>
    </w:p>
    <w:p>
      <w:pPr>
        <w:ind w:firstLine="555"/>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right="0"/>
        <w:jc w:val="center"/>
        <w:pageBreakBefore w:val="0"/>
        <w:spacing w:line="520" w:lineRule="exact"/>
        <w:widowControl w:val="off"/>
        <w:rPr>
          <w:rFonts w:hint="eastAsia" w:ascii="黑体" w:hAnsi="黑体" w:eastAsia="黑体" w:cs="黑体"/>
          <w:b w:val="0"/>
          <w:bCs w:val="0"/>
          <w:sz w:val="36"/>
          <w:szCs w:val="36"/>
        </w:rPr>
      </w:pPr>
      <w:r>
        <w:rPr>
          <w:rFonts w:hint="eastAsia" w:ascii="仿宋_GB2312" w:hAnsi="仿宋_GB2312" w:eastAsia="仿宋_GB2312" w:cs="仿宋_GB2312"/>
          <w:bCs/>
          <w:sz w:val="28"/>
          <w:szCs w:val="28"/>
        </w:rPr>
        <w:br w:type="page" w:clear="all"/>
      </w:r>
      <w:r>
        <w:rPr>
          <w:rFonts w:hint="eastAsia" w:ascii="黑体" w:hAnsi="黑体" w:eastAsia="黑体" w:cs="黑体"/>
          <w:b w:val="0"/>
          <w:bCs w:val="0"/>
          <w:sz w:val="36"/>
          <w:szCs w:val="36"/>
        </w:rPr>
        <w:t xml:space="preserve">第三章  合同</w:t>
      </w:r>
      <w:bookmarkEnd w:id="56"/>
      <w:r/>
      <w:bookmarkEnd w:id="57"/>
      <w:r/>
      <w:bookmarkEnd w:id="58"/>
      <w:r/>
      <w:bookmarkEnd w:id="59"/>
      <w:r/>
      <w:bookmarkEnd w:id="60"/>
      <w:r>
        <w:rPr>
          <w:rFonts w:hint="eastAsia" w:ascii="黑体" w:hAnsi="黑体" w:eastAsia="黑体" w:cs="黑体"/>
          <w:b w:val="0"/>
          <w:bCs w:val="0"/>
          <w:sz w:val="36"/>
          <w:szCs w:val="36"/>
        </w:rPr>
        <w:t xml:space="preserve">文本</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bookmarkStart w:id="177" w:name="_Toc513029243"/>
      <w:r/>
      <w:bookmarkStart w:id="178" w:name="_Toc16938559"/>
      <w:r/>
      <w:bookmarkStart w:id="179" w:name="_Toc20823315"/>
      <w:r>
        <w:rPr>
          <w:rFonts w:hint="eastAsia" w:ascii="仿宋_GB2312" w:hAnsi="仿宋_GB2312" w:eastAsia="仿宋_GB2312" w:cs="仿宋_GB2312"/>
          <w:bCs/>
          <w:sz w:val="28"/>
          <w:szCs w:val="28"/>
        </w:rPr>
        <w:t xml:space="preserve">以下为成交后签定本项目合同的通用条款，成交供应商不得提出实质性的修改。</w:t>
      </w:r>
      <w:r/>
    </w:p>
    <w:p>
      <w:pPr>
        <w:ind w:left="0" w:right="0" w:firstLine="562"/>
        <w:jc w:val="center"/>
        <w:pageBreakBefore w:val="0"/>
        <w:spacing w:line="520" w:lineRule="exact"/>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r>
      <w:bookmarkEnd w:id="177"/>
      <w:bookmarkEnd w:id="178"/>
      <w:bookmarkEnd w:id="179"/>
      <w:r/>
    </w:p>
    <w:p>
      <w:pPr>
        <w:ind w:firstLine="800"/>
        <w:jc w:val="center"/>
        <w:spacing w:line="520" w:lineRule="exact"/>
        <w:rPr>
          <w:rFonts w:ascii="方正小标宋_GBK" w:hAnsi="方正小标宋_GBK" w:eastAsia="方正小标宋_GBK" w:cs="方正小标宋_GBK"/>
          <w:bCs/>
          <w:sz w:val="40"/>
          <w:szCs w:val="40"/>
        </w:rPr>
        <w:outlineLvl w:val="0"/>
      </w:pPr>
      <w:r/>
      <w:bookmarkStart w:id="180" w:name="_Hlt16619369"/>
      <w:r/>
      <w:bookmarkEnd w:id="180"/>
      <w:r/>
      <w:bookmarkStart w:id="181" w:name="_Toc120614244"/>
      <w:r/>
      <w:bookmarkStart w:id="182" w:name="_Toc16938590"/>
      <w:r/>
      <w:bookmarkStart w:id="183" w:name="_Hlt16619350"/>
      <w:r/>
      <w:bookmarkStart w:id="184" w:name="_Toc20823346"/>
      <w:r/>
      <w:bookmarkStart w:id="185" w:name="_Toc462564139"/>
      <w:r/>
      <w:bookmarkStart w:id="186" w:name="_Toc479757211"/>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1016"/>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1016"/>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1016"/>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1016"/>
        <w:ind w:firstLine="560"/>
        <w:spacing w:line="50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项目的</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结果，签署本合同。</w:t>
      </w:r>
      <w:r/>
    </w:p>
    <w:p>
      <w:pPr>
        <w:pStyle w:val="101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标的质量：</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履行方式：</w:t>
      </w:r>
      <w:r/>
    </w:p>
    <w:p>
      <w:pPr>
        <w:pStyle w:val="101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本合同金额为（大写）：________（________元）人民币。</w:t>
      </w:r>
      <w:r/>
    </w:p>
    <w:p>
      <w:pPr>
        <w:pStyle w:val="101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1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16"/>
        <w:ind w:firstLine="562"/>
        <w:keepLines w:val="0"/>
        <w:keepNext w:val="0"/>
        <w:pageBreakBefore w:val="0"/>
        <w:spacing w:line="480" w:lineRule="exact"/>
        <w:widowControl w:val="off"/>
        <w:rPr>
          <w:rFonts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乙方保证所交付的服务（包含与服务相关的货物）的所有权完全属于乙方且无任何抵押、查封等产权瑕疵。</w:t>
      </w:r>
      <w:r/>
    </w:p>
    <w:p>
      <w:pPr>
        <w:pStyle w:val="101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1016"/>
        <w:ind w:firstLine="560"/>
        <w:keepLines w:val="0"/>
        <w:keepNext w:val="0"/>
        <w:pageBreakBefore w:val="0"/>
        <w:spacing w:line="480" w:lineRule="exact"/>
        <w:widowControl w:val="off"/>
        <w:rPr>
          <w:rFonts w:hint="eastAsia" w:ascii="仿宋_GB2312" w:hAnsi="仿宋_GB2312" w:eastAsia="仿宋_GB2312" w:cs="仿宋_GB2312"/>
          <w:b/>
          <w:bCs/>
          <w:sz w:val="28"/>
          <w:szCs w:val="28"/>
          <w:u w:val="single"/>
        </w:rPr>
      </w:pPr>
      <w:r>
        <w:rPr>
          <w:rFonts w:hint="eastAsia" w:ascii="仿宋_GB2312" w:hAnsi="仿宋_GB2312" w:eastAsia="仿宋_GB2312" w:cs="仿宋_GB2312"/>
          <w:sz w:val="28"/>
          <w:szCs w:val="28"/>
        </w:rPr>
        <w:t xml:space="preserve">6.1 本项目</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不设置</w:t>
      </w: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sz w:val="28"/>
          <w:szCs w:val="28"/>
        </w:rPr>
        <w:t xml:space="preserve">履约保证金</w:t>
      </w:r>
      <w:r>
        <w:rPr>
          <w:rFonts w:hint="eastAsia" w:ascii="仿宋_GB2312" w:hAnsi="仿宋_GB2312" w:eastAsia="仿宋_GB2312" w:cs="仿宋_GB2312"/>
          <w:b/>
          <w:bCs/>
          <w:sz w:val="28"/>
          <w:szCs w:val="28"/>
          <w:u w:val="none"/>
        </w:rPr>
        <w:t xml:space="preserve">。</w:t>
      </w:r>
      <w:r/>
    </w:p>
    <w:p>
      <w:pPr>
        <w:ind w:firstLine="562"/>
        <w:keepLines w:val="0"/>
        <w:keepNext w:val="0"/>
        <w:pageBreakBefore w:val="0"/>
        <w:spacing w:line="480" w:lineRule="exact"/>
        <w:widowControl w:val="off"/>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七、合同转包或分包</w:t>
      </w:r>
      <w:r/>
    </w:p>
    <w:p>
      <w:pPr>
        <w:ind w:firstLine="560"/>
        <w:keepLines w:val="0"/>
        <w:keepNext w:val="0"/>
        <w:pageBreakBefore w:val="0"/>
        <w:spacing w:line="480" w:lineRule="exact"/>
        <w:widowControl w:val="off"/>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7.1乙方不得将合同标的转包给他人履行。</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101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101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101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101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101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101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101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101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1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101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在合同有效期内，任何一方因不可抗力事件导致不能履行合同，则合同履行期可延长，其延长期与不可抗力影响期相同。</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1016"/>
        <w:ind w:firstLine="562"/>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101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101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1016"/>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16"/>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16"/>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1016"/>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1016"/>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1016"/>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1016"/>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left="0" w:right="0" w:firstLine="560"/>
        <w:jc w:val="center"/>
        <w:keepNext/>
        <w:pageBreakBefore w:val="0"/>
        <w:spacing w:line="520" w:lineRule="exact"/>
        <w:rPr>
          <w:rFonts w:hint="eastAsia" w:ascii="黑体" w:hAnsi="黑体" w:eastAsia="黑体" w:cs="黑体"/>
          <w:b w:val="0"/>
          <w:bCs w:val="0"/>
          <w:sz w:val="36"/>
          <w:szCs w:val="36"/>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bookmarkEnd w:id="181"/>
      <w:r/>
      <w:bookmarkEnd w:id="182"/>
      <w:r/>
      <w:bookmarkEnd w:id="183"/>
      <w:r/>
      <w:bookmarkEnd w:id="184"/>
      <w:r/>
      <w:bookmarkStart w:id="187" w:name="_Toc26554093"/>
      <w:r/>
      <w:bookmarkStart w:id="188" w:name="_Toc49090575"/>
      <w:r/>
      <w:r/>
    </w:p>
    <w:p>
      <w:pPr>
        <w:pStyle w:val="1016"/>
        <w:jc w:val="center"/>
        <w:spacing w:before="120" w:after="120" w:line="520" w:lineRule="exact"/>
        <w:rPr>
          <w:rFonts w:ascii="黑体" w:hAnsi="黑体" w:eastAsia="黑体" w:cs="黑体"/>
          <w:sz w:val="36"/>
          <w:szCs w:val="36"/>
        </w:rPr>
      </w:pPr>
      <w:r>
        <w:rPr>
          <w:rFonts w:hint="eastAsia" w:ascii="黑体" w:hAnsi="黑体" w:eastAsia="黑体" w:cs="黑体"/>
          <w:bCs/>
          <w:sz w:val="36"/>
          <w:szCs w:val="36"/>
        </w:rPr>
        <w:t xml:space="preserve">第四章 采购需求</w:t>
      </w:r>
      <w:r/>
    </w:p>
    <w:p>
      <w:pPr>
        <w:rPr>
          <w:rFonts w:hint="eastAsia"/>
        </w:rPr>
      </w:pPr>
      <w:r>
        <w:rPr>
          <w:rFonts w:hint="eastAsia"/>
        </w:rPr>
      </w:r>
      <w:r/>
    </w:p>
    <w:p>
      <w:pPr>
        <w:rPr>
          <w:rFonts w:hint="eastAsia"/>
        </w:rPr>
      </w:pPr>
      <w:r>
        <w:rPr>
          <w:rFonts w:hint="eastAsia"/>
        </w:rPr>
      </w:r>
      <w: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①项目属性:</w:t>
      </w:r>
      <w:r>
        <w:rPr>
          <w:rFonts w:hint="eastAsia" w:ascii="黑体" w:hAnsi="黑体" w:eastAsia="黑体" w:cs="黑体"/>
          <w:color w:val="000000"/>
          <w:sz w:val="28"/>
          <w:szCs w:val="28"/>
          <w:lang w:val="en-US" w:eastAsia="zh-CN"/>
        </w:rPr>
        <w:t xml:space="preserve">服务类</w:t>
      </w:r>
      <w:r>
        <w:rPr>
          <w:rFonts w:hint="eastAsia" w:ascii="黑体" w:hAnsi="黑体" w:eastAsia="黑体" w:cs="黑体"/>
          <w:color w:val="000000"/>
          <w:sz w:val="28"/>
          <w:szCs w:val="28"/>
        </w:rPr>
        <w:t xml:space="preserve">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Style w:val="794"/>
        <w:tblW w:w="8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3612"/>
        <w:gridCol w:w="3794"/>
      </w:tblGrid>
      <w:tr>
        <w:trPr>
          <w:cantSplit/>
          <w:jc w:val="center"/>
          <w:trHeight w:val="835"/>
        </w:trPr>
        <w:tc>
          <w:tcPr>
            <w:tcW w:w="1393"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3612"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采购标的</w:t>
            </w:r>
            <w:r/>
          </w:p>
        </w:tc>
        <w:tc>
          <w:tcPr>
            <w:tcW w:w="3794"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对应中小企业划分标准所属行业</w:t>
            </w:r>
            <w:r/>
          </w:p>
        </w:tc>
      </w:tr>
      <w:tr>
        <w:trPr>
          <w:cantSplit/>
          <w:jc w:val="center"/>
          <w:trHeight w:val="899"/>
        </w:trPr>
        <w:tc>
          <w:tcPr>
            <w:tcW w:w="1393"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3612" w:type="dxa"/>
            <w:vAlign w:val="center"/>
            <w:textDirection w:val="lrTb"/>
            <w:noWrap w:val="false"/>
          </w:tcPr>
          <w:p>
            <w:pPr>
              <w:jc w:val="center"/>
              <w:spacing w:line="0" w:lineRule="atLeast"/>
              <w:tabs>
                <w:tab w:val="left" w:pos="2020" w:leader="none"/>
              </w:tabs>
              <w:rPr>
                <w:rFonts w:hint="default" w:ascii="仿宋_GB2312" w:hAnsi="仿宋_GB2312" w:eastAsia="仿宋_GB2312" w:cs="仿宋_GB2312"/>
                <w:sz w:val="28"/>
                <w:szCs w:val="28"/>
                <w:lang w:val="en-US"/>
              </w:rPr>
            </w:pPr>
            <w:r>
              <w:rPr>
                <w:rFonts w:hint="default" w:ascii="仿宋_GB2312" w:hAnsi="仿宋_GB2312" w:eastAsia="仿宋_GB2312" w:cs="仿宋_GB2312"/>
                <w:sz w:val="28"/>
                <w:szCs w:val="28"/>
                <w:lang w:val="en-US" w:eastAsia="zh-CN"/>
              </w:rPr>
              <w:t xml:space="preserve">血压仪数据采集接口改造服务</w:t>
            </w:r>
            <w:r/>
          </w:p>
        </w:tc>
        <w:tc>
          <w:tcPr>
            <w:tcW w:w="3794"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color w:val="auto"/>
                <w:sz w:val="28"/>
                <w:szCs w:val="28"/>
                <w:highlight w:val="none"/>
              </w:rPr>
              <w:t xml:space="preserve">软件和信息技术服务业</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Style w:val="794"/>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7372"/>
      </w:tblGrid>
      <w:tr>
        <w:trPr>
          <w:jc w:val="center"/>
          <w:trHeight w:val="623"/>
        </w:trPr>
        <w:tc>
          <w:tcPr>
            <w:tcW w:w="1487"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7372"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是否接受进口产品投标（是/否）</w:t>
            </w:r>
            <w:r/>
          </w:p>
        </w:tc>
      </w:tr>
      <w:tr>
        <w:trPr>
          <w:jc w:val="center"/>
          <w:trHeight w:val="686"/>
        </w:trPr>
        <w:tc>
          <w:tcPr>
            <w:tcW w:w="1487"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372"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keepLines w:val="0"/>
        <w:keepNext w:val="0"/>
        <w:pageBreakBefore w:val="0"/>
        <w:spacing w:line="0" w:lineRule="atLeast"/>
        <w:rPr>
          <w:rFonts w:ascii="黑体" w:hAnsi="黑体" w:eastAsia="黑体" w:cs="黑体"/>
          <w:color w:val="000000"/>
          <w:sz w:val="28"/>
          <w:szCs w:val="28"/>
        </w:rPr>
      </w:pPr>
      <w:r>
        <w:rPr>
          <w:rFonts w:ascii="黑体" w:hAnsi="黑体" w:eastAsia="黑体" w:cs="黑体"/>
          <w:color w:val="000000"/>
          <w:sz w:val="28"/>
          <w:szCs w:val="28"/>
        </w:rPr>
      </w:r>
      <w:r/>
    </w:p>
    <w:p>
      <w:pPr>
        <w:keepLines w:val="0"/>
        <w:keepNext w:val="0"/>
        <w:pageBreakBefore w:val="0"/>
        <w:spacing w:line="0" w:lineRule="atLeast"/>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r>
      <w:r/>
    </w:p>
    <w:p>
      <w:pPr>
        <w:ind w:firstLine="560"/>
        <w:keepLines w:val="0"/>
        <w:keepNext w:val="0"/>
        <w:pageBreakBefore w:val="0"/>
        <w:widowControl w:val="off"/>
        <w:rPr>
          <w:rFonts w:hint="eastAsia" w:ascii="黑体" w:hAnsi="黑体" w:eastAsia="黑体" w:cs="黑体"/>
          <w:bCs/>
          <w:color w:val="000000"/>
          <w:sz w:val="28"/>
          <w:szCs w:val="28"/>
          <w:lang w:eastAsia="zh-CN"/>
        </w:rPr>
      </w:pPr>
      <w:r/>
      <w:bookmarkStart w:id="189" w:name="_Toc515706159"/>
      <w:r>
        <w:rPr>
          <w:rFonts w:hint="eastAsia" w:ascii="黑体" w:hAnsi="黑体" w:eastAsia="黑体" w:cs="黑体"/>
          <w:bCs/>
          <w:color w:val="000000"/>
          <w:sz w:val="28"/>
          <w:szCs w:val="28"/>
          <w:lang w:eastAsia="zh-CN"/>
        </w:rPr>
        <w:t xml:space="preserve">一、</w:t>
      </w:r>
      <w:r>
        <w:rPr>
          <w:rFonts w:hint="eastAsia" w:ascii="黑体" w:hAnsi="黑体" w:eastAsia="黑体" w:cs="黑体"/>
          <w:bCs/>
          <w:color w:val="000000"/>
          <w:sz w:val="28"/>
          <w:szCs w:val="28"/>
        </w:rPr>
        <w:t xml:space="preserve">项目概况</w:t>
      </w:r>
      <w:bookmarkEnd w:id="189"/>
      <w:r/>
      <w:r/>
    </w:p>
    <w:p>
      <w:pPr>
        <w:pStyle w:val="1086"/>
        <w:ind w:firstLine="560"/>
        <w:keepLines w:val="0"/>
        <w:keepNext w:val="0"/>
        <w:pageBreakBefore w:val="0"/>
        <w:spacing w:before="0" w:beforeAutospacing="0" w:after="0" w:afterAutospacing="0" w:line="500" w:lineRule="exact"/>
        <w:widowControl/>
        <w:rPr>
          <w:rFonts w:hint="eastAsia" w:ascii="仿宋_GB2312" w:hAnsi="仿宋_GB2312" w:eastAsia="仿宋_GB2312" w:cs="仿宋_GB2312"/>
          <w:i w:val="0"/>
          <w:iCs w:val="0"/>
          <w:color w:val="auto"/>
          <w:sz w:val="28"/>
          <w:szCs w:val="28"/>
          <w:highlight w:val="none"/>
          <w:u w:val="none"/>
          <w:lang w:val="en-US" w:eastAsia="zh-CN" w:bidi="ar-SA"/>
        </w:rPr>
      </w:pPr>
      <w:r>
        <w:rPr>
          <w:rFonts w:hint="eastAsia" w:ascii="仿宋_GB2312" w:hAnsi="仿宋_GB2312" w:eastAsia="仿宋_GB2312" w:cs="仿宋_GB2312"/>
          <w:i w:val="0"/>
          <w:iCs w:val="0"/>
          <w:color w:val="000000"/>
          <w:sz w:val="28"/>
          <w:szCs w:val="28"/>
          <w:lang w:val="en-US" w:eastAsia="zh-CN" w:bidi="ar-SA"/>
        </w:rPr>
        <w:t xml:space="preserve">1.</w:t>
      </w:r>
      <w:r>
        <w:rPr>
          <w:rFonts w:hint="eastAsia" w:ascii="仿宋_GB2312" w:hAnsi="仿宋_GB2312" w:eastAsia="仿宋_GB2312" w:cs="仿宋_GB2312"/>
          <w:i w:val="0"/>
          <w:iCs w:val="0"/>
          <w:color w:val="auto"/>
          <w:sz w:val="28"/>
          <w:szCs w:val="28"/>
          <w:highlight w:val="none"/>
          <w:u w:val="none"/>
          <w:lang w:val="en-US" w:eastAsia="zh-CN" w:bidi="ar-SA"/>
        </w:rPr>
        <w:t xml:space="preserve">本项目总预算为：人民币 </w:t>
      </w:r>
      <w:r>
        <w:rPr>
          <w:rFonts w:hint="eastAsia" w:ascii="仿宋_GB2312" w:hAnsi="仿宋_GB2312" w:eastAsia="仿宋_GB2312" w:cs="仿宋_GB2312"/>
          <w:b/>
          <w:bCs/>
          <w:i w:val="0"/>
          <w:iCs w:val="0"/>
          <w:color w:val="auto"/>
          <w:sz w:val="28"/>
          <w:szCs w:val="28"/>
          <w:highlight w:val="none"/>
          <w:u w:val="none"/>
          <w:lang w:val="en-US" w:eastAsia="zh-CN" w:bidi="ar-SA"/>
        </w:rPr>
        <w:t xml:space="preserve">捌万元整（¥：80000.00元）</w:t>
      </w:r>
      <w:r>
        <w:rPr>
          <w:rFonts w:hint="eastAsia" w:ascii="仿宋_GB2312" w:hAnsi="仿宋_GB2312" w:eastAsia="仿宋_GB2312" w:cs="仿宋_GB2312"/>
          <w:i w:val="0"/>
          <w:iCs w:val="0"/>
          <w:color w:val="auto"/>
          <w:sz w:val="28"/>
          <w:szCs w:val="28"/>
          <w:highlight w:val="none"/>
          <w:u w:val="none"/>
          <w:lang w:val="en-US" w:eastAsia="zh-CN" w:bidi="ar-SA"/>
        </w:rPr>
        <w:t xml:space="preserve">。</w:t>
      </w:r>
      <w:r/>
    </w:p>
    <w:p>
      <w:pPr>
        <w:pStyle w:val="1086"/>
        <w:ind w:firstLine="560"/>
        <w:keepLines w:val="0"/>
        <w:keepNext w:val="0"/>
        <w:pageBreakBefore w:val="0"/>
        <w:spacing w:before="0" w:beforeAutospacing="0" w:after="0" w:afterAutospacing="0" w:line="500" w:lineRule="exact"/>
        <w:widowControl/>
        <w:rPr>
          <w:rFonts w:hint="eastAsia" w:ascii="黑体" w:hAnsi="黑体" w:eastAsia="黑体" w:cs="黑体"/>
          <w:b w:val="0"/>
          <w:bCs w:val="0"/>
          <w:i/>
          <w:sz w:val="28"/>
          <w:szCs w:val="28"/>
          <w:highlight w:val="none"/>
          <w:u w:val="single"/>
          <w:lang w:val="en-US" w:eastAsia="zh-CN" w:bidi="ar-SA"/>
        </w:rPr>
      </w:pPr>
      <w:r>
        <w:rPr>
          <w:rFonts w:hint="eastAsia" w:ascii="黑体" w:hAnsi="黑体" w:eastAsia="黑体" w:cs="黑体"/>
          <w:b w:val="0"/>
          <w:bCs w:val="0"/>
          <w:i/>
          <w:color w:val="auto"/>
          <w:sz w:val="28"/>
          <w:szCs w:val="28"/>
          <w:highlight w:val="none"/>
          <w:u w:val="single"/>
          <w:lang w:val="en-US" w:eastAsia="zh-CN" w:bidi="ar-SA"/>
        </w:rPr>
        <w:t xml:space="preserve">2.最后响应报价高于采购预算价的，将被判定为无效投标文件。  </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简介</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eastAsia="zh-CN"/>
        </w:rPr>
        <w:t xml:space="preserve">本项目需完成兴化市公卫系统对接乡村医疗机构配备筒式血压仪项目接口建设，实时上传血压仪采集的数据，符合江苏省卫生健康信息中心《居民自测血压仪结果查询页面接口规范》相关要求。</w:t>
      </w:r>
      <w:r/>
    </w:p>
    <w:p>
      <w:pPr>
        <w:numPr>
          <w:ilvl w:val="0"/>
          <w:numId w:val="0"/>
        </w:numPr>
        <w:ind w:firstLine="560"/>
        <w:keepLines w:val="0"/>
        <w:keepNext w:val="0"/>
        <w:pageBreakBefore w:val="0"/>
        <w:spacing w:line="500" w:lineRule="exact"/>
        <w:widowControl w:val="off"/>
        <w:rPr>
          <w:rFonts w:hint="eastAsia" w:ascii="黑体" w:hAnsi="黑体" w:eastAsia="黑体" w:cs="黑体"/>
          <w:bCs/>
          <w:color w:val="000000"/>
          <w:sz w:val="28"/>
          <w:szCs w:val="28"/>
          <w:lang w:eastAsia="zh-CN"/>
        </w:rPr>
      </w:pPr>
      <w:r/>
      <w:bookmarkStart w:id="190" w:name="_Toc935781108"/>
      <w:r>
        <w:rPr>
          <w:rFonts w:hint="eastAsia" w:ascii="黑体" w:hAnsi="黑体" w:eastAsia="黑体" w:cs="黑体"/>
          <w:bCs/>
          <w:color w:val="000000"/>
          <w:sz w:val="28"/>
          <w:szCs w:val="28"/>
          <w:lang w:eastAsia="zh-CN"/>
        </w:rPr>
        <w:t xml:space="preserve">二、采购标的需实现的功能或目标</w:t>
      </w:r>
      <w:bookmarkEnd w:id="190"/>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为贯彻落实省政府办公厅</w:t>
      </w:r>
      <w:r>
        <w:rPr>
          <w:rFonts w:hint="eastAsia" w:ascii="仿宋_GB2312" w:hAnsi="仿宋_GB2312" w:eastAsia="仿宋_GB2312" w:cs="仿宋_GB2312"/>
          <w:b w:val="0"/>
          <w:sz w:val="28"/>
          <w:szCs w:val="28"/>
          <w:highlight w:val="none"/>
        </w:rPr>
        <w:t xml:space="preserve">《关于印发2026年度省政府12类45件民生实事的通知》（苏政传发〔2026〕30号），</w:t>
      </w:r>
      <w:r>
        <w:rPr>
          <w:rFonts w:hint="eastAsia" w:ascii="仿宋_GB2312" w:hAnsi="仿宋_GB2312" w:eastAsia="仿宋_GB2312" w:cs="仿宋_GB2312"/>
          <w:b w:val="0"/>
          <w:sz w:val="28"/>
          <w:szCs w:val="28"/>
        </w:rPr>
        <w:t xml:space="preserve">本项目需完成兴化市公卫系统对接乡村医疗机构配备筒式血压仪项目接口建设，实时上传血压仪采集的数据，符合江苏省卫生健康信息中心《居民自测血压仪结果查询页面接口规范》相关要求。</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项目涉及网络验证、基础数据采集、血压仪页面集成、设备安装激活、数据上传等全流程工作，确保辖区内各血压仪配发机构可正常连通卫生专网（影像云专线）、医保专网，基层医疗机构能够顺利使用血压仪的人脸识别功能，居民血压自测数据能顺利上传至江苏省全民健康信息平台。</w:t>
      </w:r>
      <w:r/>
    </w:p>
    <w:p>
      <w:pPr>
        <w:numPr>
          <w:ilvl w:val="0"/>
          <w:numId w:val="0"/>
        </w:numPr>
        <w:ind w:firstLine="560"/>
        <w:keepLines w:val="0"/>
        <w:keepNext w:val="0"/>
        <w:pageBreakBefore w:val="0"/>
        <w:spacing w:line="500" w:lineRule="exact"/>
        <w:widowControl w:val="off"/>
        <w:rPr>
          <w:rFonts w:hint="eastAsia" w:ascii="黑体" w:hAnsi="黑体" w:eastAsia="黑体" w:cs="黑体"/>
          <w:bCs/>
          <w:color w:val="000000"/>
          <w:sz w:val="28"/>
          <w:szCs w:val="28"/>
          <w:lang w:eastAsia="zh-CN"/>
        </w:rPr>
      </w:pPr>
      <w:r/>
      <w:bookmarkStart w:id="191" w:name="_Toc1650335175"/>
      <w:r>
        <w:rPr>
          <w:rFonts w:hint="eastAsia" w:ascii="黑体" w:hAnsi="黑体" w:eastAsia="黑体" w:cs="黑体"/>
          <w:bCs/>
          <w:color w:val="000000"/>
          <w:sz w:val="28"/>
          <w:szCs w:val="28"/>
          <w:lang w:eastAsia="zh-CN"/>
        </w:rPr>
        <w:t xml:space="preserve">三、采购标的需执行的标准和规范</w:t>
      </w:r>
      <w:bookmarkEnd w:id="191"/>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1. 苏政传发〔2026〕30号《省政府办公厅关于印发2026年度省政府12类45件民生实事的通知》</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2. 江苏省卫生健康信息中心《居民自测血压仪结果查询页面接口规范》</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3. 国家及江苏省卫生健康相关现行有效的接口规范和技术标准</w:t>
      </w:r>
      <w:r/>
    </w:p>
    <w:p>
      <w:pPr>
        <w:numPr>
          <w:ilvl w:val="0"/>
          <w:numId w:val="0"/>
        </w:numPr>
        <w:ind w:firstLine="560"/>
        <w:keepLines w:val="0"/>
        <w:keepNext w:val="0"/>
        <w:pageBreakBefore w:val="0"/>
        <w:spacing w:line="500" w:lineRule="exact"/>
        <w:widowControl w:val="off"/>
        <w:rPr>
          <w:rFonts w:hint="eastAsia" w:ascii="黑体" w:hAnsi="黑体" w:eastAsia="黑体" w:cs="黑体"/>
          <w:bCs/>
          <w:color w:val="000000"/>
          <w:sz w:val="28"/>
          <w:szCs w:val="28"/>
          <w:lang w:eastAsia="zh-CN"/>
        </w:rPr>
      </w:pPr>
      <w:r/>
      <w:bookmarkStart w:id="192" w:name="_Toc284501573"/>
      <w:r>
        <w:rPr>
          <w:rFonts w:hint="eastAsia" w:ascii="黑体" w:hAnsi="黑体" w:eastAsia="黑体" w:cs="黑体"/>
          <w:bCs/>
          <w:color w:val="000000"/>
          <w:sz w:val="28"/>
          <w:szCs w:val="28"/>
          <w:lang w:eastAsia="zh-CN"/>
        </w:rPr>
        <w:t xml:space="preserve">四、技术要求</w:t>
      </w:r>
      <w:bookmarkEnd w:id="192"/>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193" w:name="_Toc1319339189"/>
      <w:r>
        <w:rPr>
          <w:rFonts w:hint="eastAsia" w:ascii="仿宋_GB2312" w:hAnsi="仿宋_GB2312" w:eastAsia="仿宋_GB2312" w:cs="仿宋_GB2312"/>
          <w:b/>
          <w:sz w:val="28"/>
          <w:szCs w:val="28"/>
        </w:rPr>
        <w:t xml:space="preserve">（一）接口改造范围</w:t>
      </w:r>
      <w:bookmarkEnd w:id="193"/>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供应商须完成以下8项接口及调试工作的开发、部署与测试：</w:t>
      </w:r>
      <w:r/>
    </w:p>
    <w:tbl>
      <w:tblPr>
        <w:tblStyle w:val="794"/>
        <w:tblW w:w="46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7339"/>
      </w:tblGrid>
      <w:tr>
        <w:trPr>
          <w:jc w:val="center"/>
          <w:trHeight w:val="565"/>
        </w:trPr>
        <w:tc>
          <w:tcPr>
            <w:tcW w:w="791"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序号</w:t>
            </w:r>
            <w:r/>
          </w:p>
        </w:tc>
        <w:tc>
          <w:tcPr>
            <w:tcW w:w="4208"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描述</w:t>
            </w:r>
            <w:r/>
          </w:p>
        </w:tc>
      </w:tr>
      <w:tr>
        <w:trPr>
          <w:jc w:val="center"/>
          <w:trHeight w:val="565"/>
        </w:trPr>
        <w:tc>
          <w:tcPr>
            <w:tcW w:w="791"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1</w:t>
            </w:r>
            <w:r/>
          </w:p>
        </w:tc>
        <w:tc>
          <w:tcPr>
            <w:tcW w:w="4208"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授权码获取服务</w:t>
            </w:r>
            <w:r/>
          </w:p>
        </w:tc>
      </w:tr>
      <w:tr>
        <w:trPr>
          <w:jc w:val="center"/>
          <w:trHeight w:val="565"/>
        </w:trPr>
        <w:tc>
          <w:tcPr>
            <w:tcW w:w="791"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2</w:t>
            </w:r>
            <w:r/>
          </w:p>
        </w:tc>
        <w:tc>
          <w:tcPr>
            <w:tcW w:w="4208"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机构信息查询接口</w:t>
            </w:r>
            <w:r/>
          </w:p>
        </w:tc>
      </w:tr>
      <w:tr>
        <w:trPr>
          <w:jc w:val="center"/>
          <w:trHeight w:val="565"/>
        </w:trPr>
        <w:tc>
          <w:tcPr>
            <w:tcW w:w="791"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3</w:t>
            </w:r>
            <w:r/>
          </w:p>
        </w:tc>
        <w:tc>
          <w:tcPr>
            <w:tcW w:w="4208"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居民自测血压结果查询</w:t>
            </w:r>
            <w:r/>
          </w:p>
        </w:tc>
      </w:tr>
      <w:tr>
        <w:trPr>
          <w:jc w:val="center"/>
          <w:trHeight w:val="565"/>
        </w:trPr>
        <w:tc>
          <w:tcPr>
            <w:tcW w:w="791"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4</w:t>
            </w:r>
            <w:r/>
          </w:p>
        </w:tc>
        <w:tc>
          <w:tcPr>
            <w:tcW w:w="4208"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居民自测血压结果查询</w:t>
            </w:r>
            <w:r/>
          </w:p>
        </w:tc>
      </w:tr>
      <w:tr>
        <w:trPr>
          <w:jc w:val="center"/>
          <w:trHeight w:val="565"/>
        </w:trPr>
        <w:tc>
          <w:tcPr>
            <w:tcW w:w="791"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5</w:t>
            </w:r>
            <w:r/>
          </w:p>
        </w:tc>
        <w:tc>
          <w:tcPr>
            <w:tcW w:w="4208"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个人查询</w:t>
            </w:r>
            <w:r/>
          </w:p>
        </w:tc>
      </w:tr>
      <w:tr>
        <w:trPr>
          <w:jc w:val="center"/>
          <w:trHeight w:val="565"/>
        </w:trPr>
        <w:tc>
          <w:tcPr>
            <w:tcW w:w="791"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6</w:t>
            </w:r>
            <w:r/>
          </w:p>
        </w:tc>
        <w:tc>
          <w:tcPr>
            <w:tcW w:w="4208"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报表查询</w:t>
            </w:r>
            <w:r/>
          </w:p>
        </w:tc>
      </w:tr>
      <w:tr>
        <w:trPr>
          <w:jc w:val="center"/>
          <w:trHeight w:val="565"/>
        </w:trPr>
        <w:tc>
          <w:tcPr>
            <w:tcW w:w="791"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7</w:t>
            </w:r>
            <w:r/>
          </w:p>
        </w:tc>
        <w:tc>
          <w:tcPr>
            <w:tcW w:w="4208"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设备对接调试</w:t>
            </w:r>
            <w:r/>
          </w:p>
        </w:tc>
      </w:tr>
      <w:tr>
        <w:trPr>
          <w:jc w:val="center"/>
          <w:trHeight w:val="588"/>
        </w:trPr>
        <w:tc>
          <w:tcPr>
            <w:tcW w:w="791"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8</w:t>
            </w:r>
            <w:r/>
          </w:p>
        </w:tc>
        <w:tc>
          <w:tcPr>
            <w:tcW w:w="4208" w:type="pct"/>
            <w:textDirection w:val="lrTb"/>
            <w:noWrap w:val="false"/>
          </w:tcPr>
          <w:p>
            <w:pPr>
              <w:ind w:firstLine="0"/>
              <w:jc w:val="center"/>
              <w:keepLines w:val="0"/>
              <w:keepNext w:val="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实施联调测试</w:t>
            </w:r>
            <w:r/>
          </w:p>
        </w:tc>
      </w:tr>
    </w:tbl>
    <w:p>
      <w:pPr>
        <w:pStyle w:val="819"/>
        <w:ind w:right="0" w:firstLine="560"/>
        <w:jc w:val="both"/>
        <w:keepLines w:val="0"/>
        <w:keepNext w:val="0"/>
        <w:pageBreakBefore w:val="0"/>
        <w:spacing w:beforeAutospacing="0" w:afterAutospacing="0" w:line="500" w:lineRule="exact"/>
        <w:widowControl/>
        <w:rPr>
          <w:rFonts w:hint="eastAsia" w:ascii="仿宋_GB2312" w:hAnsi="仿宋_GB2312" w:eastAsia="仿宋_GB2312" w:cs="仿宋_GB2312"/>
          <w:b w:val="0"/>
          <w:bCs w:val="0"/>
          <w:i w:val="0"/>
          <w:iCs w:val="0"/>
          <w:color w:val="000000"/>
          <w:spacing w:val="0"/>
          <w:sz w:val="28"/>
          <w:szCs w:val="28"/>
          <w:vertAlign w:val="baseline"/>
          <w:lang w:eastAsia="zh-CN"/>
        </w:rPr>
        <w:suppressLineNumbers w:val="0"/>
      </w:pPr>
      <w:r>
        <w:rPr>
          <w:rFonts w:hint="eastAsia" w:ascii="仿宋_GB2312" w:hAnsi="仿宋_GB2312" w:eastAsia="仿宋_GB2312" w:cs="仿宋_GB2312"/>
          <w:sz w:val="28"/>
          <w:szCs w:val="28"/>
          <w:lang w:val="en-US" w:eastAsia="zh-CN"/>
        </w:rPr>
        <w:t xml:space="preserve">区县公卫系统应至少完成以下页面对接（以下页面均调用</w:t>
      </w:r>
      <w:bookmarkStart w:id="194" w:name="OLE_LINK2"/>
      <w:r>
        <w:rPr>
          <w:rFonts w:hint="eastAsia" w:ascii="仿宋_GB2312" w:hAnsi="仿宋_GB2312" w:eastAsia="仿宋_GB2312" w:cs="仿宋_GB2312"/>
          <w:sz w:val="28"/>
          <w:szCs w:val="28"/>
          <w:lang w:val="en-US" w:eastAsia="zh-CN"/>
        </w:rPr>
        <w:t xml:space="preserve">接口</w:t>
      </w:r>
      <w:bookmarkEnd w:id="194"/>
      <w:r>
        <w:rPr>
          <w:rFonts w:hint="eastAsia" w:ascii="仿宋_GB2312" w:hAnsi="仿宋_GB2312" w:eastAsia="仿宋_GB2312" w:cs="仿宋_GB2312"/>
          <w:b w:val="0"/>
          <w:bCs w:val="0"/>
          <w:i w:val="0"/>
          <w:iCs w:val="0"/>
          <w:color w:val="000000"/>
          <w:spacing w:val="0"/>
          <w:sz w:val="28"/>
          <w:szCs w:val="28"/>
          <w:vertAlign w:val="baseline"/>
        </w:rPr>
        <w:t xml:space="preserve">《居民自测血压仪</w:t>
      </w:r>
      <w:r>
        <w:rPr>
          <w:rFonts w:hint="eastAsia" w:ascii="仿宋_GB2312" w:hAnsi="仿宋_GB2312" w:eastAsia="仿宋_GB2312" w:cs="仿宋_GB2312"/>
          <w:b w:val="0"/>
          <w:bCs w:val="0"/>
          <w:i w:val="0"/>
          <w:iCs w:val="0"/>
          <w:color w:val="000000"/>
          <w:spacing w:val="0"/>
          <w:sz w:val="28"/>
          <w:szCs w:val="28"/>
          <w:vertAlign w:val="baseline"/>
          <w:lang w:eastAsia="zh-CN"/>
        </w:rPr>
        <w:t xml:space="preserve">结果查询页面接口规范》</w:t>
      </w:r>
      <w:r>
        <w:rPr>
          <w:rFonts w:hint="eastAsia" w:ascii="仿宋_GB2312" w:hAnsi="仿宋_GB2312" w:eastAsia="仿宋_GB2312" w:cs="仿宋_GB2312"/>
          <w:sz w:val="28"/>
          <w:szCs w:val="28"/>
          <w:lang w:val="en-US" w:eastAsia="zh-CN"/>
        </w:rPr>
        <w:t xml:space="preserve">中4.2节居民自测血压接口）</w:t>
      </w:r>
      <w:r>
        <w:rPr>
          <w:rFonts w:hint="eastAsia" w:ascii="仿宋_GB2312" w:hAnsi="仿宋_GB2312" w:eastAsia="仿宋_GB2312" w:cs="仿宋_GB2312"/>
          <w:b w:val="0"/>
          <w:bCs w:val="0"/>
          <w:i w:val="0"/>
          <w:iCs w:val="0"/>
          <w:color w:val="000000"/>
          <w:spacing w:val="0"/>
          <w:sz w:val="28"/>
          <w:szCs w:val="28"/>
          <w:vertAlign w:val="baseline"/>
          <w:lang w:eastAsia="zh-CN"/>
        </w:rPr>
        <w:t xml:space="preserve">：</w:t>
      </w:r>
      <w:r/>
    </w:p>
    <w:tbl>
      <w:tblPr>
        <w:tblStyle w:val="822"/>
        <w:tblpPr w:horzAnchor="page" w:tblpX="1572" w:vertAnchor="text" w:tblpY="198"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1553"/>
        <w:gridCol w:w="2033"/>
        <w:gridCol w:w="1930"/>
        <w:gridCol w:w="2544"/>
      </w:tblGrid>
      <w:tr>
        <w:trPr>
          <w:jc w:val="center"/>
          <w:trHeight w:val="559"/>
        </w:trPr>
        <w:tc>
          <w:tcPr>
            <w:tcW w:w="659" w:type="pct"/>
            <w:vAlign w:val="center"/>
            <w:textDirection w:val="lrTb"/>
            <w:noWrap w:val="false"/>
          </w:tcPr>
          <w:p>
            <w:pPr>
              <w:numPr>
                <w:ilvl w:val="0"/>
                <w:numId w:val="0"/>
              </w:numPr>
              <w:ind w:firstLine="0"/>
              <w:jc w:val="center"/>
              <w:keepLines w:val="0"/>
              <w:keepNext w:val="0"/>
              <w:pageBreakBefore w:val="0"/>
              <w:spacing w:after="0" w:line="400" w:lineRule="exact"/>
              <w:widowControl/>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b/>
                <w:bCs/>
                <w:sz w:val="28"/>
                <w:szCs w:val="28"/>
                <w:vertAlign w:val="baseline"/>
                <w:lang w:val="en-US" w:eastAsia="zh-CN"/>
              </w:rPr>
              <w:t xml:space="preserve">页面</w:t>
            </w:r>
            <w:r/>
          </w:p>
        </w:tc>
        <w:tc>
          <w:tcPr>
            <w:tcW w:w="836" w:type="pct"/>
            <w:vAlign w:val="center"/>
            <w:textDirection w:val="lrTb"/>
            <w:noWrap w:val="false"/>
          </w:tcPr>
          <w:p>
            <w:pPr>
              <w:numPr>
                <w:ilvl w:val="0"/>
                <w:numId w:val="0"/>
              </w:numPr>
              <w:ind w:firstLine="0"/>
              <w:jc w:val="center"/>
              <w:keepLines w:val="0"/>
              <w:keepNext w:val="0"/>
              <w:pageBreakBefore w:val="0"/>
              <w:spacing w:after="0" w:line="400" w:lineRule="exact"/>
              <w:widowControl/>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b/>
                <w:bCs/>
                <w:sz w:val="28"/>
                <w:szCs w:val="28"/>
                <w:vertAlign w:val="baseline"/>
                <w:lang w:val="en-US" w:eastAsia="zh-CN"/>
              </w:rPr>
              <w:t xml:space="preserve">展示模块</w:t>
            </w:r>
            <w:r/>
          </w:p>
        </w:tc>
        <w:tc>
          <w:tcPr>
            <w:tcW w:w="1094" w:type="pct"/>
            <w:vAlign w:val="center"/>
            <w:textDirection w:val="lrTb"/>
            <w:noWrap w:val="false"/>
          </w:tcPr>
          <w:p>
            <w:pPr>
              <w:numPr>
                <w:ilvl w:val="0"/>
                <w:numId w:val="0"/>
              </w:numPr>
              <w:ind w:firstLine="0"/>
              <w:jc w:val="center"/>
              <w:keepLines w:val="0"/>
              <w:keepNext w:val="0"/>
              <w:pageBreakBefore w:val="0"/>
              <w:spacing w:after="0" w:line="400" w:lineRule="exact"/>
              <w:widowControl/>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b/>
                <w:bCs/>
                <w:sz w:val="28"/>
                <w:szCs w:val="28"/>
                <w:vertAlign w:val="baseline"/>
                <w:lang w:val="en-US" w:eastAsia="zh-CN"/>
              </w:rPr>
              <w:t xml:space="preserve">使用对象</w:t>
            </w:r>
            <w:r/>
          </w:p>
        </w:tc>
        <w:tc>
          <w:tcPr>
            <w:tcW w:w="1039" w:type="pct"/>
            <w:vAlign w:val="center"/>
            <w:textDirection w:val="lrTb"/>
            <w:noWrap w:val="false"/>
          </w:tcPr>
          <w:p>
            <w:pPr>
              <w:numPr>
                <w:ilvl w:val="0"/>
                <w:numId w:val="0"/>
              </w:numPr>
              <w:ind w:firstLine="0"/>
              <w:jc w:val="center"/>
              <w:keepLines w:val="0"/>
              <w:keepNext w:val="0"/>
              <w:pageBreakBefore w:val="0"/>
              <w:spacing w:after="0" w:line="400" w:lineRule="exact"/>
              <w:widowControl/>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b/>
                <w:bCs/>
                <w:sz w:val="28"/>
                <w:szCs w:val="28"/>
                <w:vertAlign w:val="baseline"/>
                <w:lang w:val="en-US" w:eastAsia="zh-CN"/>
              </w:rPr>
              <w:t xml:space="preserve">参数</w:t>
            </w:r>
            <w:r/>
          </w:p>
        </w:tc>
        <w:tc>
          <w:tcPr>
            <w:tcW w:w="1369" w:type="pct"/>
            <w:vAlign w:val="center"/>
            <w:textDirection w:val="lrTb"/>
            <w:noWrap w:val="false"/>
          </w:tcPr>
          <w:p>
            <w:pPr>
              <w:numPr>
                <w:ilvl w:val="0"/>
                <w:numId w:val="0"/>
              </w:numPr>
              <w:ind w:firstLine="0"/>
              <w:jc w:val="center"/>
              <w:keepLines w:val="0"/>
              <w:keepNext w:val="0"/>
              <w:pageBreakBefore w:val="0"/>
              <w:spacing w:after="0" w:line="400" w:lineRule="exact"/>
              <w:widowControl/>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b/>
                <w:bCs/>
                <w:sz w:val="28"/>
                <w:szCs w:val="28"/>
                <w:vertAlign w:val="baseline"/>
                <w:lang w:val="en-US" w:eastAsia="zh-CN"/>
              </w:rPr>
              <w:t xml:space="preserve">功能要求</w:t>
            </w:r>
            <w:r/>
          </w:p>
        </w:tc>
      </w:tr>
      <w:tr>
        <w:trPr>
          <w:jc w:val="center"/>
          <w:trHeight w:val="1551"/>
        </w:trPr>
        <w:tc>
          <w:tcPr>
            <w:tcW w:w="659" w:type="pct"/>
            <w:vAlign w:val="center"/>
            <w:vMerge w:val="restart"/>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机构血压自测数据查询</w:t>
            </w:r>
            <w:r/>
          </w:p>
        </w:tc>
        <w:tc>
          <w:tcPr>
            <w:tcW w:w="836"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bookmarkStart w:id="195" w:name="OLE_LINK1"/>
            <w:r>
              <w:rPr>
                <w:rFonts w:hint="eastAsia" w:ascii="仿宋_GB2312" w:hAnsi="仿宋_GB2312" w:eastAsia="仿宋_GB2312" w:cs="仿宋_GB2312"/>
                <w:sz w:val="28"/>
                <w:szCs w:val="28"/>
                <w:vertAlign w:val="baseline"/>
                <w:lang w:val="en-US" w:eastAsia="zh-CN"/>
              </w:rPr>
              <w:t xml:space="preserve">和基本公卫其他模块同级</w:t>
            </w:r>
            <w:bookmarkEnd w:id="195"/>
            <w:r/>
            <w:r/>
          </w:p>
        </w:tc>
        <w:tc>
          <w:tcPr>
            <w:tcW w:w="1094"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乡镇卫生院防保科</w:t>
            </w:r>
            <w:r/>
          </w:p>
        </w:tc>
        <w:tc>
          <w:tcPr>
            <w:tcW w:w="1039" w:type="pct"/>
            <w:vAlign w:val="center"/>
            <w:textDirection w:val="lrTb"/>
            <w:noWrap w:val="false"/>
          </w:tcPr>
          <w:p>
            <w:pPr>
              <w:ind w:firstLine="0"/>
              <w:jc w:val="left"/>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suppressLineNumbers w:val="0"/>
            </w:pPr>
            <w:r>
              <w:rPr>
                <w:rFonts w:hint="eastAsia" w:ascii="仿宋_GB2312" w:hAnsi="仿宋_GB2312" w:eastAsia="仿宋_GB2312" w:cs="仿宋_GB2312"/>
                <w:color w:val="000000"/>
                <w:sz w:val="28"/>
                <w:szCs w:val="28"/>
                <w:lang w:val="en-US" w:eastAsia="zh-CN" w:bidi="ar"/>
              </w:rPr>
              <w:t xml:space="preserve">从省平台3.2接口获取的streetCode（当前街道）</w:t>
            </w:r>
            <w:r/>
          </w:p>
        </w:tc>
        <w:tc>
          <w:tcPr>
            <w:tcW w:w="1369"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能看到该乡镇卫生院所在街道下辖所有机构的血压自测数据，做高血压早筛管理</w:t>
            </w:r>
            <w:r/>
          </w:p>
        </w:tc>
      </w:tr>
      <w:tr>
        <w:trPr>
          <w:jc w:val="center"/>
          <w:trHeight w:val="1551"/>
        </w:trPr>
        <w:tc>
          <w:tcPr>
            <w:tcW w:w="659" w:type="pct"/>
            <w:vAlign w:val="center"/>
            <w:vMerge w:val="continue"/>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r>
            <w:r/>
          </w:p>
        </w:tc>
        <w:tc>
          <w:tcPr>
            <w:tcW w:w="836"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和基本公卫其他模块同级</w:t>
            </w:r>
            <w:r/>
          </w:p>
        </w:tc>
        <w:tc>
          <w:tcPr>
            <w:tcW w:w="1094"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乡村医生、全科医生</w:t>
            </w:r>
            <w:r/>
          </w:p>
        </w:tc>
        <w:tc>
          <w:tcPr>
            <w:tcW w:w="1039" w:type="pct"/>
            <w:vAlign w:val="center"/>
            <w:textDirection w:val="lrTb"/>
            <w:noWrap w:val="false"/>
          </w:tcPr>
          <w:p>
            <w:pPr>
              <w:ind w:firstLine="0"/>
              <w:jc w:val="left"/>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suppressLineNumbers w:val="0"/>
            </w:pPr>
            <w:r>
              <w:rPr>
                <w:rFonts w:hint="eastAsia" w:ascii="仿宋_GB2312" w:hAnsi="仿宋_GB2312" w:eastAsia="仿宋_GB2312" w:cs="仿宋_GB2312"/>
                <w:color w:val="000000"/>
                <w:sz w:val="28"/>
                <w:szCs w:val="28"/>
                <w:lang w:val="en-US" w:eastAsia="zh-CN" w:bidi="ar"/>
              </w:rPr>
              <w:t xml:space="preserve">从省平台3.2接口获取的orgCode</w:t>
            </w:r>
            <w:r>
              <w:rPr>
                <w:rFonts w:hint="eastAsia" w:ascii="仿宋_GB2312" w:hAnsi="仿宋_GB2312" w:eastAsia="仿宋_GB2312" w:cs="仿宋_GB2312"/>
                <w:color w:val="000000"/>
                <w:sz w:val="28"/>
                <w:szCs w:val="28"/>
                <w:lang w:val="en-US" w:eastAsia="zh-CN" w:bidi="ar"/>
              </w:rPr>
              <w:br/>
            </w:r>
            <w:r>
              <w:rPr>
                <w:rFonts w:hint="eastAsia" w:ascii="仿宋_GB2312" w:hAnsi="仿宋_GB2312" w:eastAsia="仿宋_GB2312" w:cs="仿宋_GB2312"/>
                <w:color w:val="000000"/>
                <w:sz w:val="28"/>
                <w:szCs w:val="28"/>
                <w:lang w:val="en-US" w:eastAsia="zh-CN" w:bidi="ar"/>
              </w:rPr>
              <w:t xml:space="preserve">（当前机构）</w:t>
            </w:r>
            <w:r/>
          </w:p>
        </w:tc>
        <w:tc>
          <w:tcPr>
            <w:tcW w:w="1369"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仅能看到当前机构（乡镇卫生院仅看镇本级）居民血压自测数据，对自测异常血压值跟踪处置</w:t>
            </w:r>
            <w:r/>
          </w:p>
        </w:tc>
      </w:tr>
      <w:tr>
        <w:trPr>
          <w:jc w:val="center"/>
          <w:trHeight w:val="1243"/>
        </w:trPr>
        <w:tc>
          <w:tcPr>
            <w:tcW w:w="659"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居民个人血压自测数据查询</w:t>
            </w:r>
            <w:r/>
          </w:p>
        </w:tc>
        <w:tc>
          <w:tcPr>
            <w:tcW w:w="836"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从居民个人健康档案进入</w:t>
            </w:r>
            <w:r/>
          </w:p>
        </w:tc>
        <w:tc>
          <w:tcPr>
            <w:tcW w:w="1094"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乡村医生、全科医生</w:t>
            </w:r>
            <w:r/>
          </w:p>
        </w:tc>
        <w:tc>
          <w:tcPr>
            <w:tcW w:w="1039" w:type="pct"/>
            <w:vAlign w:val="center"/>
            <w:textDirection w:val="lrTb"/>
            <w:noWrap w:val="false"/>
          </w:tcPr>
          <w:p>
            <w:pPr>
              <w:ind w:firstLine="0"/>
              <w:jc w:val="left"/>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suppressLineNumbers w:val="0"/>
            </w:pPr>
            <w:r>
              <w:rPr>
                <w:rFonts w:hint="eastAsia" w:ascii="仿宋_GB2312" w:hAnsi="仿宋_GB2312" w:eastAsia="仿宋_GB2312" w:cs="仿宋_GB2312"/>
                <w:color w:val="000000"/>
                <w:sz w:val="28"/>
                <w:szCs w:val="28"/>
                <w:lang w:val="en-US" w:eastAsia="zh-CN" w:bidi="ar"/>
              </w:rPr>
              <w:t xml:space="preserve">cardNo，居民身份证号</w:t>
            </w:r>
            <w:r/>
          </w:p>
        </w:tc>
        <w:tc>
          <w:tcPr>
            <w:tcW w:w="1369"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仅能看到居民个人的血压自测历史数据，可以对自测异常血压值跟踪处置</w:t>
            </w:r>
            <w:r/>
          </w:p>
        </w:tc>
      </w:tr>
      <w:tr>
        <w:trPr>
          <w:jc w:val="center"/>
          <w:trHeight w:val="955"/>
        </w:trPr>
        <w:tc>
          <w:tcPr>
            <w:tcW w:w="659"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区县报表页面</w:t>
            </w:r>
            <w:r/>
          </w:p>
        </w:tc>
        <w:tc>
          <w:tcPr>
            <w:tcW w:w="836"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区县卫健委管理端</w:t>
            </w:r>
            <w:r/>
          </w:p>
        </w:tc>
        <w:tc>
          <w:tcPr>
            <w:tcW w:w="1094"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区县卫健委管理人员</w:t>
            </w:r>
            <w:r/>
          </w:p>
        </w:tc>
        <w:tc>
          <w:tcPr>
            <w:tcW w:w="1039"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color w:val="000000"/>
                <w:sz w:val="28"/>
                <w:szCs w:val="28"/>
                <w:lang w:val="en-US" w:eastAsia="zh-CN" w:bidi="ar"/>
              </w:rPr>
              <w:t xml:space="preserve">从省平台3.2接口获取的</w:t>
            </w:r>
            <w:r>
              <w:rPr>
                <w:rFonts w:hint="eastAsia" w:ascii="仿宋_GB2312" w:hAnsi="仿宋_GB2312" w:eastAsia="仿宋_GB2312" w:cs="仿宋_GB2312"/>
                <w:sz w:val="28"/>
                <w:szCs w:val="28"/>
                <w:vertAlign w:val="baseline"/>
                <w:lang w:val="en-US" w:eastAsia="zh-CN"/>
              </w:rPr>
              <w:t xml:space="preserve">districtCode</w:t>
            </w:r>
            <w:r>
              <w:rPr>
                <w:rFonts w:hint="eastAsia" w:ascii="仿宋_GB2312" w:hAnsi="仿宋_GB2312" w:eastAsia="仿宋_GB2312" w:cs="仿宋_GB2312"/>
                <w:color w:val="000000"/>
                <w:sz w:val="28"/>
                <w:szCs w:val="28"/>
                <w:lang w:val="en-US" w:eastAsia="zh-CN" w:bidi="ar"/>
              </w:rPr>
              <w:t xml:space="preserve">（当前区县）</w:t>
            </w:r>
            <w:r/>
          </w:p>
        </w:tc>
        <w:tc>
          <w:tcPr>
            <w:tcW w:w="1369" w:type="pct"/>
            <w:vAlign w:val="center"/>
            <w:textDirection w:val="lrTb"/>
            <w:noWrap w:val="false"/>
          </w:tcPr>
          <w:p>
            <w:pPr>
              <w:numPr>
                <w:ilvl w:val="0"/>
                <w:numId w:val="0"/>
              </w:numPr>
              <w:ind w:firstLine="0"/>
              <w:keepLines w:val="0"/>
              <w:keepNext w:val="0"/>
              <w:pageBreakBefore w:val="0"/>
              <w:spacing w:after="0" w:line="400" w:lineRule="exact"/>
              <w:widowControl/>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能够看到当前区县血压自测数据的统计分析报表</w:t>
            </w:r>
            <w:r/>
          </w:p>
        </w:tc>
      </w:tr>
    </w:tbl>
    <w:p>
      <w:pPr>
        <w:pageBreakBefore w:val="0"/>
        <w:spacing w:line="50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r>
      <w:r/>
    </w:p>
    <w:p>
      <w:pPr>
        <w:pStyle w:val="819"/>
        <w:numPr>
          <w:ilvl w:val="0"/>
          <w:numId w:val="5"/>
        </w:numPr>
        <w:ind w:left="0" w:right="0" w:firstLine="560"/>
        <w:jc w:val="both"/>
        <w:keepLines w:val="0"/>
        <w:keepNext w:val="0"/>
        <w:pageBreakBefore w:val="0"/>
        <w:spacing w:beforeAutospacing="0" w:afterAutospacing="0" w:line="500" w:lineRule="exact"/>
        <w:widowControl/>
        <w:rPr>
          <w:rFonts w:hint="eastAsia" w:ascii="仿宋_GB2312" w:hAnsi="仿宋_GB2312" w:eastAsia="仿宋_GB2312" w:cs="仿宋_GB2312"/>
          <w:b w:val="0"/>
          <w:bCs w:val="0"/>
          <w:i w:val="0"/>
          <w:iCs w:val="0"/>
          <w:color w:val="000000"/>
          <w:spacing w:val="0"/>
          <w:sz w:val="28"/>
          <w:szCs w:val="28"/>
          <w:vertAlign w:val="baseline"/>
          <w:lang w:val="en-US" w:eastAsia="zh-CN"/>
        </w:rPr>
        <w:outlineLvl w:val="2"/>
        <w:suppressLineNumbers w:val="0"/>
      </w:pPr>
      <w:r>
        <w:rPr>
          <w:rFonts w:hint="eastAsia" w:ascii="仿宋_GB2312" w:hAnsi="仿宋_GB2312" w:eastAsia="仿宋_GB2312" w:cs="仿宋_GB2312"/>
          <w:b w:val="0"/>
          <w:bCs w:val="0"/>
          <w:i w:val="0"/>
          <w:iCs w:val="0"/>
          <w:color w:val="000000"/>
          <w:spacing w:val="0"/>
          <w:sz w:val="28"/>
          <w:szCs w:val="28"/>
          <w:vertAlign w:val="baseline"/>
          <w:lang w:val="en-US" w:eastAsia="zh-CN"/>
        </w:rPr>
        <w:t xml:space="preserve">机构编码对码映射工作</w:t>
      </w:r>
      <w:r/>
    </w:p>
    <w:p>
      <w:pPr>
        <w:ind w:firstLine="560"/>
        <w:keepLines/>
        <w:keepNext/>
        <w:pageBreakBefore w:val="0"/>
        <w:spacing w:line="500" w:lineRule="exact"/>
        <w:widowControl w:val="off"/>
        <w:rPr>
          <w:rFonts w:hint="eastAsia" w:ascii="仿宋_GB2312" w:hAnsi="仿宋_GB2312" w:eastAsia="仿宋_GB2312" w:cs="仿宋_GB2312"/>
          <w:sz w:val="28"/>
          <w:szCs w:val="28"/>
          <w:lang w:val="en-US" w:eastAsia="zh-CN"/>
        </w:rPr>
        <w:outlineLvl w:val="9"/>
      </w:pPr>
      <w:r>
        <w:rPr>
          <w:rFonts w:hint="eastAsia" w:ascii="仿宋_GB2312" w:hAnsi="仿宋_GB2312" w:eastAsia="仿宋_GB2312" w:cs="仿宋_GB2312"/>
          <w:sz w:val="28"/>
          <w:szCs w:val="28"/>
          <w:lang w:val="en-US" w:eastAsia="zh-CN"/>
        </w:rPr>
        <w:t xml:space="preserve">省平台“居民自测血压仪结果查询页面”机构编码采用卫统全国唯一识别码，与血压仪设备绑定码一一匹配。</w:t>
      </w:r>
      <w:r/>
    </w:p>
    <w:p>
      <w:pPr>
        <w:ind w:firstLine="560"/>
        <w:keepLines/>
        <w:keepNext/>
        <w:pageBreakBefore w:val="0"/>
        <w:spacing w:line="500" w:lineRule="exact"/>
        <w:widowControl w:val="off"/>
        <w:rPr>
          <w:rFonts w:hint="eastAsia" w:ascii="仿宋_GB2312" w:hAnsi="仿宋_GB2312" w:eastAsia="仿宋_GB2312" w:cs="仿宋_GB2312"/>
          <w:sz w:val="28"/>
          <w:szCs w:val="28"/>
          <w:lang w:val="en-US" w:eastAsia="zh-CN"/>
        </w:rPr>
        <w:outlineLvl w:val="9"/>
      </w:pPr>
      <w:r>
        <w:rPr>
          <w:rFonts w:hint="eastAsia" w:ascii="仿宋_GB2312" w:hAnsi="仿宋_GB2312" w:eastAsia="仿宋_GB2312" w:cs="仿宋_GB2312"/>
          <w:sz w:val="28"/>
          <w:szCs w:val="28"/>
          <w:lang w:val="en-US" w:eastAsia="zh-CN"/>
        </w:rPr>
        <w:t xml:space="preserve">各区县公卫系统和省平台系统编码可能不是同一套，各区县应该调用《居民自测血压仪结果查询页面接口规范》中“3.2机构信息查询接口”，获取当前区县所有机构编码，并且梳理完成公卫系统机构、区划编码和省平台编码的对照映射关系，确保后续调用省平台页面能够正确传参。</w:t>
      </w:r>
      <w:r/>
    </w:p>
    <w:p>
      <w:pPr>
        <w:pStyle w:val="819"/>
        <w:numPr>
          <w:ilvl w:val="0"/>
          <w:numId w:val="5"/>
        </w:numPr>
        <w:ind w:left="0" w:right="0" w:firstLine="560"/>
        <w:jc w:val="both"/>
        <w:keepLines w:val="0"/>
        <w:keepNext w:val="0"/>
        <w:pageBreakBefore w:val="0"/>
        <w:spacing w:beforeAutospacing="0" w:afterAutospacing="0" w:line="500" w:lineRule="exact"/>
        <w:widowControl/>
        <w:rPr>
          <w:rFonts w:hint="eastAsia" w:ascii="仿宋_GB2312" w:hAnsi="仿宋_GB2312" w:eastAsia="仿宋_GB2312" w:cs="仿宋_GB2312"/>
          <w:b w:val="0"/>
          <w:bCs w:val="0"/>
          <w:i w:val="0"/>
          <w:iCs w:val="0"/>
          <w:color w:val="000000"/>
          <w:spacing w:val="0"/>
          <w:sz w:val="28"/>
          <w:szCs w:val="28"/>
          <w:vertAlign w:val="baseline"/>
          <w:lang w:val="en-US" w:eastAsia="zh-CN"/>
        </w:rPr>
        <w:outlineLvl w:val="2"/>
        <w:suppressLineNumbers w:val="0"/>
      </w:pPr>
      <w:r>
        <w:rPr>
          <w:rFonts w:hint="eastAsia" w:ascii="仿宋_GB2312" w:hAnsi="仿宋_GB2312" w:eastAsia="仿宋_GB2312" w:cs="仿宋_GB2312"/>
          <w:b w:val="0"/>
          <w:bCs w:val="0"/>
          <w:i w:val="0"/>
          <w:iCs w:val="0"/>
          <w:color w:val="000000"/>
          <w:spacing w:val="0"/>
          <w:sz w:val="28"/>
          <w:szCs w:val="28"/>
          <w:vertAlign w:val="baseline"/>
          <w:lang w:val="en-US" w:eastAsia="zh-CN"/>
        </w:rPr>
        <w:t xml:space="preserve">账号及权限</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val="en-US" w:eastAsia="zh-CN"/>
        </w:rPr>
        <w:t xml:space="preserve">部分区县在页面对接集成工作完成后，只为测试账号开通了菜单权限，实际未在区县内推广应用。各区县基层公卫系统应为所有相关工作人员账号开通权限，确保所有工作人员均能访问居民自测血压的查询、处置和管理页面。</w:t>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196" w:name="_Toc1365094248"/>
      <w:r>
        <w:rPr>
          <w:rFonts w:hint="eastAsia" w:ascii="仿宋_GB2312" w:hAnsi="仿宋_GB2312" w:eastAsia="仿宋_GB2312" w:cs="仿宋_GB2312"/>
          <w:b/>
          <w:sz w:val="28"/>
          <w:szCs w:val="28"/>
        </w:rPr>
        <w:t xml:space="preserve">（二）网络验证和基础数据采集</w:t>
      </w:r>
      <w:bookmarkEnd w:id="196"/>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197" w:name="_Toc1571225235"/>
      <w:r>
        <w:rPr>
          <w:rFonts w:hint="eastAsia" w:ascii="仿宋_GB2312" w:hAnsi="仿宋_GB2312" w:eastAsia="仿宋_GB2312" w:cs="仿宋_GB2312"/>
          <w:b w:val="0"/>
          <w:sz w:val="28"/>
          <w:szCs w:val="28"/>
        </w:rPr>
        <w:t xml:space="preserve">1. 网络验证</w:t>
      </w:r>
      <w:bookmarkEnd w:id="197"/>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完成各区县网络验证工作，确保辖区内各血压仪配发机构可正常连通卫生专网（影像云专线）、医保专网。配合使用省级统一配发的网络验证小工具，完成网络连通性自测、验证工作。</w:t>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198" w:name="_Toc2123601133"/>
      <w:r>
        <w:rPr>
          <w:rFonts w:hint="eastAsia" w:ascii="仿宋_GB2312" w:hAnsi="仿宋_GB2312" w:eastAsia="仿宋_GB2312" w:cs="仿宋_GB2312"/>
          <w:b w:val="0"/>
          <w:sz w:val="28"/>
          <w:szCs w:val="28"/>
        </w:rPr>
        <w:t xml:space="preserve">2. 基础数据采集</w:t>
      </w:r>
      <w:bookmarkEnd w:id="198"/>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（1）采集机构范围为拟配发医用血压仪设备的基层医疗机构，包括镇、村两级。</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2）采集配发血压仪设备的基层医疗机构对应的医保专网、卫生专网网络出口IP地址、基层医疗机构的医保机构编码和名称等，省级统一开通网络策略，使得基层医疗机构能够顺利使用血压仪的人脸识别功能、居民血压自测数据能顺利上传至省全民健康信息平台。</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（3）补充采集未在卫生统计系统中注册的基层机构，各机构血压仪设备绑定的唯一编码采用卫生统计系统的"全国唯一识别码"。</w:t>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199" w:name="_Toc186029191"/>
      <w:r>
        <w:rPr>
          <w:rFonts w:hint="eastAsia" w:ascii="仿宋_GB2312" w:hAnsi="仿宋_GB2312" w:eastAsia="仿宋_GB2312" w:cs="仿宋_GB2312"/>
          <w:b/>
          <w:sz w:val="28"/>
          <w:szCs w:val="28"/>
        </w:rPr>
        <w:t xml:space="preserve">（三）血压仪页面集成</w:t>
      </w:r>
      <w:bookmarkEnd w:id="199"/>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按照省平台《居民自测血压仪结果查询页面接口规范》与省平台进行对接，将血压仪自测数据的展示、处理应用、统计分析等页面集成至公卫系统。</w:t>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200" w:name="_Toc2003906752"/>
      <w:r>
        <w:rPr>
          <w:rFonts w:hint="eastAsia" w:ascii="仿宋_GB2312" w:hAnsi="仿宋_GB2312" w:eastAsia="仿宋_GB2312" w:cs="仿宋_GB2312"/>
          <w:b w:val="0"/>
          <w:sz w:val="28"/>
          <w:szCs w:val="28"/>
        </w:rPr>
        <w:t xml:space="preserve">1. 必须集成的页面：</w:t>
      </w:r>
      <w:bookmarkEnd w:id="200"/>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（1）基层机构查询居民自测血压结果</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（2）健康档案系统居民自测血压结果查询</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（3）区县居民自测血压统计报表</w:t>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201" w:name="_Toc674744963"/>
      <w:r>
        <w:rPr>
          <w:rFonts w:hint="eastAsia" w:ascii="仿宋_GB2312" w:hAnsi="仿宋_GB2312" w:eastAsia="仿宋_GB2312" w:cs="仿宋_GB2312"/>
          <w:b w:val="0"/>
          <w:sz w:val="28"/>
          <w:szCs w:val="28"/>
        </w:rPr>
        <w:t xml:space="preserve">2. 选做页面：</w:t>
      </w:r>
      <w:bookmarkEnd w:id="201"/>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居民自测血压结果自查询页面，可集成至各市县便民服务移动端页面。</w:t>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202" w:name="_Toc1724936981"/>
      <w:r>
        <w:rPr>
          <w:rFonts w:hint="eastAsia" w:ascii="仿宋_GB2312" w:hAnsi="仿宋_GB2312" w:eastAsia="仿宋_GB2312" w:cs="仿宋_GB2312"/>
          <w:b/>
          <w:sz w:val="28"/>
          <w:szCs w:val="28"/>
        </w:rPr>
        <w:t xml:space="preserve">（四）设备安装激活</w:t>
      </w:r>
      <w:bookmarkEnd w:id="202"/>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203" w:name="_Toc2134088814"/>
      <w:r>
        <w:rPr>
          <w:rFonts w:hint="eastAsia" w:ascii="仿宋_GB2312" w:hAnsi="仿宋_GB2312" w:eastAsia="仿宋_GB2312" w:cs="仿宋_GB2312"/>
          <w:b w:val="0"/>
          <w:sz w:val="28"/>
          <w:szCs w:val="28"/>
        </w:rPr>
        <w:t xml:space="preserve">1. 刷脸模块激活绑定</w:t>
      </w:r>
      <w:bookmarkEnd w:id="203"/>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（1）设备通电通网，完成IP与网关等基础配置。</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（2）录入机构的医保机构编码、医保机构名称，完成设备激活工作，通过医保机构编码将人脸识别设备绑定到对应机构。</w:t>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204" w:name="_Toc358824704"/>
      <w:r>
        <w:rPr>
          <w:rFonts w:hint="eastAsia" w:ascii="仿宋_GB2312" w:hAnsi="仿宋_GB2312" w:eastAsia="仿宋_GB2312" w:cs="仿宋_GB2312"/>
          <w:b w:val="0"/>
          <w:sz w:val="28"/>
          <w:szCs w:val="28"/>
        </w:rPr>
        <w:t xml:space="preserve">2. 血压仪设备应用更新与配置</w:t>
      </w:r>
      <w:bookmarkEnd w:id="204"/>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（1）血压仪设备激活后，需完成应用更新才能顺利将居民自测数据上传至省全民健康信息平台。</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（2）每天有两次推送时间窗口（上午11点30或下午4点），到点后在设备上点击重载配置，应用会自动挂载更新。</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（3）更新后通过"全国唯一识别码"将设备绑定到卫健系统的对应机构，使得全民健康信息平台能识别到血压上报数据所属机构。</w:t>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205" w:name="_Toc632719352"/>
      <w:r>
        <w:rPr>
          <w:rFonts w:hint="eastAsia" w:ascii="仿宋_GB2312" w:hAnsi="仿宋_GB2312" w:eastAsia="仿宋_GB2312" w:cs="仿宋_GB2312"/>
          <w:b/>
          <w:sz w:val="28"/>
          <w:szCs w:val="28"/>
        </w:rPr>
        <w:t xml:space="preserve">（五）血压仪数据上传</w:t>
      </w:r>
      <w:bookmarkEnd w:id="205"/>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居民自测血压后，数据实时上传到江苏省全民健康信息平台，基层医疗机构可以通过集成的页面实时查看血压结果，集成页面能看到新测量的血压数据说明设备安装成功。</w:t>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206" w:name="_Toc1922612767"/>
      <w:r>
        <w:rPr>
          <w:rFonts w:hint="eastAsia" w:ascii="仿宋_GB2312" w:hAnsi="仿宋_GB2312" w:eastAsia="仿宋_GB2312" w:cs="仿宋_GB2312"/>
          <w:b/>
          <w:sz w:val="28"/>
          <w:szCs w:val="28"/>
        </w:rPr>
        <w:t xml:space="preserve">（六）技术实现要求</w:t>
      </w:r>
      <w:bookmarkEnd w:id="206"/>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207" w:name="_Toc166338560"/>
      <w:r>
        <w:rPr>
          <w:rFonts w:hint="eastAsia" w:ascii="仿宋_GB2312" w:hAnsi="仿宋_GB2312" w:eastAsia="仿宋_GB2312" w:cs="仿宋_GB2312"/>
          <w:b w:val="0"/>
          <w:sz w:val="28"/>
          <w:szCs w:val="28"/>
        </w:rPr>
        <w:t xml:space="preserve">1. 实施前对接沟通</w:t>
      </w:r>
      <w:bookmarkEnd w:id="207"/>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项目实施前，供应商须与兴化市卫健委及各基层医疗机构进行对接，调研传染病前置机系统需求，并组建院端实施微信群。</w:t>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208" w:name="_Toc1775953173"/>
      <w:r>
        <w:rPr>
          <w:rFonts w:hint="eastAsia" w:ascii="仿宋_GB2312" w:hAnsi="仿宋_GB2312" w:eastAsia="仿宋_GB2312" w:cs="仿宋_GB2312"/>
          <w:b w:val="0"/>
          <w:sz w:val="28"/>
          <w:szCs w:val="28"/>
        </w:rPr>
        <w:t xml:space="preserve">2. 部署情况</w:t>
      </w:r>
      <w:bookmarkEnd w:id="208"/>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兴化市卫健委（基层医疗机构）机房位于兴化市人民医院机房，血压仪项目接口需部署到</w:t>
      </w:r>
      <w:r>
        <w:rPr>
          <w:rFonts w:hint="eastAsia" w:ascii="仿宋_GB2312" w:hAnsi="仿宋_GB2312" w:eastAsia="仿宋_GB2312" w:cs="仿宋_GB2312"/>
          <w:b w:val="0"/>
          <w:sz w:val="28"/>
          <w:szCs w:val="28"/>
          <w:lang w:val="en-US" w:eastAsia="zh-CN"/>
        </w:rPr>
        <w:t xml:space="preserve">基层医疗机构</w:t>
      </w:r>
      <w:r>
        <w:rPr>
          <w:rFonts w:hint="eastAsia" w:ascii="仿宋_GB2312" w:hAnsi="仿宋_GB2312" w:eastAsia="仿宋_GB2312" w:cs="仿宋_GB2312"/>
          <w:b w:val="0"/>
          <w:sz w:val="28"/>
          <w:szCs w:val="28"/>
        </w:rPr>
        <w:t xml:space="preserve">的服务器上，并调配相关配置和参数。</w:t>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209" w:name="_Toc569768958"/>
      <w:r>
        <w:rPr>
          <w:rFonts w:hint="eastAsia" w:ascii="仿宋_GB2312" w:hAnsi="仿宋_GB2312" w:eastAsia="仿宋_GB2312" w:cs="仿宋_GB2312"/>
          <w:b w:val="0"/>
          <w:sz w:val="28"/>
          <w:szCs w:val="28"/>
        </w:rPr>
        <w:t xml:space="preserve">3. 院端接口改造</w:t>
      </w:r>
      <w:bookmarkEnd w:id="209"/>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供应商根据江苏省卫生健康信息中心《居民自测血压仪结果查询页面接口规范》完成相关接口改造和功能模块开发。</w:t>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210" w:name="_Toc477295133"/>
      <w:r>
        <w:rPr>
          <w:rFonts w:hint="eastAsia" w:ascii="仿宋_GB2312" w:hAnsi="仿宋_GB2312" w:eastAsia="仿宋_GB2312" w:cs="仿宋_GB2312"/>
          <w:b w:val="0"/>
          <w:sz w:val="28"/>
          <w:szCs w:val="28"/>
        </w:rPr>
        <w:t xml:space="preserve">4. 数据质量校验</w:t>
      </w:r>
      <w:bookmarkEnd w:id="210"/>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供应商根据江苏省卫生健康信息中心《居民自测血压仪结果查询页面接口规范》对数据进行有效值校验，直至达到规范要求。</w:t>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211" w:name="_Toc1047878786"/>
      <w:r>
        <w:rPr>
          <w:rFonts w:hint="eastAsia" w:ascii="仿宋_GB2312" w:hAnsi="仿宋_GB2312" w:eastAsia="仿宋_GB2312" w:cs="仿宋_GB2312"/>
          <w:b w:val="0"/>
          <w:sz w:val="28"/>
          <w:szCs w:val="28"/>
        </w:rPr>
        <w:t xml:space="preserve">5. 运行监测</w:t>
      </w:r>
      <w:bookmarkEnd w:id="211"/>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供应商根据江苏省卫生健康信息中心《居民自测血压仪结果查询页面接口规范》定期对接口进行巡检、优化，保证接口正常运行。</w:t>
      </w:r>
      <w:r/>
    </w:p>
    <w:p>
      <w:pPr>
        <w:ind w:firstLine="560"/>
        <w:jc w:val="left"/>
        <w:pageBreakBefore w:val="0"/>
        <w:spacing w:line="500" w:lineRule="exact"/>
        <w:rPr>
          <w:rFonts w:hint="eastAsia" w:ascii="仿宋_GB2312" w:hAnsi="仿宋_GB2312" w:eastAsia="仿宋_GB2312" w:cs="仿宋_GB2312"/>
          <w:sz w:val="28"/>
          <w:szCs w:val="28"/>
        </w:rPr>
        <w:outlineLvl w:val="2"/>
      </w:pPr>
      <w:r/>
      <w:bookmarkStart w:id="212" w:name="_Toc185367255"/>
      <w:r>
        <w:rPr>
          <w:rFonts w:hint="eastAsia" w:ascii="仿宋_GB2312" w:hAnsi="仿宋_GB2312" w:eastAsia="仿宋_GB2312" w:cs="仿宋_GB2312"/>
          <w:b w:val="0"/>
          <w:sz w:val="28"/>
          <w:szCs w:val="28"/>
        </w:rPr>
        <w:t xml:space="preserve">6. 数据上传常态化运维</w:t>
      </w:r>
      <w:bookmarkEnd w:id="212"/>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血压仪数据上传稳定后，兴化市卫健委定期监测数据上传情况，如出现数据采集异常情况，需供应商及时处理。</w:t>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213" w:name="_Toc1616166635"/>
      <w:r>
        <w:rPr>
          <w:rFonts w:hint="eastAsia" w:ascii="仿宋_GB2312" w:hAnsi="仿宋_GB2312" w:eastAsia="仿宋_GB2312" w:cs="仿宋_GB2312"/>
          <w:b/>
          <w:sz w:val="28"/>
          <w:szCs w:val="28"/>
        </w:rPr>
        <w:t xml:space="preserve">（七）技术成果要求</w:t>
      </w:r>
      <w:bookmarkEnd w:id="213"/>
      <w:r/>
      <w:r/>
    </w:p>
    <w:p>
      <w:pPr>
        <w:ind w:firstLine="560"/>
        <w:jc w:val="left"/>
        <w:pageBreakBefore w:val="0"/>
        <w:spacing w:line="500" w:lineRule="exact"/>
        <w:rPr>
          <w:rFonts w:hint="eastAsia" w:ascii="仿宋_GB2312" w:hAnsi="仿宋_GB2312" w:eastAsia="仿宋_GB2312" w:cs="仿宋_GB2312"/>
          <w:b w:val="0"/>
          <w:sz w:val="28"/>
          <w:szCs w:val="28"/>
        </w:rPr>
      </w:pPr>
      <w:r/>
      <w:bookmarkStart w:id="214" w:name="_Toc1539467189"/>
      <w:r>
        <w:rPr>
          <w:rFonts w:hint="eastAsia" w:ascii="仿宋_GB2312" w:hAnsi="仿宋_GB2312" w:eastAsia="仿宋_GB2312" w:cs="仿宋_GB2312"/>
          <w:b w:val="0"/>
          <w:sz w:val="28"/>
          <w:szCs w:val="28"/>
        </w:rPr>
        <w:t xml:space="preserve">1. 本项目涉及的所有接口改造完成后的技术成果（包括但不限于源代码、文档等）知识产权归采购人所有。</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 供应商须提供完整的接口技术文档、操作手册、维护手册等。</w:t>
      </w:r>
      <w:r/>
    </w:p>
    <w:p>
      <w:pPr>
        <w:ind w:firstLine="562"/>
        <w:jc w:val="left"/>
        <w:pageBreakBefore w:val="0"/>
        <w:spacing w:line="500" w:lineRule="exact"/>
        <w:rPr>
          <w:rFonts w:hint="eastAsia" w:ascii="仿宋_GB2312" w:hAnsi="仿宋_GB2312" w:eastAsia="仿宋_GB2312" w:cs="仿宋_GB2312"/>
          <w:sz w:val="28"/>
          <w:szCs w:val="28"/>
        </w:rPr>
        <w:outlineLvl w:val="1"/>
      </w:pPr>
      <w:r>
        <w:rPr>
          <w:rFonts w:hint="eastAsia" w:ascii="仿宋_GB2312" w:hAnsi="仿宋_GB2312" w:eastAsia="仿宋_GB2312" w:cs="仿宋_GB2312"/>
          <w:b/>
          <w:sz w:val="28"/>
          <w:szCs w:val="28"/>
        </w:rPr>
        <w:t xml:space="preserve">（八）项目工期</w:t>
      </w:r>
      <w:bookmarkEnd w:id="214"/>
      <w:r/>
      <w:r/>
    </w:p>
    <w:p>
      <w:pPr>
        <w:ind w:firstLine="560"/>
        <w:jc w:val="left"/>
        <w:pageBreakBefore w:val="0"/>
        <w:spacing w:line="500" w:lineRule="exac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val="0"/>
          <w:sz w:val="28"/>
          <w:szCs w:val="28"/>
          <w:highlight w:val="none"/>
        </w:rPr>
        <w:t xml:space="preserve">1. 项目</w:t>
      </w:r>
      <w:r>
        <w:rPr>
          <w:rFonts w:hint="eastAsia" w:ascii="仿宋_GB2312" w:hAnsi="仿宋_GB2312" w:eastAsia="仿宋_GB2312" w:cs="仿宋_GB2312"/>
          <w:b w:val="0"/>
          <w:sz w:val="28"/>
          <w:szCs w:val="28"/>
          <w:highlight w:val="none"/>
          <w:lang w:val="en-US" w:eastAsia="zh-CN"/>
        </w:rPr>
        <w:t xml:space="preserve">工期</w:t>
      </w:r>
      <w:r>
        <w:rPr>
          <w:rFonts w:hint="eastAsia" w:ascii="仿宋_GB2312" w:hAnsi="仿宋_GB2312" w:eastAsia="仿宋_GB2312" w:cs="仿宋_GB2312"/>
          <w:b w:val="0"/>
          <w:sz w:val="28"/>
          <w:szCs w:val="28"/>
          <w:highlight w:val="none"/>
        </w:rPr>
        <w:t xml:space="preserve">：</w:t>
      </w:r>
      <w:r>
        <w:rPr>
          <w:rFonts w:hint="eastAsia" w:ascii="仿宋_GB2312" w:hAnsi="仿宋_GB2312" w:eastAsia="仿宋_GB2312" w:cs="仿宋_GB2312"/>
          <w:color w:val="auto"/>
          <w:sz w:val="28"/>
          <w:szCs w:val="28"/>
          <w:highlight w:val="none"/>
        </w:rPr>
        <w:t xml:space="preserve">自合同签订之日起</w:t>
      </w:r>
      <w:r>
        <w:rPr>
          <w:rFonts w:hint="eastAsia" w:ascii="仿宋_GB2312" w:hAnsi="仿宋_GB2312" w:eastAsia="仿宋_GB2312" w:cs="仿宋_GB2312"/>
          <w:color w:val="auto"/>
          <w:sz w:val="28"/>
          <w:szCs w:val="28"/>
          <w:highlight w:val="none"/>
          <w:lang w:val="en-US" w:eastAsia="zh-CN"/>
        </w:rPr>
        <w:t xml:space="preserve">60日</w:t>
      </w:r>
      <w:r>
        <w:rPr>
          <w:rFonts w:hint="eastAsia" w:ascii="仿宋_GB2312" w:hAnsi="仿宋_GB2312" w:eastAsia="仿宋_GB2312" w:cs="仿宋_GB2312"/>
          <w:color w:val="auto"/>
          <w:sz w:val="28"/>
          <w:szCs w:val="28"/>
          <w:highlight w:val="none"/>
        </w:rPr>
        <w:t xml:space="preserve">内，完成本项目全部建设内容并交付采购人。</w:t>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215" w:name="_Toc942066467"/>
      <w:r>
        <w:rPr>
          <w:rFonts w:hint="eastAsia" w:ascii="仿宋_GB2312" w:hAnsi="仿宋_GB2312" w:eastAsia="仿宋_GB2312" w:cs="仿宋_GB2312"/>
          <w:b/>
          <w:sz w:val="28"/>
          <w:szCs w:val="28"/>
        </w:rPr>
        <w:t xml:space="preserve">（九）安全性分析</w:t>
      </w:r>
      <w:bookmarkEnd w:id="215"/>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本项目是在兴化市全民健康信息平台（以下简称"平台"）的基础上改建的一项业务需求（不改动平台的架构和网络等配置）。以平台提供的基础信息安全技术服务为主，包括平台安全监控服务、用户身份认证服务、网络访问控制服务，平台信息系统安全达到了等保三级要求。</w:t>
      </w:r>
      <w:r/>
    </w:p>
    <w:p>
      <w:pPr>
        <w:numPr>
          <w:ilvl w:val="0"/>
          <w:numId w:val="0"/>
        </w:numPr>
        <w:ind w:firstLine="560"/>
        <w:keepLines w:val="0"/>
        <w:keepNext w:val="0"/>
        <w:pageBreakBefore w:val="0"/>
        <w:spacing w:line="500" w:lineRule="exact"/>
        <w:widowControl w:val="off"/>
        <w:rPr>
          <w:rFonts w:hint="eastAsia" w:ascii="黑体" w:hAnsi="黑体" w:eastAsia="黑体" w:cs="黑体"/>
          <w:bCs/>
          <w:color w:val="000000"/>
          <w:sz w:val="28"/>
          <w:szCs w:val="28"/>
          <w:lang w:eastAsia="zh-CN"/>
        </w:rPr>
      </w:pPr>
      <w:r/>
      <w:bookmarkStart w:id="216" w:name="_Toc2061665185"/>
      <w:r>
        <w:rPr>
          <w:rFonts w:hint="eastAsia" w:ascii="黑体" w:hAnsi="黑体" w:eastAsia="黑体" w:cs="黑体"/>
          <w:bCs/>
          <w:color w:val="000000"/>
          <w:sz w:val="28"/>
          <w:szCs w:val="28"/>
          <w:lang w:eastAsia="zh-CN"/>
        </w:rPr>
        <w:t xml:space="preserve">五、服务要求</w:t>
      </w:r>
      <w:bookmarkEnd w:id="216"/>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217" w:name="_Toc758119950"/>
      <w:r>
        <w:rPr>
          <w:rFonts w:hint="eastAsia" w:ascii="仿宋_GB2312" w:hAnsi="仿宋_GB2312" w:eastAsia="仿宋_GB2312" w:cs="仿宋_GB2312"/>
          <w:b/>
          <w:sz w:val="28"/>
          <w:szCs w:val="28"/>
        </w:rPr>
        <w:t xml:space="preserve">（一）项目实施要求</w:t>
      </w:r>
      <w:bookmarkEnd w:id="217"/>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 实施计划：</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供应商须在合同签订后制定详细的实施计划，明确各阶段工作内容、时间节点、交付成果等，报采购人审核后执行。</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2. 技术要求：</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（1）系统架构设计：要求采用模块化、可扩展的架构设计，确保系统能够灵活应对未来功能扩展和数据增长。</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（2）技术路线：要求制定有针对性、专业性符合采购人行业特有需求的技术路线，通过合理分析提出的技术路线深化软件各功能的划分和实现。</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（3）功能实现：根据项目技术要求，详细列出实现功能模块的实施路径。</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3. 项目进度管理方案：</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自合同签订后及时入场，</w:t>
      </w:r>
      <w:r>
        <w:rPr>
          <w:rFonts w:hint="eastAsia" w:ascii="仿宋_GB2312" w:hAnsi="仿宋_GB2312" w:eastAsia="仿宋_GB2312" w:cs="仿宋_GB2312"/>
          <w:b w:val="0"/>
          <w:sz w:val="28"/>
          <w:szCs w:val="28"/>
          <w:lang w:val="en-US" w:eastAsia="zh-CN"/>
        </w:rPr>
        <w:t xml:space="preserve">60</w:t>
      </w:r>
      <w:r>
        <w:rPr>
          <w:rFonts w:hint="eastAsia" w:ascii="仿宋_GB2312" w:hAnsi="仿宋_GB2312" w:eastAsia="仿宋_GB2312" w:cs="仿宋_GB2312"/>
          <w:b w:val="0"/>
          <w:sz w:val="28"/>
          <w:szCs w:val="28"/>
          <w:highlight w:val="none"/>
        </w:rPr>
        <w:t xml:space="preserve">日</w:t>
      </w:r>
      <w:r>
        <w:rPr>
          <w:rFonts w:hint="eastAsia" w:ascii="仿宋_GB2312" w:hAnsi="仿宋_GB2312" w:eastAsia="仿宋_GB2312" w:cs="仿宋_GB2312"/>
          <w:b w:val="0"/>
          <w:sz w:val="28"/>
          <w:szCs w:val="28"/>
        </w:rPr>
        <w:t xml:space="preserve">内完成项目上线。供应商应详细阐述项目实施方案，包括进度安排、进度管理、测试、试运行、验收等。</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（1）进度安排：结合本项目的实际情况，制定项目实施计划，通过对每个环节的精准把控，确保项目可以平稳有序地推进。</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（2）进度管理：建立完善的项目管理制度，包括组织分工、职责说明、例会制度、信息安全规章制度等。</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（3）测试：制定详细的项目测试方案，包括测试指标、测试方案、测试结果等。</w:t>
      </w:r>
      <w:r/>
    </w:p>
    <w:p>
      <w:pPr>
        <w:ind w:firstLine="560"/>
        <w:jc w:val="left"/>
        <w:pageBreakBefore w:val="0"/>
        <w:spacing w:line="500" w:lineRule="exact"/>
        <w:rPr>
          <w:rFonts w:hint="eastAsia" w:ascii="仿宋_GB2312" w:hAnsi="仿宋_GB2312" w:eastAsia="仿宋_GB2312" w:cs="仿宋_GB2312"/>
          <w:sz w:val="28"/>
          <w:szCs w:val="28"/>
          <w:highlight w:val="yellow"/>
        </w:rPr>
      </w:pPr>
      <w:r>
        <w:rPr>
          <w:rFonts w:hint="eastAsia" w:ascii="仿宋_GB2312" w:hAnsi="仿宋_GB2312" w:eastAsia="仿宋_GB2312" w:cs="仿宋_GB2312"/>
          <w:b w:val="0"/>
          <w:sz w:val="28"/>
          <w:szCs w:val="28"/>
        </w:rPr>
        <w:t xml:space="preserve">（4）</w:t>
      </w:r>
      <w:r>
        <w:rPr>
          <w:rFonts w:hint="eastAsia" w:ascii="仿宋_GB2312" w:hAnsi="仿宋_GB2312" w:eastAsia="仿宋_GB2312" w:cs="仿宋_GB2312"/>
          <w:b w:val="0"/>
          <w:sz w:val="28"/>
          <w:szCs w:val="28"/>
          <w:highlight w:val="none"/>
        </w:rPr>
        <w:t xml:space="preserve">试运行：</w:t>
      </w:r>
      <w:r>
        <w:rPr>
          <w:rFonts w:hint="eastAsia" w:ascii="仿宋_GB2312" w:hAnsi="仿宋_GB2312" w:eastAsia="仿宋_GB2312" w:cs="仿宋_GB2312"/>
          <w:b w:val="0"/>
          <w:sz w:val="28"/>
          <w:szCs w:val="28"/>
          <w:highlight w:val="none"/>
          <w:lang w:val="en-US" w:eastAsia="zh-CN"/>
        </w:rPr>
        <w:t xml:space="preserve">在验收前一个月内，完成</w:t>
      </w:r>
      <w:r>
        <w:rPr>
          <w:rFonts w:hint="eastAsia" w:ascii="仿宋_GB2312" w:hAnsi="仿宋_GB2312" w:eastAsia="仿宋_GB2312" w:cs="仿宋_GB2312"/>
          <w:b w:val="0"/>
          <w:sz w:val="28"/>
          <w:szCs w:val="28"/>
          <w:highlight w:val="none"/>
        </w:rPr>
        <w:t xml:space="preserve">试运行，制定完善的试运行方案。</w:t>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218" w:name="_Toc701521999"/>
      <w:r>
        <w:rPr>
          <w:rFonts w:hint="eastAsia" w:ascii="仿宋_GB2312" w:hAnsi="仿宋_GB2312" w:eastAsia="仿宋_GB2312" w:cs="仿宋_GB2312"/>
          <w:b/>
          <w:sz w:val="28"/>
          <w:szCs w:val="28"/>
        </w:rPr>
        <w:t xml:space="preserve">（二）售后服务要求</w:t>
      </w:r>
      <w:bookmarkEnd w:id="218"/>
      <w:r/>
      <w:r/>
    </w:p>
    <w:p>
      <w:pPr>
        <w:ind w:firstLine="560"/>
        <w:jc w:val="left"/>
        <w:pageBreakBefore w:val="0"/>
        <w:spacing w:line="500" w:lineRule="exact"/>
        <w:rPr>
          <w:rFonts w:hint="eastAsia" w:ascii="仿宋_GB2312" w:hAnsi="仿宋_GB2312" w:eastAsia="仿宋_GB2312" w:cs="仿宋_GB2312"/>
          <w:b w:val="0"/>
          <w:sz w:val="28"/>
          <w:szCs w:val="28"/>
        </w:rPr>
      </w:pPr>
      <w:r/>
      <w:bookmarkStart w:id="219" w:name="_Toc795015163"/>
      <w:r>
        <w:rPr>
          <w:rFonts w:hint="eastAsia" w:ascii="仿宋_GB2312" w:hAnsi="仿宋_GB2312" w:eastAsia="仿宋_GB2312" w:cs="仿宋_GB2312"/>
          <w:b w:val="0"/>
          <w:sz w:val="28"/>
          <w:szCs w:val="28"/>
        </w:rPr>
        <w:t xml:space="preserve">供应商应根据本项目采购需求，</w:t>
      </w:r>
      <w:r>
        <w:rPr>
          <w:rFonts w:hint="eastAsia" w:ascii="仿宋_GB2312" w:hAnsi="仿宋_GB2312" w:eastAsia="仿宋_GB2312" w:cs="仿宋_GB2312"/>
          <w:b w:val="0"/>
          <w:bCs w:val="0"/>
          <w:sz w:val="28"/>
          <w:szCs w:val="28"/>
          <w:u w:val="none"/>
        </w:rPr>
        <w:t xml:space="preserve">提供售后服务</w:t>
      </w:r>
      <w:r>
        <w:rPr>
          <w:rFonts w:hint="eastAsia" w:ascii="仿宋_GB2312" w:hAnsi="仿宋_GB2312" w:eastAsia="仿宋_GB2312" w:cs="仿宋_GB2312"/>
          <w:b w:val="0"/>
          <w:bCs w:val="0"/>
          <w:sz w:val="28"/>
          <w:szCs w:val="28"/>
          <w:u w:val="none"/>
          <w:lang w:eastAsia="zh-CN"/>
        </w:rPr>
        <w:t xml:space="preserve">，</w:t>
      </w:r>
      <w:r>
        <w:rPr>
          <w:rFonts w:hint="eastAsia" w:ascii="仿宋_GB2312" w:hAnsi="仿宋_GB2312" w:eastAsia="仿宋_GB2312" w:cs="仿宋_GB2312"/>
          <w:b w:val="0"/>
          <w:bCs w:val="0"/>
          <w:sz w:val="28"/>
          <w:szCs w:val="28"/>
          <w:u w:val="none"/>
        </w:rPr>
        <w:t xml:space="preserve">应至少包含以下要求：</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（一）项目质保和服务</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供应商应明确免费维保期不少于3年的服务内容，包括：</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 免费维保期内因省局接口规范升级、变更等导致的需要调整的内容，应免费提供适配改造；</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 定期巡检服务，巡检频率不少于每季度1次，保障数据上传的稳定性、完整性和及时性；</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 系统日常运维支持服务。</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（二）质保和服务要求</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供应商应在免费维保期内提供以下服务：</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 提供7×24小时电话技术支持；</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 系统故障响应时间不超过2小时；</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 一般故障24小时内解决；</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4. 重大故障12小时内解决。</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（三）技术支持响应时间</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供应商应明确技术支持服务的响应时限：</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1. 系统故障响应时间不超过2小时；</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2. 一般故障24小时内解决；</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3. 重大故障12小时内解决。</w:t>
      </w:r>
      <w:r/>
    </w:p>
    <w:p>
      <w:pPr>
        <w:ind w:firstLine="562"/>
        <w:jc w:val="left"/>
        <w:pageBreakBefore w:val="0"/>
        <w:spacing w:line="500" w:lineRule="exact"/>
        <w:rPr>
          <w:rFonts w:hint="eastAsia" w:ascii="仿宋_GB2312" w:hAnsi="仿宋_GB2312" w:eastAsia="仿宋_GB2312" w:cs="仿宋_GB2312"/>
          <w:sz w:val="28"/>
          <w:szCs w:val="28"/>
        </w:rPr>
        <w:outlineLvl w:val="1"/>
      </w:pPr>
      <w:r>
        <w:rPr>
          <w:rFonts w:hint="eastAsia" w:ascii="仿宋_GB2312" w:hAnsi="仿宋_GB2312" w:eastAsia="仿宋_GB2312" w:cs="仿宋_GB2312"/>
          <w:b/>
          <w:sz w:val="28"/>
          <w:szCs w:val="28"/>
        </w:rPr>
        <w:t xml:space="preserve">（三）培训要求</w:t>
      </w:r>
      <w:bookmarkEnd w:id="219"/>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供应商须为采购人及相关医疗机构提供现场操作培训和技术培训，确保相关人员能够熟练使用和维护系统。培训内容包括但不限于系统操作、数据查询、故障排查等。</w:t>
      </w:r>
      <w:r/>
    </w:p>
    <w:p>
      <w:pPr>
        <w:numPr>
          <w:ilvl w:val="0"/>
          <w:numId w:val="0"/>
        </w:numPr>
        <w:ind w:firstLine="560"/>
        <w:keepLines w:val="0"/>
        <w:keepNext w:val="0"/>
        <w:pageBreakBefore w:val="0"/>
        <w:spacing w:line="500" w:lineRule="exact"/>
        <w:widowControl w:val="off"/>
        <w:rPr>
          <w:rFonts w:hint="eastAsia" w:ascii="黑体" w:hAnsi="黑体" w:eastAsia="黑体" w:cs="黑体"/>
          <w:bCs/>
          <w:color w:val="000000"/>
          <w:sz w:val="28"/>
          <w:szCs w:val="28"/>
          <w:lang w:eastAsia="zh-CN"/>
        </w:rPr>
      </w:pPr>
      <w:r/>
      <w:bookmarkStart w:id="220" w:name="_Toc176592907"/>
      <w:r>
        <w:rPr>
          <w:rFonts w:hint="eastAsia" w:ascii="黑体" w:hAnsi="黑体" w:eastAsia="黑体" w:cs="黑体"/>
          <w:bCs/>
          <w:color w:val="000000"/>
          <w:sz w:val="28"/>
          <w:szCs w:val="28"/>
          <w:lang w:eastAsia="zh-CN"/>
        </w:rPr>
        <w:t xml:space="preserve">六、商务要求</w:t>
      </w:r>
      <w:bookmarkEnd w:id="220"/>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221" w:name="_Toc174587795"/>
      <w:r>
        <w:rPr>
          <w:rFonts w:hint="eastAsia" w:ascii="仿宋_GB2312" w:hAnsi="仿宋_GB2312" w:eastAsia="仿宋_GB2312" w:cs="仿宋_GB2312"/>
          <w:b/>
          <w:sz w:val="28"/>
          <w:szCs w:val="28"/>
        </w:rPr>
        <w:t xml:space="preserve">（一）付款方式</w:t>
      </w:r>
      <w:bookmarkEnd w:id="221"/>
      <w:r/>
      <w:r/>
    </w:p>
    <w:p>
      <w:pPr>
        <w:ind w:firstLine="560"/>
        <w:jc w:val="left"/>
        <w:pageBreakBefore w:val="0"/>
        <w:spacing w:line="500" w:lineRule="exact"/>
        <w:rPr>
          <w:rFonts w:hint="eastAsia" w:ascii="仿宋_GB2312" w:hAnsi="仿宋_GB2312" w:eastAsia="仿宋_GB2312" w:cs="仿宋_GB2312"/>
          <w:b w:val="0"/>
          <w:sz w:val="28"/>
          <w:szCs w:val="28"/>
          <w:lang w:eastAsia="zh-CN"/>
        </w:rPr>
      </w:pPr>
      <w:r>
        <w:rPr>
          <w:rFonts w:hint="eastAsia" w:ascii="仿宋_GB2312" w:hAnsi="仿宋_GB2312" w:eastAsia="仿宋_GB2312" w:cs="仿宋_GB2312"/>
          <w:b w:val="0"/>
          <w:sz w:val="28"/>
          <w:szCs w:val="28"/>
          <w:lang w:eastAsia="zh-CN"/>
        </w:rPr>
        <w:t xml:space="preserve">项目</w:t>
      </w:r>
      <w:r>
        <w:rPr>
          <w:rFonts w:hint="eastAsia" w:ascii="仿宋_GB2312" w:hAnsi="仿宋_GB2312" w:eastAsia="仿宋_GB2312" w:cs="仿宋_GB2312"/>
          <w:b w:val="0"/>
          <w:sz w:val="28"/>
          <w:szCs w:val="28"/>
        </w:rPr>
        <w:t xml:space="preserve">验收合格后支付90%</w:t>
      </w:r>
      <w:r>
        <w:rPr>
          <w:rFonts w:hint="eastAsia" w:ascii="仿宋_GB2312" w:hAnsi="仿宋_GB2312" w:eastAsia="仿宋_GB2312" w:cs="仿宋_GB2312"/>
          <w:b w:val="0"/>
          <w:sz w:val="28"/>
          <w:szCs w:val="28"/>
          <w:lang w:eastAsia="zh-CN"/>
        </w:rPr>
        <w:t xml:space="preserve">。</w:t>
      </w:r>
      <w:r>
        <w:rPr>
          <w:rFonts w:hint="eastAsia" w:ascii="仿宋_GB2312" w:hAnsi="仿宋_GB2312" w:eastAsia="仿宋_GB2312" w:cs="仿宋_GB2312"/>
          <w:b w:val="0"/>
          <w:sz w:val="28"/>
          <w:szCs w:val="28"/>
        </w:rPr>
        <w:t xml:space="preserve">项目运行12个月期满</w:t>
      </w:r>
      <w:r>
        <w:rPr>
          <w:rFonts w:hint="eastAsia" w:ascii="仿宋_GB2312" w:hAnsi="仿宋_GB2312" w:eastAsia="仿宋_GB2312" w:cs="仿宋_GB2312"/>
          <w:b w:val="0"/>
          <w:sz w:val="28"/>
          <w:szCs w:val="28"/>
          <w:lang w:eastAsia="zh-CN"/>
        </w:rPr>
        <w:t xml:space="preserve">，</w:t>
      </w:r>
      <w:r>
        <w:rPr>
          <w:rFonts w:hint="eastAsia" w:ascii="仿宋_GB2312" w:hAnsi="仿宋_GB2312" w:eastAsia="仿宋_GB2312" w:cs="仿宋_GB2312"/>
          <w:color w:val="auto"/>
          <w:sz w:val="28"/>
          <w:szCs w:val="28"/>
          <w:highlight w:val="none"/>
          <w:lang w:val="en-US" w:eastAsia="zh-CN" w:bidi="ar-SA"/>
        </w:rPr>
        <w:t xml:space="preserve">且考核合格后</w:t>
      </w:r>
      <w:r>
        <w:rPr>
          <w:rFonts w:hint="eastAsia" w:ascii="仿宋_GB2312" w:hAnsi="仿宋_GB2312" w:eastAsia="仿宋_GB2312" w:cs="仿宋_GB2312"/>
          <w:b w:val="0"/>
          <w:sz w:val="28"/>
          <w:szCs w:val="28"/>
        </w:rPr>
        <w:t xml:space="preserve">支付10%余款（每次付款需开具增值税发票）</w:t>
      </w:r>
      <w:r>
        <w:rPr>
          <w:rFonts w:hint="eastAsia" w:ascii="仿宋_GB2312" w:hAnsi="仿宋_GB2312" w:eastAsia="仿宋_GB2312" w:cs="仿宋_GB2312"/>
          <w:b w:val="0"/>
          <w:sz w:val="28"/>
          <w:szCs w:val="28"/>
          <w:lang w:eastAsia="zh-CN"/>
        </w:rPr>
        <w:t xml:space="preserve">。</w:t>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222" w:name="_Toc834408763"/>
      <w:r>
        <w:rPr>
          <w:rFonts w:hint="eastAsia" w:ascii="仿宋_GB2312" w:hAnsi="仿宋_GB2312" w:eastAsia="仿宋_GB2312" w:cs="仿宋_GB2312"/>
          <w:b/>
          <w:sz w:val="28"/>
          <w:szCs w:val="28"/>
        </w:rPr>
        <w:t xml:space="preserve">（二）交付地点</w:t>
      </w:r>
      <w:bookmarkEnd w:id="222"/>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兴化市卫生健康委员会指定地点。</w:t>
      </w:r>
      <w:r/>
    </w:p>
    <w:p>
      <w:pPr>
        <w:ind w:firstLine="562"/>
        <w:jc w:val="left"/>
        <w:pageBreakBefore w:val="0"/>
        <w:spacing w:line="500" w:lineRule="exact"/>
        <w:rPr>
          <w:rFonts w:hint="eastAsia" w:ascii="仿宋_GB2312" w:hAnsi="仿宋_GB2312" w:eastAsia="仿宋_GB2312" w:cs="仿宋_GB2312"/>
          <w:sz w:val="28"/>
          <w:szCs w:val="28"/>
        </w:rPr>
        <w:outlineLvl w:val="1"/>
      </w:pPr>
      <w:r/>
      <w:bookmarkStart w:id="223" w:name="_Toc839864831"/>
      <w:r>
        <w:rPr>
          <w:rFonts w:hint="eastAsia" w:ascii="仿宋_GB2312" w:hAnsi="仿宋_GB2312" w:eastAsia="仿宋_GB2312" w:cs="仿宋_GB2312"/>
          <w:b/>
          <w:sz w:val="28"/>
          <w:szCs w:val="28"/>
        </w:rPr>
        <w:t xml:space="preserve">（三）验收标准</w:t>
      </w:r>
      <w:bookmarkEnd w:id="223"/>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1. 供应商完成全部接口开发和部署，系统稳定运行。</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2. 血压仪数据能够实时上传至江苏省全民健康信息平台。</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3. 所有页面集成完成并通过测试。</w:t>
      </w:r>
      <w:r/>
    </w:p>
    <w:p>
      <w:pPr>
        <w:ind w:firstLine="560"/>
        <w:jc w:val="left"/>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b w:val="0"/>
          <w:sz w:val="28"/>
          <w:szCs w:val="28"/>
        </w:rPr>
        <w:t xml:space="preserve">4. 提供完整的技术文档、操作手册、维护手册等交付物。</w:t>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5. 通过采购人组织的验收评审。</w:t>
      </w:r>
      <w:r/>
    </w:p>
    <w:p>
      <w:pPr>
        <w:ind w:firstLine="562"/>
        <w:jc w:val="left"/>
        <w:pageBreakBefore w:val="0"/>
        <w:spacing w:line="500" w:lineRule="exact"/>
        <w:rPr>
          <w:rFonts w:hint="eastAsia" w:ascii="仿宋_GB2312" w:hAnsi="仿宋_GB2312" w:eastAsia="仿宋_GB2312" w:cs="仿宋_GB2312"/>
          <w:b/>
          <w:sz w:val="28"/>
          <w:szCs w:val="28"/>
          <w:highlight w:val="none"/>
        </w:rPr>
        <w:outlineLvl w:val="1"/>
      </w:pPr>
      <w:r/>
      <w:bookmarkStart w:id="224" w:name="_Toc1231423667"/>
      <w:r>
        <w:rPr>
          <w:rFonts w:hint="eastAsia" w:ascii="仿宋_GB2312" w:hAnsi="仿宋_GB2312" w:eastAsia="仿宋_GB2312" w:cs="仿宋_GB2312"/>
          <w:b/>
          <w:sz w:val="28"/>
          <w:szCs w:val="28"/>
          <w:highlight w:val="none"/>
        </w:rPr>
        <w:t xml:space="preserve">（四）</w:t>
      </w:r>
      <w:r>
        <w:rPr>
          <w:rFonts w:hint="eastAsia" w:ascii="仿宋_GB2312" w:hAnsi="仿宋_GB2312" w:eastAsia="仿宋_GB2312" w:cs="仿宋_GB2312"/>
          <w:b/>
          <w:sz w:val="28"/>
          <w:szCs w:val="28"/>
          <w:highlight w:val="none"/>
          <w:lang w:val="en-US" w:eastAsia="zh-CN"/>
        </w:rPr>
        <w:t xml:space="preserve">维保</w:t>
      </w:r>
      <w:r>
        <w:rPr>
          <w:rFonts w:hint="eastAsia" w:ascii="仿宋_GB2312" w:hAnsi="仿宋_GB2312" w:eastAsia="仿宋_GB2312" w:cs="仿宋_GB2312"/>
          <w:b/>
          <w:sz w:val="28"/>
          <w:szCs w:val="28"/>
          <w:highlight w:val="none"/>
        </w:rPr>
        <w:t xml:space="preserve">期</w:t>
      </w:r>
      <w:bookmarkEnd w:id="224"/>
      <w:r/>
      <w:r/>
    </w:p>
    <w:p>
      <w:pPr>
        <w:ind w:firstLine="560"/>
        <w:jc w:val="left"/>
        <w:pageBreakBefore w:val="0"/>
        <w:spacing w:line="500" w:lineRule="exact"/>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 xml:space="preserve">项目验收合格之日起不少于3年。</w:t>
      </w:r>
      <w:r/>
    </w:p>
    <w:p>
      <w:pPr>
        <w:numPr>
          <w:ilvl w:val="0"/>
          <w:numId w:val="0"/>
        </w:numPr>
        <w:ind w:firstLine="560"/>
        <w:keepLines w:val="0"/>
        <w:keepNext w:val="0"/>
        <w:pageBreakBefore w:val="0"/>
        <w:spacing w:line="500" w:lineRule="exact"/>
        <w:widowControl w:val="off"/>
        <w:rPr>
          <w:rFonts w:hint="eastAsia" w:ascii="黑体" w:hAnsi="黑体" w:eastAsia="黑体" w:cs="黑体"/>
          <w:bCs/>
          <w:color w:val="000000"/>
          <w:sz w:val="28"/>
          <w:szCs w:val="28"/>
          <w:lang w:val="en-US" w:eastAsia="zh-CN"/>
        </w:rPr>
      </w:pPr>
      <w:r/>
      <w:bookmarkStart w:id="225" w:name="_Toc120614281"/>
      <w:r>
        <w:rPr>
          <w:rFonts w:hint="eastAsia" w:ascii="黑体" w:hAnsi="黑体" w:eastAsia="黑体" w:cs="黑体"/>
          <w:bCs/>
          <w:color w:val="000000"/>
          <w:sz w:val="28"/>
          <w:szCs w:val="28"/>
          <w:lang w:val="en-US" w:eastAsia="zh-CN"/>
        </w:rPr>
        <w:t xml:space="preserve">七、技术方案要求</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结合本项目采购需求、江苏省卫生健康信息中心《居民自测血压仪结果查询页面接口规范》、现有兴化市全民健康信息平台及基层医疗机构HIS系统等情况，按照本采购文件要求编制技术方案，并对应响应第八章《评分标准》相关评审内容。方案应内容完整、真实准确、合理可行、具有针对性，且包括但不限于以下内容：</w:t>
      </w:r>
      <w:r/>
    </w:p>
    <w:p>
      <w:pPr>
        <w:ind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1、设计及实施方案</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供应商应提供系统设计方案和实施方案，包括但不限于：</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实施计划：覆盖项目启动、对接沟通、需求调研、机构编码对码、网络验证、基础数据采集、接口开发、页面集成、设备安装激活、联调测试、试运行、上线运行等阶段，明确工作内容、时间节点、责任人及交付成果。</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（2）进度安排：按照合同签订后60日内完成开发、部署、测试并上线运行的要求，编制分阶段进度安排表，明确各环节起止时间、责任人及交付成果，确保与省平台联调、设备激活、数据上传等节点衔接紧密。</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（3）质量保证措施：明确数据格式、字段、传输协议符合省平台接口规范，建立测试、联调、数据校验、问题整改等质量保障机制，确保血压自测数据实时、完整、准确上传至江苏省全民健康信息平台。</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系统设计方案：基于兴化市全民健康信息平台进行改造，不改动平台架构和网络配置；与现有公卫系统、基层医疗机构HIS系统兼容，不影响现有业务系统正常运行；完成8项接口及调试工作的开发、部署与测试。</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（5）组织架构与人员分工：明确项目经理及开发、测试、实施、运维等人员职责，建立与兴化市卫健委、各基层医疗机构的沟通协调机制。</w:t>
      </w:r>
      <w:r/>
    </w:p>
    <w:p>
      <w:pPr>
        <w:ind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2、验收方案</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供应商应提供验收方案，包括但不限于：</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（1）验收依据：苏政传发〔2026〕30号、江苏省卫生健康信息中心《居民自测血压仪结果查询页面接口规范》、本项目采购需求及合同。</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验收内容：8项接口及调试工作完成开发、部署与测试；机构编码对码映射完成；网络验证及基础数据采集完成；必须集成的页面（基层机构查询居民自测血压结果、健康档案系统居民自测血压结果查询、区县居民自测血压统计报表）集成完成并通过测试；血压仪数据实时上传至江苏省全民健康信息平台；提供完整技术文档、操作手册、维护手册等交付物。</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（3）验收流程：自检、初验、试运行、正式验收等。</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（4）验收资料：测试报告、联调记录、数据上传记录、页面集成截图、技术文档、操作手册、维护手册等。</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（5）整改与复验：验收不合格的整改措施和复验安排。</w:t>
      </w:r>
      <w:r/>
    </w:p>
    <w:p>
      <w:pPr>
        <w:ind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3、售后服务方案</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供应商应提供售后服务方案，包括但不限于：</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（1）项目质保和服务：免费维保期不少于3年，自验收合格之日起算；省平台接口规范升级、变更等免费适配改造；每季度不少于1次巡检，保障数据上传稳定性、完整性和及时性；日常运维支持。</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（2）质保和服务要求：7×24小时电话技术支持；系统故障响应时间不超过2小时；一般故障24小时内解决；重大故障12小时内解决。</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（3）技术支持响应时间：明确响应时限、响应方式及升级机制。</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（4）备品备件：本项目为软件接口改造服务，不涉及硬件备品备件；如涉及第三方组件或设备，应提供备品备件保障方案或说明。</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（5）服务团队与报告：明确服务人员、联系方式、巡检报告、服务报告等。</w:t>
      </w:r>
      <w:r/>
    </w:p>
    <w:p>
      <w:pPr>
        <w:ind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4、软件开发方案</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供应商应提供软件开发方案，包括但不限于：</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（1）系统架构设计：采用模块化、可扩展架构，适应未来功能扩展和数据增长，支持与省平台、公卫系统、基层医疗机构HIS系统对接。</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（2）技术路线：符合江苏省卫生健康信息中心《居民自测血压仪结果查询页面接口规范》，采用成熟、安全、可维护的技术路线，明确数据采集、转换、上传、质控等技术实现。</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功能实现：针对授权码获取服务、机构信息查询接口、居民自测血压结果查询、个人查询、报表查询、设备对接调试、实施联调测试等8项接口及调试工作，逐项说明开发、部署、联调、数据上传等功能实现路径；完成机构编码对码映射、账号权限配置、页面集成等。</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（4）接口规范遵循：严格遵循省平台接口规范和数据质量校验要求。</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（5）技术成果：源代码、文档等知识产权归采购人所有，提供接口技术文档、操作手册、维护手册。</w:t>
      </w:r>
      <w:r/>
    </w:p>
    <w:p>
      <w:pPr>
        <w:ind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5、项目进度管理方案</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供应商应提供项目进度管理方案，包括但不限于：</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（1）进度安排：结合60日内完成项目上线要求，制定分阶段实施计划，明确各环节起止时间、责任人及交付成果。</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（2）进度管理：建立项目管理制度，包括组织分工、职责说明、例会制度、信息安全规章制度等。</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（3）测试：明确测试目标、测试方案、测试结果，包括接口测试、联调测试、数据质量测试等。</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（4）试运行：验收前一个月内完成试运行，制定试运行方案，包括试运行目的、试运行准备、试运行结果输出等。</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（5）验收：明确验收流程、验收标准、验收资料等，与验收方案衔接。</w:t>
      </w:r>
      <w:r/>
    </w:p>
    <w:p>
      <w:pPr>
        <w:numPr>
          <w:ilvl w:val="0"/>
          <w:numId w:val="0"/>
        </w:numPr>
        <w:ind w:firstLine="560"/>
        <w:keepLines w:val="0"/>
        <w:keepNext w:val="0"/>
        <w:pageBreakBefore w:val="0"/>
        <w:spacing w:line="500" w:lineRule="exact"/>
        <w:widowControl w:val="off"/>
        <w:rPr>
          <w:rFonts w:hint="eastAsia" w:ascii="黑体" w:hAnsi="黑体" w:eastAsia="黑体" w:cs="黑体"/>
          <w:bCs/>
          <w:color w:val="000000"/>
          <w:sz w:val="28"/>
          <w:szCs w:val="28"/>
          <w:lang w:val="en-US" w:eastAsia="zh-CN"/>
        </w:rPr>
      </w:pPr>
      <w:r>
        <w:rPr>
          <w:rFonts w:hint="eastAsia" w:ascii="黑体" w:hAnsi="黑体" w:eastAsia="黑体" w:cs="黑体"/>
          <w:bCs/>
          <w:color w:val="000000"/>
          <w:sz w:val="28"/>
          <w:szCs w:val="28"/>
          <w:lang w:val="en-US" w:eastAsia="zh-CN"/>
        </w:rPr>
        <w:t xml:space="preserve">八、商务要求</w:t>
      </w:r>
      <w:r/>
    </w:p>
    <w:p>
      <w:pPr>
        <w:ind w:firstLine="562"/>
        <w:keepLines w:val="0"/>
        <w:keepNext w:val="0"/>
        <w:pageBreakBefore w:val="0"/>
        <w:spacing w:line="500" w:lineRule="exact"/>
        <w:rPr>
          <w:rFonts w:hint="eastAsia" w:ascii="仿宋_GB2312" w:hAnsi="仿宋_GB2312" w:eastAsia="仿宋_GB2312" w:cs="仿宋_GB2312"/>
          <w:b/>
          <w:bCs/>
          <w:color w:val="auto"/>
          <w:sz w:val="28"/>
          <w:szCs w:val="28"/>
          <w:highlight w:val="none"/>
          <w:lang w:val="en-US" w:eastAsia="zh-CN"/>
        </w:rPr>
        <w:outlineLvl w:val="2"/>
      </w:pPr>
      <w:r>
        <w:rPr>
          <w:rFonts w:hint="eastAsia" w:ascii="仿宋_GB2312" w:hAnsi="仿宋_GB2312" w:eastAsia="仿宋_GB2312" w:cs="仿宋_GB2312"/>
          <w:b/>
          <w:bCs/>
          <w:color w:val="auto"/>
          <w:sz w:val="28"/>
          <w:szCs w:val="28"/>
          <w:highlight w:val="none"/>
          <w:lang w:val="en-US" w:eastAsia="zh-CN"/>
        </w:rPr>
        <w:t xml:space="preserve">1.履约保证金</w:t>
      </w:r>
      <w:r/>
    </w:p>
    <w:p>
      <w:pPr>
        <w:pStyle w:val="1104"/>
        <w:ind w:left="0" w:right="0" w:firstLine="560"/>
        <w:keepLines w:val="0"/>
        <w:keepNext w:val="0"/>
        <w:pageBreakBefore w:val="0"/>
        <w:spacing w:before="0" w:beforeAutospacing="0" w:after="0" w:afterAutospacing="0" w:line="50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本项目</w:t>
      </w:r>
      <w:r>
        <w:rPr>
          <w:rFonts w:hint="eastAsia" w:ascii="仿宋_GB2312" w:hAnsi="仿宋_GB2312" w:eastAsia="仿宋_GB2312" w:cs="仿宋_GB2312"/>
          <w:color w:val="auto"/>
          <w:sz w:val="28"/>
          <w:szCs w:val="28"/>
          <w:highlight w:val="none"/>
          <w:u w:val="single"/>
          <w:lang w:val="en-US" w:eastAsia="zh-CN" w:bidi="ar-SA"/>
        </w:rPr>
        <w:t xml:space="preserve"> </w:t>
      </w:r>
      <w:r>
        <w:rPr>
          <w:rFonts w:hint="eastAsia" w:ascii="仿宋_GB2312" w:hAnsi="仿宋_GB2312" w:eastAsia="仿宋_GB2312" w:cs="仿宋_GB2312"/>
          <w:b/>
          <w:bCs/>
          <w:color w:val="auto"/>
          <w:sz w:val="28"/>
          <w:szCs w:val="28"/>
          <w:highlight w:val="none"/>
          <w:u w:val="single"/>
          <w:lang w:val="en-US" w:eastAsia="zh-CN" w:bidi="ar-SA"/>
        </w:rPr>
        <w:t xml:space="preserve">不收取 </w:t>
      </w:r>
      <w:r>
        <w:rPr>
          <w:rFonts w:hint="eastAsia" w:ascii="仿宋_GB2312" w:hAnsi="仿宋_GB2312" w:eastAsia="仿宋_GB2312" w:cs="仿宋_GB2312"/>
          <w:color w:val="auto"/>
          <w:sz w:val="28"/>
          <w:szCs w:val="28"/>
          <w:highlight w:val="none"/>
          <w:lang w:val="en-US" w:eastAsia="zh-CN" w:bidi="ar-SA"/>
        </w:rPr>
        <w:t xml:space="preserve">履约保证金。</w:t>
      </w:r>
      <w:r/>
    </w:p>
    <w:p>
      <w:pPr>
        <w:ind w:firstLine="562"/>
        <w:keepLines w:val="0"/>
        <w:keepNext w:val="0"/>
        <w:pageBreakBefore w:val="0"/>
        <w:spacing w:line="500" w:lineRule="exact"/>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2.采购标的所属行业</w:t>
      </w:r>
      <w:r/>
    </w:p>
    <w:p>
      <w:pPr>
        <w:ind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参照《关于印发中小企业划型标准规定的通知》（工信部联企业〔2011〕300号）文件，本项目采购标的所属行业为：</w:t>
      </w:r>
      <w:r>
        <w:rPr>
          <w:rFonts w:hint="eastAsia" w:ascii="仿宋_GB2312" w:hAnsi="仿宋_GB2312" w:eastAsia="仿宋_GB2312" w:cs="仿宋_GB2312"/>
          <w:color w:val="auto"/>
          <w:sz w:val="28"/>
          <w:szCs w:val="28"/>
          <w:highlight w:val="none"/>
          <w:u w:val="single"/>
        </w:rPr>
        <w:t xml:space="preserve">软件和信息技术服务业</w:t>
      </w:r>
      <w:r>
        <w:rPr>
          <w:rFonts w:hint="eastAsia" w:ascii="仿宋_GB2312" w:hAnsi="仿宋_GB2312" w:eastAsia="仿宋_GB2312" w:cs="仿宋_GB2312"/>
          <w:color w:val="auto"/>
          <w:sz w:val="28"/>
          <w:szCs w:val="28"/>
          <w:highlight w:val="none"/>
        </w:rPr>
        <w:t xml:space="preserve">。</w:t>
      </w:r>
      <w:r/>
    </w:p>
    <w:p>
      <w:pPr>
        <w:ind w:firstLine="720"/>
        <w:keepLines w:val="0"/>
        <w:keepNext w:val="0"/>
        <w:pageBreakBefore w:val="0"/>
        <w:spacing w:line="500" w:lineRule="exact"/>
        <w:widowControl w:val="off"/>
        <w:rPr>
          <w:rFonts w:hint="eastAsia" w:ascii="黑体" w:hAnsi="黑体" w:eastAsia="黑体" w:cs="黑体"/>
          <w:b w:val="0"/>
          <w:bCs w:val="0"/>
          <w:color w:val="auto"/>
          <w:sz w:val="36"/>
          <w:szCs w:val="36"/>
          <w:highlight w:val="none"/>
        </w:rPr>
      </w:pPr>
      <w:r>
        <w:rPr>
          <w:rFonts w:hint="eastAsia" w:ascii="黑体" w:hAnsi="黑体" w:eastAsia="黑体" w:cs="黑体"/>
          <w:b w:val="0"/>
          <w:bCs w:val="0"/>
          <w:color w:val="auto"/>
          <w:sz w:val="36"/>
          <w:szCs w:val="36"/>
          <w:highlight w:val="none"/>
        </w:rPr>
        <w:br w:type="page" w:clear="all"/>
      </w:r>
      <w:r/>
    </w:p>
    <w:p>
      <w:pPr>
        <w:ind w:right="0"/>
        <w:jc w:val="center"/>
        <w:keepNext/>
        <w:pageBreakBefore w:val="0"/>
        <w:spacing w:line="520" w:lineRule="exact"/>
        <w:rPr>
          <w:rFonts w:hint="eastAsia" w:ascii="黑体" w:hAnsi="黑体" w:eastAsia="黑体" w:cs="黑体"/>
          <w:b w:val="0"/>
          <w:bCs w:val="0"/>
          <w:color w:val="auto"/>
          <w:sz w:val="36"/>
          <w:szCs w:val="36"/>
          <w:highlight w:val="none"/>
        </w:rPr>
        <w:outlineLvl w:val="0"/>
      </w:pPr>
      <w:r>
        <w:rPr>
          <w:rFonts w:hint="eastAsia" w:ascii="黑体" w:hAnsi="黑体" w:eastAsia="黑体" w:cs="黑体"/>
          <w:b w:val="0"/>
          <w:bCs w:val="0"/>
          <w:color w:val="auto"/>
          <w:sz w:val="36"/>
          <w:szCs w:val="36"/>
          <w:highlight w:val="none"/>
        </w:rPr>
        <w:t xml:space="preserve">第五章  评审方法与评审标准</w:t>
      </w:r>
      <w:r/>
    </w:p>
    <w:p>
      <w:pPr>
        <w:ind w:left="0" w:right="0" w:firstLine="56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firstLine="560"/>
        <w:jc w:val="left"/>
        <w:keepLines w:val="0"/>
        <w:keepNext w:val="0"/>
        <w:pageBreakBefore w:val="0"/>
        <w:spacing w:line="500" w:lineRule="exact"/>
        <w:widowControl w:val="off"/>
        <w:rPr>
          <w:rFonts w:ascii="黑体" w:hAnsi="黑体" w:eastAsia="黑体" w:cs="黑体"/>
          <w:bCs/>
          <w:color w:val="000000"/>
          <w:sz w:val="28"/>
          <w:szCs w:val="28"/>
          <w:highlight w:val="yellow"/>
        </w:rPr>
      </w:pPr>
      <w:r>
        <w:rPr>
          <w:rFonts w:hint="eastAsia" w:ascii="黑体" w:hAnsi="黑体" w:eastAsia="黑体" w:cs="黑体"/>
          <w:bCs/>
          <w:color w:val="000000"/>
          <w:sz w:val="28"/>
          <w:szCs w:val="28"/>
        </w:rPr>
        <w:t xml:space="preserve">一、政府采购政策功能落实</w:t>
      </w:r>
      <w:r/>
    </w:p>
    <w:p>
      <w:pPr>
        <w:ind w:firstLine="560"/>
        <w:jc w:val="left"/>
        <w:keepLines w:val="0"/>
        <w:keepNext w:val="0"/>
        <w:pageBreakBefore w:val="0"/>
        <w:spacing w:line="500" w:lineRule="exact"/>
        <w:widowControl w:val="off"/>
        <w:rPr>
          <w:rFonts w:ascii="仿宋_GB2312" w:hAnsi="仿宋_GB2312" w:eastAsia="仿宋_GB2312" w:cs="仿宋_GB2312"/>
          <w:color w:val="000000"/>
          <w:sz w:val="28"/>
          <w:szCs w:val="28"/>
        </w:rPr>
      </w:pPr>
      <w:r>
        <w:rPr>
          <w:rFonts w:hint="eastAsia" w:ascii="黑体" w:hAnsi="黑体" w:eastAsia="黑体" w:cs="黑体"/>
          <w:i/>
          <w:iCs/>
          <w:sz w:val="28"/>
          <w:szCs w:val="28"/>
          <w:u w:val="single"/>
        </w:rPr>
        <w:t xml:space="preserve">本项目属于专门面向中小企业采购的项目,供应商应为中小微企业、监狱企业、残疾人福利性单位。本项目</w:t>
      </w:r>
      <w:r>
        <w:rPr>
          <w:rFonts w:hint="eastAsia" w:ascii="黑体" w:hAnsi="黑体" w:eastAsia="黑体" w:cs="黑体"/>
          <w:b/>
          <w:bCs/>
          <w:i/>
          <w:iCs/>
          <w:sz w:val="28"/>
          <w:szCs w:val="28"/>
          <w:highlight w:val="yellow"/>
          <w:u w:val="single"/>
        </w:rPr>
        <w:t xml:space="preserve">不执行</w:t>
      </w:r>
      <w:r>
        <w:rPr>
          <w:rFonts w:hint="eastAsia" w:ascii="黑体" w:hAnsi="黑体" w:eastAsia="黑体" w:cs="黑体"/>
          <w:i/>
          <w:iCs/>
          <w:sz w:val="28"/>
          <w:szCs w:val="28"/>
          <w:u w:val="single"/>
        </w:rPr>
        <w:t xml:space="preserve">价格扣除政策。</w:t>
      </w:r>
      <w:r/>
    </w:p>
    <w:p>
      <w:pPr>
        <w:ind w:left="0" w:right="0" w:firstLine="560"/>
        <w:keepLines w:val="0"/>
        <w:keepNext w:val="0"/>
        <w:pageBreakBefore w:val="0"/>
        <w:spacing w:line="5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二、关于报价的相关要求</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auto"/>
          <w:sz w:val="28"/>
          <w:szCs w:val="28"/>
        </w:rPr>
        <w:t xml:space="preserve">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rPr>
        <w:t xml:space="preserve">）供应商未在</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小组规定的时间内完成最后报价的视为放弃</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，其</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响应按无效响应处理。</w:t>
      </w:r>
      <w:r/>
    </w:p>
    <w:p>
      <w:pPr>
        <w:ind w:left="0" w:right="0" w:firstLine="560"/>
        <w:keepLines w:val="0"/>
        <w:keepNext w:val="0"/>
        <w:pageBreakBefore w:val="0"/>
        <w:spacing w:line="500" w:lineRule="exact"/>
        <w:widowControl w:val="off"/>
        <w:rPr>
          <w:rFonts w:hint="eastAsia" w:ascii="仿宋" w:hAnsi="仿宋" w:eastAsia="仿宋" w:cs="仿宋_GB2312"/>
          <w:sz w:val="28"/>
          <w:szCs w:val="28"/>
          <w:shd w:val="clear" w:color="auto" w:fill="ffffff"/>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）各供应商最后报价结束后,如</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小组认为最后最低的供应商的报价</w:t>
      </w:r>
      <w:r>
        <w:rPr>
          <w:rFonts w:hint="eastAsia" w:ascii="仿宋_GB2312" w:hAnsi="仿宋_GB2312" w:eastAsia="仿宋_GB2312" w:cs="仿宋_GB2312"/>
          <w:sz w:val="28"/>
          <w:szCs w:val="28"/>
          <w:shd w:val="clear" w:color="auto" w:fill="ffffff"/>
        </w:rPr>
        <w:t xml:space="preserve">明显低于其他通过符合性审查供应商的报价，有可能影响产品质量或者不能诚信履约的，应当要求其在</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现场规定的时间内提供书面说明，必要时提交相关证明材料；</w:t>
      </w:r>
      <w:r>
        <w:rPr>
          <w:rFonts w:hint="eastAsia" w:ascii="仿宋_GB2312" w:hAnsi="仿宋_GB2312" w:eastAsia="仿宋_GB2312" w:cs="仿宋_GB2312"/>
          <w:sz w:val="28"/>
          <w:szCs w:val="28"/>
        </w:rPr>
        <w:t xml:space="preserve">若该供应商拒绝说明或未在规定时间内提供书面说明，或虽有书面说明但仍无法证明其报价合理性的</w:t>
      </w:r>
      <w:r>
        <w:rPr>
          <w:rFonts w:hint="eastAsia" w:ascii="仿宋_GB2312" w:hAnsi="仿宋_GB2312" w:eastAsia="仿宋_GB2312" w:cs="仿宋_GB2312"/>
          <w:sz w:val="28"/>
          <w:szCs w:val="28"/>
          <w:shd w:val="clear" w:color="auto" w:fill="ffffff"/>
        </w:rPr>
        <w:t xml:space="preserve">，</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小组应当将其作为无效响应文件处理。</w:t>
      </w:r>
      <w:r/>
    </w:p>
    <w:p>
      <w:pPr>
        <w:pStyle w:val="1013"/>
        <w:ind w:left="0" w:right="0" w:firstLine="562"/>
        <w:keepLines w:val="0"/>
        <w:keepNext w:val="0"/>
        <w:pageBreakBefore w:val="0"/>
        <w:spacing w:line="500" w:lineRule="exact"/>
        <w:widowControl w:val="off"/>
        <w:rPr>
          <w:rFonts w:hint="eastAsia" w:ascii="仿宋" w:hAnsi="仿宋" w:eastAsia="仿宋" w:cs="宋体"/>
          <w:b/>
          <w:szCs w:val="28"/>
        </w:rPr>
      </w:pPr>
      <w:r>
        <w:rPr>
          <w:rFonts w:hint="eastAsia" w:ascii="仿宋" w:hAnsi="仿宋" w:eastAsia="仿宋" w:cs="宋体"/>
          <w:b/>
          <w:szCs w:val="28"/>
          <w:lang w:eastAsia="zh-CN"/>
        </w:rPr>
        <w:t xml:space="preserve">磋商</w:t>
      </w:r>
      <w:r>
        <w:rPr>
          <w:rFonts w:hint="eastAsia" w:ascii="仿宋" w:hAnsi="仿宋" w:eastAsia="仿宋" w:cs="宋体"/>
          <w:b/>
          <w:szCs w:val="28"/>
        </w:rPr>
        <w:t xml:space="preserve">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13"/>
        <w:ind w:left="0" w:right="0" w:firstLine="560"/>
        <w:keepLines w:val="0"/>
        <w:keepNext w:val="0"/>
        <w:pageBreakBefore w:val="0"/>
        <w:spacing w:line="500" w:lineRule="exact"/>
        <w:widowControl w:val="off"/>
        <w:rPr>
          <w:rFonts w:hint="eastAsia" w:ascii="黑体" w:hAnsi="黑体" w:eastAsia="黑体" w:cs="黑体"/>
          <w:b w:val="0"/>
          <w:bCs/>
          <w:szCs w:val="28"/>
        </w:rPr>
      </w:pPr>
      <w:r>
        <w:rPr>
          <w:rFonts w:hint="eastAsia" w:ascii="黑体" w:hAnsi="黑体" w:eastAsia="黑体" w:cs="黑体"/>
          <w:b w:val="0"/>
          <w:bCs/>
          <w:szCs w:val="28"/>
          <w:lang w:eastAsia="zh-CN"/>
        </w:rPr>
        <w:t xml:space="preserve">根据财政部《</w:t>
      </w:r>
      <w:r>
        <w:rPr>
          <w:rFonts w:hint="eastAsia" w:ascii="黑体" w:hAnsi="黑体" w:eastAsia="黑体" w:cs="黑体"/>
          <w:b w:val="0"/>
          <w:bCs/>
          <w:szCs w:val="28"/>
        </w:rPr>
        <w:t xml:space="preserve">关于推动解决政府采购异常低价问题的通知</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财库〔2026〕2号文件要求</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评审过程中出现下列情形之一的，</w:t>
      </w:r>
      <w:r>
        <w:rPr>
          <w:rFonts w:hint="eastAsia" w:ascii="黑体" w:hAnsi="黑体" w:eastAsia="黑体" w:cs="黑体"/>
          <w:b w:val="0"/>
          <w:bCs/>
          <w:szCs w:val="28"/>
          <w:lang w:eastAsia="zh-CN"/>
        </w:rPr>
        <w:t xml:space="preserve">磋商小组</w:t>
      </w:r>
      <w:r>
        <w:rPr>
          <w:rFonts w:hint="eastAsia" w:ascii="黑体" w:hAnsi="黑体" w:eastAsia="黑体" w:cs="黑体"/>
          <w:b w:val="0"/>
          <w:bCs/>
          <w:szCs w:val="28"/>
        </w:rPr>
        <w:t xml:space="preserve">应当启动异常低价投标(响应)审查程序:</w:t>
      </w:r>
      <w:r/>
    </w:p>
    <w:p>
      <w:pPr>
        <w:pStyle w:val="101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1.投标（响应）报价低于全部通过符合性审查供应商投标（响应）报价平均值50%的，即投标（响应）报价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全部通过符合性审查供应商投标（响应）报价平均值×50%；</w:t>
      </w:r>
      <w:r/>
    </w:p>
    <w:p>
      <w:pPr>
        <w:pStyle w:val="101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2.投标（响应）报价低于通过符合性审查的次低报价供应商投标（响应）报价50%的，即投标（响应）报价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val="0"/>
          <w:bCs/>
          <w:szCs w:val="28"/>
          <w:lang w:val="en-US" w:eastAsia="zh-CN"/>
        </w:rPr>
        <w:t xml:space="preserve"> </w:t>
      </w:r>
      <w:r>
        <w:rPr>
          <w:rFonts w:hint="eastAsia" w:ascii="仿宋_GB2312" w:hAnsi="仿宋_GB2312" w:eastAsia="仿宋_GB2312" w:cs="仿宋_GB2312"/>
          <w:b w:val="0"/>
          <w:bCs/>
          <w:szCs w:val="28"/>
        </w:rPr>
        <w:t xml:space="preserve">通过符合性审查的次低报价供应商投标（响应）报价×50%；</w:t>
      </w:r>
      <w:r/>
    </w:p>
    <w:p>
      <w:pPr>
        <w:pStyle w:val="101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3.投标（响应）报价低于采购项目最高限价45%的，即投标（响应）报价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采购项目最高限价×45%；</w:t>
      </w:r>
      <w:r/>
    </w:p>
    <w:p>
      <w:pPr>
        <w:pStyle w:val="101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4.评审委员会基于专业判断，认为供应商报价过低，有可能影响产品质量或者不能诚信履约的其他情形。</w:t>
      </w:r>
      <w:r/>
    </w:p>
    <w:p>
      <w:pPr>
        <w:pStyle w:val="101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1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jc w:val="left"/>
        <w:keepLines w:val="0"/>
        <w:keepNext w:val="0"/>
        <w:pageBreakBefore w:val="0"/>
        <w:spacing w:line="500" w:lineRule="exact"/>
        <w:rPr>
          <w:rFonts w:hint="eastAsia" w:ascii="黑体" w:hAnsi="黑体" w:eastAsia="黑体" w:cs="黑体"/>
          <w:bCs/>
          <w:color w:val="auto"/>
          <w:sz w:val="28"/>
          <w:szCs w:val="28"/>
        </w:rPr>
        <w:outlineLvl w:val="9"/>
      </w:pPr>
      <w:r>
        <w:rPr>
          <w:rFonts w:hint="eastAsia" w:ascii="黑体" w:hAnsi="黑体" w:eastAsia="黑体" w:cs="黑体"/>
          <w:bCs/>
          <w:color w:val="auto"/>
          <w:sz w:val="28"/>
          <w:szCs w:val="28"/>
          <w:lang w:eastAsia="zh-CN"/>
        </w:rPr>
        <w:t xml:space="preserve">三、</w:t>
      </w:r>
      <w:r>
        <w:rPr>
          <w:rFonts w:hint="eastAsia" w:ascii="黑体" w:hAnsi="黑体" w:eastAsia="黑体" w:cs="黑体"/>
          <w:bCs/>
          <w:color w:val="auto"/>
          <w:sz w:val="28"/>
          <w:szCs w:val="28"/>
        </w:rPr>
        <w:t xml:space="preserve">政府采购中实施本国产品标准及相关政策</w:t>
      </w:r>
      <w:r/>
    </w:p>
    <w:p>
      <w:pPr>
        <w:ind w:firstLine="562"/>
        <w:keepLines w:val="0"/>
        <w:keepNext w:val="0"/>
        <w:pageBreakBefore w:val="0"/>
        <w:spacing w:line="500" w:lineRule="exact"/>
        <w:rPr>
          <w:rFonts w:hint="eastAsia" w:ascii="仿宋_GB2312" w:hAnsi="仿宋_GB2312" w:eastAsia="仿宋_GB2312" w:cs="仿宋_GB2312"/>
          <w:b/>
          <w:bCs w:val="0"/>
          <w:color w:val="auto"/>
          <w:sz w:val="28"/>
          <w:szCs w:val="28"/>
          <w:u w:val="single"/>
        </w:rPr>
      </w:pPr>
      <w:r>
        <w:rPr>
          <w:rFonts w:hint="eastAsia" w:ascii="仿宋_GB2312" w:hAnsi="仿宋_GB2312" w:eastAsia="仿宋_GB2312" w:cs="仿宋_GB2312"/>
          <w:b/>
          <w:bCs w:val="0"/>
          <w:color w:val="auto"/>
          <w:sz w:val="28"/>
          <w:szCs w:val="28"/>
          <w:u w:val="single"/>
          <w:lang w:eastAsia="zh-CN"/>
        </w:rPr>
        <w:t xml:space="preserve">【注：本项“政府采购中实施本国产品标准及相关政策”属于通用表述，如若项目采购内容为服务，且项目采购包无采购实物货物，则所有供应商均不享受本国产品价格扣除。】</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lang w:eastAsia="zh-CN"/>
        </w:rPr>
      </w:pPr>
      <w:r>
        <w:rPr>
          <w:rFonts w:hint="eastAsia" w:ascii="仿宋_GB2312" w:hAnsi="仿宋_GB2312" w:eastAsia="仿宋_GB2312" w:cs="仿宋_GB2312"/>
          <w:bCs/>
          <w:color w:val="auto"/>
          <w:sz w:val="28"/>
          <w:szCs w:val="28"/>
        </w:rPr>
        <w:t xml:space="preserve">1.本项目对采购本国产品给予政策支持</w:t>
      </w:r>
      <w:r>
        <w:rPr>
          <w:rFonts w:hint="eastAsia" w:ascii="仿宋_GB2312" w:hAnsi="仿宋_GB2312" w:eastAsia="仿宋_GB2312" w:cs="仿宋_GB2312"/>
          <w:bCs/>
          <w:color w:val="auto"/>
          <w:sz w:val="28"/>
          <w:szCs w:val="28"/>
          <w:lang w:eastAsia="zh-CN"/>
        </w:rPr>
        <w:t xml:space="preserve">。</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4</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本项目政府采购活动中既有本国产品又有非本国产品参与竞争的，依法对本国产品给予价格评审优惠，对本国产品的报价给予</w:t>
      </w:r>
      <w:r>
        <w:rPr>
          <w:rFonts w:hint="eastAsia" w:ascii="仿宋_GB2312" w:hAnsi="仿宋_GB2312" w:eastAsia="仿宋_GB2312" w:cs="仿宋_GB2312"/>
          <w:b/>
          <w:bCs/>
          <w:color w:val="auto"/>
          <w:sz w:val="28"/>
          <w:szCs w:val="28"/>
          <w:u w:val="single"/>
        </w:rPr>
        <w:t xml:space="preserve"> 20%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5</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80%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以上时（供应商需在“第六章 投标文件格式”的“附件</w:t>
      </w:r>
      <w:r>
        <w:rPr>
          <w:rFonts w:hint="eastAsia" w:ascii="仿宋_GB2312" w:hAnsi="仿宋_GB2312" w:eastAsia="仿宋_GB2312" w:cs="仿宋_GB2312"/>
          <w:color w:val="auto"/>
          <w:sz w:val="28"/>
          <w:szCs w:val="28"/>
          <w:lang w:eastAsia="zh-CN"/>
        </w:rPr>
        <w:t xml:space="preserve">1</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 成本比例声明函”中填写比例数值），依法对该供应商提供的全部产品给予价格评审优惠，即对该供应商提供的全部产品的总报价给予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20%</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的价格扣除，用扣除后的价格参与评审。供应商未填写比例数值，或比例数值</w:t>
      </w:r>
      <w:r>
        <w:rPr>
          <w:rFonts w:hint="eastAsia" w:ascii="仿宋_GB2312" w:hAnsi="仿宋_GB2312" w:eastAsia="仿宋_GB2312" w:cs="仿宋_GB2312"/>
          <w:color w:val="auto"/>
          <w:sz w:val="28"/>
          <w:szCs w:val="28"/>
          <w:highlight w:val="yellow"/>
        </w:rPr>
        <w:t xml:space="preserve">未达到</w:t>
      </w:r>
      <w:r>
        <w:rPr>
          <w:rFonts w:hint="eastAsia" w:ascii="仿宋_GB2312" w:hAnsi="仿宋_GB2312" w:eastAsia="仿宋_GB2312" w:cs="仿宋_GB2312"/>
          <w:color w:val="auto"/>
          <w:sz w:val="28"/>
          <w:szCs w:val="28"/>
        </w:rPr>
        <w:t xml:space="preserve">80%的，将不享受本国产品价格评审优惠。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6</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供应商需按照招标文件的要求提供《关于符合本国产品标准的声明函》（以下简称《声明函》），如不提供将不享受本国产品价格评审优惠。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7</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供应商需在《声明函》中逐一、准确填写产品名称、厂名、生产厂址三项信息（</w:t>
      </w:r>
      <w:r>
        <w:rPr>
          <w:rFonts w:hint="eastAsia" w:ascii="仿宋_GB2312" w:hAnsi="仿宋_GB2312" w:eastAsia="仿宋_GB2312" w:cs="仿宋_GB2312"/>
          <w:color w:val="auto"/>
          <w:sz w:val="28"/>
          <w:szCs w:val="28"/>
          <w:highlight w:val="yellow"/>
        </w:rPr>
        <w:t xml:space="preserve">《声明函》中用斜线划除的地方无需填写</w:t>
      </w:r>
      <w:r>
        <w:rPr>
          <w:rFonts w:hint="eastAsia" w:ascii="仿宋_GB2312" w:hAnsi="仿宋_GB2312" w:eastAsia="仿宋_GB2312" w:cs="仿宋_GB2312"/>
          <w:color w:val="auto"/>
          <w:sz w:val="28"/>
          <w:szCs w:val="28"/>
        </w:rPr>
        <w:t xml:space="preserve">），三项信息中任意一项未填写的视为该项产品不符合本国产品标准，不享受本国产品价格评审优惠。</w:t>
      </w:r>
      <w:r/>
    </w:p>
    <w:p>
      <w:pPr>
        <w:ind w:right="0" w:firstLine="560"/>
        <w:jc w:val="left"/>
        <w:keepLines w:val="0"/>
        <w:keepNext w:val="0"/>
        <w:pageBreakBefore w:val="0"/>
        <w:spacing w:line="500" w:lineRule="exact"/>
        <w:widowControl/>
        <w:rPr>
          <w:rFonts w:hint="eastAsia" w:ascii="仿宋_GB2312" w:hAnsi="仿宋_GB2312" w:eastAsia="仿宋_GB2312" w:cs="仿宋_GB2312"/>
          <w:b w:val="0"/>
          <w:bCs w:val="0"/>
          <w:i w:val="0"/>
          <w:iCs w:val="0"/>
          <w:color w:val="auto"/>
          <w:sz w:val="28"/>
          <w:szCs w:val="28"/>
          <w:u w:val="single"/>
        </w:rPr>
        <w:outlineLvl w:val="9"/>
      </w:pPr>
      <w:r>
        <w:rPr>
          <w:rFonts w:hint="eastAsia" w:ascii="仿宋_GB2312" w:hAnsi="仿宋_GB2312" w:eastAsia="仿宋_GB2312" w:cs="仿宋_GB2312"/>
          <w:color w:val="auto"/>
          <w:sz w:val="28"/>
          <w:szCs w:val="28"/>
          <w:lang w:eastAsia="zh-CN"/>
        </w:rPr>
        <w:t xml:space="preserve">8</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val="0"/>
        <w:keepNext w:val="0"/>
        <w:pageBreakBefore w:val="0"/>
        <w:spacing w:line="500" w:lineRule="exact"/>
        <w:widowControl w:val="off"/>
        <w:rPr>
          <w:rFonts w:hint="eastAsia" w:ascii="黑体" w:hAnsi="黑体" w:eastAsia="黑体" w:cs="黑体"/>
          <w:b w:val="0"/>
          <w:bCs/>
          <w:color w:val="auto"/>
          <w:sz w:val="28"/>
          <w:szCs w:val="28"/>
          <w:highlight w:val="none"/>
          <w:lang w:eastAsia="zh-CN"/>
        </w:rPr>
      </w:pPr>
      <w:r>
        <w:rPr>
          <w:rFonts w:hint="eastAsia" w:ascii="黑体" w:hAnsi="黑体" w:eastAsia="黑体" w:cs="黑体"/>
          <w:b w:val="0"/>
          <w:bCs/>
          <w:color w:val="auto"/>
          <w:sz w:val="28"/>
          <w:szCs w:val="28"/>
          <w:highlight w:val="none"/>
          <w:lang w:eastAsia="zh-CN"/>
        </w:rPr>
        <w:t xml:space="preserve">四、评审办法和评审标准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000000"/>
          <w:sz w:val="28"/>
          <w:szCs w:val="28"/>
        </w:rPr>
        <w:t xml:space="preserve">本次评标采用</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，由</w:t>
      </w:r>
      <w:r>
        <w:rPr>
          <w:rFonts w:hint="eastAsia" w:ascii="仿宋_GB2312" w:hAnsi="仿宋_GB2312" w:eastAsia="仿宋_GB2312" w:cs="仿宋_GB2312"/>
          <w:sz w:val="28"/>
          <w:szCs w:val="28"/>
          <w:lang w:eastAsia="zh-CN"/>
        </w:rPr>
        <w:t xml:space="preserve">磋商小组</w:t>
      </w:r>
      <w:r>
        <w:rPr>
          <w:rFonts w:hint="eastAsia" w:ascii="仿宋_GB2312" w:hAnsi="仿宋_GB2312" w:eastAsia="仿宋_GB2312" w:cs="仿宋_GB2312"/>
          <w:sz w:val="28"/>
          <w:szCs w:val="28"/>
        </w:rPr>
        <w:t xml:space="preserve">根据评分办法规定的各项因素综合评定打分，按照最终得分由高到低的顺序排列。最终得分相同的，按照</w:t>
      </w:r>
      <w:r>
        <w:rPr>
          <w:rFonts w:hint="eastAsia" w:ascii="仿宋_GB2312" w:hAnsi="仿宋_GB2312" w:eastAsia="仿宋_GB2312" w:cs="仿宋_GB2312"/>
          <w:sz w:val="28"/>
          <w:szCs w:val="28"/>
          <w:lang w:eastAsia="zh-CN"/>
        </w:rPr>
        <w:t xml:space="preserve">最后响应</w:t>
      </w:r>
      <w:r>
        <w:rPr>
          <w:rFonts w:hint="eastAsia" w:ascii="仿宋_GB2312" w:hAnsi="仿宋_GB2312" w:eastAsia="仿宋_GB2312" w:cs="仿宋_GB2312"/>
          <w:sz w:val="28"/>
          <w:szCs w:val="28"/>
        </w:rPr>
        <w:t xml:space="preserve">报价由低到高顺序排列。得分相同且</w:t>
      </w:r>
      <w:r>
        <w:rPr>
          <w:rFonts w:hint="eastAsia" w:ascii="仿宋_GB2312" w:hAnsi="仿宋_GB2312" w:eastAsia="仿宋_GB2312" w:cs="仿宋_GB2312"/>
          <w:sz w:val="28"/>
          <w:szCs w:val="28"/>
          <w:lang w:eastAsia="zh-CN"/>
        </w:rPr>
        <w:t xml:space="preserve">响应</w:t>
      </w:r>
      <w:r>
        <w:rPr>
          <w:rFonts w:hint="eastAsia" w:ascii="仿宋_GB2312" w:hAnsi="仿宋_GB2312" w:eastAsia="仿宋_GB2312" w:cs="仿宋_GB2312"/>
          <w:sz w:val="28"/>
          <w:szCs w:val="28"/>
        </w:rPr>
        <w:t xml:space="preserve">报价相同的，由采购人采取随机抽取的方式确定排名顺序。</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2、</w:t>
      </w:r>
      <w:r>
        <w:rPr>
          <w:rFonts w:hint="eastAsia" w:ascii="仿宋_GB2312" w:hAnsi="仿宋_GB2312" w:eastAsia="仿宋_GB2312" w:cs="仿宋_GB2312"/>
          <w:b w:val="0"/>
          <w:bCs w:val="0"/>
          <w:color w:val="000000"/>
          <w:sz w:val="28"/>
          <w:szCs w:val="28"/>
        </w:rPr>
        <w:t xml:space="preserve">本项目选取</w:t>
      </w:r>
      <w:r>
        <w:rPr>
          <w:rFonts w:hint="eastAsia" w:ascii="仿宋_GB2312" w:hAnsi="仿宋_GB2312" w:eastAsia="仿宋_GB2312" w:cs="仿宋_GB2312"/>
          <w:b w:val="0"/>
          <w:bCs w:val="0"/>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rPr>
        <w:t xml:space="preserve">3名</w:t>
      </w:r>
      <w:r>
        <w:rPr>
          <w:rFonts w:hint="eastAsia" w:ascii="仿宋_GB2312" w:hAnsi="仿宋_GB2312" w:eastAsia="仿宋_GB2312" w:cs="仿宋_GB2312"/>
          <w:b/>
          <w:bCs/>
          <w:color w:val="000000"/>
          <w:sz w:val="28"/>
          <w:szCs w:val="28"/>
          <w:u w:val="single"/>
          <w:lang w:eastAsia="zh-CN"/>
        </w:rPr>
        <w:t xml:space="preserve">成交</w:t>
      </w:r>
      <w:r>
        <w:rPr>
          <w:rFonts w:hint="eastAsia" w:ascii="仿宋_GB2312" w:hAnsi="仿宋_GB2312" w:eastAsia="仿宋_GB2312" w:cs="仿宋_GB2312"/>
          <w:b/>
          <w:bCs/>
          <w:color w:val="000000"/>
          <w:sz w:val="28"/>
          <w:szCs w:val="28"/>
          <w:u w:val="single"/>
        </w:rPr>
        <w:t xml:space="preserve">候选人</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b w:val="0"/>
          <w:bCs w:val="0"/>
          <w:color w:val="auto"/>
          <w:sz w:val="28"/>
          <w:szCs w:val="28"/>
          <w:highlight w:val="none"/>
        </w:rPr>
        <w:t xml:space="preserve">。采购人确定最终得分最高且排名第一的</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候选人为</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供应商。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r>
      <w:r/>
    </w:p>
    <w:p>
      <w:pPr>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br w:type="page" w:clear="all"/>
      </w:r>
      <w:r/>
    </w:p>
    <w:p>
      <w:pPr>
        <w:pStyle w:val="819"/>
        <w:ind w:left="0" w:firstLine="0"/>
        <w:jc w:val="center"/>
        <w:keepLines w:val="0"/>
        <w:keepNext w:val="0"/>
        <w:pageBreakBefore w:val="0"/>
        <w:spacing w:beforeAutospacing="0" w:afterAutospacing="0" w:line="440" w:lineRule="exact"/>
        <w:widowControl w:val="off"/>
        <w:rPr>
          <w:rFonts w:hint="eastAsia" w:ascii="黑体" w:hAnsi="黑体" w:eastAsia="黑体" w:cs="黑体"/>
          <w:b w:val="0"/>
          <w:bCs/>
          <w:color w:val="auto"/>
          <w:sz w:val="32"/>
          <w:szCs w:val="32"/>
          <w:highlight w:val="none"/>
          <w:lang w:eastAsia="zh-CN"/>
        </w:rPr>
      </w:pPr>
      <w:r>
        <w:rPr>
          <w:rFonts w:hint="eastAsia" w:ascii="黑体" w:hAnsi="黑体" w:eastAsia="黑体" w:cs="黑体"/>
          <w:b w:val="0"/>
          <w:bCs/>
          <w:color w:val="auto"/>
          <w:sz w:val="32"/>
          <w:szCs w:val="32"/>
          <w:highlight w:val="none"/>
        </w:rPr>
        <w:t xml:space="preserve">评分办法</w:t>
      </w:r>
      <w:r/>
    </w:p>
    <w:tbl>
      <w:tblPr>
        <w:tblStyle w:val="794"/>
        <w:tblpPr w:horzAnchor="page" w:tblpXSpec="center" w:vertAnchor="text" w:tblpY="615" w:leftFromText="180" w:topFromText="0" w:rightFromText="180" w:bottomFromText="0"/>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9"/>
        <w:gridCol w:w="6892"/>
      </w:tblGrid>
      <w:tr>
        <w:trPr>
          <w:jc w:val="center"/>
          <w:trHeight w:val="794"/>
          <w:tblHeader/>
        </w:trPr>
        <w:tc>
          <w:tcPr>
            <w:tcW w:w="1230" w:type="pct"/>
            <w:vAlign w:val="center"/>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eastAsia="zh-CN"/>
              </w:rPr>
              <w:t xml:space="preserve">评审</w:t>
            </w:r>
            <w:r>
              <w:rPr>
                <w:rFonts w:hint="eastAsia" w:ascii="仿宋_GB2312" w:hAnsi="仿宋_GB2312" w:eastAsia="仿宋_GB2312" w:cs="仿宋_GB2312"/>
                <w:b/>
                <w:bCs/>
                <w:sz w:val="24"/>
                <w:szCs w:val="24"/>
              </w:rPr>
              <w:t xml:space="preserve">项目</w:t>
            </w:r>
            <w:r/>
          </w:p>
        </w:tc>
        <w:tc>
          <w:tcPr>
            <w:tcW w:w="3769" w:type="pct"/>
            <w:vAlign w:val="center"/>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评分标准</w:t>
            </w:r>
            <w:r/>
          </w:p>
        </w:tc>
      </w:tr>
      <w:tr>
        <w:trPr>
          <w:jc w:val="center"/>
          <w:trHeight w:val="0"/>
        </w:trPr>
        <w:tc>
          <w:tcPr>
            <w:tcW w:w="1230" w:type="pct"/>
            <w:vAlign w:val="center"/>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价格</w:t>
            </w:r>
            <w:r/>
          </w:p>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w:t>
            </w:r>
            <w:r>
              <w:rPr>
                <w:rFonts w:hint="eastAsia" w:ascii="仿宋_GB2312" w:hAnsi="仿宋_GB2312" w:eastAsia="仿宋_GB2312" w:cs="仿宋_GB2312"/>
                <w:b/>
                <w:bCs/>
                <w:sz w:val="24"/>
                <w:szCs w:val="24"/>
                <w:lang w:val="en-US" w:eastAsia="zh-CN"/>
              </w:rPr>
              <w:t xml:space="preserve">2</w:t>
            </w:r>
            <w:r>
              <w:rPr>
                <w:rFonts w:hint="eastAsia" w:ascii="仿宋_GB2312" w:hAnsi="仿宋_GB2312" w:eastAsia="仿宋_GB2312" w:cs="仿宋_GB2312"/>
                <w:b/>
                <w:bCs/>
                <w:sz w:val="24"/>
                <w:szCs w:val="24"/>
              </w:rPr>
              <w:t xml:space="preserve">0分）</w:t>
            </w:r>
            <w:r/>
          </w:p>
        </w:tc>
        <w:tc>
          <w:tcPr>
            <w:tcW w:w="3769" w:type="pct"/>
            <w:vAlign w:val="center"/>
            <w:textDirection w:val="lrTb"/>
            <w:noWrap w:val="false"/>
          </w:tcPr>
          <w:p>
            <w:pPr>
              <w:keepLines w:val="0"/>
              <w:keepNext w:val="0"/>
              <w:pageBreakBefore w:val="0"/>
              <w:spacing w:line="420" w:lineRule="exact"/>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 xml:space="preserve">价格分采用低价优先法计算，即满足磋商文件要求且最后报价最低的供应商的价格为磋商基准价，其价格分为满分。其他供应商的价格分统一按照下列公式计算：</w:t>
            </w:r>
            <w:r/>
          </w:p>
          <w:p>
            <w:pPr>
              <w:keepLines w:val="0"/>
              <w:keepNext w:val="0"/>
              <w:pageBreakBefore w:val="0"/>
              <w:spacing w:line="420" w:lineRule="exact"/>
              <w:rPr>
                <w:rFonts w:hint="eastAsia" w:ascii="仿宋_GB2312" w:hAnsi="仿宋_GB2312" w:eastAsia="仿宋_GB2312" w:cs="仿宋_GB2312"/>
                <w:color w:val="auto"/>
                <w:sz w:val="24"/>
                <w:szCs w:val="24"/>
                <w:lang w:val="en-US" w:eastAsia="zh-CN" w:bidi="ar-SA"/>
              </w:rPr>
            </w:pPr>
            <w:r/>
            <w:bookmarkStart w:id="226" w:name="No94_Z2T24K5"/>
            <w:r/>
            <w:bookmarkEnd w:id="226"/>
            <w:r>
              <w:rPr>
                <w:rFonts w:hint="eastAsia" w:ascii="仿宋_GB2312" w:hAnsi="仿宋_GB2312" w:eastAsia="仿宋_GB2312" w:cs="仿宋_GB2312"/>
                <w:color w:val="auto"/>
                <w:sz w:val="24"/>
                <w:szCs w:val="24"/>
                <w:lang w:val="en-US" w:eastAsia="zh-CN" w:bidi="ar-SA"/>
              </w:rPr>
              <w:t xml:space="preserve">磋商报价得分=（磋商基准价/最后磋商报价）×20</w:t>
            </w:r>
            <w:r/>
          </w:p>
          <w:p>
            <w:pPr>
              <w:keepLines w:val="0"/>
              <w:keepNext w:val="0"/>
              <w:pageBreakBefore w:val="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（保留两位小数）</w:t>
            </w:r>
            <w:r/>
          </w:p>
        </w:tc>
      </w:tr>
      <w:tr>
        <w:trPr>
          <w:jc w:val="center"/>
          <w:trHeight w:val="0"/>
        </w:trPr>
        <w:tc>
          <w:tcPr>
            <w:tcW w:w="1230" w:type="pct"/>
            <w:vAlign w:val="center"/>
            <w:vMerge w:val="restart"/>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 xml:space="preserve">企业能力</w:t>
            </w:r>
            <w:r/>
          </w:p>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val="en-US" w:eastAsia="zh-CN"/>
              </w:rPr>
              <w:t xml:space="preserve">（15</w:t>
            </w:r>
            <w:r>
              <w:rPr>
                <w:rFonts w:hint="eastAsia" w:ascii="仿宋_GB2312" w:hAnsi="仿宋_GB2312" w:eastAsia="仿宋_GB2312" w:cs="仿宋_GB2312"/>
                <w:b/>
                <w:bCs/>
                <w:sz w:val="24"/>
                <w:szCs w:val="24"/>
              </w:rPr>
              <w:t xml:space="preserve">分）</w:t>
            </w:r>
            <w:r/>
          </w:p>
        </w:tc>
        <w:tc>
          <w:tcPr>
            <w:tcW w:w="3769" w:type="pct"/>
            <w:vAlign w:val="center"/>
            <w:textDirection w:val="lrTb"/>
            <w:noWrap w:val="false"/>
          </w:tcPr>
          <w:p>
            <w:pPr>
              <w:ind w:left="0" w:right="0" w:firstLine="0"/>
              <w:jc w:val="left"/>
              <w:keepLines w:val="0"/>
              <w:keepNext w:val="0"/>
              <w:pageBreakBefore w:val="0"/>
              <w:spacing w:after="0" w:line="42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 xml:space="preserve">1</w:t>
            </w:r>
            <w:r>
              <w:rPr>
                <w:rFonts w:hint="eastAsia" w:ascii="仿宋_GB2312" w:hAnsi="仿宋_GB2312" w:eastAsia="仿宋_GB2312" w:cs="仿宋_GB2312"/>
                <w:b/>
                <w:bCs/>
                <w:sz w:val="24"/>
                <w:szCs w:val="24"/>
                <w:lang w:val="en-US" w:eastAsia="zh-CN"/>
              </w:rPr>
              <w:t xml:space="preserve">.</w:t>
            </w:r>
            <w:r>
              <w:rPr>
                <w:rFonts w:hint="eastAsia" w:ascii="仿宋_GB2312" w:hAnsi="仿宋_GB2312" w:eastAsia="仿宋_GB2312" w:cs="仿宋_GB2312"/>
                <w:b/>
                <w:bCs/>
                <w:sz w:val="24"/>
                <w:szCs w:val="24"/>
              </w:rPr>
              <w:t xml:space="preserve">业绩（</w:t>
            </w:r>
            <w:r>
              <w:rPr>
                <w:rFonts w:hint="eastAsia" w:ascii="仿宋_GB2312" w:hAnsi="仿宋_GB2312" w:eastAsia="仿宋_GB2312" w:cs="仿宋_GB2312"/>
                <w:b/>
                <w:bCs/>
                <w:sz w:val="24"/>
                <w:szCs w:val="24"/>
                <w:lang w:val="en-US" w:eastAsia="zh-CN"/>
              </w:rPr>
              <w:t xml:space="preserve">12</w:t>
            </w:r>
            <w:r>
              <w:rPr>
                <w:rFonts w:hint="eastAsia" w:ascii="仿宋_GB2312" w:hAnsi="仿宋_GB2312" w:eastAsia="仿宋_GB2312" w:cs="仿宋_GB2312"/>
                <w:b/>
                <w:bCs/>
                <w:sz w:val="24"/>
                <w:szCs w:val="24"/>
              </w:rPr>
              <w:t xml:space="preserve">分）</w:t>
            </w:r>
            <w:r>
              <w:rPr>
                <w:rFonts w:hint="eastAsia" w:ascii="仿宋_GB2312" w:hAnsi="仿宋_GB2312" w:eastAsia="仿宋_GB2312" w:cs="仿宋_GB2312"/>
                <w:sz w:val="24"/>
                <w:szCs w:val="24"/>
              </w:rPr>
              <w:t xml:space="preserve">：供应商提供自2021年1月1日以来</w:t>
            </w:r>
            <w:r>
              <w:rPr>
                <w:rFonts w:hint="eastAsia" w:ascii="仿宋_GB2312" w:hAnsi="仿宋_GB2312" w:eastAsia="仿宋_GB2312" w:cs="仿宋_GB2312"/>
                <w:b w:val="0"/>
                <w:bCs w:val="0"/>
                <w:color w:val="auto"/>
                <w:sz w:val="24"/>
                <w:szCs w:val="24"/>
                <w:highlight w:val="none"/>
                <w:u w:val="none"/>
                <w:lang w:eastAsia="zh-CN"/>
              </w:rPr>
              <w:t xml:space="preserve">与本项目类似的</w:t>
            </w:r>
            <w:r>
              <w:rPr>
                <w:rFonts w:hint="eastAsia" w:ascii="仿宋_GB2312" w:hAnsi="仿宋_GB2312" w:eastAsia="仿宋_GB2312" w:cs="仿宋_GB2312"/>
                <w:sz w:val="24"/>
                <w:szCs w:val="24"/>
                <w:highlight w:val="none"/>
              </w:rPr>
              <w:t xml:space="preserve">医疗信息化项目</w:t>
            </w:r>
            <w:r>
              <w:rPr>
                <w:rFonts w:hint="eastAsia" w:ascii="仿宋_GB2312" w:hAnsi="仿宋_GB2312" w:eastAsia="仿宋_GB2312" w:cs="仿宋_GB2312"/>
                <w:sz w:val="24"/>
                <w:szCs w:val="24"/>
              </w:rPr>
              <w:t xml:space="preserve">业绩（以合同签订日期为准）</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每提供一个得</w:t>
            </w:r>
            <w:r>
              <w:rPr>
                <w:rFonts w:hint="eastAsia" w:ascii="仿宋_GB2312" w:hAnsi="仿宋_GB2312" w:eastAsia="仿宋_GB2312" w:cs="仿宋_GB2312"/>
                <w:sz w:val="24"/>
                <w:szCs w:val="24"/>
                <w:lang w:val="en-US" w:eastAsia="zh-CN"/>
              </w:rPr>
              <w:t xml:space="preserve">3</w:t>
            </w:r>
            <w:r>
              <w:rPr>
                <w:rFonts w:hint="eastAsia" w:ascii="仿宋_GB2312" w:hAnsi="仿宋_GB2312" w:eastAsia="仿宋_GB2312" w:cs="仿宋_GB2312"/>
                <w:sz w:val="24"/>
                <w:szCs w:val="24"/>
              </w:rPr>
              <w:t xml:space="preserve">分，</w:t>
            </w:r>
            <w:r>
              <w:rPr>
                <w:rFonts w:hint="eastAsia" w:ascii="仿宋_GB2312" w:hAnsi="仿宋_GB2312" w:eastAsia="仿宋_GB2312" w:cs="仿宋_GB2312"/>
                <w:sz w:val="24"/>
                <w:szCs w:val="24"/>
                <w:lang w:val="en-US" w:eastAsia="zh-CN"/>
              </w:rPr>
              <w:t xml:space="preserve">最高得12</w:t>
            </w:r>
            <w:r>
              <w:rPr>
                <w:rFonts w:hint="eastAsia" w:ascii="仿宋_GB2312" w:hAnsi="仿宋_GB2312" w:eastAsia="仿宋_GB2312" w:cs="仿宋_GB2312"/>
                <w:sz w:val="24"/>
                <w:szCs w:val="24"/>
              </w:rPr>
              <w:t xml:space="preserve">分。</w:t>
            </w:r>
            <w:r/>
          </w:p>
          <w:p>
            <w:pPr>
              <w:ind w:left="0" w:right="0" w:firstLine="0"/>
              <w:jc w:val="left"/>
              <w:keepLines w:val="0"/>
              <w:keepNext w:val="0"/>
              <w:pageBreakBefore w:val="0"/>
              <w:spacing w:after="0" w:line="42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（提供合同原件</w:t>
            </w:r>
            <w:r>
              <w:rPr>
                <w:rFonts w:hint="eastAsia" w:ascii="仿宋_GB2312" w:hAnsi="仿宋_GB2312" w:eastAsia="仿宋_GB2312" w:cs="仿宋_GB2312"/>
                <w:sz w:val="24"/>
                <w:szCs w:val="24"/>
                <w:lang w:eastAsia="zh-CN"/>
              </w:rPr>
              <w:t xml:space="preserve">扫描件，不提供不得分。</w:t>
            </w:r>
            <w:r>
              <w:rPr>
                <w:rFonts w:hint="eastAsia" w:ascii="仿宋_GB2312" w:hAnsi="仿宋_GB2312" w:eastAsia="仿宋_GB2312" w:cs="仿宋_GB2312"/>
                <w:sz w:val="24"/>
                <w:szCs w:val="24"/>
              </w:rPr>
              <w:t xml:space="preserve">）</w:t>
            </w:r>
            <w:r/>
          </w:p>
        </w:tc>
      </w:tr>
      <w:tr>
        <w:trPr>
          <w:jc w:val="center"/>
          <w:trHeight w:val="0"/>
        </w:trPr>
        <w:tc>
          <w:tcPr>
            <w:tcW w:w="1230" w:type="pct"/>
            <w:vAlign w:val="center"/>
            <w:vMerge w:val="continue"/>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3769" w:type="pct"/>
            <w:vAlign w:val="center"/>
            <w:textDirection w:val="lrTb"/>
            <w:noWrap w:val="false"/>
          </w:tcPr>
          <w:p>
            <w:pPr>
              <w:pStyle w:val="1008"/>
              <w:jc w:val="left"/>
              <w:keepLines w:val="0"/>
              <w:keepNext w:val="0"/>
              <w:pageBreakBefore w:val="0"/>
              <w:spacing w:after="0" w:line="420" w:lineRule="exact"/>
              <w:widowControl w:val="off"/>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 xml:space="preserve">2.软件著作权（3 分）</w:t>
            </w:r>
            <w:r>
              <w:rPr>
                <w:rFonts w:hint="eastAsia" w:ascii="仿宋_GB2312" w:hAnsi="仿宋_GB2312" w:eastAsia="仿宋_GB2312" w:cs="仿宋_GB2312"/>
                <w:sz w:val="24"/>
                <w:szCs w:val="24"/>
                <w:lang w:val="en-US" w:eastAsia="zh-CN"/>
              </w:rPr>
              <w:t xml:space="preserve">：</w:t>
            </w:r>
            <w:r>
              <w:rPr>
                <w:rFonts w:hint="eastAsia" w:ascii="仿宋_GB2312" w:hAnsi="仿宋_GB2312" w:eastAsia="仿宋_GB2312" w:cs="仿宋_GB2312"/>
                <w:sz w:val="24"/>
                <w:szCs w:val="24"/>
              </w:rPr>
              <w:t xml:space="preserve">供应商</w:t>
            </w:r>
            <w:r>
              <w:rPr>
                <w:rFonts w:hint="eastAsia" w:ascii="仿宋_GB2312" w:hAnsi="仿宋_GB2312" w:eastAsia="仿宋_GB2312" w:cs="仿宋_GB2312"/>
                <w:sz w:val="24"/>
                <w:szCs w:val="24"/>
                <w:lang w:val="en-US" w:eastAsia="zh-CN"/>
              </w:rPr>
              <w:t xml:space="preserve">每提供一个包括或近似以下关键词</w:t>
            </w:r>
            <w:r>
              <w:rPr>
                <w:rFonts w:hint="eastAsia" w:ascii="仿宋_GB2312" w:hAnsi="仿宋_GB2312" w:eastAsia="仿宋_GB2312" w:cs="仿宋_GB2312"/>
                <w:color w:val="auto"/>
                <w:sz w:val="24"/>
                <w:szCs w:val="24"/>
                <w:highlight w:val="none"/>
                <w:lang w:val="en-US" w:eastAsia="zh-CN"/>
              </w:rPr>
              <w:t xml:space="preserve">（“基层医疗卫生信息系统”、“全民健康信息平台”、“医疗卫生信息安全”）</w:t>
            </w:r>
            <w:r>
              <w:rPr>
                <w:rFonts w:hint="eastAsia" w:ascii="仿宋_GB2312" w:hAnsi="仿宋_GB2312" w:eastAsia="仿宋_GB2312" w:cs="仿宋_GB2312"/>
                <w:sz w:val="24"/>
                <w:szCs w:val="24"/>
                <w:lang w:val="en-US" w:eastAsia="zh-CN"/>
              </w:rPr>
              <w:t xml:space="preserve">的计算机软件著作权证书的得1分，最高得3分。</w:t>
            </w:r>
            <w:r/>
          </w:p>
          <w:p>
            <w:pPr>
              <w:pStyle w:val="1008"/>
              <w:jc w:val="left"/>
              <w:keepLines w:val="0"/>
              <w:keepNext w:val="0"/>
              <w:pageBreakBefore w:val="0"/>
              <w:spacing w:after="0" w:line="4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color w:val="auto"/>
                <w:sz w:val="24"/>
                <w:szCs w:val="24"/>
                <w:lang w:val="en-US" w:eastAsia="zh-CN" w:bidi="ar-SA"/>
              </w:rPr>
              <w:t xml:space="preserve">（提供计算机软件著作权登记证书扫描件，</w:t>
            </w:r>
            <w:r>
              <w:rPr>
                <w:rFonts w:hint="eastAsia" w:ascii="仿宋_GB2312" w:hAnsi="仿宋_GB2312" w:eastAsia="仿宋_GB2312" w:cs="仿宋_GB2312"/>
                <w:color w:val="auto"/>
                <w:sz w:val="24"/>
                <w:szCs w:val="24"/>
                <w:highlight w:val="none"/>
              </w:rPr>
              <w:t xml:space="preserve">不提供不得分</w:t>
            </w:r>
            <w:r>
              <w:rPr>
                <w:rFonts w:hint="eastAsia" w:ascii="仿宋_GB2312" w:hAnsi="仿宋_GB2312" w:eastAsia="仿宋_GB2312" w:cs="仿宋_GB2312"/>
                <w:color w:val="auto"/>
                <w:sz w:val="24"/>
                <w:szCs w:val="24"/>
                <w:lang w:val="en-US" w:eastAsia="zh-CN" w:bidi="ar-SA"/>
              </w:rPr>
              <w:t xml:space="preserve">。）</w:t>
            </w:r>
            <w:r/>
          </w:p>
        </w:tc>
      </w:tr>
      <w:tr>
        <w:trPr>
          <w:jc w:val="center"/>
          <w:trHeight w:val="0"/>
        </w:trPr>
        <w:tc>
          <w:tcPr>
            <w:tcW w:w="1230" w:type="pct"/>
            <w:vAlign w:val="center"/>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设计及实施方案</w:t>
            </w:r>
            <w:r/>
          </w:p>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（1</w:t>
            </w:r>
            <w:r>
              <w:rPr>
                <w:rFonts w:hint="eastAsia" w:ascii="仿宋_GB2312" w:hAnsi="仿宋_GB2312" w:eastAsia="仿宋_GB2312" w:cs="仿宋_GB2312"/>
                <w:b/>
                <w:bCs/>
                <w:sz w:val="24"/>
                <w:szCs w:val="24"/>
                <w:lang w:val="en-US" w:eastAsia="zh-CN"/>
              </w:rPr>
              <w:t xml:space="preserve">5</w:t>
            </w:r>
            <w:r>
              <w:rPr>
                <w:rFonts w:hint="eastAsia" w:ascii="仿宋_GB2312" w:hAnsi="仿宋_GB2312" w:eastAsia="仿宋_GB2312" w:cs="仿宋_GB2312"/>
                <w:b/>
                <w:bCs/>
                <w:sz w:val="24"/>
                <w:szCs w:val="24"/>
              </w:rPr>
              <w:t xml:space="preserve">分）</w:t>
            </w:r>
            <w:r/>
          </w:p>
        </w:tc>
        <w:tc>
          <w:tcPr>
            <w:tcW w:w="3769" w:type="pct"/>
            <w:vAlign w:val="center"/>
            <w:textDirection w:val="lrTb"/>
            <w:noWrap w:val="false"/>
          </w:tcPr>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 xml:space="preserve">供应商</w:t>
            </w:r>
            <w:r>
              <w:rPr>
                <w:rFonts w:hint="eastAsia" w:ascii="仿宋_GB2312" w:hAnsi="仿宋_GB2312" w:eastAsia="仿宋_GB2312" w:cs="仿宋_GB2312"/>
                <w:color w:val="auto"/>
                <w:sz w:val="24"/>
                <w:szCs w:val="24"/>
              </w:rPr>
              <w:t xml:space="preserve">应根据项目的采购技术需求提供详细的</w:t>
            </w:r>
            <w:r>
              <w:rPr>
                <w:rFonts w:hint="eastAsia" w:ascii="仿宋_GB2312" w:hAnsi="仿宋_GB2312" w:eastAsia="仿宋_GB2312" w:cs="仿宋_GB2312"/>
                <w:color w:val="auto"/>
                <w:sz w:val="24"/>
                <w:szCs w:val="24"/>
                <w:lang w:val="en-US" w:eastAsia="zh-CN"/>
              </w:rPr>
              <w:t xml:space="preserve">设计及实施</w:t>
            </w:r>
            <w:r>
              <w:rPr>
                <w:rFonts w:hint="eastAsia" w:ascii="仿宋_GB2312" w:hAnsi="仿宋_GB2312" w:eastAsia="仿宋_GB2312" w:cs="仿宋_GB2312"/>
                <w:color w:val="auto"/>
                <w:sz w:val="24"/>
                <w:szCs w:val="24"/>
              </w:rPr>
              <w:t xml:space="preserve">方案</w:t>
            </w:r>
            <w:r>
              <w:rPr>
                <w:rFonts w:hint="eastAsia" w:ascii="仿宋_GB2312" w:hAnsi="仿宋_GB2312" w:eastAsia="仿宋_GB2312" w:cs="仿宋_GB2312"/>
                <w:color w:val="auto"/>
                <w:sz w:val="24"/>
                <w:szCs w:val="24"/>
                <w:lang w:eastAsia="zh-CN"/>
              </w:rPr>
              <w:t xml:space="preserve">：</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lang w:val="en-US" w:eastAsia="zh-CN"/>
              </w:rPr>
              <w:t xml:space="preserve">                  </w:t>
            </w:r>
            <w:r/>
          </w:p>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（1）响应文件未提供 “设计及实施方案” 或不符合 “设计及实施方案” 中全部条款要求的，视为不符合磋商文件，不得分；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（2）响应文件符合 “设计及实施方案” 中全部条款要求的，得 10 分；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（3）响应文件对 “设计及实施方案” 中 “实施计划”、“进度安排”、“质量保证措施” 三项要求的响应内容全部优于磋商文件要求的，得 15 分。</w:t>
            </w:r>
            <w:r/>
          </w:p>
        </w:tc>
      </w:tr>
      <w:tr>
        <w:trPr>
          <w:jc w:val="center"/>
          <w:trHeight w:val="0"/>
        </w:trPr>
        <w:tc>
          <w:tcPr>
            <w:tcW w:w="1230" w:type="pct"/>
            <w:vAlign w:val="center"/>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验收方案</w:t>
            </w:r>
            <w:r/>
          </w:p>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（1</w:t>
            </w:r>
            <w:r>
              <w:rPr>
                <w:rFonts w:hint="eastAsia" w:ascii="仿宋_GB2312" w:hAnsi="仿宋_GB2312" w:eastAsia="仿宋_GB2312" w:cs="仿宋_GB2312"/>
                <w:b/>
                <w:bCs/>
                <w:sz w:val="24"/>
                <w:szCs w:val="24"/>
                <w:lang w:val="en-US" w:eastAsia="zh-CN"/>
              </w:rPr>
              <w:t xml:space="preserve">5</w:t>
            </w:r>
            <w:r>
              <w:rPr>
                <w:rFonts w:hint="eastAsia" w:ascii="仿宋_GB2312" w:hAnsi="仿宋_GB2312" w:eastAsia="仿宋_GB2312" w:cs="仿宋_GB2312"/>
                <w:b/>
                <w:bCs/>
                <w:sz w:val="24"/>
                <w:szCs w:val="24"/>
              </w:rPr>
              <w:t xml:space="preserve">分）</w:t>
            </w:r>
            <w:r/>
          </w:p>
        </w:tc>
        <w:tc>
          <w:tcPr>
            <w:tcW w:w="3769" w:type="pct"/>
            <w:vAlign w:val="center"/>
            <w:textDirection w:val="lrTb"/>
            <w:noWrap w:val="false"/>
          </w:tcPr>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val="en-US" w:eastAsia="zh-CN"/>
              </w:rPr>
              <w:t xml:space="preserve">供应商</w:t>
            </w:r>
            <w:r>
              <w:rPr>
                <w:rFonts w:hint="eastAsia" w:ascii="仿宋_GB2312" w:hAnsi="仿宋_GB2312" w:eastAsia="仿宋_GB2312" w:cs="仿宋_GB2312"/>
                <w:color w:val="auto"/>
                <w:sz w:val="24"/>
                <w:szCs w:val="24"/>
              </w:rPr>
              <w:t xml:space="preserve">应根据项目的采购技术需求提供详细的</w:t>
            </w:r>
            <w:r>
              <w:rPr>
                <w:rFonts w:hint="eastAsia" w:ascii="仿宋_GB2312" w:hAnsi="仿宋_GB2312" w:eastAsia="仿宋_GB2312" w:cs="仿宋_GB2312"/>
                <w:color w:val="auto"/>
                <w:sz w:val="24"/>
                <w:szCs w:val="24"/>
                <w:lang w:val="en-US" w:eastAsia="zh-CN"/>
              </w:rPr>
              <w:t xml:space="preserve">验收</w:t>
            </w:r>
            <w:r>
              <w:rPr>
                <w:rFonts w:hint="eastAsia" w:ascii="仿宋_GB2312" w:hAnsi="仿宋_GB2312" w:eastAsia="仿宋_GB2312" w:cs="仿宋_GB2312"/>
                <w:color w:val="auto"/>
                <w:sz w:val="24"/>
                <w:szCs w:val="24"/>
              </w:rPr>
              <w:t xml:space="preserve">方案</w:t>
            </w:r>
            <w:r>
              <w:rPr>
                <w:rFonts w:hint="eastAsia" w:ascii="仿宋_GB2312" w:hAnsi="仿宋_GB2312" w:eastAsia="仿宋_GB2312" w:cs="仿宋_GB2312"/>
                <w:color w:val="auto"/>
                <w:sz w:val="24"/>
                <w:szCs w:val="24"/>
                <w:lang w:eastAsia="zh-CN"/>
              </w:rPr>
              <w:t xml:space="preserve">：</w:t>
            </w:r>
            <w:r/>
          </w:p>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（1）响应文件未提供 “验收方案” 或不符合 “验收方案” 中全部条款要求的，视为不符合磋商文件，不得分；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（2）响应文件符合 “验收方案” 中全部条款要求的，得 10 分；</w:t>
            </w:r>
            <w:r/>
          </w:p>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（3）响应文件 “验收方案” 紧扣采购需求实际，相关响应内容优于磋商文件要求的，得 15 分。</w:t>
            </w:r>
            <w:r/>
          </w:p>
        </w:tc>
      </w:tr>
      <w:tr>
        <w:trPr>
          <w:jc w:val="center"/>
          <w:trHeight w:val="0"/>
        </w:trPr>
        <w:tc>
          <w:tcPr>
            <w:tcW w:w="1230" w:type="pct"/>
            <w:vAlign w:val="center"/>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售后服务</w:t>
            </w:r>
            <w:r/>
          </w:p>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（1</w:t>
            </w:r>
            <w:r>
              <w:rPr>
                <w:rFonts w:hint="eastAsia" w:ascii="仿宋_GB2312" w:hAnsi="仿宋_GB2312" w:eastAsia="仿宋_GB2312" w:cs="仿宋_GB2312"/>
                <w:b/>
                <w:bCs/>
                <w:sz w:val="24"/>
                <w:szCs w:val="24"/>
                <w:lang w:val="en-US" w:eastAsia="zh-CN"/>
              </w:rPr>
              <w:t xml:space="preserve">0</w:t>
            </w:r>
            <w:r>
              <w:rPr>
                <w:rFonts w:hint="eastAsia" w:ascii="仿宋_GB2312" w:hAnsi="仿宋_GB2312" w:eastAsia="仿宋_GB2312" w:cs="仿宋_GB2312"/>
                <w:b/>
                <w:bCs/>
                <w:sz w:val="24"/>
                <w:szCs w:val="24"/>
              </w:rPr>
              <w:t xml:space="preserve">分）</w:t>
            </w:r>
            <w:r/>
          </w:p>
        </w:tc>
        <w:tc>
          <w:tcPr>
            <w:tcW w:w="3769" w:type="pct"/>
            <w:vAlign w:val="center"/>
            <w:textDirection w:val="lrTb"/>
            <w:noWrap w:val="false"/>
          </w:tcPr>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 xml:space="preserve">供应商</w:t>
            </w:r>
            <w:r>
              <w:rPr>
                <w:rFonts w:hint="eastAsia" w:ascii="仿宋_GB2312" w:hAnsi="仿宋_GB2312" w:eastAsia="仿宋_GB2312" w:cs="仿宋_GB2312"/>
                <w:color w:val="auto"/>
                <w:sz w:val="24"/>
                <w:szCs w:val="24"/>
              </w:rPr>
              <w:t xml:space="preserve">应根据项目的采购技术需求提供</w:t>
            </w:r>
            <w:r>
              <w:rPr>
                <w:rFonts w:hint="eastAsia" w:ascii="仿宋_GB2312" w:hAnsi="仿宋_GB2312" w:eastAsia="仿宋_GB2312" w:cs="仿宋_GB2312"/>
                <w:color w:val="auto"/>
                <w:sz w:val="24"/>
                <w:szCs w:val="24"/>
                <w:lang w:val="en-US" w:eastAsia="zh-CN"/>
              </w:rPr>
              <w:t xml:space="preserve">相应的售后服务</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（1）响应文件未提供 “售后服务方案” 或不符合 “售后服务方案” 中全部条款要求的，视为不符合磋商文件，不得分；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（2）响应文件符合 “售后服务方案” 中全部条款要求的，得 5 分；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（3）响应文件对 “售后服务方案” 中 “项目质保和服务”、“技术支持响应时间”、“备品备件” 三项要求的响应内容全部优于磋商文件要求的，得 10 分。</w:t>
            </w:r>
            <w:r/>
          </w:p>
        </w:tc>
      </w:tr>
      <w:tr>
        <w:trPr>
          <w:jc w:val="center"/>
          <w:trHeight w:val="0"/>
        </w:trPr>
        <w:tc>
          <w:tcPr>
            <w:tcW w:w="1230" w:type="pct"/>
            <w:vAlign w:val="center"/>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软件开发方案</w:t>
            </w:r>
            <w:r/>
          </w:p>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eastAsia="zh-CN"/>
              </w:rPr>
              <w:t xml:space="preserve">（</w:t>
            </w:r>
            <w:r>
              <w:rPr>
                <w:rFonts w:hint="eastAsia" w:ascii="仿宋_GB2312" w:hAnsi="仿宋_GB2312" w:eastAsia="仿宋_GB2312" w:cs="仿宋_GB2312"/>
                <w:b/>
                <w:bCs/>
                <w:sz w:val="24"/>
                <w:szCs w:val="24"/>
                <w:lang w:val="en-US" w:eastAsia="zh-CN"/>
              </w:rPr>
              <w:t xml:space="preserve">10分</w:t>
            </w:r>
            <w:r>
              <w:rPr>
                <w:rFonts w:hint="eastAsia" w:ascii="仿宋_GB2312" w:hAnsi="仿宋_GB2312" w:eastAsia="仿宋_GB2312" w:cs="仿宋_GB2312"/>
                <w:b/>
                <w:bCs/>
                <w:sz w:val="24"/>
                <w:szCs w:val="24"/>
                <w:lang w:eastAsia="zh-CN"/>
              </w:rPr>
              <w:t xml:space="preserve">）</w:t>
            </w:r>
            <w:r/>
          </w:p>
        </w:tc>
        <w:tc>
          <w:tcPr>
            <w:tcW w:w="3769" w:type="pct"/>
            <w:vAlign w:val="center"/>
            <w:textDirection w:val="lrTb"/>
            <w:noWrap w:val="false"/>
          </w:tcPr>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val="en-US" w:eastAsia="zh-CN"/>
              </w:rPr>
              <w:t xml:space="preserve">供应商</w:t>
            </w:r>
            <w:r>
              <w:rPr>
                <w:rFonts w:hint="eastAsia" w:ascii="仿宋_GB2312" w:hAnsi="仿宋_GB2312" w:eastAsia="仿宋_GB2312" w:cs="仿宋_GB2312"/>
                <w:color w:val="auto"/>
                <w:sz w:val="24"/>
                <w:szCs w:val="24"/>
              </w:rPr>
              <w:t xml:space="preserve">应根据项目的采购技术需求提供详细的软件开发方案</w:t>
            </w:r>
            <w:r>
              <w:rPr>
                <w:rFonts w:hint="eastAsia" w:ascii="仿宋_GB2312" w:hAnsi="仿宋_GB2312" w:eastAsia="仿宋_GB2312" w:cs="仿宋_GB2312"/>
                <w:color w:val="auto"/>
                <w:sz w:val="24"/>
                <w:szCs w:val="24"/>
                <w:lang w:eastAsia="zh-CN"/>
              </w:rPr>
              <w:t xml:space="preserve">：</w:t>
            </w:r>
            <w:r/>
          </w:p>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 xml:space="preserve">（1）响应文件未提供“软件开发方案”或不符合“软件开发方案”中全部条款要求的，视为不符合招标文件，不得分；</w:t>
            </w:r>
            <w:r/>
          </w:p>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 xml:space="preserve">（2）响应文件符合“软件开发方案”中全部条款要求的，得</w:t>
            </w:r>
            <w:r>
              <w:rPr>
                <w:rFonts w:hint="eastAsia" w:ascii="仿宋_GB2312" w:hAnsi="仿宋_GB2312" w:eastAsia="仿宋_GB2312" w:cs="仿宋_GB2312"/>
                <w:color w:val="auto"/>
                <w:sz w:val="24"/>
                <w:szCs w:val="24"/>
                <w:lang w:val="en-US" w:eastAsia="zh-CN"/>
              </w:rPr>
              <w:t xml:space="preserve">5</w:t>
            </w:r>
            <w:r>
              <w:rPr>
                <w:rFonts w:hint="eastAsia" w:ascii="仿宋_GB2312" w:hAnsi="仿宋_GB2312" w:eastAsia="仿宋_GB2312" w:cs="仿宋_GB2312"/>
                <w:color w:val="auto"/>
                <w:sz w:val="24"/>
                <w:szCs w:val="24"/>
                <w:lang w:eastAsia="zh-CN"/>
              </w:rPr>
              <w:t xml:space="preserve">分；</w:t>
            </w:r>
            <w:r/>
          </w:p>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 xml:space="preserve">（3）响应文件对“软件开发方案”中“系统架构设计”、“技术路线”、“功能实现”三项要求的响应内容全部优于磋商文件要求的，得</w:t>
            </w:r>
            <w:r>
              <w:rPr>
                <w:rFonts w:hint="eastAsia" w:ascii="仿宋_GB2312" w:hAnsi="仿宋_GB2312" w:eastAsia="仿宋_GB2312" w:cs="仿宋_GB2312"/>
                <w:color w:val="auto"/>
                <w:sz w:val="24"/>
                <w:szCs w:val="24"/>
                <w:lang w:val="en-US" w:eastAsia="zh-CN"/>
              </w:rPr>
              <w:t xml:space="preserve">10</w:t>
            </w:r>
            <w:r>
              <w:rPr>
                <w:rFonts w:hint="eastAsia" w:ascii="仿宋_GB2312" w:hAnsi="仿宋_GB2312" w:eastAsia="仿宋_GB2312" w:cs="仿宋_GB2312"/>
                <w:color w:val="auto"/>
                <w:sz w:val="24"/>
                <w:szCs w:val="24"/>
                <w:lang w:eastAsia="zh-CN"/>
              </w:rPr>
              <w:t xml:space="preserve">分。</w:t>
            </w:r>
            <w:r/>
          </w:p>
        </w:tc>
      </w:tr>
      <w:tr>
        <w:trPr>
          <w:jc w:val="center"/>
          <w:trHeight w:val="0"/>
        </w:trPr>
        <w:tc>
          <w:tcPr>
            <w:tcW w:w="1230" w:type="pct"/>
            <w:vAlign w:val="center"/>
            <w:textDirection w:val="lrTb"/>
            <w:noWrap w:val="false"/>
          </w:tcPr>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项目进度管理方案</w:t>
            </w:r>
            <w:r/>
          </w:p>
          <w:p>
            <w:pPr>
              <w:ind w:left="0" w:right="0" w:firstLine="0"/>
              <w:jc w:val="center"/>
              <w:keepLines w:val="0"/>
              <w:keepNext w:val="0"/>
              <w:pageBreakBefore w:val="0"/>
              <w:spacing w:after="0" w:line="460" w:lineRule="exact"/>
              <w:widowControl/>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eastAsia="zh-CN"/>
              </w:rPr>
              <w:t xml:space="preserve">（</w:t>
            </w:r>
            <w:r>
              <w:rPr>
                <w:rFonts w:hint="eastAsia" w:ascii="仿宋_GB2312" w:hAnsi="仿宋_GB2312" w:eastAsia="仿宋_GB2312" w:cs="仿宋_GB2312"/>
                <w:b/>
                <w:bCs/>
                <w:sz w:val="24"/>
                <w:szCs w:val="24"/>
                <w:lang w:val="en-US" w:eastAsia="zh-CN"/>
              </w:rPr>
              <w:t xml:space="preserve">15分</w:t>
            </w:r>
            <w:r>
              <w:rPr>
                <w:rFonts w:hint="eastAsia" w:ascii="仿宋_GB2312" w:hAnsi="仿宋_GB2312" w:eastAsia="仿宋_GB2312" w:cs="仿宋_GB2312"/>
                <w:b/>
                <w:bCs/>
                <w:sz w:val="24"/>
                <w:szCs w:val="24"/>
                <w:lang w:eastAsia="zh-CN"/>
              </w:rPr>
              <w:t xml:space="preserve">）</w:t>
            </w:r>
            <w:r/>
          </w:p>
        </w:tc>
        <w:tc>
          <w:tcPr>
            <w:tcW w:w="3769" w:type="pct"/>
            <w:vAlign w:val="center"/>
            <w:textDirection w:val="lrTb"/>
            <w:noWrap w:val="false"/>
          </w:tcPr>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val="en-US" w:eastAsia="zh-CN"/>
              </w:rPr>
              <w:t xml:space="preserve">供应商</w:t>
            </w:r>
            <w:r>
              <w:rPr>
                <w:rFonts w:hint="eastAsia" w:ascii="仿宋_GB2312" w:hAnsi="仿宋_GB2312" w:eastAsia="仿宋_GB2312" w:cs="仿宋_GB2312"/>
                <w:color w:val="auto"/>
                <w:sz w:val="24"/>
                <w:szCs w:val="24"/>
                <w:lang w:eastAsia="zh-CN"/>
              </w:rPr>
              <w:t xml:space="preserve">根据项目的采购技术需求提供详细的“项目进度管理方案”：</w:t>
            </w:r>
            <w:r/>
          </w:p>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 xml:space="preserve">（1）响应文件未提供“项目进度管理方案”或不符合“项目进度管理方案”中全部条款要求的，视为不符合招标文件，不得分；</w:t>
            </w:r>
            <w:r/>
          </w:p>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 xml:space="preserve">（2）响应文件符合“项目进度管理方案”中全部条款要求的，得</w:t>
            </w:r>
            <w:r>
              <w:rPr>
                <w:rFonts w:hint="eastAsia" w:ascii="仿宋_GB2312" w:hAnsi="仿宋_GB2312" w:eastAsia="仿宋_GB2312" w:cs="仿宋_GB2312"/>
                <w:color w:val="auto"/>
                <w:sz w:val="24"/>
                <w:szCs w:val="24"/>
                <w:lang w:val="en-US" w:eastAsia="zh-CN"/>
              </w:rPr>
              <w:t xml:space="preserve">10</w:t>
            </w:r>
            <w:r>
              <w:rPr>
                <w:rFonts w:hint="eastAsia" w:ascii="仿宋_GB2312" w:hAnsi="仿宋_GB2312" w:eastAsia="仿宋_GB2312" w:cs="仿宋_GB2312"/>
                <w:color w:val="auto"/>
                <w:sz w:val="24"/>
                <w:szCs w:val="24"/>
                <w:lang w:eastAsia="zh-CN"/>
              </w:rPr>
              <w:t xml:space="preserve">分；</w:t>
            </w:r>
            <w:r/>
          </w:p>
          <w:p>
            <w:pPr>
              <w:ind w:left="0" w:right="0" w:firstLine="0"/>
              <w:jc w:val="left"/>
              <w:keepLines w:val="0"/>
              <w:keepNext w:val="0"/>
              <w:pageBreakBefore w:val="0"/>
              <w:spacing w:after="0" w:line="420" w:lineRule="exact"/>
              <w:widowControl/>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 xml:space="preserve">（3）响应文件对“项目进度管理方案”中“进度安排”、“进度管理”、“测试”、“试运行”、“验收”五项要求的响应内容全部优于磋商文件要求的，得</w:t>
            </w:r>
            <w:r>
              <w:rPr>
                <w:rFonts w:hint="eastAsia" w:ascii="仿宋_GB2312" w:hAnsi="仿宋_GB2312" w:eastAsia="仿宋_GB2312" w:cs="仿宋_GB2312"/>
                <w:color w:val="auto"/>
                <w:sz w:val="24"/>
                <w:szCs w:val="24"/>
                <w:lang w:val="en-US" w:eastAsia="zh-CN"/>
              </w:rPr>
              <w:t xml:space="preserve">15</w:t>
            </w:r>
            <w:r>
              <w:rPr>
                <w:rFonts w:hint="eastAsia" w:ascii="仿宋_GB2312" w:hAnsi="仿宋_GB2312" w:eastAsia="仿宋_GB2312" w:cs="仿宋_GB2312"/>
                <w:color w:val="auto"/>
                <w:sz w:val="24"/>
                <w:szCs w:val="24"/>
                <w:lang w:eastAsia="zh-CN"/>
              </w:rPr>
              <w:t xml:space="preserve">分。</w:t>
            </w:r>
            <w:r/>
          </w:p>
        </w:tc>
      </w:tr>
    </w:tbl>
    <w:p>
      <w:pPr>
        <w:rPr>
          <w:rFonts w:hint="eastAsia"/>
        </w:rPr>
      </w:pPr>
      <w:r>
        <w:rPr>
          <w:rFonts w:hint="eastAsia"/>
        </w:rPr>
      </w:r>
      <w:r/>
    </w:p>
    <w:p>
      <w:pPr>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pStyle w:val="830"/>
        <w:rPr>
          <w:rFonts w:hint="eastAsia"/>
        </w:rPr>
      </w:pPr>
      <w:r>
        <w:rPr>
          <w:rFonts w:hint="eastAsia"/>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第六章  </w:t>
      </w:r>
      <w:bookmarkEnd w:id="187"/>
      <w:r/>
      <w:bookmarkEnd w:id="188"/>
      <w:r/>
      <w:bookmarkEnd w:id="225"/>
      <w:r>
        <w:rPr>
          <w:rFonts w:hint="eastAsia" w:ascii="黑体" w:hAnsi="黑体" w:eastAsia="黑体" w:cs="黑体"/>
          <w:bCs/>
          <w:sz w:val="40"/>
          <w:szCs w:val="40"/>
        </w:rPr>
        <w:t xml:space="preserve">响应文件格式</w:t>
      </w:r>
      <w:r/>
    </w:p>
    <w:p>
      <w:pPr>
        <w:ind w:left="0" w:right="0" w:firstLine="562"/>
        <w:jc w:val="center"/>
        <w:pageBreakBefore w:val="0"/>
        <w:spacing w:line="520" w:lineRule="exact"/>
        <w:rPr>
          <w:rFonts w:hint="eastAsia" w:ascii="仿宋_GB2312" w:hAnsi="仿宋_GB2312" w:eastAsia="仿宋_GB2312" w:cs="仿宋_GB2312"/>
          <w:b/>
          <w:sz w:val="28"/>
          <w:szCs w:val="28"/>
        </w:rPr>
      </w:pPr>
      <w:r/>
      <w:bookmarkStart w:id="227" w:name="_Hlt26671244"/>
      <w:r/>
      <w:bookmarkEnd w:id="227"/>
      <w:r/>
      <w:bookmarkStart w:id="228" w:name="_Hlt26955039"/>
      <w:r/>
      <w:bookmarkEnd w:id="228"/>
      <w:r/>
      <w:bookmarkStart w:id="229" w:name="_Toc26554094"/>
      <w:r/>
      <w:bookmarkStart w:id="230" w:name="_Toc120614282"/>
      <w:r/>
      <w:bookmarkStart w:id="231" w:name="_Toc49090576"/>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keepLines w:val="0"/>
        <w:keepNext w:val="0"/>
        <w:pageBreakBefore w:val="0"/>
        <w:spacing w:line="920" w:lineRule="exact"/>
        <w:widowControl w:val="off"/>
        <w:rPr>
          <w:rFonts w:hint="eastAsia" w:ascii="方正小标宋_GBK" w:hAnsi="方正小标宋_GBK" w:eastAsia="方正小标宋_GBK" w:cs="方正小标宋_GBK"/>
          <w:b w:val="0"/>
          <w:bCs/>
          <w:sz w:val="56"/>
          <w:szCs w:val="56"/>
        </w:rPr>
      </w:pPr>
      <w:r>
        <w:rPr>
          <w:rFonts w:hint="eastAsia" w:ascii="方正小标宋_GBK" w:hAnsi="方正小标宋_GBK" w:eastAsia="方正小标宋_GBK" w:cs="方正小标宋_GBK"/>
          <w:b w:val="0"/>
          <w:bCs/>
          <w:sz w:val="56"/>
          <w:szCs w:val="56"/>
        </w:rPr>
        <w:t xml:space="preserve">响  应  文  件</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 目 名 称：</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采 购 编 号：</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供应商名称 ：</w:t>
      </w:r>
      <w:r>
        <w:rPr>
          <w:rFonts w:hint="eastAsia" w:ascii="仿宋_GB2312" w:hAnsi="仿宋_GB2312" w:eastAsia="仿宋_GB2312" w:cs="仿宋_GB2312"/>
          <w:b/>
          <w:sz w:val="28"/>
          <w:szCs w:val="28"/>
          <w:u w:val="single"/>
        </w:rPr>
        <w:t xml:space="preserve">（加盖CA电子公章）</w:t>
      </w:r>
      <w:r/>
    </w:p>
    <w:p>
      <w:pPr>
        <w:ind w:left="1260" w:right="0" w:firstLine="56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rPr>
        <w:t xml:space="preserve">日      期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right="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响应</w:t>
      </w:r>
      <w:r>
        <w:rPr>
          <w:rFonts w:hint="eastAsia" w:ascii="黑体" w:hAnsi="黑体" w:eastAsia="黑体" w:cs="黑体"/>
          <w:b w:val="0"/>
          <w:bCs w:val="0"/>
          <w:sz w:val="36"/>
          <w:szCs w:val="36"/>
          <w:lang w:eastAsia="zh-CN"/>
        </w:rPr>
        <w:t xml:space="preserve">主要</w:t>
      </w:r>
      <w:r>
        <w:rPr>
          <w:rFonts w:hint="eastAsia" w:ascii="黑体" w:hAnsi="黑体" w:eastAsia="黑体" w:cs="黑体"/>
          <w:b w:val="0"/>
          <w:bCs w:val="0"/>
          <w:sz w:val="36"/>
          <w:szCs w:val="36"/>
        </w:rPr>
        <w:t xml:space="preserve">文件目录</w:t>
      </w:r>
      <w:r/>
    </w:p>
    <w:p>
      <w:pPr>
        <w:ind w:left="0" w:right="0" w:firstLine="562"/>
        <w:jc w:val="center"/>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一、法人或者其他组织的营业执照等证明文件</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二、财务状况报告</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三、依法缴纳税收和社会保障资金的相关材料</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四、具备履行合同所必需的设备和专业技术能力的书面声明</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u w:val="none"/>
        </w:rPr>
        <w:t xml:space="preserve">五、参加政府采购活动前 3 年内在经营活动中没有重大违法记录的书</w:t>
      </w:r>
      <w:r>
        <w:rPr>
          <w:rFonts w:hint="eastAsia" w:ascii="黑体" w:hAnsi="黑体" w:eastAsia="黑体" w:cs="黑体"/>
          <w:b w:val="0"/>
          <w:bCs w:val="0"/>
          <w:i w:val="0"/>
          <w:iCs/>
          <w:sz w:val="28"/>
          <w:szCs w:val="28"/>
          <w:highlight w:val="none"/>
          <w:u w:val="none"/>
        </w:rPr>
        <w:t xml:space="preserve">面声明</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lang w:eastAsia="zh-CN"/>
        </w:rPr>
      </w:pPr>
      <w:r>
        <w:rPr>
          <w:rFonts w:hint="eastAsia" w:ascii="黑体" w:hAnsi="黑体" w:eastAsia="黑体" w:cs="黑体"/>
          <w:b w:val="0"/>
          <w:bCs w:val="0"/>
          <w:i w:val="0"/>
          <w:iCs/>
          <w:sz w:val="28"/>
          <w:szCs w:val="28"/>
          <w:highlight w:val="none"/>
          <w:u w:val="none"/>
        </w:rPr>
        <w:t xml:space="preserve">六、特定资格要求的证明文件</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highlight w:val="none"/>
          <w:u w:val="none"/>
        </w:rPr>
        <w:t xml:space="preserve">七、法人授权书</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highlight w:val="none"/>
          <w:u w:val="none"/>
        </w:rPr>
        <w:t xml:space="preserve">八、磋商响应函</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lang w:eastAsia="zh-CN"/>
        </w:rPr>
      </w:pPr>
      <w:r>
        <w:rPr>
          <w:rFonts w:hint="eastAsia" w:ascii="黑体" w:hAnsi="黑体" w:eastAsia="黑体" w:cs="黑体"/>
          <w:b w:val="0"/>
          <w:bCs w:val="0"/>
          <w:i w:val="0"/>
          <w:iCs/>
          <w:sz w:val="28"/>
          <w:szCs w:val="28"/>
          <w:highlight w:val="none"/>
          <w:u w:val="none"/>
        </w:rPr>
        <w:t xml:space="preserve">九、</w:t>
      </w:r>
      <w:r>
        <w:rPr>
          <w:rFonts w:hint="eastAsia" w:ascii="黑体" w:hAnsi="黑体" w:eastAsia="黑体" w:cs="黑体"/>
          <w:b w:val="0"/>
          <w:bCs w:val="0"/>
          <w:i w:val="0"/>
          <w:iCs/>
          <w:sz w:val="28"/>
          <w:szCs w:val="28"/>
          <w:highlight w:val="none"/>
          <w:u w:val="none"/>
          <w:lang w:eastAsia="zh-CN"/>
        </w:rPr>
        <w:t xml:space="preserve">竞争性磋商首次报价书</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lang w:eastAsia="zh-CN"/>
        </w:rPr>
        <w:t xml:space="preserve">十、中小企业声明函</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一</w:t>
      </w:r>
      <w:r>
        <w:rPr>
          <w:rFonts w:hint="eastAsia" w:ascii="黑体" w:hAnsi="黑体" w:eastAsia="黑体" w:cs="黑体"/>
          <w:b w:val="0"/>
          <w:bCs w:val="0"/>
          <w:i w:val="0"/>
          <w:iCs/>
          <w:color w:val="auto"/>
          <w:sz w:val="28"/>
          <w:szCs w:val="28"/>
          <w:highlight w:val="none"/>
          <w:u w:val="none"/>
        </w:rPr>
        <w:t xml:space="preserve">、残疾人福利性单位声明函</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二</w:t>
      </w:r>
      <w:r>
        <w:rPr>
          <w:rFonts w:hint="eastAsia" w:ascii="黑体" w:hAnsi="黑体" w:eastAsia="黑体" w:cs="黑体"/>
          <w:b w:val="0"/>
          <w:bCs w:val="0"/>
          <w:i w:val="0"/>
          <w:iCs/>
          <w:color w:val="auto"/>
          <w:sz w:val="28"/>
          <w:szCs w:val="28"/>
          <w:highlight w:val="none"/>
          <w:u w:val="none"/>
        </w:rPr>
        <w:t xml:space="preserve">、分项报价表</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三</w:t>
      </w:r>
      <w:r>
        <w:rPr>
          <w:rFonts w:hint="eastAsia" w:ascii="黑体" w:hAnsi="黑体" w:eastAsia="黑体" w:cs="黑体"/>
          <w:b w:val="0"/>
          <w:bCs w:val="0"/>
          <w:i w:val="0"/>
          <w:iCs/>
          <w:color w:val="auto"/>
          <w:sz w:val="28"/>
          <w:szCs w:val="28"/>
          <w:highlight w:val="none"/>
          <w:u w:val="none"/>
        </w:rPr>
        <w:t xml:space="preserve">、</w:t>
      </w:r>
      <w:r>
        <w:rPr>
          <w:rFonts w:hint="eastAsia" w:ascii="黑体" w:hAnsi="黑体" w:eastAsia="黑体" w:cs="黑体"/>
          <w:b w:val="0"/>
          <w:bCs w:val="0"/>
          <w:i w:val="0"/>
          <w:iCs/>
          <w:color w:val="auto"/>
          <w:sz w:val="28"/>
          <w:szCs w:val="28"/>
          <w:highlight w:val="none"/>
          <w:u w:val="none"/>
          <w:lang w:eastAsia="zh-CN"/>
        </w:rPr>
        <w:t xml:space="preserve">服务</w:t>
      </w:r>
      <w:r>
        <w:rPr>
          <w:rFonts w:hint="eastAsia" w:ascii="黑体" w:hAnsi="黑体" w:eastAsia="黑体" w:cs="黑体"/>
          <w:b w:val="0"/>
          <w:bCs w:val="0"/>
          <w:i w:val="0"/>
          <w:iCs/>
          <w:color w:val="auto"/>
          <w:sz w:val="28"/>
          <w:szCs w:val="28"/>
          <w:highlight w:val="none"/>
          <w:u w:val="none"/>
        </w:rPr>
        <w:t xml:space="preserve">要求响应及偏离表</w:t>
      </w:r>
      <w:r/>
    </w:p>
    <w:p>
      <w:pPr>
        <w:ind w:left="0" w:right="0" w:firstLine="560"/>
        <w:pageBreakBefore w:val="0"/>
        <w:spacing w:line="520" w:lineRule="exact"/>
        <w:rPr>
          <w:rFonts w:hint="eastAsia" w:ascii="黑体" w:hAnsi="黑体" w:eastAsia="黑体" w:cs="黑体"/>
          <w:b w:val="0"/>
          <w:bCs w:val="0"/>
          <w:i w:val="0"/>
          <w:iCs/>
          <w:color w:val="000000" w:themeColor="text1"/>
          <w:sz w:val="28"/>
          <w:szCs w:val="28"/>
          <w:highlight w:val="none"/>
          <w:u w:val="none"/>
          <w14:textFill>
            <w14:solidFill>
              <w14:schemeClr w14:val="tx1"/>
            </w14:solidFill>
          </w14:textFill>
        </w:rPr>
      </w:pPr>
      <w:r>
        <w:rPr>
          <w:rFonts w:hint="eastAsia" w:ascii="黑体" w:hAnsi="黑体" w:eastAsia="黑体" w:cs="黑体"/>
          <w:b w:val="0"/>
          <w:bCs w:val="0"/>
          <w:i w:val="0"/>
          <w:iCs/>
          <w:color w:val="000000" w:themeColor="text1"/>
          <w:sz w:val="28"/>
          <w:szCs w:val="28"/>
          <w:highlight w:val="none"/>
          <w:u w:val="none"/>
          <w:lang w:eastAsia="zh-CN"/>
          <w14:textFill>
            <w14:solidFill>
              <w14:schemeClr w14:val="tx1"/>
            </w14:solidFill>
          </w14:textFill>
        </w:rPr>
        <w:t xml:space="preserve">十四、</w:t>
      </w:r>
      <w:r>
        <w:rPr>
          <w:rFonts w:hint="eastAsia" w:ascii="黑体" w:hAnsi="黑体" w:eastAsia="黑体" w:cs="黑体"/>
          <w:b w:val="0"/>
          <w:bCs w:val="0"/>
          <w:i w:val="0"/>
          <w:iCs/>
          <w:color w:val="000000" w:themeColor="text1"/>
          <w:sz w:val="28"/>
          <w:szCs w:val="28"/>
          <w:highlight w:val="none"/>
          <w:u w:val="none"/>
          <w14:textFill>
            <w14:solidFill>
              <w14:schemeClr w14:val="tx1"/>
            </w14:solidFill>
          </w14:textFill>
        </w:rPr>
        <w:t xml:space="preserve">关于符合本国产品标准的声明函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五</w:t>
      </w:r>
      <w:r>
        <w:rPr>
          <w:rFonts w:hint="eastAsia" w:ascii="黑体" w:hAnsi="黑体" w:eastAsia="黑体" w:cs="黑体"/>
          <w:b w:val="0"/>
          <w:bCs w:val="0"/>
          <w:i w:val="0"/>
          <w:iCs/>
          <w:color w:val="auto"/>
          <w:sz w:val="28"/>
          <w:szCs w:val="28"/>
          <w:highlight w:val="none"/>
          <w:u w:val="none"/>
        </w:rPr>
        <w:t xml:space="preserve">、</w:t>
      </w:r>
      <w:r>
        <w:rPr>
          <w:rFonts w:hint="eastAsia" w:ascii="黑体" w:hAnsi="黑体" w:eastAsia="黑体" w:cs="黑体"/>
          <w:b w:val="0"/>
          <w:bCs w:val="0"/>
          <w:i w:val="0"/>
          <w:iCs/>
          <w:color w:val="auto"/>
          <w:sz w:val="28"/>
          <w:szCs w:val="28"/>
          <w:highlight w:val="none"/>
          <w:u w:val="none"/>
          <w:lang w:eastAsia="zh-CN"/>
        </w:rPr>
        <w:t xml:space="preserve">磋商</w:t>
      </w:r>
      <w:r>
        <w:rPr>
          <w:rFonts w:hint="eastAsia" w:ascii="黑体" w:hAnsi="黑体" w:eastAsia="黑体" w:cs="黑体"/>
          <w:b w:val="0"/>
          <w:bCs w:val="0"/>
          <w:i w:val="0"/>
          <w:iCs/>
          <w:color w:val="auto"/>
          <w:sz w:val="28"/>
          <w:szCs w:val="28"/>
          <w:highlight w:val="none"/>
          <w:u w:val="none"/>
        </w:rPr>
        <w:t xml:space="preserve">文件中要求提供的承诺、声明等</w:t>
      </w:r>
      <w:r>
        <w:rPr>
          <w:rFonts w:hint="eastAsia" w:ascii="黑体" w:hAnsi="黑体" w:eastAsia="黑体" w:cs="黑体"/>
          <w:b w:val="0"/>
          <w:bCs w:val="0"/>
          <w:i w:val="0"/>
          <w:iCs/>
          <w:color w:val="auto"/>
          <w:sz w:val="28"/>
          <w:szCs w:val="28"/>
          <w:u w:val="none"/>
        </w:rPr>
        <w:t xml:space="preserve">材料或供应商认为需要提供的其他资料</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r>
      <w:r/>
    </w:p>
    <w:p>
      <w:pPr>
        <w:ind w:left="0" w:right="0" w:firstLine="560"/>
        <w:pageBreakBefore w:val="0"/>
        <w:spacing w:line="520" w:lineRule="exact"/>
        <w:rPr>
          <w:rFonts w:hint="eastAsia" w:ascii="仿宋_GB2312" w:hAnsi="仿宋_GB2312" w:eastAsia="仿宋_GB2312" w:cs="仿宋_GB2312"/>
          <w:b w:val="0"/>
          <w:bCs w:val="0"/>
          <w:i w:val="0"/>
          <w:iCs/>
          <w:sz w:val="28"/>
          <w:szCs w:val="28"/>
          <w:u w:val="none"/>
        </w:rPr>
      </w:pPr>
      <w:r>
        <w:rPr>
          <w:rFonts w:hint="eastAsia" w:ascii="仿宋_GB2312" w:hAnsi="仿宋_GB2312" w:eastAsia="仿宋_GB2312" w:cs="仿宋_GB2312"/>
          <w:b w:val="0"/>
          <w:bCs w:val="0"/>
          <w:i w:val="0"/>
          <w:iCs/>
          <w:sz w:val="28"/>
          <w:szCs w:val="28"/>
          <w:u w:val="non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二、财务状况报告</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本项目</w:t>
      </w:r>
      <w:r>
        <w:rPr>
          <w:rFonts w:hint="eastAsia" w:ascii="仿宋_GB2312" w:hAnsi="仿宋_GB2312" w:eastAsia="仿宋_GB2312" w:cs="仿宋_GB2312"/>
          <w:bCs/>
          <w:sz w:val="28"/>
          <w:szCs w:val="28"/>
        </w:rPr>
        <w:t xml:space="preserve">提交响应文件截止时间</w:t>
      </w:r>
      <w:r>
        <w:rPr>
          <w:rFonts w:hint="eastAsia" w:ascii="仿宋_GB2312" w:hAnsi="仿宋_GB2312" w:eastAsia="仿宋_GB2312" w:cs="仿宋_GB2312"/>
          <w:bCs/>
          <w:sz w:val="28"/>
          <w:szCs w:val="28"/>
          <w:lang w:eastAsia="zh-CN"/>
        </w:rPr>
        <w:t xml:space="preserve">前</w:t>
      </w:r>
      <w:r>
        <w:rPr>
          <w:rFonts w:hint="eastAsia" w:ascii="仿宋_GB2312" w:hAnsi="仿宋_GB2312" w:eastAsia="仿宋_GB2312" w:cs="仿宋_GB2312"/>
          <w:bCs/>
          <w:sz w:val="28"/>
          <w:szCs w:val="28"/>
        </w:rPr>
        <w:t xml:space="preserve">六个月中任意一个月的财务状况报告（至少包括资产负债表和利润表），或</w:t>
      </w:r>
      <w:r>
        <w:rPr>
          <w:rFonts w:hint="eastAsia" w:ascii="仿宋_GB2312" w:hAnsi="仿宋_GB2312" w:eastAsia="仿宋_GB2312" w:cs="仿宋_GB2312"/>
          <w:bCs/>
          <w:sz w:val="28"/>
          <w:szCs w:val="28"/>
          <w:lang w:val="en-US" w:eastAsia="zh-CN"/>
        </w:rPr>
        <w:t xml:space="preserve">2024或者2025</w:t>
      </w:r>
      <w:r>
        <w:rPr>
          <w:rFonts w:hint="eastAsia" w:ascii="仿宋_GB2312" w:hAnsi="仿宋_GB2312" w:eastAsia="仿宋_GB2312" w:cs="仿宋_GB2312"/>
          <w:bCs/>
          <w:sz w:val="28"/>
          <w:szCs w:val="28"/>
        </w:rPr>
        <w:t xml:space="preserve">两年中任意一个年度经审计的财务报告，或本项目开标</w:t>
      </w:r>
      <w:r>
        <w:rPr>
          <w:rFonts w:hint="eastAsia" w:ascii="仿宋_GB2312" w:hAnsi="仿宋_GB2312" w:eastAsia="仿宋_GB2312" w:cs="仿宋_GB2312"/>
          <w:bCs/>
          <w:sz w:val="28"/>
          <w:szCs w:val="28"/>
          <w:lang w:eastAsia="zh-CN"/>
        </w:rPr>
        <w:t xml:space="preserve">时间</w:t>
      </w:r>
      <w:r>
        <w:rPr>
          <w:rFonts w:hint="eastAsia" w:ascii="仿宋_GB2312" w:hAnsi="仿宋_GB2312" w:eastAsia="仿宋_GB2312" w:cs="仿宋_GB2312"/>
          <w:bCs/>
          <w:sz w:val="28"/>
          <w:szCs w:val="28"/>
        </w:rPr>
        <w:t xml:space="preserve">前</w:t>
      </w:r>
      <w:r>
        <w:rPr>
          <w:rFonts w:hint="eastAsia" w:ascii="仿宋_GB2312" w:hAnsi="仿宋_GB2312" w:eastAsia="仿宋_GB2312" w:cs="仿宋_GB2312"/>
          <w:bCs/>
          <w:sz w:val="28"/>
          <w:szCs w:val="28"/>
          <w:lang w:eastAsia="zh-CN"/>
        </w:rPr>
        <w:t xml:space="preserve">六</w:t>
      </w:r>
      <w:r>
        <w:rPr>
          <w:rFonts w:hint="eastAsia" w:ascii="仿宋_GB2312" w:hAnsi="仿宋_GB2312" w:eastAsia="仿宋_GB2312" w:cs="仿宋_GB2312"/>
          <w:bCs/>
          <w:sz w:val="28"/>
          <w:szCs w:val="28"/>
        </w:rPr>
        <w:t xml:space="preserve">个月内银行出具的资信证明</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注：</w:t>
      </w:r>
      <w:r>
        <w:rPr>
          <w:rFonts w:hint="eastAsia" w:ascii="仿宋_GB2312" w:hAnsi="仿宋_GB2312" w:eastAsia="仿宋_GB2312" w:cs="仿宋_GB2312"/>
          <w:bCs/>
          <w:sz w:val="28"/>
          <w:szCs w:val="28"/>
        </w:rPr>
        <w:t xml:space="preserve">供应商成立不满一年无需提供</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u w:val="single"/>
          <w:lang w:val="en-US"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right="0"/>
        <w:jc w:val="center"/>
        <w:pageBreakBefore w:val="0"/>
        <w:spacing w:line="520" w:lineRule="exact"/>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声  明</w:t>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right="0"/>
        <w:pageBreakBefore w:val="0"/>
        <w:spacing w:line="52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采购单位名称）</w:t>
      </w:r>
      <w:r>
        <w:rPr>
          <w:rFonts w:hint="eastAsia" w:ascii="仿宋_GB2312" w:hAnsi="仿宋_GB2312" w:eastAsia="仿宋_GB2312" w:cs="仿宋_GB2312"/>
          <w:b/>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bookmarkEnd w:id="229"/>
      <w:bookmarkEnd w:id="230"/>
      <w:bookmarkEnd w:id="231"/>
      <w:r/>
    </w:p>
    <w:p>
      <w:pPr>
        <w:ind w:left="0" w:right="0" w:firstLine="640"/>
        <w:pageBreakBefore w:val="0"/>
        <w:spacing w:line="520" w:lineRule="exact"/>
        <w:rPr>
          <w:rFonts w:hint="eastAsia" w:ascii="仿宋_GB2312" w:hAnsi="仿宋_GB2312" w:eastAsia="黑体" w:cs="仿宋_GB2312"/>
          <w:bCs/>
          <w:i w:val="0"/>
          <w:iCs w:val="0"/>
          <w:sz w:val="32"/>
          <w:szCs w:val="32"/>
          <w:highlight w:val="yellow"/>
          <w:u w:val="single"/>
          <w:lang w:val="en-US" w:eastAsia="zh-CN"/>
        </w:rPr>
      </w:pPr>
      <w:r/>
      <w:bookmarkStart w:id="232" w:name="_Toc120614284"/>
      <w:r>
        <w:rPr>
          <w:rFonts w:hint="eastAsia" w:ascii="仿宋_GB2312" w:hAnsi="仿宋_GB2312" w:eastAsia="仿宋_GB2312" w:cs="仿宋_GB2312"/>
          <w:bCs/>
          <w:i w:val="0"/>
          <w:iCs w:val="0"/>
          <w:sz w:val="32"/>
          <w:szCs w:val="32"/>
          <w:highlight w:val="yellow"/>
          <w:u w:val="single"/>
          <w:lang w:val="en-US" w:eastAsia="zh-CN"/>
        </w:rPr>
        <w:t xml:space="preserve">本项目无特定资格要求，无需提供。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rPr>
          <w:rFonts w:hint="eastAsia" w:ascii="黑体" w:hAnsi="黑体" w:eastAsia="黑体" w:cs="黑体"/>
          <w:i/>
          <w:sz w:val="28"/>
          <w:szCs w:val="28"/>
          <w:u w:val="single"/>
        </w:rPr>
      </w:pPr>
      <w:r>
        <w:rPr>
          <w:rFonts w:hint="eastAsia" w:ascii="黑体" w:hAnsi="黑体" w:eastAsia="黑体" w:cs="黑体"/>
          <w:i/>
          <w:sz w:val="28"/>
          <w:szCs w:val="28"/>
          <w:u w:val="single"/>
        </w:rPr>
        <w:br w:type="page" w:clear="all"/>
      </w:r>
      <w:r/>
    </w:p>
    <w:p>
      <w:pPr>
        <w:ind w:right="0"/>
        <w:jc w:val="center"/>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项目采购活动的合法代理人，以本单位名义全权处理一切与该项目采购有关的事务。</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right="0" w:firstLine="364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233" w:name="_Hlt26671380"/>
      <w:r/>
      <w:bookmarkEnd w:id="233"/>
      <w:r/>
      <w:bookmarkStart w:id="234" w:name="_格式3__银行出具的资信证明"/>
      <w:r/>
      <w:bookmarkEnd w:id="234"/>
      <w:r/>
      <w:bookmarkStart w:id="235" w:name="_Hlt26955070"/>
      <w:r/>
      <w:bookmarkEnd w:id="235"/>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center"/>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hint="eastAsia" w:ascii="仿宋_GB2312" w:hAnsi="仿宋_GB2312" w:eastAsia="仿宋_GB2312" w:cs="仿宋_GB2312"/>
          <w:b/>
          <w:sz w:val="28"/>
          <w:szCs w:val="28"/>
        </w:rPr>
        <w:br w:type="page" w:clear="all"/>
      </w:r>
      <w:r>
        <w:rPr>
          <w:rFonts w:hint="eastAsia" w:ascii="黑体" w:hAnsi="黑体" w:eastAsia="黑体" w:cs="黑体"/>
          <w:b w:val="0"/>
          <w:bCs/>
          <w:i/>
          <w:sz w:val="28"/>
          <w:szCs w:val="28"/>
          <w:u w:val="single"/>
        </w:rPr>
        <w:t xml:space="preserve">八、磋商响应函</w:t>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sz w:val="28"/>
          <w:szCs w:val="28"/>
          <w:u w:val="single"/>
        </w:rPr>
      </w:r>
      <w:r/>
    </w:p>
    <w:p>
      <w:pPr>
        <w:ind w:right="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兴化市政务服务中心</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号磋商文件，正式授权_______(姓名)代表我方__________（供应商的名称），全权处理本次项目磋商的有关事宜。</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w:t>
      </w:r>
      <w:r>
        <w:rPr>
          <w:rFonts w:hint="eastAsia" w:ascii="仿宋_GB2312" w:hAnsi="仿宋_GB2312" w:eastAsia="仿宋_GB2312" w:cs="仿宋_GB2312"/>
          <w:sz w:val="28"/>
          <w:szCs w:val="28"/>
          <w:lang w:eastAsia="zh-CN"/>
        </w:rPr>
        <w:t xml:space="preserve">（被授权人）</w:t>
      </w:r>
      <w:r>
        <w:rPr>
          <w:rFonts w:hint="eastAsia" w:ascii="仿宋_GB2312" w:hAnsi="仿宋_GB2312" w:eastAsia="仿宋_GB2312" w:cs="仿宋_GB2312"/>
          <w:sz w:val="28"/>
          <w:szCs w:val="28"/>
        </w:rPr>
        <w:t xml:space="preserve">兹宣布同意如下：</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1.按磋商文件规定的各项要求，向买方提供所需货物、服务（包含与货物相关的服务及与服务相关的货物）。</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2.我们完全理解贵方不一定将合同授予最低报价的供应商。</w:t>
      </w:r>
      <w:r/>
    </w:p>
    <w:p>
      <w:pPr>
        <w:ind w:left="0" w:right="0" w:firstLine="56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3.我们已详细审核全部磋商文件及其有效补充文件，我们知道必须放弃提出含糊不清或误解问题的权利。我方认可并遵守</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文件的所有规定，放弃对</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文件提出质疑的权利</w:t>
      </w:r>
      <w:r>
        <w:rPr>
          <w:rFonts w:hint="eastAsia" w:ascii="仿宋_GB2312" w:hAnsi="仿宋_GB2312" w:eastAsia="仿宋_GB2312" w:cs="仿宋_GB2312"/>
          <w:sz w:val="28"/>
          <w:szCs w:val="28"/>
          <w:lang w:eastAsia="zh-CN"/>
        </w:rPr>
        <w:t xml:space="preserve">。</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4.我们同意从规定的开标日期起遵循本响应文件，并在规定的磋商有效期期满之前均具有约束力。</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5.同意向贵方提供贵方可能另外要求的与磋商有关的任何证据或资料，并保证我方已提供和将要提供的文件是真实的、准确的。</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6.一旦我方成交,我方将根据磋商文件的规定，严格履行合同的责任和义务,并保证在磋商文件规定的时间完成项目，交付买方验收、使用。</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7.我方与本磋商有关的正式通讯地址为：</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left="0" w:right="0" w:firstLine="560"/>
        <w:jc w:val="left"/>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rPr>
        <w:t xml:space="preserve">九、</w:t>
      </w:r>
      <w:r>
        <w:rPr>
          <w:rFonts w:hint="eastAsia" w:ascii="黑体" w:hAnsi="黑体" w:eastAsia="黑体" w:cs="黑体"/>
          <w:b w:val="0"/>
          <w:bCs/>
          <w:i/>
          <w:iCs/>
          <w:sz w:val="28"/>
          <w:szCs w:val="28"/>
          <w:u w:val="single"/>
          <w:lang w:eastAsia="zh-CN"/>
        </w:rPr>
        <w:t xml:space="preserve">竞争性磋商首次报价书</w:t>
      </w:r>
      <w:r/>
    </w:p>
    <w:p>
      <w:pPr>
        <w:ind w:left="0" w:right="0" w:firstLine="562"/>
        <w:jc w:val="both"/>
        <w:pageBreakBefore w:val="0"/>
        <w:spacing w:line="520" w:lineRule="exact"/>
        <w:rPr>
          <w:rFonts w:hint="eastAsia" w:ascii="黑体" w:hAnsi="黑体" w:eastAsia="黑体" w:cs="黑体"/>
          <w:b/>
          <w:bCs/>
          <w:i/>
          <w:iCs/>
          <w:sz w:val="28"/>
          <w:szCs w:val="28"/>
          <w:u w:val="single"/>
          <w:lang w:eastAsia="zh-CN"/>
        </w:rPr>
      </w:pPr>
      <w:r>
        <w:rPr>
          <w:rFonts w:hint="eastAsia" w:ascii="黑体" w:hAnsi="黑体" w:eastAsia="黑体" w:cs="黑体"/>
          <w:b/>
          <w:bCs/>
          <w:i/>
          <w:iCs/>
          <w:sz w:val="28"/>
          <w:szCs w:val="28"/>
          <w:u w:val="single"/>
          <w:lang w:eastAsia="zh-CN"/>
        </w:rPr>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236" w:name="TBR"/>
      <w:r/>
      <w:bookmarkEnd w:id="236"/>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237" w:name="XMMC"/>
      <w:r/>
      <w:bookmarkEnd w:id="237"/>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238" w:name="XMBH"/>
      <w:r/>
      <w:bookmarkEnd w:id="238"/>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分包号：</w:t>
      </w:r>
      <w:bookmarkStart w:id="239" w:name="FBH"/>
      <w:r/>
      <w:bookmarkEnd w:id="239"/>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bl>
      <w:tblPr>
        <w:tblStyle w:val="794"/>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1101"/>
        </w:trPr>
        <w:tc>
          <w:tcPr>
            <w:tcW w:w="9000" w:type="dxa"/>
            <w:vAlign w:val="center"/>
            <w:textDirection w:val="lrTb"/>
            <w:noWrap w:val="false"/>
          </w:tcPr>
          <w:p>
            <w:pPr>
              <w:contextualSpacing/>
              <w:ind w:right="0"/>
              <w:jc w:val="center"/>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707"/>
        </w:trPr>
        <w:tc>
          <w:tcPr>
            <w:tcW w:w="9000" w:type="dxa"/>
            <w:vAlign w:val="center"/>
            <w:textDirection w:val="lrTb"/>
            <w:noWrap w:val="false"/>
          </w:tcPr>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240" w:name="JEDX"/>
            <w:r/>
            <w:bookmarkEnd w:id="240"/>
            <w:r/>
            <w:r/>
          </w:p>
          <w:p>
            <w:pPr>
              <w:contextualSpacing/>
              <w:ind w:left="0" w:right="0" w:firstLine="560"/>
              <w:jc w:val="lef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241" w:name="JEXX"/>
            <w:r/>
            <w:bookmarkEnd w:id="241"/>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（元）（人民币）</w:t>
            </w:r>
            <w:r/>
          </w:p>
        </w:tc>
      </w:tr>
    </w:tbl>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bookmarkStart w:id="242" w:name="NF"/>
      <w:r/>
      <w:bookmarkEnd w:id="242"/>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243" w:name="YF"/>
      <w:r/>
      <w:bookmarkEnd w:id="243"/>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244" w:name="RI"/>
      <w:r/>
      <w:bookmarkEnd w:id="244"/>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jc w:val="center"/>
        <w:keepLines w:val="0"/>
        <w:keepNext w:val="0"/>
        <w:pageBreakBefore w:val="0"/>
        <w:spacing w:after="181"/>
        <w:widowControl w:val="off"/>
        <w:rPr>
          <w:rFonts w:hint="eastAsia" w:ascii="方正小标宋_GBK" w:hAnsi="方正小标宋_GBK" w:eastAsia="方正小标宋_GBK" w:cs="方正小标宋_GBK"/>
          <w:sz w:val="40"/>
          <w:szCs w:val="40"/>
          <w:highlight w:val="yellow"/>
        </w:rPr>
      </w:pPr>
      <w:r>
        <w:rPr>
          <w:rFonts w:hint="eastAsia" w:ascii="方正小标宋_GBK" w:hAnsi="方正小标宋_GBK" w:eastAsia="方正小标宋_GBK" w:cs="方正小标宋_GBK"/>
          <w:sz w:val="40"/>
          <w:szCs w:val="40"/>
          <w:highlight w:val="yellow"/>
        </w:rPr>
        <w:t xml:space="preserve">报价合理性</w:t>
      </w:r>
      <w:r>
        <w:rPr>
          <w:rFonts w:hint="eastAsia" w:ascii="方正小标宋_GBK" w:hAnsi="方正小标宋_GBK" w:eastAsia="方正小标宋_GBK" w:cs="方正小标宋_GBK"/>
          <w:sz w:val="40"/>
          <w:szCs w:val="40"/>
          <w:highlight w:val="yellow"/>
          <w:lang w:eastAsia="zh-CN"/>
        </w:rPr>
        <w:t xml:space="preserve">告知</w:t>
      </w:r>
      <w:r>
        <w:rPr>
          <w:rFonts w:hint="eastAsia" w:ascii="方正小标宋_GBK" w:hAnsi="方正小标宋_GBK" w:eastAsia="方正小标宋_GBK" w:cs="方正小标宋_GBK"/>
          <w:sz w:val="40"/>
          <w:szCs w:val="40"/>
          <w:highlight w:val="yellow"/>
        </w:rPr>
        <w:t xml:space="preserve">函</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近期，我市政府采购工程项目中，少数供应商在成交后，无正当理由放弃成交资格，拒不与采购单位签订采购合同。</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根据</w:t>
      </w:r>
      <w:r>
        <w:rPr>
          <w:rFonts w:hint="eastAsia" w:ascii="仿宋" w:hAnsi="仿宋" w:eastAsia="仿宋"/>
          <w:bCs/>
          <w:sz w:val="28"/>
          <w:szCs w:val="28"/>
          <w:highlight w:val="none"/>
          <w:lang w:eastAsia="zh-CN"/>
        </w:rPr>
        <w:t xml:space="preserve">政府采购法律法规等相关规定，</w:t>
      </w:r>
      <w:r>
        <w:rPr>
          <w:rFonts w:hint="eastAsia" w:ascii="仿宋" w:hAnsi="仿宋" w:eastAsia="仿宋"/>
          <w:sz w:val="28"/>
          <w:szCs w:val="28"/>
          <w:highlight w:val="none"/>
        </w:rPr>
        <w:t xml:space="preserve">中标或者成交后无正当理由拒不与采购人签订政府采购合同</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w:t>
      </w:r>
      <w:r>
        <w:rPr>
          <w:rFonts w:hint="eastAsia" w:ascii="黑体" w:hAnsi="黑体" w:eastAsia="黑体" w:cs="黑体"/>
          <w:b/>
          <w:bCs/>
          <w:color w:val="ff0000"/>
          <w:spacing w:val="0"/>
          <w:sz w:val="28"/>
          <w:szCs w:val="28"/>
          <w:highlight w:val="none"/>
          <w:lang w:eastAsia="zh-CN"/>
        </w:rPr>
        <w:t xml:space="preserve">“</w:t>
      </w:r>
      <w:r>
        <w:rPr>
          <w:rFonts w:hint="eastAsia" w:ascii="黑体" w:hAnsi="黑体" w:eastAsia="黑体" w:cs="黑体"/>
          <w:b/>
          <w:bCs/>
          <w:color w:val="ff0000"/>
          <w:spacing w:val="0"/>
          <w:sz w:val="28"/>
          <w:szCs w:val="28"/>
          <w:highlight w:val="yellow"/>
          <w:u w:val="single"/>
        </w:rPr>
        <w:t xml:space="preserve">处以采购金额</w:t>
      </w:r>
      <w:r>
        <w:rPr>
          <w:rFonts w:hint="eastAsia" w:ascii="黑体" w:hAnsi="黑体" w:eastAsia="黑体" w:cs="黑体"/>
          <w:b/>
          <w:bCs/>
          <w:color w:val="ff0000"/>
          <w:spacing w:val="0"/>
          <w:sz w:val="28"/>
          <w:szCs w:val="28"/>
          <w:highlight w:val="yellow"/>
          <w:u w:val="single"/>
          <w:lang w:eastAsia="zh-CN"/>
        </w:rPr>
        <w:t xml:space="preserve">（预算金额）</w:t>
      </w:r>
      <w:r>
        <w:rPr>
          <w:rFonts w:hint="eastAsia" w:ascii="黑体" w:hAnsi="黑体" w:eastAsia="黑体" w:cs="黑体"/>
          <w:b/>
          <w:bCs/>
          <w:color w:val="ff0000"/>
          <w:spacing w:val="0"/>
          <w:sz w:val="28"/>
          <w:szCs w:val="28"/>
          <w:highlight w:val="yellow"/>
          <w:u w:val="single"/>
        </w:rPr>
        <w:t xml:space="preserve">千分之五以上千分之十以下的罚款，列入不良行为记录名单，在一至三年内禁止参加政府采购活动</w:t>
      </w:r>
      <w:r>
        <w:rPr>
          <w:rFonts w:hint="eastAsia" w:ascii="黑体" w:hAnsi="黑体" w:eastAsia="黑体" w:cs="黑体"/>
          <w:b/>
          <w:bCs/>
          <w:color w:val="ff0000"/>
          <w:spacing w:val="0"/>
          <w:sz w:val="28"/>
          <w:szCs w:val="28"/>
          <w:highlight w:val="yellow"/>
        </w:rPr>
        <w:t xml:space="preserve">”</w:t>
      </w:r>
      <w:r>
        <w:rPr>
          <w:rFonts w:hint="eastAsia" w:ascii="仿宋" w:hAnsi="仿宋" w:eastAsia="仿宋"/>
          <w:sz w:val="28"/>
          <w:szCs w:val="28"/>
          <w:highlight w:val="none"/>
        </w:rPr>
        <w:t xml:space="preserve">，我市</w:t>
      </w:r>
      <w:r>
        <w:rPr>
          <w:rFonts w:hint="eastAsia" w:ascii="仿宋" w:hAnsi="仿宋" w:eastAsia="仿宋"/>
          <w:sz w:val="28"/>
          <w:szCs w:val="28"/>
          <w:highlight w:val="none"/>
          <w:lang w:eastAsia="zh-CN"/>
        </w:rPr>
        <w:t xml:space="preserve">政府采购监管部门</w:t>
      </w:r>
      <w:r>
        <w:rPr>
          <w:rFonts w:hint="eastAsia" w:ascii="仿宋" w:hAnsi="仿宋" w:eastAsia="仿宋"/>
          <w:sz w:val="28"/>
          <w:szCs w:val="28"/>
          <w:highlight w:val="none"/>
        </w:rPr>
        <w:t xml:space="preserve">拟对相关供应商进行处罚。</w:t>
      </w:r>
      <w:r/>
    </w:p>
    <w:p>
      <w:pPr>
        <w:ind w:firstLine="560"/>
        <w:keepLines w:val="0"/>
        <w:keepNext w:val="0"/>
        <w:pageBreakBefore w:val="0"/>
        <w:spacing w:line="500" w:lineRule="exact"/>
        <w:widowControl w:val="off"/>
        <w:rPr>
          <w:rFonts w:hint="eastAsia" w:ascii="仿宋_GB2312" w:hAnsi="仿宋_GB2312" w:eastAsia="仿宋_GB2312" w:cs="仿宋_GB2312"/>
          <w:b/>
          <w:sz w:val="28"/>
          <w:szCs w:val="28"/>
          <w:lang w:eastAsia="zh-CN"/>
        </w:rPr>
      </w:pPr>
      <w:r>
        <w:rPr>
          <w:rFonts w:hint="eastAsia" w:ascii="仿宋" w:hAnsi="仿宋" w:eastAsia="仿宋"/>
          <w:sz w:val="28"/>
          <w:szCs w:val="28"/>
          <w:highlight w:val="none"/>
        </w:rPr>
        <w:t xml:space="preserve">请你司慎重报价，</w:t>
      </w:r>
      <w:r>
        <w:rPr>
          <w:rFonts w:hint="eastAsia" w:ascii="仿宋" w:hAnsi="仿宋" w:eastAsia="仿宋"/>
          <w:sz w:val="28"/>
          <w:szCs w:val="28"/>
          <w:highlight w:val="none"/>
          <w:lang w:eastAsia="zh-CN"/>
        </w:rPr>
        <w:t xml:space="preserve">认真核实项目投入成本、合理利润，防止因报价问题放弃</w:t>
      </w:r>
      <w:r>
        <w:rPr>
          <w:rFonts w:hint="eastAsia" w:ascii="仿宋" w:hAnsi="仿宋" w:eastAsia="仿宋"/>
          <w:sz w:val="28"/>
          <w:szCs w:val="28"/>
          <w:highlight w:val="none"/>
        </w:rPr>
        <w:t xml:space="preserve">成交资格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确保严格按照采购文件要求诚信履约。否则，由此造成的一切责任由你司自行承担。</w:t>
      </w:r>
      <w:r/>
    </w:p>
    <w:p>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br w:type="page" w:clear="all"/>
      </w:r>
      <w:r/>
    </w:p>
    <w:p>
      <w:pPr>
        <w:ind w:right="0"/>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 xml:space="preserve">十、中小企业声明函（服务）</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lang w:eastAsia="zh-CN"/>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br w:type="page" w:clear="all"/>
      </w:r>
      <w:r/>
    </w:p>
    <w:p>
      <w:pPr>
        <w:ind w:right="0"/>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eastAsia="zh-CN"/>
        </w:rPr>
        <w:t xml:space="preserve">一</w:t>
      </w:r>
      <w:r>
        <w:rPr>
          <w:rFonts w:hint="eastAsia" w:ascii="仿宋_GB2312" w:hAnsi="仿宋_GB2312" w:eastAsia="仿宋_GB2312" w:cs="仿宋_GB2312"/>
          <w:b/>
          <w:sz w:val="28"/>
          <w:szCs w:val="28"/>
        </w:rPr>
        <w:t xml:space="preserve">、残疾人福利性单位声明函</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（备注：1、供应商如为残疾人福利单位的，不提供此声明函，价格将不做相应扣除。2、此声明函将随成交结果同时公告，接受社会监督）</w:t>
      </w:r>
      <w:r/>
    </w:p>
    <w:p>
      <w:pPr>
        <w:ind w:left="0" w:right="0" w:firstLine="584"/>
        <w:pageBreakBefore w:val="0"/>
        <w:spacing w:line="52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ind w:left="0" w:right="0" w:firstLine="584"/>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left="0" w:right="0" w:firstLine="560"/>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  期：</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643"/>
        <w:jc w:val="both"/>
        <w:pageBreakBefore w:val="0"/>
        <w:spacing w:line="520" w:lineRule="exact"/>
        <w:rPr>
          <w:rFonts w:hint="eastAsia" w:ascii="仿宋_GB2312" w:hAnsi="仿宋_GB2312" w:eastAsia="仿宋_GB2312" w:cs="仿宋_GB2312"/>
          <w:b/>
          <w:sz w:val="32"/>
          <w:szCs w:val="32"/>
          <w:highlight w:val="yellow"/>
          <w:lang w:eastAsia="zh-CN"/>
        </w:rPr>
      </w:pPr>
      <w:r>
        <w:rPr>
          <w:rFonts w:hint="eastAsia" w:ascii="仿宋_GB2312" w:hAnsi="仿宋_GB2312" w:eastAsia="仿宋_GB2312" w:cs="仿宋_GB2312"/>
          <w:b/>
          <w:sz w:val="32"/>
          <w:szCs w:val="32"/>
          <w:highlight w:val="yellow"/>
          <w:lang w:eastAsia="zh-CN"/>
        </w:rPr>
        <w:t xml:space="preserve">【如供应商非</w:t>
      </w:r>
      <w:r>
        <w:rPr>
          <w:rFonts w:hint="eastAsia" w:ascii="仿宋_GB2312" w:hAnsi="仿宋_GB2312" w:eastAsia="仿宋_GB2312" w:cs="仿宋_GB2312"/>
          <w:b/>
          <w:sz w:val="32"/>
          <w:szCs w:val="32"/>
          <w:highlight w:val="yellow"/>
        </w:rPr>
        <w:t xml:space="preserve">残疾人福利性单位</w:t>
      </w:r>
      <w:r>
        <w:rPr>
          <w:rFonts w:hint="eastAsia" w:ascii="仿宋_GB2312" w:hAnsi="仿宋_GB2312" w:eastAsia="仿宋_GB2312" w:cs="仿宋_GB2312"/>
          <w:b/>
          <w:sz w:val="32"/>
          <w:szCs w:val="32"/>
          <w:highlight w:val="yellow"/>
          <w:lang w:eastAsia="zh-CN"/>
        </w:rPr>
        <w:t xml:space="preserve">的，请删除本声明函模板后，填写“无”。】</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right="0"/>
        <w:jc w:val="center"/>
        <w:pageBreakBefore w:val="0"/>
        <w:spacing w:line="520" w:lineRule="exact"/>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二</w:t>
      </w:r>
      <w:r>
        <w:rPr>
          <w:rFonts w:hint="eastAsia" w:ascii="黑体" w:hAnsi="黑体" w:eastAsia="黑体" w:cs="黑体"/>
          <w:b w:val="0"/>
          <w:bCs/>
          <w:i/>
          <w:iCs/>
          <w:sz w:val="28"/>
          <w:szCs w:val="28"/>
          <w:highlight w:val="none"/>
          <w:u w:val="single"/>
        </w:rPr>
        <w:t xml:space="preserve">、</w:t>
      </w:r>
      <w:bookmarkStart w:id="245" w:name="_Hlk76057113"/>
      <w:r>
        <w:rPr>
          <w:rFonts w:hint="eastAsia" w:ascii="黑体" w:hAnsi="黑体" w:eastAsia="黑体" w:cs="黑体"/>
          <w:b w:val="0"/>
          <w:bCs/>
          <w:i/>
          <w:iCs/>
          <w:sz w:val="28"/>
          <w:szCs w:val="28"/>
          <w:highlight w:val="none"/>
          <w:u w:val="single"/>
        </w:rPr>
        <w:t xml:space="preserve">分项报价表（服务）</w:t>
      </w:r>
      <w:bookmarkEnd w:id="245"/>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lang w:eastAsia="zh-CN"/>
        </w:rPr>
      </w:r>
      <w:r/>
    </w:p>
    <w:tbl>
      <w:tblPr>
        <w:tblStyle w:val="794"/>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12"/>
        <w:gridCol w:w="1288"/>
        <w:gridCol w:w="924"/>
        <w:gridCol w:w="1203"/>
        <w:gridCol w:w="1618"/>
        <w:gridCol w:w="1798"/>
      </w:tblGrid>
      <w:tr>
        <w:trPr>
          <w:cantSplit/>
          <w:trHeight w:val="544"/>
        </w:trPr>
        <w:tc>
          <w:tcPr>
            <w:tcW w:w="810"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957"/>
        </w:trPr>
        <w:tc>
          <w:tcPr>
            <w:tcW w:w="810"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41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1124"/>
        </w:trPr>
        <w:tc>
          <w:tcPr>
            <w:gridSpan w:val="7"/>
            <w:tcW w:w="9053" w:type="dxa"/>
            <w:vAlign w:val="center"/>
            <w:textDirection w:val="lrTb"/>
            <w:noWrap w:val="false"/>
          </w:tcPr>
          <w:p>
            <w:pPr>
              <w:ind w:firstLine="1440"/>
              <w:spacing w:line="0" w:lineRule="atLeast"/>
              <w:rPr>
                <w:rFonts w:hint="default" w:ascii="宋体" w:hAnsi="宋体" w:eastAsia="宋体"/>
                <w:sz w:val="24"/>
                <w:szCs w:val="24"/>
                <w:u w:val="single"/>
                <w:lang w:eastAsia="zh-CN"/>
              </w:rPr>
            </w:pPr>
            <w:r>
              <w:rPr>
                <w:rFonts w:hint="eastAsia" w:ascii="宋体" w:hAnsi="宋体"/>
                <w:sz w:val="24"/>
                <w:szCs w:val="24"/>
              </w:rPr>
              <w:t xml:space="preserve">投标总报价（人民币：元）</w:t>
            </w:r>
            <w:r>
              <w:rPr>
                <w:rFonts w:hint="eastAsia" w:ascii="宋体" w:hAnsi="宋体"/>
                <w:sz w:val="24"/>
                <w:szCs w:val="24"/>
                <w:lang w:eastAsia="zh-CN"/>
              </w:rPr>
              <w:t xml:space="preserve">：</w:t>
            </w:r>
            <w:r>
              <w:rPr>
                <w:rFonts w:hint="eastAsia" w:ascii="宋体" w:hAnsi="宋体"/>
                <w:sz w:val="24"/>
                <w:szCs w:val="24"/>
                <w:u w:val="single"/>
                <w:lang w:val="en-US" w:eastAsia="zh-CN"/>
              </w:rPr>
              <w:t xml:space="preserve">             </w:t>
            </w:r>
            <w:r/>
          </w:p>
        </w:tc>
      </w:tr>
    </w:tbl>
    <w:p>
      <w:pPr>
        <w:ind w:firstLine="480"/>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2.“投标分项报价表”中“投标总报价”数额应当与“开标一览表”中“投标总报价”数额一致。</w:t>
      </w:r>
      <w:r/>
    </w:p>
    <w:p>
      <w:pPr>
        <w:pStyle w:val="796"/>
        <w:keepLines w:val="0"/>
        <w:keepNext w:val="0"/>
        <w:pageBreakBefore w:val="0"/>
        <w:spacing w:line="500" w:lineRule="exact"/>
        <w:widowControl w:val="off"/>
        <w:rPr>
          <w:rFonts w:hint="eastAsia"/>
          <w:sz w:val="28"/>
          <w:szCs w:val="28"/>
        </w:rPr>
      </w:pPr>
      <w:r>
        <w:rPr>
          <w:rFonts w:hint="eastAsia"/>
          <w:sz w:val="28"/>
          <w:szCs w:val="28"/>
        </w:rPr>
      </w:r>
      <w:r/>
    </w:p>
    <w:p>
      <w:pPr>
        <w:keepLines w:val="0"/>
        <w:keepNext w:val="0"/>
        <w:pageBreakBefore w:val="0"/>
        <w:spacing w:line="520" w:lineRule="exact"/>
        <w:widowControl w:val="off"/>
        <w:rPr>
          <w:rFonts w:hint="eastAsia" w:ascii="黑体" w:hAnsi="黑体" w:eastAsia="黑体" w:cs="黑体"/>
          <w:i/>
          <w:iCs/>
          <w:color w:val="auto"/>
          <w:sz w:val="28"/>
          <w:szCs w:val="28"/>
          <w:highlight w:val="yellow"/>
          <w:u w:val="single"/>
          <w:lang w:val="en-US" w:eastAsia="zh-CN" w:bidi="ar-SA"/>
        </w:rPr>
      </w:pPr>
      <w:r>
        <w:rPr>
          <w:rFonts w:hint="eastAsia" w:ascii="黑体" w:hAnsi="黑体" w:eastAsia="黑体" w:cs="黑体"/>
          <w:i/>
          <w:iCs/>
          <w:color w:val="auto"/>
          <w:sz w:val="28"/>
          <w:szCs w:val="28"/>
          <w:highlight w:val="yellow"/>
          <w:u w:val="single"/>
          <w:lang w:val="en-US" w:eastAsia="zh-CN" w:bidi="ar-SA"/>
        </w:rPr>
        <w:t xml:space="preserve">注：合同中分项单价按同比例折算确定，计算规则为：合同分项单价 = 首轮响应分项单价 ×（最终磋商总报价 ÷ 首轮响应总报价）</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jc w:val="center"/>
        <w:rPr>
          <w:rFonts w:hint="eastAsia" w:ascii="黑体" w:hAnsi="黑体" w:eastAsia="黑体"/>
          <w:bCs/>
          <w:sz w:val="44"/>
          <w:szCs w:val="44"/>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三</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服务</w:t>
      </w:r>
      <w:r>
        <w:rPr>
          <w:rFonts w:hint="eastAsia" w:ascii="黑体" w:hAnsi="黑体" w:eastAsia="黑体" w:cs="黑体"/>
          <w:b w:val="0"/>
          <w:bCs/>
          <w:i/>
          <w:iCs/>
          <w:sz w:val="28"/>
          <w:szCs w:val="28"/>
          <w:u w:val="single"/>
        </w:rPr>
        <w:t xml:space="preserve">要求响应及偏离表</w:t>
      </w:r>
      <w:r/>
    </w:p>
    <w:p>
      <w:pPr>
        <w:pStyle w:val="821"/>
      </w:pPr>
      <w:r/>
      <w:r/>
    </w:p>
    <w:tbl>
      <w:tblPr>
        <w:tblStyle w:val="794"/>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326"/>
        <w:gridCol w:w="2258"/>
        <w:gridCol w:w="2426"/>
        <w:gridCol w:w="1102"/>
      </w:tblGrid>
      <w:tr>
        <w:trPr>
          <w:cantSplit/>
          <w:jc w:val="center"/>
          <w:trHeight w:val="119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磋商</w:t>
            </w:r>
            <w:r>
              <w:rPr>
                <w:rFonts w:hint="eastAsia" w:ascii="黑体" w:hAnsi="黑体" w:eastAsia="黑体" w:cs="黑体"/>
                <w:sz w:val="28"/>
                <w:szCs w:val="28"/>
              </w:rPr>
              <w:t xml:space="preserve">文件要求</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响应情况</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备注</w:t>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56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说明：</w:t>
      </w:r>
      <w:r/>
    </w:p>
    <w:p>
      <w:pPr>
        <w:ind w:firstLine="560"/>
        <w:keepLines w:val="0"/>
        <w:keepNext w:val="0"/>
        <w:pageBreakBefore w:val="0"/>
        <w:spacing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1、供应商可根据</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w:t>
      </w:r>
      <w:r>
        <w:rPr>
          <w:rFonts w:hint="eastAsia" w:ascii="仿宋_GB2312" w:hAnsi="仿宋_GB2312" w:eastAsia="仿宋_GB2312" w:cs="仿宋_GB2312"/>
          <w:sz w:val="28"/>
          <w:szCs w:val="28"/>
          <w:lang w:val="en-US" w:eastAsia="zh-CN"/>
        </w:rPr>
        <w:t xml:space="preserve"> 第四章</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需求的内容填报，服务要求响应表的内容必须对其相对应的要求中的内容</w:t>
      </w:r>
      <w:r>
        <w:rPr>
          <w:rFonts w:hint="eastAsia" w:ascii="仿宋_GB2312" w:hAnsi="仿宋_GB2312" w:eastAsia="仿宋_GB2312" w:cs="仿宋_GB2312"/>
          <w:b/>
          <w:sz w:val="28"/>
          <w:szCs w:val="28"/>
        </w:rPr>
        <w:t xml:space="preserve">逐项、详细、真实的填写。</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2、供应商对存在正偏离或负偏离的的技术要求，应真实填写</w:t>
      </w:r>
      <w:r>
        <w:rPr>
          <w:rFonts w:hint="eastAsia" w:ascii="仿宋_GB2312" w:hAnsi="仿宋_GB2312" w:eastAsia="仿宋_GB2312" w:cs="仿宋_GB2312"/>
          <w:b/>
          <w:sz w:val="28"/>
          <w:szCs w:val="28"/>
        </w:rPr>
        <w:t xml:space="preserve">（对属于正偏离的技术参数，供应商须在</w:t>
      </w:r>
      <w:r>
        <w:rPr>
          <w:rFonts w:hint="eastAsia" w:ascii="仿宋_GB2312" w:hAnsi="仿宋_GB2312" w:eastAsia="仿宋_GB2312" w:cs="仿宋_GB2312"/>
          <w:b/>
          <w:sz w:val="28"/>
          <w:szCs w:val="28"/>
          <w:lang w:eastAsia="zh-CN"/>
        </w:rPr>
        <w:t xml:space="preserve">响应</w:t>
      </w:r>
      <w:r>
        <w:rPr>
          <w:rFonts w:hint="eastAsia" w:ascii="仿宋_GB2312" w:hAnsi="仿宋_GB2312" w:eastAsia="仿宋_GB2312" w:cs="仿宋_GB2312"/>
          <w:b/>
          <w:sz w:val="28"/>
          <w:szCs w:val="28"/>
        </w:rPr>
        <w:t xml:space="preserve">文件中提供有效证明材料，如未提供，磋商小组在评审时将不予认可；对属于负偏离的技术参数，未真实填写的视为虚假响应）</w:t>
      </w:r>
      <w:r>
        <w:rPr>
          <w:rFonts w:hint="eastAsia" w:ascii="仿宋_GB2312" w:hAnsi="仿宋_GB2312" w:eastAsia="仿宋_GB2312" w:cs="仿宋_GB2312"/>
          <w:sz w:val="28"/>
          <w:szCs w:val="28"/>
        </w:rPr>
        <w:t xml:space="preserve">。</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bookmarkEnd w:id="232"/>
      <w:r/>
    </w:p>
    <w:p>
      <w:pPr>
        <w:rPr>
          <w:rFonts w:hint="eastAsia" w:ascii="仿宋_GB2312" w:hAnsi="仿宋_GB2312" w:eastAsia="仿宋_GB2312" w:cs="仿宋_GB2312"/>
          <w:b/>
          <w:sz w:val="28"/>
          <w:szCs w:val="28"/>
        </w:rPr>
      </w:pPr>
      <w:r/>
      <w:bookmarkStart w:id="246" w:name="_Hlt26955054"/>
      <w:r/>
      <w:bookmarkEnd w:id="246"/>
      <w:r>
        <w:rPr>
          <w:rFonts w:hint="eastAsia" w:ascii="仿宋_GB2312" w:hAnsi="仿宋_GB2312" w:eastAsia="仿宋_GB2312" w:cs="仿宋_GB2312"/>
          <w:b/>
          <w:sz w:val="28"/>
          <w:szCs w:val="28"/>
        </w:rPr>
        <w:br w:type="page" w:clear="all"/>
      </w:r>
      <w:bookmarkEnd w:id="185"/>
      <w:bookmarkEnd w:id="186"/>
      <w:r/>
    </w:p>
    <w:p>
      <w:pPr>
        <w:ind w:left="0" w:right="0" w:firstLine="720"/>
        <w:jc w:val="center"/>
        <w:pageBreakBefore w:val="0"/>
        <w:spacing w:line="520" w:lineRule="exact"/>
        <w:rPr>
          <w:rFonts w:hint="eastAsia" w:ascii="黑体" w:hAnsi="黑体" w:eastAsia="黑体" w:cs="黑体"/>
          <w:b w:val="0"/>
          <w:bCs w:val="0"/>
          <w:sz w:val="36"/>
          <w:szCs w:val="36"/>
        </w:rPr>
        <w:sectPr>
          <w:headerReference w:type="default" r:id="rId10"/>
          <w:footerReference w:type="default" r:id="rId14"/>
          <w:footerReference w:type="first" r:id="rId15"/>
          <w:footnotePr/>
          <w:endnotePr/>
          <w:type w:val="nextPage"/>
          <w:pgSz w:w="11906" w:h="16838" w:orient="portrait"/>
          <w:pgMar w:top="1417" w:right="1417" w:bottom="1134" w:left="1417" w:header="851" w:footer="907" w:gutter="0"/>
          <w:pgNumType w:start="1"/>
          <w:cols w:num="1" w:sep="0" w:space="0" w:equalWidth="1"/>
          <w:docGrid w:linePitch="360"/>
          <w:titlePg/>
        </w:sectPr>
      </w:pPr>
      <w:r>
        <w:rPr>
          <w:rFonts w:hint="eastAsia" w:ascii="黑体" w:hAnsi="黑体" w:eastAsia="黑体" w:cs="黑体"/>
          <w:b w:val="0"/>
          <w:bCs w:val="0"/>
          <w:sz w:val="36"/>
          <w:szCs w:val="36"/>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lang w:eastAsia="zh-CN"/>
        </w:rPr>
        <w:t xml:space="preserve">十四、</w:t>
      </w:r>
      <w:r>
        <w:rPr>
          <w:rFonts w:hint="eastAsia" w:ascii="黑体" w:hAnsi="黑体" w:eastAsia="黑体" w:cs="黑体"/>
          <w:b w:val="0"/>
          <w:bCs/>
          <w:i/>
          <w:iCs/>
          <w:sz w:val="28"/>
          <w:szCs w:val="28"/>
          <w:u w:val="single"/>
        </w:rPr>
        <w:t xml:space="preserve">关于符合本国产品标准的声明函</w:t>
      </w:r>
      <w:r/>
    </w:p>
    <w:p>
      <w:pPr>
        <w:pStyle w:val="819"/>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8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826"/>
          <w:rFonts w:hint="eastAsia" w:ascii="仿宋_GB2312" w:hAnsi="仿宋_GB2312" w:eastAsia="仿宋_GB2312" w:cs="仿宋_GB2312"/>
          <w:i w:val="0"/>
          <w:color w:val="auto"/>
          <w:sz w:val="28"/>
          <w:szCs w:val="28"/>
          <w:u w:val="single"/>
          <w:shd w:val="clear" w:color="auto" w:fill="ffffff"/>
        </w:rPr>
        <w:t xml:space="preserve">（产品名称1）</w:t>
      </w:r>
      <w:r>
        <w:rPr>
          <w:rStyle w:val="826"/>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826"/>
          <w:rFonts w:hint="eastAsia" w:ascii="仿宋_GB2312" w:hAnsi="仿宋_GB2312" w:eastAsia="仿宋_GB2312" w:cs="仿宋_GB2312"/>
          <w:i w:val="0"/>
          <w:color w:val="auto"/>
          <w:sz w:val="28"/>
          <w:szCs w:val="28"/>
          <w:u w:val="single"/>
          <w:shd w:val="clear" w:color="auto" w:fill="ffffff"/>
        </w:rPr>
        <w:t xml:space="preserve">（厂名）</w:t>
      </w:r>
      <w:r>
        <w:rPr>
          <w:rStyle w:val="826"/>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826"/>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826"/>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826"/>
          <w:rFonts w:hint="eastAsia" w:ascii="仿宋_GB2312" w:hAnsi="仿宋_GB2312" w:eastAsia="仿宋_GB2312" w:cs="仿宋_GB2312"/>
          <w:strike/>
          <w:color w:val="ff0000"/>
          <w:sz w:val="28"/>
          <w:szCs w:val="28"/>
          <w:highlight w:val="none"/>
          <w:u w:val="single"/>
          <w:shd w:val="clear" w:color="auto" w:fill="ffffff"/>
        </w:rPr>
        <w:t xml:space="preserve">。</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26"/>
          <w:rFonts w:hint="eastAsia" w:ascii="仿宋_GB2312" w:hAnsi="仿宋_GB2312" w:eastAsia="仿宋_GB2312" w:cs="仿宋_GB2312"/>
          <w:strike/>
          <w:color w:val="ff0000"/>
          <w:sz w:val="28"/>
          <w:szCs w:val="28"/>
          <w:highlight w:val="none"/>
          <w:u w:val="single"/>
          <w:shd w:val="clear" w:color="auto" w:fill="ffffff"/>
        </w:rPr>
        <w:t xml:space="preserve">的</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826"/>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26"/>
          <w:rFonts w:hint="eastAsia" w:ascii="仿宋_GB2312" w:hAnsi="仿宋_GB2312" w:eastAsia="仿宋_GB2312" w:cs="仿宋_GB2312"/>
          <w:strike/>
          <w:color w:val="ff0000"/>
          <w:sz w:val="28"/>
          <w:szCs w:val="28"/>
          <w:highlight w:val="none"/>
          <w:u w:val="single"/>
          <w:shd w:val="clear" w:color="auto" w:fill="ffffff"/>
        </w:rPr>
        <w:t xml:space="preserve">的</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826"/>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8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826"/>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826"/>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826"/>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26"/>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826"/>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8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8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8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819"/>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819"/>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819"/>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p>
    <w:p>
      <w:pPr>
        <w:pStyle w:val="8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8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8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8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8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8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8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highlight w:val="yellow"/>
          <w:u w:val="single"/>
        </w:rPr>
        <w:t xml:space="preserve">       </w:t>
      </w:r>
      <w:r>
        <w:rPr>
          <w:rFonts w:hint="eastAsia" w:ascii="仿宋_GB2312" w:hAnsi="仿宋_GB2312" w:eastAsia="仿宋_GB2312" w:cs="仿宋_GB2312"/>
          <w:color w:val="000000"/>
          <w:sz w:val="28"/>
          <w:szCs w:val="28"/>
          <w:highlight w:val="yellow"/>
        </w:rPr>
        <w:t xml:space="preserve">%(</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五</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磋商</w:t>
      </w:r>
      <w:r>
        <w:rPr>
          <w:rFonts w:hint="eastAsia" w:ascii="黑体" w:hAnsi="黑体" w:eastAsia="黑体" w:cs="黑体"/>
          <w:b w:val="0"/>
          <w:bCs/>
          <w:i/>
          <w:iCs/>
          <w:sz w:val="28"/>
          <w:szCs w:val="28"/>
          <w:u w:val="single"/>
        </w:rPr>
        <w:t xml:space="preserve">文件中要求提供的承诺、声明等材料或供应商认为需要提供的其他资料</w:t>
      </w:r>
      <w:r/>
    </w:p>
    <w:p>
      <w:pPr>
        <w:ind w:left="0" w:right="0" w:firstLine="720"/>
        <w:jc w:val="center"/>
        <w:pageBreakBefore w:val="0"/>
        <w:spacing w:line="520" w:lineRule="exact"/>
        <w:rPr>
          <w:rFonts w:hint="eastAsia" w:ascii="黑体" w:hAnsi="黑体" w:eastAsia="黑体" w:cs="黑体"/>
          <w:b w:val="0"/>
          <w:bCs w:val="0"/>
          <w:sz w:val="36"/>
          <w:szCs w:val="36"/>
        </w:rPr>
        <w:sectPr>
          <w:footnotePr/>
          <w:endnotePr/>
          <w:type w:val="nextPage"/>
          <w:pgSz w:w="11906" w:h="16838" w:orient="portrait"/>
          <w:pgMar w:top="1417" w:right="1417" w:bottom="1134" w:left="1417" w:header="851" w:footer="907" w:gutter="0"/>
          <w:cols w:num="1" w:sep="0" w:space="0" w:equalWidth="1"/>
          <w:docGrid w:linePitch="360"/>
          <w:titlePg/>
        </w:sectPr>
      </w:pPr>
      <w:r>
        <w:rPr>
          <w:rFonts w:hint="eastAsia" w:ascii="黑体" w:hAnsi="黑体" w:eastAsia="黑体" w:cs="黑体"/>
          <w:b w:val="0"/>
          <w:bCs w:val="0"/>
          <w:sz w:val="36"/>
          <w:szCs w:val="36"/>
        </w:rPr>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质疑函范本</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sectPr>
      <w:footnotePr/>
      <w:endnotePr/>
      <w:type w:val="nextPage"/>
      <w:pgSz w:w="11906" w:h="16838" w:orient="portrait"/>
      <w:pgMar w:top="1417" w:right="1417" w:bottom="1134"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楷体">
    <w:panose1 w:val="02010609060101010101"/>
  </w:font>
  <w:font w:name="Symbol">
    <w:panose1 w:val="05050102010706020507"/>
  </w:font>
  <w:font w:name="方正仿宋_GB2312">
    <w:panose1 w:val="020B0503020202020204"/>
  </w:font>
  <w:font w:name="仿宋">
    <w:panose1 w:val="02010609060101010101"/>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幼圆">
    <w:panose1 w:val="02010509060101010101"/>
  </w:font>
  <w:font w:name="黑体">
    <w:panose1 w:val="02010609060101010101"/>
  </w:font>
  <w:font w:name="仿宋_GB2312">
    <w:panose1 w:val="02010609060101010101"/>
  </w:font>
  <w:font w:name="Verdana">
    <w:panose1 w:val="020B06040305040402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0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5"/>
      <w:isLgl w:val="false"/>
      <w:suff w:val="nothing"/>
      <w:lvlText w:val=""/>
      <w:lvlJc w:val="left"/>
      <w:pPr>
        <w:ind w:left="0" w:firstLine="0"/>
      </w:pPr>
      <w:rPr>
        <w:rFonts w:hint="eastAsia"/>
      </w:rPr>
    </w:lvl>
    <w:lvl w:ilvl="6">
      <w:start w:val="1"/>
      <w:numFmt w:val="decimal"/>
      <w:pStyle w:val="986"/>
      <w:isLgl w:val="false"/>
      <w:suff w:val="nothing"/>
      <w:lvlText w:val=""/>
      <w:lvlJc w:val="left"/>
      <w:pPr>
        <w:ind w:left="0" w:firstLine="0"/>
      </w:pPr>
      <w:rPr>
        <w:rFonts w:hint="eastAsia"/>
      </w:rPr>
    </w:lvl>
    <w:lvl w:ilvl="7">
      <w:start w:val="1"/>
      <w:numFmt w:val="decimal"/>
      <w:pStyle w:val="987"/>
      <w:isLgl w:val="false"/>
      <w:suff w:val="nothing"/>
      <w:lvlText w:val=""/>
      <w:lvlJc w:val="left"/>
      <w:pPr>
        <w:ind w:left="0" w:firstLine="0"/>
      </w:pPr>
      <w:rPr>
        <w:rFonts w:hint="eastAsia"/>
      </w:rPr>
    </w:lvl>
    <w:lvl w:ilvl="8">
      <w:start w:val="1"/>
      <w:numFmt w:val="decimal"/>
      <w:pStyle w:val="988"/>
      <w:isLgl w:val="false"/>
      <w:suff w:val="nothing"/>
      <w:lvlText w:val=""/>
      <w:lvlJc w:val="left"/>
      <w:pPr>
        <w:ind w:left="0" w:firstLine="0"/>
      </w:pPr>
      <w:rPr>
        <w:rFonts w:hint="eastAsia"/>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link w:val="1098"/>
    <w:uiPriority w:val="0"/>
    <w:qFormat/>
    <w:pPr>
      <w:jc w:val="both"/>
      <w:widowControl w:val="off"/>
    </w:pPr>
    <w:rPr>
      <w:rFonts w:hint="default" w:ascii="Calibri" w:hAnsi="Calibri" w:eastAsia="宋体" w:cs="Times New Roman"/>
      <w:sz w:val="21"/>
      <w:szCs w:val="22"/>
      <w:lang w:val="en-US" w:eastAsia="zh-CN" w:bidi="ar-SA"/>
    </w:rPr>
  </w:style>
  <w:style w:type="paragraph" w:styleId="784">
    <w:name w:val="Heading 1"/>
    <w:basedOn w:val="783"/>
    <w:next w:val="783"/>
    <w:link w:val="1094"/>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83"/>
    <w:link w:val="832"/>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33"/>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34"/>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35"/>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36"/>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38"/>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39"/>
    <w:uiPriority w:val="9"/>
    <w:unhideWhenUsed/>
    <w:qFormat/>
    <w:pPr>
      <w:keepLines/>
      <w:keepNext/>
      <w:spacing w:before="320" w:after="200"/>
      <w:outlineLvl w:val="8"/>
    </w:pPr>
    <w:rPr>
      <w:rFonts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0"/>
    <w:semiHidden/>
    <w:qFormat/>
    <w:pPr>
      <w:ind w:left="1260"/>
      <w:jc w:val="left"/>
    </w:pPr>
    <w:rPr>
      <w:rFonts w:ascii="Times New Roman" w:hAnsi="Times New Roman"/>
      <w:szCs w:val="21"/>
    </w:rPr>
  </w:style>
  <w:style w:type="paragraph" w:styleId="796">
    <w:name w:val="table of authorities"/>
    <w:basedOn w:val="783"/>
    <w:next w:val="783"/>
    <w:uiPriority w:val="99"/>
    <w:qFormat/>
    <w:pPr>
      <w:ind w:left="420"/>
    </w:pPr>
  </w:style>
  <w:style w:type="paragraph" w:styleId="797">
    <w:name w:val="Normal Indent"/>
    <w:basedOn w:val="783"/>
    <w:next w:val="798"/>
    <w:uiPriority w:val="0"/>
    <w:unhideWhenUsed/>
    <w:qFormat/>
    <w:pPr>
      <w:ind w:firstLine="420"/>
    </w:pPr>
    <w:rPr>
      <w:rFonts w:ascii="Times New Roman" w:hAnsi="Times New Roman" w:eastAsia="宋体"/>
      <w:sz w:val="20"/>
      <w:szCs w:val="21"/>
    </w:rPr>
  </w:style>
  <w:style w:type="paragraph" w:styleId="798">
    <w:name w:val="Body Text"/>
    <w:basedOn w:val="783"/>
    <w:next w:val="783"/>
    <w:uiPriority w:val="0"/>
    <w:unhideWhenUsed/>
    <w:qFormat/>
    <w:rPr>
      <w:rFonts w:ascii="楷体_GB2312" w:hAnsi="Arial" w:eastAsia="楷体_GB2312" w:cs="Times New Roman"/>
      <w:sz w:val="28"/>
      <w:szCs w:val="28"/>
    </w:rPr>
  </w:style>
  <w:style w:type="paragraph" w:styleId="799">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Document Map"/>
    <w:basedOn w:val="783"/>
    <w:uiPriority w:val="99"/>
    <w:unhideWhenUsed/>
    <w:qFormat/>
    <w:pPr>
      <w:jc w:val="left"/>
      <w:spacing w:line="360" w:lineRule="auto"/>
      <w:widowControl/>
    </w:pPr>
    <w:rPr>
      <w:rFonts w:ascii="宋体" w:hAnsi="Calibri" w:eastAsia="宋体" w:cs="Times New Roman"/>
      <w:sz w:val="18"/>
      <w:szCs w:val="18"/>
      <w14:ligatures w14:val="none"/>
    </w:rPr>
  </w:style>
  <w:style w:type="paragraph" w:styleId="801">
    <w:name w:val="Body Text Indent"/>
    <w:basedOn w:val="783"/>
    <w:uiPriority w:val="99"/>
    <w:qFormat/>
    <w:pPr>
      <w:ind w:firstLine="600"/>
    </w:pPr>
    <w:rPr>
      <w:rFonts w:eastAsia="仿宋_GB2312"/>
      <w:sz w:val="28"/>
    </w:rPr>
  </w:style>
  <w:style w:type="paragraph" w:styleId="802">
    <w:name w:val="index 4"/>
    <w:basedOn w:val="783"/>
    <w:next w:val="783"/>
    <w:uiPriority w:val="0"/>
    <w:qFormat/>
    <w:pPr>
      <w:ind w:left="600"/>
    </w:pPr>
    <w:rPr>
      <w:rFonts w:ascii="Verdana" w:hAnsi="Verdana"/>
      <w:szCs w:val="20"/>
    </w:rPr>
  </w:style>
  <w:style w:type="paragraph" w:styleId="803">
    <w:name w:val="toc 5"/>
    <w:basedOn w:val="783"/>
    <w:next w:val="783"/>
    <w:uiPriority w:val="0"/>
    <w:semiHidden/>
    <w:qFormat/>
    <w:pPr>
      <w:ind w:left="840"/>
      <w:jc w:val="left"/>
    </w:pPr>
    <w:rPr>
      <w:rFonts w:ascii="Times New Roman" w:hAnsi="Times New Roman"/>
      <w:szCs w:val="21"/>
    </w:rPr>
  </w:style>
  <w:style w:type="paragraph" w:styleId="804">
    <w:name w:val="toc 3"/>
    <w:basedOn w:val="783"/>
    <w:next w:val="783"/>
    <w:uiPriority w:val="0"/>
    <w:semiHidden/>
    <w:qFormat/>
    <w:pPr>
      <w:ind w:left="420"/>
      <w:jc w:val="left"/>
    </w:pPr>
    <w:rPr>
      <w:rFonts w:ascii="Times New Roman" w:hAnsi="Times New Roman"/>
      <w:i/>
      <w:iCs/>
      <w:szCs w:val="24"/>
    </w:rPr>
  </w:style>
  <w:style w:type="paragraph" w:styleId="805">
    <w:name w:val="Plain Text"/>
    <w:basedOn w:val="783"/>
    <w:uiPriority w:val="0"/>
    <w:qFormat/>
    <w:rPr>
      <w:rFonts w:ascii="宋体" w:hAnsi="Courier New"/>
      <w:szCs w:val="22"/>
    </w:rPr>
  </w:style>
  <w:style w:type="paragraph" w:styleId="806">
    <w:name w:val="toc 8"/>
    <w:basedOn w:val="783"/>
    <w:next w:val="783"/>
    <w:uiPriority w:val="0"/>
    <w:semiHidden/>
    <w:qFormat/>
    <w:pPr>
      <w:ind w:left="1470"/>
      <w:jc w:val="left"/>
    </w:pPr>
    <w:rPr>
      <w:rFonts w:ascii="Times New Roman" w:hAnsi="Times New Roman"/>
      <w:szCs w:val="21"/>
    </w:rPr>
  </w:style>
  <w:style w:type="paragraph" w:styleId="807">
    <w:name w:val="endnote text"/>
    <w:basedOn w:val="783"/>
    <w:link w:val="977"/>
    <w:uiPriority w:val="99"/>
    <w:semiHidden/>
    <w:unhideWhenUsed/>
    <w:qFormat/>
    <w:pPr>
      <w:spacing w:after="0" w:line="240" w:lineRule="auto"/>
    </w:pPr>
    <w:rPr>
      <w:sz w:val="20"/>
    </w:rPr>
  </w:style>
  <w:style w:type="paragraph" w:styleId="808">
    <w:name w:val="Footer"/>
    <w:basedOn w:val="783"/>
    <w:link w:val="850"/>
    <w:uiPriority w:val="99"/>
    <w:unhideWhenUsed/>
    <w:qFormat/>
    <w:pPr>
      <w:spacing w:after="0" w:line="240" w:lineRule="auto"/>
      <w:tabs>
        <w:tab w:val="center" w:pos="7143" w:leader="none"/>
        <w:tab w:val="right" w:pos="14287" w:leader="none"/>
      </w:tabs>
    </w:pPr>
  </w:style>
  <w:style w:type="paragraph" w:styleId="809">
    <w:name w:val="Header"/>
    <w:basedOn w:val="783"/>
    <w:link w:val="848"/>
    <w:uiPriority w:val="99"/>
    <w:unhideWhenUsed/>
    <w:qFormat/>
    <w:pPr>
      <w:spacing w:after="0" w:line="240" w:lineRule="auto"/>
      <w:tabs>
        <w:tab w:val="center" w:pos="7143" w:leader="none"/>
        <w:tab w:val="right" w:pos="14287" w:leader="none"/>
      </w:tabs>
    </w:pPr>
  </w:style>
  <w:style w:type="paragraph" w:styleId="810">
    <w:name w:val="toc 1"/>
    <w:basedOn w:val="783"/>
    <w:next w:val="783"/>
    <w:uiPriority w:val="0"/>
    <w:semiHidden/>
    <w:qFormat/>
    <w:pPr>
      <w:jc w:val="left"/>
      <w:spacing w:before="120" w:after="120" w:line="400" w:lineRule="exact"/>
      <w:tabs>
        <w:tab w:val="right" w:pos="8720" w:leader="dot"/>
      </w:tabs>
    </w:pPr>
    <w:rPr>
      <w:rFonts w:ascii="宋体" w:hAnsi="宋体"/>
      <w:caps/>
      <w:sz w:val="24"/>
      <w:szCs w:val="24"/>
    </w:rPr>
  </w:style>
  <w:style w:type="paragraph" w:styleId="811">
    <w:name w:val="toc 4"/>
    <w:basedOn w:val="783"/>
    <w:next w:val="783"/>
    <w:uiPriority w:val="0"/>
    <w:semiHidden/>
    <w:qFormat/>
    <w:pPr>
      <w:ind w:left="630"/>
      <w:jc w:val="left"/>
    </w:pPr>
    <w:rPr>
      <w:rFonts w:ascii="Times New Roman" w:hAnsi="Times New Roman"/>
      <w:szCs w:val="21"/>
    </w:rPr>
  </w:style>
  <w:style w:type="paragraph" w:styleId="812">
    <w:name w:val="Subtitle"/>
    <w:basedOn w:val="783"/>
    <w:next w:val="783"/>
    <w:link w:val="843"/>
    <w:uiPriority w:val="11"/>
    <w:qFormat/>
    <w:pPr>
      <w:spacing w:before="200" w:after="200"/>
    </w:pPr>
    <w:rPr>
      <w:sz w:val="24"/>
      <w:szCs w:val="24"/>
    </w:rPr>
  </w:style>
  <w:style w:type="paragraph" w:styleId="813">
    <w:name w:val="footnote text"/>
    <w:basedOn w:val="783"/>
    <w:link w:val="976"/>
    <w:uiPriority w:val="99"/>
    <w:semiHidden/>
    <w:unhideWhenUsed/>
    <w:qFormat/>
    <w:pPr>
      <w:spacing w:after="40" w:line="240" w:lineRule="auto"/>
    </w:pPr>
    <w:rPr>
      <w:sz w:val="18"/>
    </w:rPr>
  </w:style>
  <w:style w:type="paragraph" w:styleId="814">
    <w:name w:val="toc 6"/>
    <w:basedOn w:val="783"/>
    <w:next w:val="783"/>
    <w:uiPriority w:val="0"/>
    <w:semiHidden/>
    <w:qFormat/>
    <w:pPr>
      <w:ind w:left="1050"/>
      <w:jc w:val="left"/>
    </w:pPr>
    <w:rPr>
      <w:rFonts w:ascii="Times New Roman" w:hAnsi="Times New Roman"/>
      <w:szCs w:val="21"/>
    </w:rPr>
  </w:style>
  <w:style w:type="paragraph" w:styleId="815">
    <w:name w:val="table of figures"/>
    <w:basedOn w:val="783"/>
    <w:next w:val="783"/>
    <w:uiPriority w:val="99"/>
    <w:unhideWhenUsed/>
    <w:qFormat/>
    <w:pPr>
      <w:spacing w:after="0" w:afterAutospacing="0"/>
    </w:pPr>
  </w:style>
  <w:style w:type="paragraph" w:styleId="816">
    <w:name w:val="toc 2"/>
    <w:basedOn w:val="783"/>
    <w:next w:val="783"/>
    <w:uiPriority w:val="0"/>
    <w:semiHidden/>
    <w:qFormat/>
    <w:pPr>
      <w:ind w:left="210"/>
      <w:jc w:val="left"/>
    </w:pPr>
    <w:rPr>
      <w:rFonts w:ascii="Times New Roman" w:hAnsi="Times New Roman"/>
      <w:smallCaps/>
      <w:szCs w:val="24"/>
    </w:rPr>
  </w:style>
  <w:style w:type="paragraph" w:styleId="817">
    <w:name w:val="toc 9"/>
    <w:basedOn w:val="783"/>
    <w:next w:val="783"/>
    <w:uiPriority w:val="0"/>
    <w:semiHidden/>
    <w:qFormat/>
    <w:pPr>
      <w:ind w:left="1680"/>
      <w:jc w:val="left"/>
    </w:pPr>
    <w:rPr>
      <w:rFonts w:ascii="Times New Roman" w:hAnsi="Times New Roman"/>
      <w:szCs w:val="21"/>
    </w:rPr>
  </w:style>
  <w:style w:type="paragraph" w:styleId="818">
    <w:name w:val="HTML Preformatted"/>
    <w:basedOn w:val="783"/>
    <w:uiPriority w:val="99"/>
    <w:unhideWhenUsed/>
    <w:qFormat/>
    <w:rPr>
      <w:rFonts w:ascii="Courier New" w:hAnsi="Courier New" w:cs="Courier New"/>
      <w:sz w:val="20"/>
      <w:szCs w:val="20"/>
    </w:rPr>
  </w:style>
  <w:style w:type="paragraph" w:styleId="819">
    <w:name w:val="Normal (Web)"/>
    <w:basedOn w:val="783"/>
    <w:uiPriority w:val="99"/>
    <w:qFormat/>
    <w:pPr>
      <w:ind w:firstLine="420"/>
    </w:pPr>
    <w:rPr>
      <w:rFonts w:ascii="Calibri" w:hAnsi="Calibri"/>
      <w:szCs w:val="22"/>
    </w:rPr>
  </w:style>
  <w:style w:type="paragraph" w:styleId="820">
    <w:name w:val="Title"/>
    <w:basedOn w:val="783"/>
    <w:next w:val="783"/>
    <w:link w:val="842"/>
    <w:uiPriority w:val="10"/>
    <w:qFormat/>
    <w:pPr>
      <w:contextualSpacing/>
      <w:spacing w:before="300" w:after="200"/>
    </w:pPr>
    <w:rPr>
      <w:sz w:val="48"/>
      <w:szCs w:val="48"/>
    </w:rPr>
  </w:style>
  <w:style w:type="paragraph" w:styleId="821">
    <w:name w:val="Body Text First Indent"/>
    <w:basedOn w:val="798"/>
    <w:uiPriority w:val="0"/>
    <w:qFormat/>
    <w:pPr>
      <w:ind w:firstLine="200"/>
      <w:jc w:val="left"/>
      <w:spacing w:line="360" w:lineRule="auto"/>
    </w:pPr>
    <w:rPr>
      <w:bCs/>
      <w:sz w:val="24"/>
    </w:rPr>
  </w:style>
  <w:style w:type="table" w:styleId="8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Strong"/>
    <w:basedOn w:val="793"/>
    <w:uiPriority w:val="22"/>
    <w:qFormat/>
    <w:rPr>
      <w:b/>
    </w:rPr>
  </w:style>
  <w:style w:type="character" w:styleId="824">
    <w:name w:val="endnote reference"/>
    <w:uiPriority w:val="99"/>
    <w:semiHidden/>
    <w:unhideWhenUsed/>
    <w:qFormat/>
    <w:rPr>
      <w:vertAlign w:val="superscript"/>
    </w:rPr>
  </w:style>
  <w:style w:type="character" w:styleId="825">
    <w:name w:val="page number"/>
    <w:basedOn w:val="793"/>
    <w:uiPriority w:val="99"/>
    <w:qFormat/>
    <w:rPr>
      <w:rFonts w:cs="Times New Roman"/>
    </w:rPr>
  </w:style>
  <w:style w:type="character" w:styleId="826">
    <w:name w:val="Emphasis"/>
    <w:basedOn w:val="793"/>
    <w:uiPriority w:val="0"/>
    <w:qFormat/>
    <w:rPr>
      <w:i/>
    </w:rPr>
  </w:style>
  <w:style w:type="character" w:styleId="827">
    <w:name w:val="Hyperlink"/>
    <w:basedOn w:val="793"/>
    <w:uiPriority w:val="99"/>
    <w:unhideWhenUsed/>
    <w:qFormat/>
    <w:rPr>
      <w:color w:val="0000ff" w:themeColor="hyperlink"/>
      <w:u w:val="single"/>
      <w14:textFill>
        <w14:solidFill>
          <w14:schemeClr w14:val="hlink"/>
        </w14:solidFill>
      </w14:textFill>
    </w:rPr>
  </w:style>
  <w:style w:type="character" w:styleId="828">
    <w:name w:val="footnote reference"/>
    <w:uiPriority w:val="99"/>
    <w:unhideWhenUsed/>
    <w:qFormat/>
    <w:rPr>
      <w:vertAlign w:val="superscript"/>
    </w:rPr>
  </w:style>
  <w:style w:type="paragraph" w:styleId="829" w:customStyle="1">
    <w:name w:val="索引 41"/>
    <w:basedOn w:val="783"/>
    <w:next w:val="783"/>
    <w:uiPriority w:val="0"/>
    <w:semiHidden/>
    <w:qFormat/>
    <w:pPr>
      <w:ind w:left="1260"/>
    </w:pPr>
    <w:rPr>
      <w:rFonts w:ascii="Calibri" w:hAnsi="Calibri" w:eastAsia="Calibri" w:cs="宋体"/>
      <w:sz w:val="20"/>
      <w:lang w:val="zh-CN"/>
    </w:rPr>
  </w:style>
  <w:style w:type="paragraph" w:styleId="83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31" w:customStyle="1">
    <w:name w:val="Heading 1 Char"/>
    <w:link w:val="784"/>
    <w:uiPriority w:val="9"/>
    <w:qFormat/>
    <w:rPr>
      <w:rFonts w:ascii="Arial" w:hAnsi="Arial" w:eastAsia="Arial" w:cs="Arial"/>
      <w:sz w:val="40"/>
      <w:szCs w:val="40"/>
    </w:rPr>
  </w:style>
  <w:style w:type="character" w:styleId="832" w:customStyle="1">
    <w:name w:val="Heading 2 Char"/>
    <w:link w:val="785"/>
    <w:uiPriority w:val="9"/>
    <w:qFormat/>
    <w:rPr>
      <w:rFonts w:ascii="Arial" w:hAnsi="Arial" w:eastAsia="Arial" w:cs="Arial"/>
      <w:sz w:val="34"/>
    </w:rPr>
  </w:style>
  <w:style w:type="character" w:styleId="833" w:customStyle="1">
    <w:name w:val="Heading 3 Char"/>
    <w:link w:val="786"/>
    <w:uiPriority w:val="9"/>
    <w:qFormat/>
    <w:rPr>
      <w:rFonts w:ascii="Arial" w:hAnsi="Arial" w:eastAsia="Arial" w:cs="Arial"/>
      <w:sz w:val="30"/>
      <w:szCs w:val="30"/>
    </w:rPr>
  </w:style>
  <w:style w:type="character" w:styleId="834" w:customStyle="1">
    <w:name w:val="Heading 4 Char"/>
    <w:link w:val="787"/>
    <w:uiPriority w:val="9"/>
    <w:qFormat/>
    <w:rPr>
      <w:rFonts w:ascii="Arial" w:hAnsi="Arial" w:eastAsia="Arial" w:cs="Arial"/>
      <w:b/>
      <w:bCs/>
      <w:sz w:val="26"/>
      <w:szCs w:val="26"/>
    </w:rPr>
  </w:style>
  <w:style w:type="character" w:styleId="835" w:customStyle="1">
    <w:name w:val="Heading 5 Char"/>
    <w:link w:val="788"/>
    <w:uiPriority w:val="9"/>
    <w:qFormat/>
    <w:rPr>
      <w:rFonts w:ascii="Arial" w:hAnsi="Arial" w:eastAsia="Arial" w:cs="Arial"/>
      <w:b/>
      <w:bCs/>
      <w:sz w:val="24"/>
      <w:szCs w:val="24"/>
    </w:rPr>
  </w:style>
  <w:style w:type="character" w:styleId="836" w:customStyle="1">
    <w:name w:val="Heading 6 Char"/>
    <w:link w:val="789"/>
    <w:uiPriority w:val="9"/>
    <w:qFormat/>
    <w:rPr>
      <w:rFonts w:ascii="Arial" w:hAnsi="Arial" w:eastAsia="Arial" w:cs="Arial"/>
      <w:b/>
      <w:bCs/>
      <w:sz w:val="22"/>
      <w:szCs w:val="22"/>
    </w:rPr>
  </w:style>
  <w:style w:type="character" w:styleId="837" w:customStyle="1">
    <w:name w:val="Heading 7 Char"/>
    <w:link w:val="790"/>
    <w:uiPriority w:val="9"/>
    <w:qFormat/>
    <w:rPr>
      <w:rFonts w:ascii="Arial" w:hAnsi="Arial" w:eastAsia="Arial" w:cs="Arial"/>
      <w:b/>
      <w:bCs/>
      <w:i/>
      <w:iCs/>
      <w:sz w:val="22"/>
      <w:szCs w:val="22"/>
    </w:rPr>
  </w:style>
  <w:style w:type="character" w:styleId="838" w:customStyle="1">
    <w:name w:val="Heading 8 Char"/>
    <w:link w:val="791"/>
    <w:uiPriority w:val="9"/>
    <w:qFormat/>
    <w:rPr>
      <w:rFonts w:ascii="Arial" w:hAnsi="Arial" w:eastAsia="Arial" w:cs="Arial"/>
      <w:i/>
      <w:iCs/>
      <w:sz w:val="22"/>
      <w:szCs w:val="22"/>
    </w:rPr>
  </w:style>
  <w:style w:type="character" w:styleId="839" w:customStyle="1">
    <w:name w:val="Heading 9 Char"/>
    <w:link w:val="792"/>
    <w:uiPriority w:val="9"/>
    <w:qFormat/>
    <w:rPr>
      <w:rFonts w:ascii="Arial" w:hAnsi="Arial" w:eastAsia="Arial" w:cs="Arial"/>
      <w:i/>
      <w:iCs/>
      <w:sz w:val="21"/>
      <w:szCs w:val="21"/>
    </w:rPr>
  </w:style>
  <w:style w:type="paragraph" w:styleId="840">
    <w:name w:val="List Paragraph"/>
    <w:basedOn w:val="783"/>
    <w:uiPriority w:val="34"/>
    <w:qFormat/>
    <w:pPr>
      <w:contextualSpacing/>
      <w:ind w:left="720"/>
    </w:pPr>
  </w:style>
  <w:style w:type="paragraph" w:styleId="841">
    <w:name w:val="No Spacing"/>
    <w:uiPriority w:val="1"/>
    <w:qFormat/>
    <w:pPr>
      <w:spacing w:before="0" w:after="0" w:line="240" w:lineRule="auto"/>
    </w:pPr>
    <w:rPr>
      <w:rFonts w:hint="default" w:ascii="Calibri" w:hAnsi="Calibri" w:eastAsia="宋体" w:cs="Times New Roman"/>
    </w:rPr>
  </w:style>
  <w:style w:type="character" w:styleId="842" w:customStyle="1">
    <w:name w:val="Title Char"/>
    <w:link w:val="820"/>
    <w:uiPriority w:val="10"/>
    <w:qFormat/>
    <w:rPr>
      <w:sz w:val="48"/>
      <w:szCs w:val="48"/>
    </w:rPr>
  </w:style>
  <w:style w:type="character" w:styleId="843" w:customStyle="1">
    <w:name w:val="Subtitle Char"/>
    <w:link w:val="812"/>
    <w:uiPriority w:val="11"/>
    <w:qFormat/>
    <w:rPr>
      <w:sz w:val="24"/>
      <w:szCs w:val="24"/>
    </w:rPr>
  </w:style>
  <w:style w:type="paragraph" w:styleId="844">
    <w:name w:val="Quote"/>
    <w:basedOn w:val="783"/>
    <w:next w:val="783"/>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83"/>
    <w:next w:val="783"/>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link w:val="809"/>
    <w:uiPriority w:val="99"/>
    <w:qFormat/>
  </w:style>
  <w:style w:type="character" w:styleId="849" w:customStyle="1">
    <w:name w:val="Footer Char"/>
    <w:link w:val="808"/>
    <w:uiPriority w:val="99"/>
    <w:qFormat/>
  </w:style>
  <w:style w:type="character" w:styleId="850" w:customStyle="1">
    <w:name w:val="Caption Char"/>
    <w:link w:val="808"/>
    <w:uiPriority w:val="99"/>
    <w:qFormat/>
  </w:style>
  <w:style w:type="table" w:styleId="8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link w:val="813"/>
    <w:uiPriority w:val="99"/>
    <w:qFormat/>
    <w:rPr>
      <w:sz w:val="18"/>
    </w:rPr>
  </w:style>
  <w:style w:type="character" w:styleId="977" w:customStyle="1">
    <w:name w:val="Endnote Text Char"/>
    <w:link w:val="807"/>
    <w:uiPriority w:val="99"/>
    <w:qFormat/>
    <w:rPr>
      <w:sz w:val="20"/>
    </w:rPr>
  </w:style>
  <w:style w:type="paragraph" w:styleId="978" w:customStyle="1">
    <w:name w:val="TOC Heading"/>
    <w:uiPriority w:val="39"/>
    <w:unhideWhenUsed/>
    <w:qFormat/>
    <w:rPr>
      <w:rFonts w:hint="default" w:ascii="Calibri" w:hAnsi="Calibri" w:eastAsia="宋体" w:cs="Times New Roman"/>
    </w:rPr>
  </w:style>
  <w:style w:type="paragraph" w:styleId="979" w:customStyle="1">
    <w:name w:val="标题 11"/>
    <w:basedOn w:val="783"/>
    <w:next w:val="783"/>
    <w:link w:val="995"/>
    <w:uiPriority w:val="0"/>
    <w:qFormat/>
    <w:pPr>
      <w:jc w:val="center"/>
      <w:keepNext/>
      <w:outlineLvl w:val="0"/>
    </w:pPr>
    <w:rPr>
      <w:rFonts w:ascii="楷体_GB2312" w:hAnsi="Times New Roman" w:eastAsia="楷体_GB2312"/>
      <w:sz w:val="28"/>
      <w:szCs w:val="28"/>
    </w:rPr>
  </w:style>
  <w:style w:type="paragraph" w:styleId="980" w:customStyle="1">
    <w:name w:val="标题 21"/>
    <w:basedOn w:val="783"/>
    <w:next w:val="783"/>
    <w:link w:val="9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1" w:customStyle="1">
    <w:name w:val="正文缩进1"/>
    <w:basedOn w:val="783"/>
    <w:link w:val="997"/>
    <w:uiPriority w:val="0"/>
    <w:qFormat/>
    <w:pPr>
      <w:ind w:firstLine="420"/>
    </w:pPr>
    <w:rPr>
      <w:szCs w:val="21"/>
    </w:rPr>
  </w:style>
  <w:style w:type="paragraph" w:styleId="982" w:customStyle="1">
    <w:name w:val="标题 31"/>
    <w:basedOn w:val="783"/>
    <w:next w:val="981"/>
    <w:link w:val="998"/>
    <w:uiPriority w:val="0"/>
    <w:qFormat/>
    <w:pPr>
      <w:keepLines/>
      <w:keepNext/>
      <w:spacing w:before="260" w:after="260" w:line="416" w:lineRule="auto"/>
      <w:outlineLvl w:val="2"/>
    </w:pPr>
    <w:rPr>
      <w:rFonts w:ascii="Times New Roman" w:hAnsi="Times New Roman"/>
      <w:b/>
      <w:bCs/>
      <w:sz w:val="32"/>
      <w:szCs w:val="32"/>
    </w:rPr>
  </w:style>
  <w:style w:type="paragraph" w:styleId="983" w:customStyle="1">
    <w:name w:val="标题 41"/>
    <w:basedOn w:val="783"/>
    <w:next w:val="981"/>
    <w:link w:val="999"/>
    <w:uiPriority w:val="0"/>
    <w:qFormat/>
    <w:pPr>
      <w:keepLines/>
      <w:keepNext/>
      <w:spacing w:before="280" w:after="290" w:line="376" w:lineRule="auto"/>
      <w:outlineLvl w:val="3"/>
    </w:pPr>
    <w:rPr>
      <w:rFonts w:ascii="Arial" w:hAnsi="Arial" w:eastAsia="黑体" w:cs="Arial"/>
      <w:b/>
      <w:bCs/>
      <w:sz w:val="28"/>
      <w:szCs w:val="28"/>
    </w:rPr>
  </w:style>
  <w:style w:type="paragraph" w:styleId="984" w:customStyle="1">
    <w:name w:val="标题 51"/>
    <w:basedOn w:val="783"/>
    <w:next w:val="981"/>
    <w:link w:val="1000"/>
    <w:uiPriority w:val="0"/>
    <w:qFormat/>
    <w:pPr>
      <w:keepNext/>
      <w:outlineLvl w:val="4"/>
    </w:pPr>
    <w:rPr>
      <w:rFonts w:ascii="宋体" w:hAnsi="Times New Roman"/>
      <w:color w:val="000000"/>
      <w:sz w:val="28"/>
      <w:szCs w:val="28"/>
    </w:rPr>
  </w:style>
  <w:style w:type="paragraph" w:styleId="985" w:customStyle="1">
    <w:name w:val="标题 61"/>
    <w:basedOn w:val="783"/>
    <w:next w:val="783"/>
    <w:link w:val="10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6" w:customStyle="1">
    <w:name w:val="标题 71"/>
    <w:basedOn w:val="783"/>
    <w:next w:val="783"/>
    <w:link w:val="100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87" w:customStyle="1">
    <w:name w:val="标题 81"/>
    <w:basedOn w:val="783"/>
    <w:next w:val="783"/>
    <w:link w:val="10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8" w:customStyle="1">
    <w:name w:val="标题 91"/>
    <w:basedOn w:val="783"/>
    <w:next w:val="783"/>
    <w:link w:val="1004"/>
    <w:uiPriority w:val="0"/>
    <w:qFormat/>
    <w:pPr>
      <w:numPr>
        <w:ilvl w:val="8"/>
        <w:numId w:val="1"/>
      </w:numPr>
      <w:keepLines/>
      <w:keepNext/>
      <w:spacing w:before="240" w:after="64" w:line="320" w:lineRule="auto"/>
      <w:outlineLvl w:val="8"/>
    </w:pPr>
    <w:rPr>
      <w:rFonts w:ascii="Arial" w:hAnsi="Arial" w:eastAsia="黑体"/>
      <w:szCs w:val="21"/>
    </w:rPr>
  </w:style>
  <w:style w:type="character" w:styleId="989" w:customStyle="1">
    <w:name w:val="默认段落字体1"/>
    <w:link w:val="783"/>
    <w:uiPriority w:val="1"/>
    <w:unhideWhenUsed/>
    <w:qFormat/>
  </w:style>
  <w:style w:type="table" w:styleId="990" w:customStyle="1">
    <w:name w:val="普通表格1"/>
    <w:uiPriority w:val="99"/>
    <w:unhideWhenUsed/>
    <w:qFormat/>
    <w:tblPr/>
  </w:style>
  <w:style w:type="paragraph" w:styleId="991" w:customStyle="1">
    <w:name w:val="正文文本首行缩进"/>
    <w:basedOn w:val="992"/>
    <w:link w:val="994"/>
    <w:uiPriority w:val="0"/>
    <w:qFormat/>
    <w:pPr>
      <w:ind w:firstLine="200"/>
      <w:spacing w:line="360" w:lineRule="auto"/>
    </w:pPr>
    <w:rPr>
      <w:rFonts w:ascii="仿宋_GB2312" w:hAnsi="Times New Roman" w:eastAsia="仿宋_GB2312"/>
      <w:sz w:val="30"/>
      <w:szCs w:val="30"/>
    </w:rPr>
  </w:style>
  <w:style w:type="paragraph" w:styleId="992" w:customStyle="1">
    <w:name w:val="正文文本1"/>
    <w:basedOn w:val="783"/>
    <w:link w:val="993"/>
    <w:uiPriority w:val="0"/>
    <w:qFormat/>
    <w:rPr>
      <w:rFonts w:ascii="楷体_GB2312" w:hAnsi="Arial" w:eastAsia="楷体_GB2312"/>
      <w:sz w:val="28"/>
      <w:szCs w:val="28"/>
    </w:rPr>
  </w:style>
  <w:style w:type="character" w:styleId="993" w:customStyle="1">
    <w:name w:val="正文文本 字符"/>
    <w:link w:val="992"/>
    <w:uiPriority w:val="0"/>
    <w:qFormat/>
    <w:rPr>
      <w:rFonts w:ascii="楷体_GB2312" w:hAnsi="Arial" w:eastAsia="楷体_GB2312" w:cs="Times New Roman"/>
      <w:sz w:val="28"/>
      <w:szCs w:val="28"/>
    </w:rPr>
  </w:style>
  <w:style w:type="character" w:styleId="994" w:customStyle="1">
    <w:name w:val="正文文本首行缩进 字符"/>
    <w:link w:val="991"/>
    <w:uiPriority w:val="0"/>
    <w:qFormat/>
    <w:rPr>
      <w:rFonts w:ascii="仿宋_GB2312" w:hAnsi="Times New Roman" w:eastAsia="仿宋_GB2312" w:cs="Times New Roman"/>
      <w:sz w:val="30"/>
      <w:szCs w:val="30"/>
    </w:rPr>
  </w:style>
  <w:style w:type="character" w:styleId="995" w:customStyle="1">
    <w:name w:val="标题 1 字符"/>
    <w:link w:val="979"/>
    <w:uiPriority w:val="0"/>
    <w:qFormat/>
    <w:rPr>
      <w:rFonts w:ascii="楷体_GB2312" w:hAnsi="Times New Roman" w:eastAsia="楷体_GB2312" w:cs="Times New Roman"/>
      <w:sz w:val="28"/>
      <w:szCs w:val="28"/>
    </w:rPr>
  </w:style>
  <w:style w:type="character" w:styleId="996" w:customStyle="1">
    <w:name w:val="标题 2 字符"/>
    <w:link w:val="980"/>
    <w:uiPriority w:val="0"/>
    <w:qFormat/>
    <w:rPr>
      <w:rFonts w:ascii="Arial" w:hAnsi="Arial" w:eastAsia="幼圆" w:cs="Arial"/>
      <w:b/>
      <w:bCs/>
      <w:sz w:val="44"/>
      <w:szCs w:val="44"/>
    </w:rPr>
  </w:style>
  <w:style w:type="character" w:styleId="997" w:customStyle="1">
    <w:name w:val="正文缩进 字符"/>
    <w:link w:val="981"/>
    <w:uiPriority w:val="0"/>
    <w:qFormat/>
    <w:rPr>
      <w:rFonts w:ascii="Calibri" w:hAnsi="Calibri" w:eastAsia="宋体" w:cs="Times New Roman"/>
      <w:szCs w:val="21"/>
    </w:rPr>
  </w:style>
  <w:style w:type="character" w:styleId="998" w:customStyle="1">
    <w:name w:val="标题 3 字符"/>
    <w:link w:val="982"/>
    <w:uiPriority w:val="0"/>
    <w:qFormat/>
    <w:rPr>
      <w:rFonts w:ascii="Times New Roman" w:hAnsi="Times New Roman" w:eastAsia="宋体" w:cs="Times New Roman"/>
      <w:b/>
      <w:bCs/>
      <w:sz w:val="32"/>
      <w:szCs w:val="32"/>
    </w:rPr>
  </w:style>
  <w:style w:type="character" w:styleId="999" w:customStyle="1">
    <w:name w:val="标题 4 字符"/>
    <w:link w:val="983"/>
    <w:uiPriority w:val="0"/>
    <w:qFormat/>
    <w:rPr>
      <w:rFonts w:ascii="Arial" w:hAnsi="Arial" w:eastAsia="黑体" w:cs="Arial"/>
      <w:b/>
      <w:bCs/>
      <w:sz w:val="28"/>
      <w:szCs w:val="28"/>
    </w:rPr>
  </w:style>
  <w:style w:type="character" w:styleId="1000" w:customStyle="1">
    <w:name w:val="标题 5 字符"/>
    <w:link w:val="984"/>
    <w:uiPriority w:val="0"/>
    <w:qFormat/>
    <w:rPr>
      <w:rFonts w:ascii="宋体" w:hAnsi="Times New Roman" w:eastAsia="宋体" w:cs="Times New Roman"/>
      <w:color w:val="000000"/>
      <w:sz w:val="28"/>
      <w:szCs w:val="28"/>
    </w:rPr>
  </w:style>
  <w:style w:type="character" w:styleId="1001" w:customStyle="1">
    <w:name w:val="标题 6 字符"/>
    <w:link w:val="985"/>
    <w:uiPriority w:val="0"/>
    <w:qFormat/>
    <w:rPr>
      <w:rFonts w:ascii="Arial" w:hAnsi="Arial" w:eastAsia="黑体" w:cs="Times New Roman"/>
      <w:b/>
      <w:bCs/>
      <w:sz w:val="24"/>
      <w:szCs w:val="24"/>
    </w:rPr>
  </w:style>
  <w:style w:type="character" w:styleId="1002" w:customStyle="1">
    <w:name w:val="标题 7 字符"/>
    <w:link w:val="986"/>
    <w:uiPriority w:val="0"/>
    <w:qFormat/>
    <w:rPr>
      <w:rFonts w:ascii="Times New Roman" w:hAnsi="Times New Roman" w:eastAsia="宋体" w:cs="Times New Roman"/>
      <w:b/>
      <w:bCs/>
      <w:sz w:val="24"/>
      <w:szCs w:val="24"/>
    </w:rPr>
  </w:style>
  <w:style w:type="character" w:styleId="1003" w:customStyle="1">
    <w:name w:val="标题 8 字符"/>
    <w:link w:val="987"/>
    <w:uiPriority w:val="0"/>
    <w:qFormat/>
    <w:rPr>
      <w:rFonts w:ascii="Arial" w:hAnsi="Arial" w:eastAsia="黑体" w:cs="Times New Roman"/>
      <w:sz w:val="24"/>
      <w:szCs w:val="24"/>
    </w:rPr>
  </w:style>
  <w:style w:type="character" w:styleId="1004" w:customStyle="1">
    <w:name w:val="标题 9 字符"/>
    <w:link w:val="988"/>
    <w:uiPriority w:val="0"/>
    <w:qFormat/>
    <w:rPr>
      <w:rFonts w:ascii="Arial" w:hAnsi="Arial" w:eastAsia="黑体" w:cs="Times New Roman"/>
      <w:szCs w:val="21"/>
    </w:rPr>
  </w:style>
  <w:style w:type="paragraph" w:styleId="1005" w:customStyle="1">
    <w:name w:val="列表 31"/>
    <w:basedOn w:val="783"/>
    <w:uiPriority w:val="0"/>
    <w:qFormat/>
    <w:pPr>
      <w:ind w:left="100" w:hanging="200"/>
    </w:pPr>
    <w:rPr>
      <w:rFonts w:ascii="Times New Roman" w:hAnsi="Times New Roman"/>
      <w:szCs w:val="21"/>
    </w:rPr>
  </w:style>
  <w:style w:type="paragraph" w:styleId="1006" w:customStyle="1">
    <w:name w:val="文档结构图1"/>
    <w:basedOn w:val="783"/>
    <w:link w:val="1007"/>
    <w:uiPriority w:val="0"/>
    <w:semiHidden/>
    <w:qFormat/>
    <w:pPr>
      <w:shd w:val="clear" w:color="auto" w:fill="000080"/>
    </w:pPr>
    <w:rPr>
      <w:rFonts w:ascii="Times New Roman" w:hAnsi="Times New Roman"/>
      <w:szCs w:val="21"/>
    </w:rPr>
  </w:style>
  <w:style w:type="character" w:styleId="1007" w:customStyle="1">
    <w:name w:val="文档结构图 字符"/>
    <w:link w:val="1006"/>
    <w:uiPriority w:val="0"/>
    <w:semiHidden/>
    <w:qFormat/>
    <w:rPr>
      <w:rFonts w:ascii="Times New Roman" w:hAnsi="Times New Roman" w:eastAsia="宋体" w:cs="Times New Roman"/>
      <w:szCs w:val="21"/>
      <w:shd w:val="clear" w:color="auto" w:fill="000080"/>
    </w:rPr>
  </w:style>
  <w:style w:type="paragraph" w:styleId="1008" w:customStyle="1">
    <w:name w:val="批注文字1"/>
    <w:basedOn w:val="783"/>
    <w:link w:val="1009"/>
    <w:uiPriority w:val="0"/>
    <w:unhideWhenUsed/>
    <w:qFormat/>
    <w:pPr>
      <w:jc w:val="left"/>
    </w:pPr>
  </w:style>
  <w:style w:type="character" w:styleId="1009" w:customStyle="1">
    <w:name w:val="批注文字 字符"/>
    <w:link w:val="1008"/>
    <w:uiPriority w:val="0"/>
    <w:qFormat/>
    <w:rPr>
      <w:rFonts w:ascii="Calibri" w:hAnsi="Calibri" w:eastAsia="宋体" w:cs="Times New Roman"/>
    </w:rPr>
  </w:style>
  <w:style w:type="paragraph" w:styleId="1010" w:customStyle="1">
    <w:name w:val="正文文本 31"/>
    <w:basedOn w:val="783"/>
    <w:link w:val="1011"/>
    <w:uiPriority w:val="0"/>
    <w:qFormat/>
    <w:rPr>
      <w:rFonts w:ascii="仿宋_GB2312" w:hAnsi="Arial" w:eastAsia="仿宋_GB2312"/>
      <w:sz w:val="32"/>
      <w:szCs w:val="32"/>
    </w:rPr>
  </w:style>
  <w:style w:type="character" w:styleId="1011" w:customStyle="1">
    <w:name w:val="正文文本 3 字符"/>
    <w:link w:val="1010"/>
    <w:uiPriority w:val="0"/>
    <w:qFormat/>
    <w:rPr>
      <w:rFonts w:ascii="仿宋_GB2312" w:hAnsi="Arial" w:eastAsia="仿宋_GB2312" w:cs="Times New Roman"/>
      <w:sz w:val="32"/>
      <w:szCs w:val="32"/>
    </w:rPr>
  </w:style>
  <w:style w:type="paragraph" w:styleId="1012" w:customStyle="1">
    <w:name w:val="正文文本缩进1"/>
    <w:basedOn w:val="1013"/>
    <w:next w:val="783"/>
    <w:link w:val="1014"/>
    <w:uiPriority w:val="0"/>
    <w:unhideWhenUsed/>
    <w:qFormat/>
    <w:pPr>
      <w:ind w:left="420"/>
      <w:spacing w:after="120"/>
    </w:pPr>
  </w:style>
  <w:style w:type="paragraph" w:styleId="1013" w:customStyle="1">
    <w:name w:val="正文1"/>
    <w:uiPriority w:val="0"/>
    <w:qFormat/>
    <w:pPr>
      <w:spacing w:line="560" w:lineRule="atLeast"/>
      <w:widowControl w:val="off"/>
    </w:pPr>
    <w:rPr>
      <w:rFonts w:hint="default" w:ascii="Times New Roman" w:hAnsi="Times New Roman" w:eastAsia="宋体" w:cs="Times New Roman"/>
      <w:sz w:val="28"/>
    </w:rPr>
  </w:style>
  <w:style w:type="character" w:styleId="1014" w:customStyle="1">
    <w:name w:val="正文文本缩进 字符"/>
    <w:link w:val="1012"/>
    <w:uiPriority w:val="0"/>
    <w:qFormat/>
    <w:rPr>
      <w:rFonts w:ascii="Calibri" w:hAnsi="Calibri" w:eastAsia="宋体" w:cs="Times New Roman"/>
    </w:rPr>
  </w:style>
  <w:style w:type="paragraph" w:styleId="1015" w:customStyle="1">
    <w:name w:val="列表 21"/>
    <w:basedOn w:val="783"/>
    <w:uiPriority w:val="0"/>
    <w:qFormat/>
    <w:pPr>
      <w:ind w:left="100" w:hanging="200"/>
    </w:pPr>
    <w:rPr>
      <w:rFonts w:ascii="Times New Roman" w:hAnsi="Times New Roman"/>
      <w:szCs w:val="21"/>
    </w:rPr>
  </w:style>
  <w:style w:type="paragraph" w:styleId="1016" w:customStyle="1">
    <w:name w:val="纯文本1"/>
    <w:basedOn w:val="783"/>
    <w:link w:val="1017"/>
    <w:uiPriority w:val="0"/>
    <w:qFormat/>
    <w:rPr>
      <w:rFonts w:ascii="宋体" w:hAnsi="Courier New" w:cs="Courier New"/>
      <w:szCs w:val="21"/>
    </w:rPr>
  </w:style>
  <w:style w:type="character" w:styleId="1017" w:customStyle="1">
    <w:name w:val="纯文本 字符"/>
    <w:link w:val="1016"/>
    <w:uiPriority w:val="0"/>
    <w:qFormat/>
    <w:rPr>
      <w:rFonts w:ascii="宋体" w:hAnsi="Courier New" w:eastAsia="宋体" w:cs="Courier New"/>
      <w:szCs w:val="21"/>
    </w:rPr>
  </w:style>
  <w:style w:type="paragraph" w:styleId="1018" w:customStyle="1">
    <w:name w:val="日期1"/>
    <w:basedOn w:val="783"/>
    <w:next w:val="783"/>
    <w:link w:val="1019"/>
    <w:uiPriority w:val="0"/>
    <w:qFormat/>
    <w:rPr>
      <w:rFonts w:ascii="Times New Roman" w:hAnsi="Times New Roman"/>
      <w:sz w:val="24"/>
      <w:szCs w:val="24"/>
    </w:rPr>
  </w:style>
  <w:style w:type="character" w:styleId="1019" w:customStyle="1">
    <w:name w:val="日期 字符"/>
    <w:link w:val="1018"/>
    <w:uiPriority w:val="0"/>
    <w:qFormat/>
    <w:rPr>
      <w:rFonts w:ascii="Times New Roman" w:hAnsi="Times New Roman" w:eastAsia="宋体" w:cs="Times New Roman"/>
      <w:sz w:val="24"/>
      <w:szCs w:val="24"/>
    </w:rPr>
  </w:style>
  <w:style w:type="paragraph" w:styleId="1020" w:customStyle="1">
    <w:name w:val="正文文本缩进 21"/>
    <w:basedOn w:val="783"/>
    <w:link w:val="1021"/>
    <w:uiPriority w:val="0"/>
    <w:qFormat/>
    <w:pPr>
      <w:ind w:left="630" w:firstLine="645"/>
    </w:pPr>
    <w:rPr>
      <w:rFonts w:ascii="Arial" w:hAnsi="Arial" w:eastAsia="仿宋_GB2312" w:cs="Arial"/>
      <w:sz w:val="32"/>
      <w:szCs w:val="32"/>
    </w:rPr>
  </w:style>
  <w:style w:type="character" w:styleId="1021" w:customStyle="1">
    <w:name w:val="正文文本缩进 2 字符"/>
    <w:link w:val="1020"/>
    <w:uiPriority w:val="0"/>
    <w:qFormat/>
    <w:rPr>
      <w:rFonts w:ascii="Arial" w:hAnsi="Arial" w:eastAsia="仿宋_GB2312" w:cs="Arial"/>
      <w:sz w:val="32"/>
      <w:szCs w:val="32"/>
    </w:rPr>
  </w:style>
  <w:style w:type="paragraph" w:styleId="1022" w:customStyle="1">
    <w:name w:val="批注框文本1"/>
    <w:basedOn w:val="783"/>
    <w:link w:val="1023"/>
    <w:uiPriority w:val="0"/>
    <w:semiHidden/>
    <w:qFormat/>
    <w:rPr>
      <w:rFonts w:ascii="Times New Roman" w:hAnsi="Times New Roman"/>
      <w:sz w:val="18"/>
      <w:szCs w:val="18"/>
    </w:rPr>
  </w:style>
  <w:style w:type="character" w:styleId="1023" w:customStyle="1">
    <w:name w:val="批注框文本 字符"/>
    <w:link w:val="1022"/>
    <w:uiPriority w:val="0"/>
    <w:semiHidden/>
    <w:qFormat/>
    <w:rPr>
      <w:rFonts w:ascii="Times New Roman" w:hAnsi="Times New Roman" w:eastAsia="宋体" w:cs="Times New Roman"/>
      <w:sz w:val="18"/>
      <w:szCs w:val="18"/>
    </w:rPr>
  </w:style>
  <w:style w:type="paragraph" w:styleId="1024" w:customStyle="1">
    <w:name w:val="页脚1"/>
    <w:basedOn w:val="783"/>
    <w:link w:val="1025"/>
    <w:uiPriority w:val="0"/>
    <w:qFormat/>
    <w:pPr>
      <w:jc w:val="left"/>
      <w:tabs>
        <w:tab w:val="center" w:pos="4153" w:leader="none"/>
        <w:tab w:val="right" w:pos="8306" w:leader="none"/>
      </w:tabs>
    </w:pPr>
    <w:rPr>
      <w:rFonts w:ascii="Times New Roman" w:hAnsi="Times New Roman"/>
      <w:sz w:val="18"/>
      <w:szCs w:val="18"/>
    </w:rPr>
  </w:style>
  <w:style w:type="character" w:styleId="1025" w:customStyle="1">
    <w:name w:val="页脚 字符"/>
    <w:link w:val="1024"/>
    <w:uiPriority w:val="0"/>
    <w:qFormat/>
    <w:rPr>
      <w:rFonts w:ascii="Times New Roman" w:hAnsi="Times New Roman" w:eastAsia="宋体" w:cs="Times New Roman"/>
      <w:sz w:val="18"/>
      <w:szCs w:val="18"/>
    </w:rPr>
  </w:style>
  <w:style w:type="paragraph" w:styleId="1026" w:customStyle="1">
    <w:name w:val="页眉1"/>
    <w:basedOn w:val="783"/>
    <w:link w:val="102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27" w:customStyle="1">
    <w:name w:val="页眉 字符"/>
    <w:link w:val="1026"/>
    <w:uiPriority w:val="0"/>
    <w:qFormat/>
    <w:rPr>
      <w:rFonts w:ascii="Times New Roman" w:hAnsi="Times New Roman" w:eastAsia="宋体" w:cs="Times New Roman"/>
      <w:sz w:val="18"/>
      <w:szCs w:val="18"/>
    </w:rPr>
  </w:style>
  <w:style w:type="paragraph" w:styleId="1028" w:customStyle="1">
    <w:name w:val="列表1"/>
    <w:basedOn w:val="783"/>
    <w:uiPriority w:val="0"/>
    <w:qFormat/>
    <w:pPr>
      <w:ind w:left="200" w:hanging="200"/>
    </w:pPr>
    <w:rPr>
      <w:rFonts w:ascii="Times New Roman" w:hAnsi="Times New Roman"/>
      <w:szCs w:val="21"/>
    </w:rPr>
  </w:style>
  <w:style w:type="paragraph" w:styleId="1029" w:customStyle="1">
    <w:name w:val="正文文本缩进 31"/>
    <w:basedOn w:val="783"/>
    <w:link w:val="1030"/>
    <w:uiPriority w:val="0"/>
    <w:qFormat/>
    <w:pPr>
      <w:ind w:left="645" w:firstLine="645"/>
    </w:pPr>
    <w:rPr>
      <w:rFonts w:ascii="Arial" w:hAnsi="Arial" w:eastAsia="仿宋_GB2312" w:cs="Arial"/>
      <w:color w:val="ffff00"/>
      <w:sz w:val="32"/>
      <w:szCs w:val="32"/>
    </w:rPr>
  </w:style>
  <w:style w:type="character" w:styleId="1030" w:customStyle="1">
    <w:name w:val="正文文本缩进 3 字符"/>
    <w:link w:val="1029"/>
    <w:uiPriority w:val="0"/>
    <w:qFormat/>
    <w:rPr>
      <w:rFonts w:ascii="Arial" w:hAnsi="Arial" w:eastAsia="仿宋_GB2312" w:cs="Arial"/>
      <w:color w:val="ffff00"/>
      <w:sz w:val="32"/>
      <w:szCs w:val="32"/>
    </w:rPr>
  </w:style>
  <w:style w:type="paragraph" w:styleId="1031" w:customStyle="1">
    <w:name w:val="图表目录1"/>
    <w:basedOn w:val="783"/>
    <w:next w:val="783"/>
    <w:uiPriority w:val="0"/>
    <w:semiHidden/>
    <w:qFormat/>
    <w:pPr>
      <w:ind w:left="840" w:hanging="420"/>
    </w:pPr>
    <w:rPr>
      <w:rFonts w:ascii="Times New Roman" w:hAnsi="Times New Roman"/>
      <w:szCs w:val="21"/>
    </w:rPr>
  </w:style>
  <w:style w:type="paragraph" w:styleId="1032" w:customStyle="1">
    <w:name w:val="正文文本 21"/>
    <w:basedOn w:val="783"/>
    <w:link w:val="1033"/>
    <w:uiPriority w:val="0"/>
    <w:qFormat/>
    <w:pPr>
      <w:jc w:val="center"/>
      <w:widowControl/>
    </w:pPr>
    <w:rPr>
      <w:rFonts w:ascii="楷体_GB2312" w:hAnsi="Times New Roman" w:eastAsia="楷体_GB2312"/>
      <w:sz w:val="28"/>
      <w:szCs w:val="28"/>
    </w:rPr>
  </w:style>
  <w:style w:type="character" w:styleId="1033" w:customStyle="1">
    <w:name w:val="正文文本 2 字符"/>
    <w:link w:val="1032"/>
    <w:uiPriority w:val="0"/>
    <w:qFormat/>
    <w:rPr>
      <w:rFonts w:ascii="楷体_GB2312" w:hAnsi="Times New Roman" w:eastAsia="楷体_GB2312" w:cs="Times New Roman"/>
      <w:sz w:val="28"/>
      <w:szCs w:val="28"/>
    </w:rPr>
  </w:style>
  <w:style w:type="paragraph" w:styleId="1034" w:customStyle="1">
    <w:name w:val="普通(网站)1"/>
    <w:basedOn w:val="783"/>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索引 11"/>
    <w:basedOn w:val="783"/>
    <w:next w:val="783"/>
    <w:uiPriority w:val="0"/>
    <w:semiHidden/>
    <w:qFormat/>
    <w:pPr>
      <w:spacing w:line="240" w:lineRule="atLeast"/>
    </w:pPr>
    <w:rPr>
      <w:rFonts w:ascii="Times New Roman" w:hAnsi="Times New Roman"/>
      <w:b/>
      <w:bCs/>
      <w:szCs w:val="21"/>
    </w:rPr>
  </w:style>
  <w:style w:type="paragraph" w:styleId="1036" w:customStyle="1">
    <w:name w:val="批注主题1"/>
    <w:basedOn w:val="1008"/>
    <w:next w:val="1008"/>
    <w:link w:val="1037"/>
    <w:uiPriority w:val="0"/>
    <w:semiHidden/>
    <w:qFormat/>
    <w:rPr>
      <w:rFonts w:ascii="Times New Roman" w:hAnsi="Times New Roman"/>
      <w:b/>
      <w:bCs/>
      <w:szCs w:val="21"/>
    </w:rPr>
  </w:style>
  <w:style w:type="character" w:styleId="1037" w:customStyle="1">
    <w:name w:val="批注主题 字符"/>
    <w:link w:val="1036"/>
    <w:uiPriority w:val="0"/>
    <w:semiHidden/>
    <w:qFormat/>
    <w:rPr>
      <w:rFonts w:ascii="Times New Roman" w:hAnsi="Times New Roman" w:eastAsia="宋体" w:cs="Times New Roman"/>
      <w:b/>
      <w:bCs/>
      <w:szCs w:val="21"/>
    </w:rPr>
  </w:style>
  <w:style w:type="paragraph" w:styleId="1038" w:customStyle="1">
    <w:name w:val="正文文本首行缩进 2"/>
    <w:basedOn w:val="1012"/>
    <w:link w:val="1039"/>
    <w:uiPriority w:val="0"/>
    <w:qFormat/>
    <w:pPr>
      <w:ind w:left="0" w:firstLine="420"/>
      <w:spacing w:after="0" w:line="360" w:lineRule="auto"/>
    </w:pPr>
    <w:rPr>
      <w:rFonts w:ascii="宋体" w:hAnsi="宋体"/>
      <w:szCs w:val="20"/>
    </w:rPr>
  </w:style>
  <w:style w:type="character" w:styleId="1039" w:customStyle="1">
    <w:name w:val="正文文本首行缩进 2 字符"/>
    <w:link w:val="1038"/>
    <w:uiPriority w:val="0"/>
    <w:qFormat/>
    <w:rPr>
      <w:rFonts w:ascii="宋体" w:hAnsi="宋体" w:eastAsia="宋体" w:cs="Times New Roman"/>
      <w:szCs w:val="20"/>
    </w:rPr>
  </w:style>
  <w:style w:type="table" w:styleId="1040" w:customStyle="1">
    <w:name w:val="网格型1"/>
    <w:basedOn w:val="990"/>
    <w:uiPriority w:val="0"/>
    <w:qFormat/>
    <w:pPr>
      <w:jc w:val="both"/>
      <w:widowControl w:val="off"/>
    </w:pPr>
    <w:rPr>
      <w:rFonts w:ascii="Times New Roman" w:hAnsi="Times New Roman" w:eastAsia="宋体" w:cs="Times New Roman"/>
      <w:sz w:val="20"/>
      <w:szCs w:val="20"/>
    </w:rPr>
    <w:tblPr/>
  </w:style>
  <w:style w:type="character" w:styleId="1041" w:customStyle="1">
    <w:name w:val="要点1"/>
    <w:link w:val="783"/>
    <w:uiPriority w:val="0"/>
    <w:qFormat/>
    <w:rPr>
      <w:b/>
      <w:bCs/>
    </w:rPr>
  </w:style>
  <w:style w:type="character" w:styleId="1042" w:customStyle="1">
    <w:name w:val="页码1"/>
    <w:link w:val="783"/>
    <w:uiPriority w:val="0"/>
    <w:qFormat/>
  </w:style>
  <w:style w:type="character" w:styleId="1043" w:customStyle="1">
    <w:name w:val="访问过的超链接"/>
    <w:link w:val="783"/>
    <w:uiPriority w:val="0"/>
    <w:qFormat/>
    <w:rPr>
      <w:color w:val="800080"/>
      <w:u w:val="single"/>
    </w:rPr>
  </w:style>
  <w:style w:type="character" w:styleId="1044" w:customStyle="1">
    <w:name w:val="超链接1"/>
    <w:link w:val="783"/>
    <w:uiPriority w:val="0"/>
    <w:qFormat/>
    <w:rPr>
      <w:color w:val="0000ff"/>
      <w:u w:val="single"/>
    </w:rPr>
  </w:style>
  <w:style w:type="character" w:styleId="1045" w:customStyle="1">
    <w:name w:val="批注引用1"/>
    <w:link w:val="783"/>
    <w:uiPriority w:val="0"/>
    <w:semiHidden/>
    <w:qFormat/>
    <w:rPr>
      <w:sz w:val="21"/>
      <w:szCs w:val="21"/>
    </w:rPr>
  </w:style>
  <w:style w:type="character" w:styleId="1046" w:customStyle="1">
    <w:name w:val="font5 Char"/>
    <w:link w:val="783"/>
    <w:uiPriority w:val="0"/>
    <w:qFormat/>
    <w:rPr>
      <w:rFonts w:ascii="宋体" w:hAnsi="宋体" w:eastAsia="宋体"/>
      <w:sz w:val="28"/>
      <w:szCs w:val="28"/>
      <w:lang w:val="en-US" w:eastAsia="zh-CN" w:bidi="ar-SA"/>
    </w:rPr>
  </w:style>
  <w:style w:type="character" w:styleId="1047" w:customStyle="1">
    <w:name w:val="二级目录 Char"/>
    <w:link w:val="1048"/>
    <w:uiPriority w:val="0"/>
    <w:qFormat/>
    <w:rPr>
      <w:b/>
      <w:sz w:val="30"/>
      <w:szCs w:val="28"/>
    </w:rPr>
  </w:style>
  <w:style w:type="paragraph" w:styleId="1048" w:customStyle="1">
    <w:name w:val="二级目录"/>
    <w:next w:val="783"/>
    <w:link w:val="104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49" w:customStyle="1">
    <w:name w:val="列出段落 Char"/>
    <w:link w:val="1050"/>
    <w:uiPriority w:val="0"/>
    <w:qFormat/>
    <w:rPr>
      <w:rFonts w:ascii="Calibri" w:hAnsi="Calibri"/>
      <w:sz w:val="24"/>
      <w:szCs w:val="24"/>
      <w:lang w:eastAsia="en-US" w:bidi="en-US"/>
    </w:rPr>
  </w:style>
  <w:style w:type="paragraph" w:styleId="1050" w:customStyle="1">
    <w:name w:val="列出段落1"/>
    <w:basedOn w:val="783"/>
    <w:link w:val="1049"/>
    <w:uiPriority w:val="0"/>
    <w:qFormat/>
    <w:pPr>
      <w:contextualSpacing/>
      <w:ind w:left="720"/>
      <w:jc w:val="left"/>
      <w:widowControl/>
    </w:pPr>
    <w:rPr>
      <w:rFonts w:eastAsia="宋体" w:cs="Times New Roman"/>
      <w:sz w:val="24"/>
      <w:szCs w:val="24"/>
      <w:lang w:eastAsia="en-US" w:bidi="en-US"/>
    </w:rPr>
  </w:style>
  <w:style w:type="paragraph" w:styleId="1051" w:customStyle="1">
    <w:name w:val="Body Text(ch)"/>
    <w:basedOn w:val="783"/>
    <w:next w:val="992"/>
    <w:uiPriority w:val="0"/>
    <w:qFormat/>
    <w:pPr>
      <w:spacing w:after="120"/>
    </w:pPr>
    <w:rPr>
      <w:rFonts w:ascii="宋体" w:hAnsi="Arial"/>
      <w:bCs/>
      <w:iCs/>
      <w:szCs w:val="24"/>
    </w:rPr>
  </w:style>
  <w:style w:type="paragraph" w:styleId="1052" w:customStyle="1">
    <w:name w:val="xl27"/>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xl26"/>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4" w:customStyle="1">
    <w:name w:val="Char"/>
    <w:basedOn w:val="783"/>
    <w:uiPriority w:val="0"/>
    <w:qFormat/>
    <w:pPr>
      <w:ind w:firstLine="200"/>
      <w:tabs>
        <w:tab w:val="left" w:pos="360" w:leader="none"/>
      </w:tabs>
    </w:pPr>
    <w:rPr>
      <w:rFonts w:ascii="Times New Roman" w:hAnsi="Times New Roman"/>
      <w:sz w:val="28"/>
      <w:szCs w:val="30"/>
    </w:rPr>
  </w:style>
  <w:style w:type="paragraph" w:styleId="1055" w:customStyle="1">
    <w:name w:val=" Char"/>
    <w:basedOn w:val="1006"/>
    <w:uiPriority w:val="0"/>
    <w:qFormat/>
    <w:rPr>
      <w:rFonts w:ascii="Tahoma" w:hAnsi="Tahoma"/>
      <w:sz w:val="24"/>
      <w:szCs w:val="24"/>
    </w:rPr>
  </w:style>
  <w:style w:type="paragraph" w:styleId="1056" w:customStyle="1">
    <w:name w:val="普通正文"/>
    <w:basedOn w:val="783"/>
    <w:uiPriority w:val="0"/>
    <w:qFormat/>
    <w:pPr>
      <w:ind w:firstLine="480"/>
      <w:jc w:val="left"/>
      <w:spacing w:before="120" w:after="120" w:line="360" w:lineRule="auto"/>
    </w:pPr>
    <w:rPr>
      <w:rFonts w:ascii="Arial" w:hAnsi="Arial"/>
      <w:sz w:val="24"/>
      <w:szCs w:val="24"/>
    </w:rPr>
  </w:style>
  <w:style w:type="paragraph" w:styleId="1057" w:customStyle="1">
    <w:name w:val="table_lines"/>
    <w:basedOn w:val="783"/>
    <w:uiPriority w:val="0"/>
    <w:qFormat/>
    <w:pPr>
      <w:jc w:val="left"/>
      <w:widowControl/>
    </w:pPr>
    <w:rPr>
      <w:rFonts w:ascii="Times New Roman" w:hAnsi="Times New Roman"/>
      <w:sz w:val="20"/>
      <w:szCs w:val="20"/>
      <w:lang w:val="de-DE" w:eastAsia="de-DE"/>
    </w:rPr>
  </w:style>
  <w:style w:type="paragraph" w:styleId="105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9" w:customStyle="1">
    <w:name w:val="font7"/>
    <w:basedOn w:val="783"/>
    <w:uiPriority w:val="0"/>
    <w:qFormat/>
    <w:pPr>
      <w:jc w:val="left"/>
      <w:spacing w:before="100" w:beforeAutospacing="1" w:after="100" w:afterAutospacing="1"/>
      <w:widowControl/>
    </w:pPr>
    <w:rPr>
      <w:rFonts w:hint="eastAsia" w:ascii="宋体" w:hAnsi="宋体"/>
      <w:sz w:val="18"/>
      <w:szCs w:val="18"/>
    </w:rPr>
  </w:style>
  <w:style w:type="paragraph" w:styleId="1060" w:customStyle="1">
    <w:name w:val=" Char Char Char Char"/>
    <w:basedOn w:val="1006"/>
    <w:uiPriority w:val="0"/>
    <w:qFormat/>
    <w:pPr>
      <w:spacing w:line="360" w:lineRule="auto"/>
    </w:pPr>
    <w:rPr>
      <w:rFonts w:ascii="Tahoma" w:hAnsi="Tahoma"/>
      <w:sz w:val="24"/>
      <w:szCs w:val="24"/>
    </w:rPr>
  </w:style>
  <w:style w:type="paragraph" w:styleId="1061" w:customStyle="1">
    <w:name w:val="列表段落"/>
    <w:basedOn w:val="783"/>
    <w:uiPriority w:val="0"/>
    <w:qFormat/>
    <w:pPr>
      <w:contextualSpacing/>
      <w:ind w:left="720"/>
      <w:jc w:val="left"/>
      <w:widowControl/>
    </w:pPr>
    <w:rPr>
      <w:sz w:val="24"/>
      <w:szCs w:val="24"/>
      <w:lang w:eastAsia="en-US" w:bidi="en-US"/>
    </w:rPr>
  </w:style>
  <w:style w:type="paragraph" w:styleId="1062" w:customStyle="1">
    <w:name w:val="4"/>
    <w:basedOn w:val="783"/>
    <w:next w:val="1029"/>
    <w:uiPriority w:val="0"/>
    <w:qFormat/>
    <w:pPr>
      <w:ind w:firstLine="420"/>
      <w:spacing w:line="360" w:lineRule="auto"/>
    </w:pPr>
    <w:rPr>
      <w:rFonts w:ascii="Times New Roman" w:hAnsi="Times New Roman"/>
      <w:color w:val="ff0000"/>
      <w:sz w:val="24"/>
      <w:szCs w:val="24"/>
    </w:rPr>
  </w:style>
  <w:style w:type="paragraph" w:styleId="1063" w:customStyle="1">
    <w:name w:val="普通 (Web)"/>
    <w:basedOn w:val="783"/>
    <w:uiPriority w:val="0"/>
    <w:qFormat/>
    <w:pPr>
      <w:jc w:val="left"/>
      <w:spacing w:before="100" w:beforeAutospacing="1" w:after="100" w:afterAutospacing="1"/>
      <w:widowControl/>
    </w:pPr>
    <w:rPr>
      <w:rFonts w:ascii="宋体" w:hAnsi="宋体"/>
      <w:sz w:val="24"/>
      <w:szCs w:val="24"/>
    </w:rPr>
  </w:style>
  <w:style w:type="paragraph" w:styleId="1064" w:customStyle="1">
    <w:name w:val=" Char Char Char Char Char Char Char Char Char Char"/>
    <w:basedOn w:val="783"/>
    <w:uiPriority w:val="0"/>
    <w:qFormat/>
    <w:pPr>
      <w:spacing w:line="360" w:lineRule="auto"/>
    </w:pPr>
    <w:rPr>
      <w:rFonts w:ascii="Times New Roman" w:hAnsi="Times New Roman"/>
      <w:sz w:val="24"/>
      <w:szCs w:val="20"/>
    </w:rPr>
  </w:style>
  <w:style w:type="paragraph" w:styleId="1065" w:customStyle="1">
    <w:name w:val="样式1"/>
    <w:basedOn w:val="783"/>
    <w:uiPriority w:val="0"/>
    <w:qFormat/>
    <w:pPr>
      <w:numPr>
        <w:ilvl w:val="0"/>
        <w:numId w:val="3"/>
      </w:numPr>
    </w:pPr>
    <w:rPr>
      <w:rFonts w:ascii="宋体" w:hAnsi="宋体"/>
      <w:szCs w:val="21"/>
    </w:rPr>
  </w:style>
  <w:style w:type="paragraph" w:styleId="1066" w:customStyle="1">
    <w:name w:val="font6"/>
    <w:basedOn w:val="783"/>
    <w:uiPriority w:val="0"/>
    <w:qFormat/>
    <w:pPr>
      <w:jc w:val="left"/>
      <w:spacing w:before="100" w:beforeAutospacing="1" w:after="100" w:afterAutospacing="1"/>
      <w:widowControl/>
    </w:pPr>
    <w:rPr>
      <w:rFonts w:hint="eastAsia" w:ascii="宋体" w:hAnsi="宋体"/>
      <w:sz w:val="28"/>
      <w:szCs w:val="28"/>
      <w:u w:val="single"/>
    </w:rPr>
  </w:style>
  <w:style w:type="paragraph" w:styleId="1067" w:customStyle="1">
    <w:name w:val="xl25"/>
    <w:basedOn w:val="78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8" w:customStyle="1">
    <w:name w:val="图标"/>
    <w:basedOn w:val="783"/>
    <w:next w:val="78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9" w:customStyle="1">
    <w:name w:val="标题3"/>
    <w:basedOn w:val="783"/>
    <w:next w:val="783"/>
    <w:uiPriority w:val="0"/>
    <w:qFormat/>
    <w:pPr>
      <w:ind w:firstLine="624"/>
      <w:spacing w:line="590" w:lineRule="atLeast"/>
    </w:pPr>
    <w:rPr>
      <w:rFonts w:ascii="方正黑体_GBK" w:hAnsi="Times New Roman" w:eastAsia="方正黑体_GBK"/>
      <w:sz w:val="32"/>
      <w:szCs w:val="32"/>
    </w:rPr>
  </w:style>
  <w:style w:type="paragraph" w:styleId="1070" w:customStyle="1">
    <w:name w:val="xl24"/>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customStyle="1">
    <w:name w:val="xl29"/>
    <w:basedOn w:val="78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2" w:customStyle="1">
    <w:name w:val="Char Char Char Char Char Char Char Char"/>
    <w:basedOn w:val="783"/>
    <w:uiPriority w:val="0"/>
    <w:qFormat/>
    <w:pPr>
      <w:jc w:val="left"/>
      <w:spacing w:after="160" w:line="240" w:lineRule="exact"/>
      <w:widowControl/>
    </w:pPr>
    <w:rPr>
      <w:rFonts w:ascii="Verdana" w:hAnsi="Verdana"/>
      <w:sz w:val="20"/>
      <w:szCs w:val="20"/>
      <w:lang w:eastAsia="en-US"/>
    </w:rPr>
  </w:style>
  <w:style w:type="paragraph" w:styleId="1073" w:customStyle="1">
    <w:name w:val="xl28"/>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4" w:customStyle="1">
    <w:name w:val=" Char Char Char Char Char Char Char Char"/>
    <w:basedOn w:val="783"/>
    <w:uiPriority w:val="0"/>
    <w:qFormat/>
    <w:pPr>
      <w:jc w:val="left"/>
      <w:spacing w:after="160" w:line="240" w:lineRule="exact"/>
      <w:widowControl/>
    </w:pPr>
    <w:rPr>
      <w:rFonts w:ascii="Verdana" w:hAnsi="Verdana"/>
      <w:sz w:val="20"/>
      <w:szCs w:val="20"/>
      <w:lang w:eastAsia="en-US"/>
    </w:rPr>
  </w:style>
  <w:style w:type="paragraph" w:styleId="1075" w:customStyle="1">
    <w:name w:val="xl30"/>
    <w:basedOn w:val="783"/>
    <w:uiPriority w:val="0"/>
    <w:qFormat/>
    <w:pPr>
      <w:jc w:val="center"/>
      <w:spacing w:before="100" w:beforeAutospacing="1" w:after="100" w:afterAutospacing="1"/>
      <w:widowControl/>
    </w:pPr>
    <w:rPr>
      <w:rFonts w:ascii="宋体" w:hAnsi="宋体"/>
      <w:b/>
      <w:bCs/>
      <w:sz w:val="36"/>
      <w:szCs w:val="36"/>
    </w:rPr>
  </w:style>
  <w:style w:type="paragraph" w:styleId="1076" w:customStyle="1">
    <w:name w:val="Char Char Char Char"/>
    <w:basedOn w:val="1006"/>
    <w:uiPriority w:val="0"/>
    <w:qFormat/>
    <w:pPr>
      <w:spacing w:line="360" w:lineRule="auto"/>
    </w:pPr>
    <w:rPr>
      <w:rFonts w:ascii="Tahoma" w:hAnsi="Tahoma"/>
      <w:sz w:val="24"/>
      <w:szCs w:val="24"/>
    </w:rPr>
  </w:style>
  <w:style w:type="paragraph" w:styleId="1077" w:customStyle="1">
    <w:name w:val="table_1stline"/>
    <w:basedOn w:val="783"/>
    <w:uiPriority w:val="0"/>
    <w:qFormat/>
    <w:pPr>
      <w:jc w:val="left"/>
      <w:spacing w:before="120"/>
      <w:widowControl/>
    </w:pPr>
    <w:rPr>
      <w:rFonts w:ascii="Times New Roman" w:hAnsi="Times New Roman"/>
      <w:bCs/>
      <w:sz w:val="20"/>
      <w:szCs w:val="20"/>
      <w:lang w:val="de-DE" w:eastAsia="de-DE"/>
    </w:rPr>
  </w:style>
  <w:style w:type="paragraph" w:styleId="1078" w:customStyle="1">
    <w:name w:val="font5"/>
    <w:basedOn w:val="783"/>
    <w:uiPriority w:val="0"/>
    <w:qFormat/>
    <w:pPr>
      <w:jc w:val="left"/>
      <w:spacing w:before="100" w:beforeAutospacing="1" w:after="100" w:afterAutospacing="1"/>
      <w:widowControl/>
    </w:pPr>
    <w:rPr>
      <w:rFonts w:hint="eastAsia" w:ascii="宋体" w:hAnsi="宋体"/>
      <w:sz w:val="28"/>
      <w:szCs w:val="28"/>
    </w:rPr>
  </w:style>
  <w:style w:type="paragraph" w:styleId="1079" w:customStyle="1">
    <w:name w:val="标题1"/>
    <w:basedOn w:val="783"/>
    <w:next w:val="78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8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8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2" w:customStyle="1">
    <w:name w:val="列表段落1"/>
    <w:basedOn w:val="783"/>
    <w:uiPriority w:val="34"/>
    <w:qFormat/>
    <w:pPr>
      <w:ind w:firstLine="420"/>
    </w:pPr>
    <w:rPr>
      <w:rFonts w:ascii="Times New Roman" w:hAnsi="Times New Roman"/>
    </w:rPr>
  </w:style>
  <w:style w:type="paragraph" w:styleId="1083" w:customStyle="1">
    <w:name w:val="_Style 116"/>
    <w:basedOn w:val="783"/>
    <w:next w:val="1061"/>
    <w:uiPriority w:val="0"/>
    <w:qFormat/>
    <w:pPr>
      <w:contextualSpacing/>
      <w:ind w:left="720"/>
      <w:jc w:val="left"/>
      <w:widowControl/>
    </w:pPr>
    <w:rPr>
      <w:sz w:val="24"/>
      <w:szCs w:val="24"/>
      <w:lang w:eastAsia="en-US" w:bidi="en-US"/>
    </w:rPr>
  </w:style>
  <w:style w:type="paragraph" w:styleId="1084" w:customStyle="1">
    <w:name w:val="正文空两格"/>
    <w:basedOn w:val="783"/>
    <w:uiPriority w:val="0"/>
    <w:qFormat/>
    <w:pPr>
      <w:ind w:firstLine="200"/>
    </w:pPr>
    <w:rPr>
      <w:rFonts w:ascii="Times New Roman" w:hAnsi="Times New Roman"/>
      <w:szCs w:val="21"/>
    </w:rPr>
  </w:style>
  <w:style w:type="character" w:styleId="1085" w:customStyle="1">
    <w:name w:val="纯文本 Char"/>
    <w:link w:val="783"/>
    <w:uiPriority w:val="0"/>
    <w:qFormat/>
    <w:rPr>
      <w:rFonts w:ascii="宋体" w:hAnsi="Courier New" w:eastAsia="宋体" w:cs="Courier New"/>
      <w:szCs w:val="21"/>
    </w:rPr>
  </w:style>
  <w:style w:type="paragraph" w:styleId="1086" w:customStyle="1">
    <w:name w:val="black1"/>
    <w:basedOn w:val="783"/>
    <w:uiPriority w:val="99"/>
    <w:qFormat/>
    <w:pPr>
      <w:jc w:val="left"/>
      <w:spacing w:before="100" w:beforeAutospacing="1" w:after="100" w:afterAutospacing="1"/>
      <w:widowControl/>
    </w:pPr>
    <w:rPr>
      <w:rFonts w:ascii="宋体" w:hAnsi="宋体"/>
      <w:sz w:val="24"/>
    </w:rPr>
  </w:style>
  <w:style w:type="character" w:styleId="1087" w:customStyle="1">
    <w:name w:val="l-btn-left"/>
    <w:basedOn w:val="793"/>
    <w:uiPriority w:val="0"/>
    <w:qFormat/>
  </w:style>
  <w:style w:type="character" w:styleId="1088" w:customStyle="1">
    <w:name w:val="current"/>
    <w:basedOn w:val="793"/>
    <w:uiPriority w:val="0"/>
    <w:qFormat/>
    <w:rPr>
      <w:b/>
      <w:bCs/>
      <w:color w:val="05a7d8"/>
      <w:sz w:val="18"/>
      <w:szCs w:val="18"/>
    </w:rPr>
  </w:style>
  <w:style w:type="character" w:styleId="1089" w:customStyle="1">
    <w:name w:val="l-btn-text36"/>
    <w:basedOn w:val="793"/>
    <w:uiPriority w:val="0"/>
    <w:qFormat/>
  </w:style>
  <w:style w:type="paragraph" w:styleId="1090" w:customStyle="1">
    <w:name w:val="段"/>
    <w:basedOn w:val="783"/>
    <w:next w:val="783"/>
    <w:uiPriority w:val="0"/>
    <w:qFormat/>
    <w:pPr>
      <w:ind w:firstLine="200"/>
      <w:spacing w:line="360" w:lineRule="auto"/>
      <w:widowControl/>
    </w:pPr>
    <w:rPr>
      <w:rFonts w:ascii="宋体" w:hAnsi="宋体" w:cs="宋体"/>
      <w:sz w:val="24"/>
    </w:rPr>
  </w:style>
  <w:style w:type="paragraph" w:styleId="1091" w:customStyle="1">
    <w:name w:val="无间隔1"/>
    <w:basedOn w:val="783"/>
    <w:uiPriority w:val="0"/>
    <w:qFormat/>
    <w:pPr>
      <w:ind w:firstLine="200"/>
      <w:jc w:val="left"/>
      <w:spacing w:line="360" w:lineRule="auto"/>
      <w:widowControl/>
    </w:pPr>
    <w:rPr>
      <w:rFonts w:ascii="宋体" w:hAnsi="宋体"/>
      <w:sz w:val="24"/>
    </w:rPr>
  </w:style>
  <w:style w:type="character" w:styleId="1092" w:customStyle="1">
    <w:name w:val="font11"/>
    <w:basedOn w:val="793"/>
    <w:uiPriority w:val="0"/>
    <w:qFormat/>
    <w:rPr>
      <w:rFonts w:hint="eastAsia" w:ascii="微软雅黑" w:hAnsi="微软雅黑" w:eastAsia="微软雅黑" w:cs="微软雅黑"/>
      <w:color w:val="000000"/>
      <w:sz w:val="20"/>
      <w:szCs w:val="20"/>
      <w:u w:val="none"/>
    </w:rPr>
  </w:style>
  <w:style w:type="character" w:styleId="1093" w:customStyle="1">
    <w:name w:val="font51"/>
    <w:basedOn w:val="793"/>
    <w:uiPriority w:val="0"/>
    <w:qFormat/>
    <w:rPr>
      <w:rFonts w:hint="eastAsia" w:ascii="宋体" w:hAnsi="宋体" w:eastAsia="宋体" w:cs="宋体"/>
      <w:color w:val="000000"/>
      <w:sz w:val="24"/>
      <w:u w:val="none"/>
    </w:rPr>
  </w:style>
  <w:style w:type="character" w:styleId="1094" w:customStyle="1">
    <w:name w:val="标题 1 Char"/>
    <w:basedOn w:val="793"/>
    <w:link w:val="784"/>
    <w:uiPriority w:val="0"/>
    <w:qFormat/>
    <w:rPr>
      <w:rFonts w:ascii="宋体"/>
      <w:b/>
      <w:bCs/>
      <w:sz w:val="32"/>
      <w:szCs w:val="32"/>
    </w:rPr>
  </w:style>
  <w:style w:type="paragraph" w:styleId="1095" w:customStyle="1">
    <w:name w:val="Table Paragraph"/>
    <w:basedOn w:val="783"/>
    <w:uiPriority w:val="1"/>
    <w:qFormat/>
    <w:rPr>
      <w:rFonts w:ascii="宋体" w:hAnsi="宋体" w:eastAsia="宋体" w:cs="宋体"/>
      <w:szCs w:val="22"/>
      <w:lang w:val="zh-CN" w:bidi="zh-CN"/>
    </w:rPr>
  </w:style>
  <w:style w:type="character" w:styleId="1096" w:customStyle="1">
    <w:name w:val="Heading 1 Char1"/>
    <w:uiPriority w:val="99"/>
    <w:qFormat/>
    <w:rPr>
      <w:rFonts w:ascii="Century Schoolbook" w:hAnsi="Century Schoolbook"/>
      <w:sz w:val="20"/>
    </w:rPr>
  </w:style>
  <w:style w:type="paragraph" w:styleId="1097" w:customStyle="1">
    <w:name w:val="正文2"/>
    <w:basedOn w:val="783"/>
    <w:uiPriority w:val="0"/>
    <w:qFormat/>
    <w:pPr>
      <w:widowControl/>
    </w:pPr>
    <w:rPr>
      <w:rFonts w:ascii="Calibri" w:hAnsi="Calibri" w:cs="Calibri"/>
      <w:szCs w:val="21"/>
    </w:rPr>
  </w:style>
  <w:style w:type="character" w:styleId="1098" w:customStyle="1">
    <w:name w:val="超链接11"/>
    <w:link w:val="783"/>
    <w:uiPriority w:val="0"/>
    <w:qFormat/>
    <w:rPr>
      <w:rFonts w:ascii="Calibri" w:hAnsi="Calibri" w:eastAsia="宋体" w:cs="Times New Roman"/>
      <w:sz w:val="21"/>
      <w:szCs w:val="22"/>
      <w:lang w:val="en-US" w:eastAsia="zh-CN" w:bidi="ar-SA"/>
    </w:rPr>
  </w:style>
  <w:style w:type="character" w:styleId="1099" w:customStyle="1">
    <w:name w:val="titlebody"/>
    <w:uiPriority w:val="0"/>
    <w:qFormat/>
    <w:rPr>
      <w:rFonts w:ascii="宋体" w:hAnsi="宋体" w:eastAsia="宋体" w:cs="宋体"/>
      <w:b/>
      <w:bCs/>
      <w:color w:val="000000"/>
      <w:sz w:val="24"/>
      <w:szCs w:val="24"/>
    </w:rPr>
  </w:style>
  <w:style w:type="paragraph" w:styleId="1100" w:customStyle="1">
    <w:name w:val="批注文字12"/>
    <w:basedOn w:val="783"/>
    <w:uiPriority w:val="99"/>
    <w:unhideWhenUsed/>
    <w:qFormat/>
    <w:pPr>
      <w:jc w:val="left"/>
    </w:pPr>
  </w:style>
  <w:style w:type="paragraph" w:styleId="1101" w:customStyle="1">
    <w:name w:val="Plain Text2"/>
    <w:basedOn w:val="783"/>
    <w:uiPriority w:val="99"/>
    <w:qFormat/>
    <w:rPr>
      <w:rFonts w:ascii="宋体" w:hAnsi="Courier New" w:eastAsia="楷体_GB2312"/>
      <w:sz w:val="28"/>
      <w:szCs w:val="20"/>
    </w:rPr>
  </w:style>
  <w:style w:type="paragraph" w:styleId="1102" w:customStyle="1">
    <w:name w:val="脚注文本1"/>
    <w:basedOn w:val="1013"/>
    <w:next w:val="1103"/>
    <w:uiPriority w:val="0"/>
    <w:qFormat/>
    <w:pPr>
      <w:jc w:val="left"/>
    </w:pPr>
    <w:rPr>
      <w:rFonts w:ascii="宋体" w:hAnsi="宋体" w:eastAsia="Times New Roman"/>
      <w:sz w:val="18"/>
      <w:szCs w:val="18"/>
    </w:rPr>
  </w:style>
  <w:style w:type="paragraph" w:styleId="1103" w:customStyle="1">
    <w:name w:val="索引 51"/>
    <w:basedOn w:val="1013"/>
    <w:next w:val="1013"/>
    <w:uiPriority w:val="0"/>
    <w:qFormat/>
    <w:pPr>
      <w:ind w:left="798"/>
      <w:jc w:val="left"/>
    </w:pPr>
    <w:rPr>
      <w:rFonts w:ascii="Calibri" w:hAnsi="Calibri"/>
    </w:rPr>
  </w:style>
  <w:style w:type="paragraph" w:styleId="1104" w:customStyle="1">
    <w:name w:val="普通(网站)11"/>
    <w:basedOn w:val="783"/>
    <w:uiPriority w:val="0"/>
    <w:qFormat/>
    <w:pPr>
      <w:jc w:val="left"/>
      <w:spacing w:before="100" w:beforeAutospacing="1" w:after="100" w:afterAutospacing="1"/>
      <w:widowControl/>
    </w:pPr>
    <w:rPr>
      <w:rFonts w:hint="default" w:ascii="Times New Roman" w:hAnsi="Times New Roman" w:eastAsia="宋体" w:cs="Times New Roman"/>
      <w:sz w:val="24"/>
      <w:szCs w:val="21"/>
      <w:lang w:val="en-US" w:eastAsia="zh-CN" w:bidi="ar"/>
    </w:rPr>
  </w:style>
  <w:style w:type="paragraph" w:styleId="1105" w:customStyle="1">
    <w:name w:val="正文首行缩进 2111"/>
    <w:next w:val="783"/>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paragraph" w:styleId="1106" w:customStyle="1">
    <w:name w:val="Table Text"/>
    <w:basedOn w:val="783"/>
    <w:uiPriority w:val="0"/>
    <w:semiHidden/>
    <w:qFormat/>
    <w:rPr>
      <w:rFonts w:ascii="仿宋" w:hAnsi="仿宋" w:eastAsia="仿宋" w:cs="仿宋"/>
      <w:sz w:val="22"/>
      <w:szCs w:val="22"/>
      <w:lang w:val="en-US" w:eastAsia="en-US" w:bidi="ar-SA"/>
    </w:rPr>
  </w:style>
  <w:style w:type="table" w:styleId="1107"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08" w:customStyle="1">
    <w:name w:val="正文仿宋"/>
    <w:basedOn w:val="783"/>
    <w:uiPriority w:val="0"/>
    <w:qFormat/>
    <w:pPr>
      <w:ind w:firstLine="520"/>
      <w:spacing w:line="350" w:lineRule="exact"/>
    </w:pPr>
    <w:rPr>
      <w:rFonts w:ascii="Times New Roman" w:hAnsi="Times New Roman" w:eastAsia="方正仿宋_GB2312" w:cs="Times New Roman"/>
      <w:sz w:val="24"/>
      <w:lang w:val="zh-CN"/>
    </w:rPr>
  </w:style>
  <w:style w:type="numbering" w:styleId="83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刘关宝</cp:lastModifiedBy>
  <cp:revision>9</cp:revision>
  <dcterms:created xsi:type="dcterms:W3CDTF">2023-09-14T01:51:00Z</dcterms:created>
  <dcterms:modified xsi:type="dcterms:W3CDTF">2026-10-14T00:43:31Z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570EE263056C4CB5865F55D999F9D82B_13</vt:lpwstr>
  </property>
  <property fmtid="{D5CDD505-2E9C-101B-9397-08002B2CF9AE}" pid="4" name="KSOTemplateDocerSaveRecord">
    <vt:lpwstr>eyJoZGlkIjoiZTk2ZjNlOWQ0YzQzOTA1OWUyYWFlMTIwYzNjYjFkZjYiLCJ1c2VySWQiOiIxMTQ1Mjk0NDgzIn0=</vt:lpwstr>
  </property>
</Properties>
</file>