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JSZC-320500-JZCG-G2026-0276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低空飞行管服协同化实训中心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rPr>
          <w:rStyle w:val="928"/>
          <w:rFonts w:ascii="宋体" w:hAnsi="宋体" w:cs="Calibri"/>
          <w:bCs/>
          <w:caps/>
          <w:color w:val="auto"/>
          <w:sz w:val="32"/>
        </w:rPr>
        <w:fldChar w:fldCharType="begin"/>
      </w:r>
      <w:r>
        <w:rPr>
          <w:rStyle w:val="928"/>
          <w:rFonts w:ascii="宋体" w:hAnsi="宋体" w:cs="Calibri"/>
          <w:bCs/>
          <w:caps/>
          <w:color w:val="auto"/>
          <w:sz w:val="32"/>
        </w:rPr>
        <w:instrText xml:space="preserve"> TOC \o "1-1" \h \z \u </w:instrText>
      </w:r>
      <w:r>
        <w:rPr>
          <w:rStyle w:val="928"/>
          <w:rFonts w:ascii="宋体" w:hAnsi="宋体" w:cs="Calibri"/>
          <w:bCs/>
          <w:caps/>
          <w:color w:val="auto"/>
          <w:sz w:val="32"/>
        </w:rPr>
        <w:fldChar w:fldCharType="separate"/>
      </w:r>
      <w:hyperlink w:tooltip="#_Toc105397776" w:anchor="_Toc105397776" w:history="1">
        <w:r>
          <w:rPr>
            <w:rStyle w:val="928"/>
            <w:rFonts w:ascii="宋体" w:hAnsi="宋体" w:cs="Calibri"/>
            <w:bCs/>
            <w:caps/>
            <w:color w:val="auto"/>
            <w:sz w:val="32"/>
            <w:szCs w:val="32"/>
          </w:rPr>
          <w:t xml:space="preserve">第一章 投标邀请函</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_Toc105397776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5</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7" w:anchor="_Toc105397777" w:history="1">
        <w:r>
          <w:rPr>
            <w:rStyle w:val="928"/>
            <w:rFonts w:ascii="宋体" w:hAnsi="宋体" w:cs="Calibri"/>
            <w:bCs/>
            <w:caps/>
            <w:color w:val="auto"/>
            <w:sz w:val="32"/>
            <w:szCs w:val="32"/>
          </w:rPr>
          <w:t xml:space="preserve">第二章 投标人须知</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_Toc105397777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8</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8" w:anchor="_Toc105397778" w:history="1">
        <w:r>
          <w:rPr>
            <w:rStyle w:val="928"/>
            <w:rFonts w:ascii="宋体" w:hAnsi="宋体" w:cs="Calibri"/>
            <w:bCs/>
            <w:caps/>
            <w:color w:val="auto"/>
            <w:sz w:val="32"/>
            <w:szCs w:val="32"/>
          </w:rPr>
          <w:t xml:space="preserve">第三章 投标文件格式</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_Toc105397778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20</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3" w:anchor="_Toc105397793" w:history="1">
        <w:r>
          <w:rPr>
            <w:rStyle w:val="928"/>
            <w:rFonts w:ascii="宋体" w:hAnsi="宋体" w:cs="Calibri"/>
            <w:bCs/>
            <w:caps/>
            <w:color w:val="auto"/>
            <w:sz w:val="32"/>
            <w:szCs w:val="32"/>
          </w:rPr>
          <w:t xml:space="preserve">第四章 招标书</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_Toc105397793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33</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4" w:anchor="_Toc105397794" w:history="1">
        <w:r>
          <w:rPr>
            <w:rStyle w:val="928"/>
            <w:rFonts w:ascii="宋体" w:hAnsi="宋体" w:cs="Calibri"/>
            <w:bCs/>
            <w:caps/>
            <w:color w:val="auto"/>
            <w:sz w:val="32"/>
            <w:szCs w:val="32"/>
          </w:rPr>
          <w:t xml:space="preserve">第五章 合同及主要条款</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_Toc105397794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42</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5" w:anchor="_Toc105397795" w:history="1">
        <w:r>
          <w:rPr>
            <w:rStyle w:val="928"/>
            <w:rFonts w:ascii="宋体" w:hAnsi="宋体" w:cs="Calibri"/>
            <w:bCs/>
            <w:caps/>
            <w:color w:val="auto"/>
            <w:sz w:val="32"/>
            <w:szCs w:val="32"/>
          </w:rPr>
          <w:t xml:space="preserve">第六章 评标办法和评分标准</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_Toc105397795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53</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6" w:leader="dot"/>
        </w:tabs>
        <w:rPr>
          <w:rFonts w:ascii="宋体" w:hAnsi="宋体"/>
          <w:sz w:val="32"/>
          <w:szCs w:val="32"/>
        </w:rPr>
        <w:outlineLvl w:val="9"/>
      </w:pPr>
      <w:r>
        <w:rPr>
          <w:rStyle w:val="92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JSZC-320500-JZCG-G2026-0276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低空飞行管服协同化实训中心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3" w:name="OLE_LINK18"/>
            <w:r/>
            <w:bookmarkStart w:id="4" w:name="OLE_LINK19"/>
            <w:r>
              <w:rPr>
                <w:rFonts w:hint="eastAsia" w:ascii="宋体" w:hAnsi="宋体"/>
                <w:sz w:val="21"/>
                <w:szCs w:val="21"/>
              </w:rPr>
              <w:t xml:space="preserve">江苏省苏州市吴中区致能大道106号</w:t>
            </w:r>
            <w:bookmarkEnd w:id="3"/>
            <w:r/>
            <w:bookmarkEnd w:id="4"/>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常治文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17715566562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待全部货物安装到位，经调试、验收合格后，乙方将中标金额5%的履约保证金缴纳至甲方指定账户。质保期满后，且无质量问题，乙方向甲方项目建设单位提出书面申请，待甲方建设单位签字同意支付后，甲方一个月内退回履约保证金（无息）。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低空飞行管服协同化实训中心</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JSZC-320500-JZCG-G2026-0276</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低空飞行管服协同化实训中心</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壹佰伍拾万元整</w:t>
      </w:r>
      <w:r>
        <w:rPr>
          <w:rFonts w:hint="eastAsia" w:ascii="宋体" w:hAnsi="宋体"/>
          <w:sz w:val="21"/>
          <w:szCs w:val="21"/>
        </w:rPr>
        <w:t xml:space="preserve">（¥</w:t>
      </w:r>
      <w:r>
        <w:rPr>
          <w:rFonts w:ascii="宋体" w:hAnsi="宋体"/>
          <w:sz w:val="21"/>
          <w:szCs w:val="21"/>
        </w:rPr>
        <w:t xml:space="preserve">1500000</w:t>
      </w:r>
      <w:r>
        <w:rPr>
          <w:rFonts w:hint="eastAsia" w:ascii="宋体" w:hAnsi="宋体"/>
          <w:sz w:val="21"/>
          <w:szCs w:val="21"/>
        </w:rPr>
        <w:t xml:space="preserve">.00）</w:t>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人民币壹佰伍拾万元整（¥</w:t>
      </w:r>
      <w:r>
        <w:rPr>
          <w:rFonts w:ascii="宋体" w:hAnsi="宋体"/>
          <w:sz w:val="21"/>
          <w:szCs w:val="21"/>
        </w:rPr>
        <w:t xml:space="preserve">1500000</w:t>
      </w:r>
      <w:r>
        <w:rPr>
          <w:rFonts w:hint="eastAsia" w:ascii="宋体" w:hAnsi="宋体"/>
          <w:sz w:val="21"/>
          <w:szCs w:val="21"/>
        </w:rPr>
        <w:t xml:space="preserve">.00）</w:t>
      </w:r>
      <w:r/>
    </w:p>
    <w:p>
      <w:pPr>
        <w:pStyle w:val="88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交货期：签订合同后30天内完成供货、安装、调试并能正常运行。免费质保期三年。</w:t>
      </w:r>
      <w:r/>
    </w:p>
    <w:p>
      <w:pPr>
        <w:pStyle w:val="88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1"/>
        <w:ind w:left="0" w:firstLine="420"/>
        <w:spacing w:line="360" w:lineRule="auto"/>
        <w:rPr>
          <w:rFonts w:ascii="宋体" w:hAnsi="宋体"/>
          <w:sz w:val="21"/>
          <w:szCs w:val="21"/>
        </w:rPr>
      </w:pPr>
      <w:r>
        <w:rPr>
          <w:rFonts w:hint="eastAsia" w:ascii="宋体" w:hAnsi="宋体"/>
          <w:sz w:val="21"/>
          <w:szCs w:val="21"/>
        </w:rPr>
        <w:t xml:space="preserve">本项目拟建设理实一体化实训室，满足空域规划与动态管理、低空交通管控、管服平台运维、低空飞行场景仿真实训，支撑 “虚实仿真实训+管服协同作业” 教学模式，完善低空飞行管服方向专业人才培养体系。同时，支撑校内本专科常规教学、职业技能竞赛备赛、企业横向课题研发与社会低空技术人员培训，提升学校服务苏州低空经济产业的社会服务能力。</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常治文</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17715566562</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pStyle w:val="875"/>
      </w:pPr>
      <w:r/>
      <w:r/>
    </w:p>
    <w:p>
      <w:pPr>
        <w:pStyle w:val="875"/>
        <w:ind w:left="0" w:firstLine="0"/>
      </w:pPr>
      <w:r/>
      <w:r/>
    </w:p>
    <w:p>
      <w:r/>
      <w:r/>
    </w:p>
    <w:p>
      <w:pPr>
        <w:pStyle w:val="875"/>
      </w:pPr>
      <w:r/>
      <w:r/>
    </w:p>
    <w:p>
      <w:r/>
      <w:r/>
    </w:p>
    <w:p>
      <w:pPr>
        <w:pStyle w:val="875"/>
      </w:pPr>
      <w:r/>
      <w:r/>
    </w:p>
    <w:p>
      <w:pPr>
        <w:pStyle w:val="875"/>
        <w:ind w:left="0" w:firstLine="0"/>
      </w:pPr>
      <w:r/>
      <w:r/>
    </w:p>
    <w:p>
      <w:pPr>
        <w:pStyle w:val="863"/>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81"/>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8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1"/>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联系电话：0512-69826795</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7"/>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89"/>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低空飞行管服协同化实训中心</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0"/>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2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Style w:val="927"/>
          <w:rFonts w:hint="eastAsia"/>
          <w:vertAlign w:val="superscript"/>
        </w:rPr>
        <w:t xml:space="preserve">1</w:t>
      </w:r>
      <w:r>
        <w:rPr>
          <w:rFonts w:hint="eastAsia"/>
        </w:rPr>
        <w:t xml:space="preserve">，生产厂为</w:t>
      </w:r>
      <w:r>
        <w:rPr>
          <w:rStyle w:val="927"/>
          <w:rFonts w:hint="eastAsia"/>
          <w:u w:val="single"/>
        </w:rPr>
        <w:t xml:space="preserve">（厂名）</w:t>
      </w:r>
      <w:r>
        <w:rPr>
          <w:rStyle w:val="927"/>
          <w:rFonts w:hint="eastAsia"/>
          <w:vertAlign w:val="superscript"/>
        </w:rPr>
        <w:t xml:space="preserve">2</w:t>
      </w:r>
      <w:r>
        <w:rPr>
          <w:rFonts w:hint="eastAsia"/>
        </w:rPr>
        <w:t xml:space="preserve">，厂址为</w:t>
      </w:r>
      <w:r>
        <w:rPr>
          <w:rStyle w:val="927"/>
          <w:rFonts w:hint="eastAsia"/>
          <w:u w:val="single"/>
        </w:rPr>
        <w:t xml:space="preserve">（生产厂址）</w:t>
      </w:r>
      <w:r>
        <w:rPr>
          <w:rFonts w:hint="eastAsia"/>
        </w:rPr>
        <w:t xml:space="preserve">。</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的中国境内生产的组件成本占比≥</w:t>
      </w:r>
      <w:r>
        <w:rPr>
          <w:rStyle w:val="927"/>
          <w:rFonts w:hint="eastAsia"/>
          <w:u w:val="single"/>
        </w:rPr>
        <w:t xml:space="preserve">（规定比例）</w:t>
      </w:r>
      <w:r>
        <w:rPr>
          <w:rStyle w:val="927"/>
          <w:rFonts w:hint="eastAsia"/>
          <w:vertAlign w:val="superscript"/>
        </w:rPr>
        <w:t xml:space="preserve">3</w:t>
      </w:r>
      <w:r>
        <w:rPr>
          <w:rFonts w:hint="eastAsia"/>
        </w:rPr>
        <w:t xml:space="preserve">。</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w:t>
      </w:r>
      <w:r>
        <w:rPr>
          <w:rStyle w:val="927"/>
          <w:rFonts w:hint="eastAsia"/>
          <w:u w:val="single"/>
        </w:rPr>
        <w:t xml:space="preserve">（关键组件）</w:t>
      </w:r>
      <w:r>
        <w:rPr>
          <w:rStyle w:val="927"/>
          <w:rFonts w:hint="eastAsia"/>
          <w:vertAlign w:val="superscript"/>
        </w:rPr>
        <w:t xml:space="preserve">4</w:t>
      </w:r>
      <w:r>
        <w:rPr>
          <w:rFonts w:hint="eastAsia"/>
        </w:rPr>
        <w:t xml:space="preserve">在中国境内生产。</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w:t>
      </w:r>
      <w:r>
        <w:rPr>
          <w:rStyle w:val="927"/>
          <w:rFonts w:hint="eastAsia"/>
          <w:u w:val="single"/>
        </w:rPr>
        <w:t xml:space="preserve">（关键工序）</w:t>
      </w:r>
      <w:r>
        <w:rPr>
          <w:rStyle w:val="927"/>
          <w:rFonts w:hint="eastAsia"/>
          <w:vertAlign w:val="superscript"/>
        </w:rPr>
        <w:t xml:space="preserve">5</w:t>
      </w:r>
      <w:r>
        <w:rPr>
          <w:rFonts w:hint="eastAsia"/>
        </w:rPr>
        <w:t xml:space="preserve">在中国境内完成。</w:t>
      </w:r>
      <w:r/>
    </w:p>
    <w:p>
      <w:pPr>
        <w:pStyle w:val="92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，生产厂为</w:t>
      </w:r>
      <w:r>
        <w:rPr>
          <w:rStyle w:val="927"/>
          <w:rFonts w:hint="eastAsia"/>
          <w:u w:val="single"/>
        </w:rPr>
        <w:t xml:space="preserve">（厂名）</w:t>
      </w:r>
      <w:r>
        <w:rPr>
          <w:rFonts w:hint="eastAsia"/>
        </w:rPr>
        <w:t xml:space="preserve">，厂址为</w:t>
      </w:r>
      <w:r>
        <w:rPr>
          <w:rStyle w:val="927"/>
          <w:rFonts w:hint="eastAsia"/>
          <w:u w:val="single"/>
        </w:rPr>
        <w:t xml:space="preserve">（生产厂址）</w:t>
      </w:r>
      <w:r>
        <w:rPr>
          <w:rFonts w:hint="eastAsia"/>
        </w:rPr>
        <w:t xml:space="preserve">。</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的中国境内生产的组件成本占比≥</w:t>
      </w:r>
      <w:r>
        <w:rPr>
          <w:rStyle w:val="927"/>
          <w:rFonts w:hint="eastAsia"/>
          <w:u w:val="single"/>
        </w:rPr>
        <w:t xml:space="preserve">（规定比例）</w:t>
      </w:r>
      <w:r>
        <w:rPr>
          <w:rFonts w:hint="eastAsia"/>
        </w:rPr>
        <w:t xml:space="preserve">。</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w:t>
      </w:r>
      <w:r>
        <w:rPr>
          <w:rStyle w:val="927"/>
          <w:rFonts w:hint="eastAsia"/>
          <w:u w:val="single"/>
        </w:rPr>
        <w:t xml:space="preserve">（关键组件）</w:t>
      </w:r>
      <w:r>
        <w:rPr>
          <w:rFonts w:hint="eastAsia"/>
        </w:rPr>
        <w:t xml:space="preserve">在中国境内生产。</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w:t>
      </w:r>
      <w:r>
        <w:rPr>
          <w:rStyle w:val="927"/>
          <w:rFonts w:hint="eastAsia"/>
          <w:u w:val="single"/>
        </w:rPr>
        <w:t xml:space="preserve">（关键工序）</w:t>
      </w:r>
      <w:r>
        <w:rPr>
          <w:rFonts w:hint="eastAsia"/>
        </w:rPr>
        <w:t xml:space="preserve">在中国境内完成。</w:t>
      </w:r>
      <w:r/>
    </w:p>
    <w:p>
      <w:pPr>
        <w:pStyle w:val="920"/>
        <w:ind w:firstLine="480"/>
        <w:spacing w:before="30" w:after="30"/>
        <w:shd w:val="clear" w:color="auto" w:fill="ffffff"/>
      </w:pPr>
      <w:r>
        <w:rPr>
          <w:rFonts w:hint="eastAsia"/>
        </w:rPr>
        <w:t xml:space="preserve">……</w:t>
      </w:r>
      <w:r/>
    </w:p>
    <w:p>
      <w:pPr>
        <w:pStyle w:val="920"/>
        <w:ind w:firstLine="480"/>
        <w:spacing w:before="30" w:after="30"/>
        <w:shd w:val="clear" w:color="auto" w:fill="ffffff"/>
      </w:pPr>
      <w:r>
        <w:rPr>
          <w:rFonts w:hint="eastAsia"/>
        </w:rPr>
        <w:t xml:space="preserve">本公司（单位）对上述声明内容的真实性负责。如有虚假，愿承担相应法律责任。</w:t>
      </w:r>
      <w:r/>
    </w:p>
    <w:p>
      <w:pPr>
        <w:pStyle w:val="920"/>
        <w:spacing w:before="30" w:after="30"/>
        <w:shd w:val="clear" w:color="auto" w:fill="ffffff"/>
      </w:pPr>
      <w:r/>
      <w:r/>
    </w:p>
    <w:p>
      <w:pPr>
        <w:pStyle w:val="920"/>
        <w:ind w:right="815"/>
        <w:jc w:val="center"/>
        <w:spacing w:before="30" w:after="30"/>
        <w:shd w:val="clear" w:color="auto" w:fill="ffffff"/>
      </w:pPr>
      <w:r>
        <w:rPr>
          <w:rFonts w:hint="eastAsia"/>
        </w:rPr>
        <w:t xml:space="preserve">公司（单位）名称（盖章）：</w:t>
      </w:r>
      <w:r/>
    </w:p>
    <w:p>
      <w:pPr>
        <w:pStyle w:val="920"/>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20"/>
        <w:jc w:val="right"/>
        <w:spacing w:before="0" w:after="0"/>
        <w:shd w:val="clear" w:color="auto" w:fill="ffffff"/>
      </w:pPr>
      <w:r/>
      <w:r/>
    </w:p>
    <w:p>
      <w:pPr>
        <w:pStyle w:val="920"/>
        <w:jc w:val="right"/>
        <w:spacing w:before="0" w:after="0"/>
        <w:shd w:val="clear" w:color="auto" w:fill="ffffff"/>
      </w:pPr>
      <w:r/>
      <w:r/>
    </w:p>
    <w:p>
      <w:pPr>
        <w:pStyle w:val="920"/>
        <w:jc w:val="right"/>
        <w:spacing w:before="0" w:after="0"/>
        <w:shd w:val="clear" w:color="auto" w:fill="ffffff"/>
      </w:pPr>
      <w:r/>
      <w:r/>
    </w:p>
    <w:p>
      <w:pPr>
        <w:pStyle w:val="920"/>
        <w:jc w:val="right"/>
        <w:spacing w:before="0" w:after="0"/>
        <w:shd w:val="clear" w:color="auto" w:fill="ffffff"/>
      </w:pPr>
      <w:r/>
      <w:r/>
    </w:p>
    <w:p>
      <w:pPr>
        <w:pStyle w:val="920"/>
        <w:ind w:left="0" w:firstLine="0"/>
        <w:spacing w:before="30" w:after="30"/>
        <w:shd w:val="clear" w:color="auto" w:fill="ffffff"/>
      </w:pPr>
      <w:r>
        <w:rPr>
          <w:rFonts w:hint="eastAsia"/>
        </w:rPr>
        <w:t xml:space="preserve">__________________</w:t>
      </w:r>
      <w:r/>
    </w:p>
    <w:p>
      <w:pPr>
        <w:pStyle w:val="920"/>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20"/>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20"/>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20"/>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20"/>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20"/>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r/>
      <w:r/>
    </w:p>
    <w:p>
      <w:pPr>
        <w:pStyle w:val="875"/>
      </w:pPr>
      <w:r/>
      <w:r/>
    </w:p>
    <w:p>
      <w:r/>
      <w:r/>
    </w:p>
    <w:p>
      <w:pPr>
        <w:pStyle w:val="875"/>
      </w:pPr>
      <w:r/>
      <w:r/>
    </w:p>
    <w:p>
      <w:r/>
      <w:r/>
    </w:p>
    <w:p>
      <w:pPr>
        <w:pStyle w:val="875"/>
      </w:pPr>
      <w:r/>
      <w:r/>
    </w:p>
    <w:p>
      <w:pPr>
        <w:pStyle w:val="875"/>
      </w:p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2" w:name="OLE_LINK7"/>
      <w:r/>
      <w:bookmarkStart w:id="93" w:name="OLE_LINK8"/>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5"/>
        <w:rPr>
          <w:lang w:val="zh-CN"/>
        </w:rPr>
      </w:pPr>
      <w:r>
        <w:rPr>
          <w:lang w:val="zh-CN"/>
        </w:rPr>
      </w:r>
      <w:r/>
    </w:p>
    <w:p>
      <w:pPr>
        <w:rPr>
          <w:lang w:val="zh-CN"/>
        </w:rPr>
      </w:pPr>
      <w:r>
        <w:rPr>
          <w:lang w:val="zh-CN"/>
        </w:rPr>
      </w:r>
      <w:r/>
    </w:p>
    <w:p>
      <w:pPr>
        <w:pStyle w:val="863"/>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苏州职业技术大学</w:t>
      </w:r>
      <w:r>
        <w:rPr>
          <w:rFonts w:ascii="宋体" w:hAnsi="宋体"/>
          <w:sz w:val="21"/>
        </w:rPr>
        <w:t xml:space="preserve">的委托，就</w:t>
      </w:r>
      <w:r>
        <w:rPr>
          <w:rFonts w:hint="eastAsia" w:ascii="宋体" w:hAnsi="宋体"/>
          <w:sz w:val="21"/>
          <w:u w:val="single"/>
        </w:rPr>
        <w:t xml:space="preserve">低空飞行管服协同化实训中心</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JSZC-320500-JZCG-G2026-0276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低空飞行管服协同化实训中心</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人民币壹佰伍拾万元整（¥</w:t>
      </w:r>
      <w:r>
        <w:rPr>
          <w:rFonts w:ascii="宋体" w:hAnsi="宋体"/>
          <w:sz w:val="21"/>
          <w:szCs w:val="21"/>
        </w:rPr>
        <w:t xml:space="preserve">1500000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人民币壹佰伍拾万元整（¥</w:t>
      </w:r>
      <w:r>
        <w:rPr>
          <w:rFonts w:ascii="宋体" w:hAnsi="宋体"/>
          <w:sz w:val="21"/>
          <w:szCs w:val="21"/>
        </w:rPr>
        <w:t xml:space="preserve">1500000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交货期：签订合同后30天内完成供货、安装、调试并能正常运行。</w:t>
      </w:r>
      <w:r>
        <w:rPr>
          <w:rFonts w:hint="eastAsia" w:ascii="宋体" w:hAnsi="宋体"/>
          <w:sz w:val="21"/>
          <w:szCs w:val="21"/>
        </w:rPr>
        <w:t xml:space="preserve">免费质保期三年。</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本项目拟建设理实一体化实训室，满足空域规划与动态管理、低空交通管控、管服平台运维、低空飞行场景仿真实训，支撑 “虚实仿真实训+管服协同作业” 教学模式，完善低空飞行管服方向专业人才培养体系。同时，支撑校内本专科常规教学、职业技能竞赛备赛、企业横向课题研发与社会低空技术人员培训，提升学校服务苏州低空经济产业的社会服务能力。</w:t>
      </w:r>
      <w:r/>
    </w:p>
    <w:p>
      <w:pPr>
        <w:ind w:left="0" w:firstLine="420"/>
        <w:spacing w:line="360" w:lineRule="auto"/>
        <w:tabs>
          <w:tab w:val="left" w:pos="0" w:leader="none"/>
        </w:tabs>
        <w:rPr>
          <w:rFonts w:ascii="宋体" w:hAnsi="宋体"/>
          <w:sz w:val="21"/>
        </w:rPr>
      </w:pPr>
      <w:r>
        <w:rPr>
          <w:rFonts w:ascii="宋体" w:hAnsi="宋体"/>
          <w:sz w:val="21"/>
        </w:rPr>
        <w:t xml:space="preserve">（二）清单</w:t>
      </w:r>
      <w:r>
        <w:rPr>
          <w:rFonts w:ascii="宋体" w:hAnsi="宋体"/>
          <w:b/>
          <w:sz w:val="21"/>
        </w:rPr>
        <w:t xml:space="preserve">（核心产品：</w:t>
      </w:r>
      <w:r>
        <w:rPr>
          <w:rFonts w:hint="eastAsia" w:ascii="宋体" w:hAnsi="宋体"/>
          <w:b/>
          <w:sz w:val="21"/>
        </w:rPr>
        <w:t xml:space="preserve">空域规划与管理系统、飞行活动管理系统</w:t>
      </w:r>
      <w:r>
        <w:rPr>
          <w:rFonts w:ascii="宋体" w:hAnsi="宋体"/>
          <w:b/>
          <w:sz w:val="21"/>
        </w:rPr>
        <w:t xml:space="preserve">）</w:t>
      </w:r>
      <w:r/>
    </w:p>
    <w:tbl>
      <w:tblPr>
        <w:tblW w:w="9105" w:type="dxa"/>
        <w:tblLook w:val="04A0" w:firstRow="1" w:lastRow="0" w:firstColumn="1" w:lastColumn="0" w:noHBand="0" w:noVBand="1"/>
      </w:tblPr>
      <w:tblGrid>
        <w:gridCol w:w="456"/>
        <w:gridCol w:w="1276"/>
        <w:gridCol w:w="6520"/>
        <w:gridCol w:w="853"/>
      </w:tblGrid>
      <w:tr>
        <w:trPr>
          <w:trHeight w:val="705"/>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技术参数/规格型号</w:t>
            </w:r>
            <w:r/>
          </w:p>
        </w:tc>
        <w:tc>
          <w:tcPr>
            <w:shd w:val="clear" w:color="auto" w:fill="auto"/>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r>
      <w:tr>
        <w:trPr>
          <w:trHeight w:val="4401"/>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服务器</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CPU ：≥20核</w:t>
            </w:r>
            <w:r>
              <w:rPr>
                <w:rFonts w:hint="eastAsia" w:ascii="宋体" w:hAnsi="宋体"/>
                <w:sz w:val="21"/>
                <w:szCs w:val="21"/>
              </w:rPr>
              <w:br/>
              <w:t xml:space="preserve">硬盘 ：≥8TB</w:t>
            </w:r>
            <w:r>
              <w:rPr>
                <w:rFonts w:hint="eastAsia" w:ascii="宋体" w:hAnsi="宋体"/>
                <w:sz w:val="21"/>
                <w:szCs w:val="21"/>
              </w:rPr>
              <w:br/>
              <w:t xml:space="preserve">内存 ：≥128G</w:t>
            </w:r>
            <w:r>
              <w:rPr>
                <w:rFonts w:hint="eastAsia" w:ascii="宋体" w:hAnsi="宋体"/>
                <w:sz w:val="21"/>
                <w:szCs w:val="21"/>
              </w:rPr>
              <w:br/>
              <w:t xml:space="preserve">1.机型：机箱≥2U机架式服务器；适用于通用机房环境，支持标准机柜；</w:t>
            </w:r>
            <w:r>
              <w:rPr>
                <w:rFonts w:hint="eastAsia" w:ascii="宋体" w:hAnsi="宋体"/>
                <w:sz w:val="21"/>
                <w:szCs w:val="21"/>
              </w:rPr>
              <w:br/>
              <w:t xml:space="preserve">2.主板配置：支持X86架构，支持1/2个可拓展处理器；≥ 16个DDR4内存插槽；支持2.5/3.5英寸；支持SAS/SATA 接口；</w:t>
            </w:r>
            <w:r>
              <w:rPr>
                <w:rFonts w:hint="eastAsia" w:ascii="宋体" w:hAnsi="宋体"/>
                <w:sz w:val="21"/>
                <w:szCs w:val="21"/>
              </w:rPr>
              <w:br/>
              <w:t xml:space="preserve">3.配置≥1颗处理器；每颗CPU：核心数≥16核心；主频≥2.1ghz；缓存≥20MB；功耗≥100W；</w:t>
            </w:r>
            <w:r>
              <w:rPr>
                <w:rFonts w:hint="eastAsia" w:ascii="宋体" w:hAnsi="宋体"/>
                <w:sz w:val="21"/>
                <w:szCs w:val="21"/>
              </w:rPr>
              <w:br/>
              <w:t xml:space="preserve">4.内存：总容量≥128G ；类型为 DDR4,频率≥2666MHz；</w:t>
            </w:r>
            <w:r>
              <w:rPr>
                <w:rFonts w:hint="eastAsia" w:ascii="宋体" w:hAnsi="宋体"/>
                <w:sz w:val="21"/>
                <w:szCs w:val="21"/>
              </w:rPr>
              <w:br/>
              <w:t xml:space="preserve">5.硬盘：总容量≥3TB,数量≥1块；尺寸≥2.5英寸；</w:t>
            </w:r>
            <w:r>
              <w:rPr>
                <w:rFonts w:hint="eastAsia" w:ascii="宋体" w:hAnsi="宋体"/>
                <w:sz w:val="21"/>
                <w:szCs w:val="21"/>
              </w:rPr>
              <w:br/>
              <w:t xml:space="preserve">6.阵列卡：配置≥1块 阵列卡，支持Raid 0/1；</w:t>
            </w:r>
            <w:r>
              <w:rPr>
                <w:rFonts w:hint="eastAsia" w:ascii="宋体" w:hAnsi="宋体"/>
                <w:sz w:val="21"/>
                <w:szCs w:val="21"/>
              </w:rPr>
              <w:br/>
              <w:t xml:space="preserve">7.网卡：配置≥2个千兆；</w:t>
            </w:r>
            <w:r>
              <w:rPr>
                <w:rFonts w:hint="eastAsia" w:ascii="宋体" w:hAnsi="宋体"/>
                <w:sz w:val="21"/>
                <w:szCs w:val="21"/>
              </w:rPr>
              <w:br/>
              <w:t xml:space="preserve">8.配置≥冗余电源；支持N+1;</w:t>
            </w:r>
            <w:r>
              <w:rPr>
                <w:rFonts w:hint="eastAsia" w:ascii="宋体" w:hAnsi="宋体"/>
                <w:sz w:val="21"/>
                <w:szCs w:val="21"/>
              </w:rPr>
              <w:br/>
              <w:t xml:space="preserve">9.配置：1个1Gb 管理端口，提供全面的故障诊断、自动化运维、硬件安全加固等管理特性。</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r>
      <w:tr>
        <w:trPr>
          <w:trHeight w:val="3021"/>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运维实训终端</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1.CPU：≥20核，性能不低于I7-14700F;</w:t>
            </w:r>
            <w:r>
              <w:rPr>
                <w:rFonts w:hint="eastAsia" w:ascii="宋体" w:hAnsi="宋体"/>
                <w:sz w:val="21"/>
                <w:szCs w:val="21"/>
              </w:rPr>
              <w:br/>
              <w:t xml:space="preserve">2.内存：≥32G；</w:t>
            </w:r>
            <w:r>
              <w:rPr>
                <w:rFonts w:hint="eastAsia" w:ascii="宋体" w:hAnsi="宋体"/>
                <w:sz w:val="21"/>
                <w:szCs w:val="21"/>
              </w:rPr>
              <w:br/>
              <w:t xml:space="preserve">3.硬盘：≥512G SSD；</w:t>
            </w:r>
            <w:r>
              <w:rPr>
                <w:rFonts w:hint="eastAsia" w:ascii="宋体" w:hAnsi="宋体"/>
                <w:sz w:val="21"/>
                <w:szCs w:val="21"/>
              </w:rPr>
              <w:br/>
              <w:t xml:space="preserve">4.主板插槽：≥PCIex16 显卡插槽，≥PCIex1短扩展插槽;</w:t>
            </w:r>
            <w:r>
              <w:rPr>
                <w:rFonts w:hint="eastAsia" w:ascii="宋体" w:hAnsi="宋体"/>
                <w:sz w:val="21"/>
                <w:szCs w:val="21"/>
              </w:rPr>
              <w:br/>
              <w:t xml:space="preserve">5.显卡：≥5060TI-16G</w:t>
            </w:r>
            <w:r>
              <w:rPr>
                <w:rFonts w:hint="eastAsia" w:ascii="宋体" w:hAnsi="宋体"/>
                <w:sz w:val="21"/>
                <w:szCs w:val="21"/>
              </w:rPr>
              <w:br/>
              <w:t xml:space="preserve">6.接口：≥4个USB接口；</w:t>
            </w:r>
            <w:r>
              <w:rPr>
                <w:rFonts w:hint="eastAsia" w:ascii="宋体" w:hAnsi="宋体"/>
                <w:sz w:val="21"/>
                <w:szCs w:val="21"/>
              </w:rPr>
              <w:br/>
              <w:t xml:space="preserve">7.电源：≥200W；</w:t>
            </w:r>
            <w:r>
              <w:rPr>
                <w:rFonts w:hint="eastAsia" w:ascii="宋体" w:hAnsi="宋体"/>
                <w:sz w:val="21"/>
                <w:szCs w:val="21"/>
              </w:rPr>
              <w:br/>
              <w:t xml:space="preserve">8.键鼠：USB键盘、USB鼠标</w:t>
            </w:r>
            <w:r>
              <w:rPr>
                <w:rFonts w:hint="eastAsia" w:ascii="宋体" w:hAnsi="宋体"/>
                <w:sz w:val="21"/>
                <w:szCs w:val="21"/>
              </w:rPr>
              <w:br/>
              <w:t xml:space="preserve">9.显示器≥23.8英寸。</w:t>
            </w:r>
            <w:r>
              <w:rPr>
                <w:rFonts w:hint="eastAsia" w:ascii="宋体" w:hAnsi="宋体"/>
                <w:sz w:val="21"/>
                <w:szCs w:val="21"/>
              </w:rPr>
              <w:br/>
              <w:t xml:space="preserve">10.服务及其他要求：整机5年保修上门服务。</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r>
      <w:tr>
        <w:trPr>
          <w:trHeight w:val="3099"/>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实训级高性能计算终端</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1.CPU：≥20核，性能不低于U7-265;</w:t>
            </w:r>
            <w:r>
              <w:rPr>
                <w:rFonts w:hint="eastAsia" w:ascii="宋体" w:hAnsi="宋体"/>
                <w:sz w:val="21"/>
                <w:szCs w:val="21"/>
              </w:rPr>
              <w:br/>
              <w:t xml:space="preserve">2.内存：≥32G；</w:t>
            </w:r>
            <w:r>
              <w:rPr>
                <w:rFonts w:hint="eastAsia" w:ascii="宋体" w:hAnsi="宋体"/>
                <w:sz w:val="21"/>
                <w:szCs w:val="21"/>
              </w:rPr>
              <w:br/>
              <w:t xml:space="preserve">3.硬盘：≥512G SSD；</w:t>
            </w:r>
            <w:r>
              <w:rPr>
                <w:rFonts w:hint="eastAsia" w:ascii="宋体" w:hAnsi="宋体"/>
                <w:sz w:val="21"/>
                <w:szCs w:val="21"/>
              </w:rPr>
              <w:br/>
              <w:t xml:space="preserve">4.主板插槽：≥PCIex16 显卡插槽，≥PCIex1短扩展插槽;</w:t>
            </w:r>
            <w:r>
              <w:rPr>
                <w:rFonts w:hint="eastAsia" w:ascii="宋体" w:hAnsi="宋体"/>
                <w:sz w:val="21"/>
                <w:szCs w:val="21"/>
              </w:rPr>
              <w:br/>
              <w:t xml:space="preserve">5.显卡：5060TI-16G</w:t>
            </w:r>
            <w:r>
              <w:rPr>
                <w:rFonts w:hint="eastAsia" w:ascii="宋体" w:hAnsi="宋体"/>
                <w:sz w:val="21"/>
                <w:szCs w:val="21"/>
              </w:rPr>
              <w:br/>
              <w:t xml:space="preserve">6.接口：≥4个USB接口；</w:t>
            </w:r>
            <w:r>
              <w:rPr>
                <w:rFonts w:hint="eastAsia" w:ascii="宋体" w:hAnsi="宋体"/>
                <w:sz w:val="21"/>
                <w:szCs w:val="21"/>
              </w:rPr>
              <w:br/>
              <w:t xml:space="preserve">7.电源：≥200W；</w:t>
            </w:r>
            <w:r>
              <w:rPr>
                <w:rFonts w:hint="eastAsia" w:ascii="宋体" w:hAnsi="宋体"/>
                <w:sz w:val="21"/>
                <w:szCs w:val="21"/>
              </w:rPr>
              <w:br/>
              <w:t xml:space="preserve">8.键鼠：USB键盘、USB鼠标</w:t>
            </w:r>
            <w:r>
              <w:rPr>
                <w:rFonts w:hint="eastAsia" w:ascii="宋体" w:hAnsi="宋体"/>
                <w:sz w:val="21"/>
                <w:szCs w:val="21"/>
              </w:rPr>
              <w:br/>
              <w:t xml:space="preserve">9.显示器≥23.8英寸。</w:t>
            </w:r>
            <w:r>
              <w:rPr>
                <w:rFonts w:hint="eastAsia" w:ascii="宋体" w:hAnsi="宋体"/>
                <w:sz w:val="21"/>
                <w:szCs w:val="21"/>
              </w:rPr>
              <w:br/>
              <w:t xml:space="preserve">10.服务及其他要求：整机5年保修上门服务。</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r>
      <w:tr>
        <w:trPr>
          <w:trHeight w:val="4659"/>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服务器</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CPU ：≥32核</w:t>
            </w:r>
            <w:r>
              <w:rPr>
                <w:rFonts w:hint="eastAsia" w:ascii="宋体" w:hAnsi="宋体"/>
                <w:sz w:val="21"/>
                <w:szCs w:val="21"/>
              </w:rPr>
              <w:br/>
              <w:t xml:space="preserve">硬盘 ：≥3TB SSD</w:t>
            </w:r>
            <w:r>
              <w:rPr>
                <w:rFonts w:hint="eastAsia" w:ascii="宋体" w:hAnsi="宋体"/>
                <w:sz w:val="21"/>
                <w:szCs w:val="21"/>
              </w:rPr>
              <w:br/>
              <w:t xml:space="preserve">内存 ：≥128G</w:t>
            </w:r>
            <w:r>
              <w:rPr>
                <w:rFonts w:hint="eastAsia" w:ascii="宋体" w:hAnsi="宋体"/>
                <w:sz w:val="21"/>
                <w:szCs w:val="21"/>
              </w:rPr>
              <w:br/>
              <w:t xml:space="preserve">1.机型：机箱≥2U机架式服务器；适用于通用机房环境，支持标准机柜；</w:t>
            </w:r>
            <w:r>
              <w:rPr>
                <w:rFonts w:hint="eastAsia" w:ascii="宋体" w:hAnsi="宋体"/>
                <w:sz w:val="21"/>
                <w:szCs w:val="21"/>
              </w:rPr>
              <w:br/>
              <w:t xml:space="preserve">2.主板配置：支持X86架构，支持1/2个可拓展处理器；≥ 16个DDR4内存插槽；支持2.5/3.5英寸；支持SAS/SATA 接口；</w:t>
            </w:r>
            <w:r>
              <w:rPr>
                <w:rFonts w:hint="eastAsia" w:ascii="宋体" w:hAnsi="宋体"/>
                <w:sz w:val="21"/>
                <w:szCs w:val="21"/>
              </w:rPr>
              <w:br/>
              <w:t xml:space="preserve">3.配置≥2颗处理器；每颗CPU：核心数≥16核心；主频≥2.1ghz；缓存≥20MB；功耗≥100W；</w:t>
            </w:r>
            <w:r>
              <w:rPr>
                <w:rFonts w:hint="eastAsia" w:ascii="宋体" w:hAnsi="宋体"/>
                <w:sz w:val="21"/>
                <w:szCs w:val="21"/>
              </w:rPr>
              <w:br/>
              <w:t xml:space="preserve">4.内存：总容量≥128G ；类型为 DDR4,频率≥2666MHz；</w:t>
            </w:r>
            <w:r>
              <w:rPr>
                <w:rFonts w:hint="eastAsia" w:ascii="宋体" w:hAnsi="宋体"/>
                <w:sz w:val="21"/>
                <w:szCs w:val="21"/>
              </w:rPr>
              <w:br/>
              <w:t xml:space="preserve">5.硬盘：总容量≥3TB,数量≥1块；尺寸≥2.5英寸；</w:t>
            </w:r>
            <w:r>
              <w:rPr>
                <w:rFonts w:hint="eastAsia" w:ascii="宋体" w:hAnsi="宋体"/>
                <w:sz w:val="21"/>
                <w:szCs w:val="21"/>
              </w:rPr>
              <w:br/>
              <w:t xml:space="preserve">6.阵列卡：配置≥1块 阵列卡，支持Raid 0/1；</w:t>
            </w:r>
            <w:r>
              <w:rPr>
                <w:rFonts w:hint="eastAsia" w:ascii="宋体" w:hAnsi="宋体"/>
                <w:sz w:val="21"/>
                <w:szCs w:val="21"/>
              </w:rPr>
              <w:br/>
              <w:t xml:space="preserve">7.网卡：配置≥2个千兆；</w:t>
            </w:r>
            <w:r>
              <w:rPr>
                <w:rFonts w:hint="eastAsia" w:ascii="宋体" w:hAnsi="宋体"/>
                <w:sz w:val="21"/>
                <w:szCs w:val="21"/>
              </w:rPr>
              <w:br/>
              <w:t xml:space="preserve">8.配置≥冗余电源；支持N+1;</w:t>
            </w:r>
            <w:r>
              <w:rPr>
                <w:rFonts w:hint="eastAsia" w:ascii="宋体" w:hAnsi="宋体"/>
                <w:sz w:val="21"/>
                <w:szCs w:val="21"/>
              </w:rPr>
              <w:br/>
              <w:t xml:space="preserve">9.配置：1个1Gb 管理端口，提供全面的故障诊断、自动化运维、硬件安全加固等管理特性。</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调度控制台</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尺寸：≥1400</w:t>
            </w:r>
            <w:r>
              <w:rPr>
                <w:rFonts w:ascii="宋体" w:hAnsi="宋体"/>
                <w:sz w:val="21"/>
                <w:szCs w:val="21"/>
              </w:rPr>
              <w:t xml:space="preserve">mm</w:t>
            </w:r>
            <w:r>
              <w:rPr>
                <w:rFonts w:hint="eastAsia" w:ascii="宋体" w:hAnsi="宋体"/>
                <w:sz w:val="21"/>
                <w:szCs w:val="21"/>
              </w:rPr>
              <w:t xml:space="preserve">*600</w:t>
            </w:r>
            <w:r>
              <w:rPr>
                <w:rFonts w:ascii="宋体" w:hAnsi="宋体"/>
                <w:sz w:val="21"/>
                <w:szCs w:val="21"/>
              </w:rPr>
              <w:t xml:space="preserve">mm</w:t>
            </w:r>
            <w:r>
              <w:rPr>
                <w:rFonts w:hint="eastAsia" w:ascii="宋体" w:hAnsi="宋体"/>
                <w:sz w:val="21"/>
                <w:szCs w:val="21"/>
              </w:rPr>
              <w:t xml:space="preserve">*750</w:t>
            </w:r>
            <w:r>
              <w:rPr>
                <w:rFonts w:ascii="宋体" w:hAnsi="宋体"/>
                <w:sz w:val="21"/>
                <w:szCs w:val="21"/>
              </w:rPr>
              <w:t xml:space="preserve">mm</w:t>
            </w:r>
            <w:r/>
          </w:p>
          <w:p>
            <w:pPr>
              <w:pStyle w:val="875"/>
              <w:ind w:left="0" w:firstLine="0"/>
            </w:pPr>
            <w:r>
              <w:rPr>
                <w:rFonts w:hint="eastAsia" w:ascii="宋体" w:hAnsi="宋体"/>
                <w:sz w:val="21"/>
                <w:szCs w:val="21"/>
              </w:rPr>
              <w:t xml:space="preserve">材质：钢木结构，E1级环保板</w:t>
            </w:r>
            <w:r>
              <w:rPr>
                <w:rFonts w:hint="eastAsia" w:ascii="宋体" w:hAnsi="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可视化展示终端</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尺寸：≥100 英寸</w:t>
            </w:r>
            <w:r/>
          </w:p>
          <w:p>
            <w:pPr>
              <w:pStyle w:val="875"/>
              <w:ind w:left="0" w:firstLine="0"/>
              <w:rPr>
                <w:rFonts w:ascii="宋体" w:hAnsi="宋体" w:cs="宋体"/>
                <w:sz w:val="21"/>
                <w:szCs w:val="21"/>
              </w:rPr>
            </w:pPr>
            <w:r>
              <w:rPr>
                <w:rFonts w:hint="eastAsia" w:ascii="宋体" w:hAnsi="宋体" w:cs="宋体"/>
                <w:sz w:val="21"/>
                <w:szCs w:val="21"/>
              </w:rPr>
              <w:t xml:space="preserve">显示：≥4K LED，288Hz</w:t>
            </w:r>
            <w:r/>
          </w:p>
          <w:p>
            <w:pPr>
              <w:ind w:left="0"/>
              <w:rPr>
                <w:rFonts w:ascii="宋体" w:hAnsi="宋体"/>
                <w:sz w:val="21"/>
                <w:szCs w:val="21"/>
              </w:rPr>
            </w:pPr>
            <w:r>
              <w:rPr>
                <w:rFonts w:hint="eastAsia" w:ascii="宋体" w:hAnsi="宋体"/>
                <w:sz w:val="21"/>
                <w:szCs w:val="21"/>
              </w:rPr>
              <w:t xml:space="preserve">硬件：≥4G 运行内存 + ≥128G 存储</w:t>
            </w:r>
            <w:r/>
          </w:p>
          <w:p>
            <w:pPr>
              <w:pStyle w:val="875"/>
              <w:ind w:left="0" w:firstLine="0"/>
            </w:pPr>
            <w:r>
              <w:rPr>
                <w:rFonts w:hint="eastAsia" w:ascii="宋体" w:hAnsi="宋体" w:cs="宋体"/>
                <w:sz w:val="21"/>
                <w:szCs w:val="21"/>
              </w:rPr>
              <w:t xml:space="preserve">裸机尺寸：≥2227</w:t>
            </w:r>
            <w:r>
              <w:rPr>
                <w:rFonts w:ascii="宋体" w:hAnsi="宋体" w:cs="宋体"/>
                <w:sz w:val="21"/>
                <w:szCs w:val="21"/>
              </w:rPr>
              <w:t xml:space="preserve">mm</w:t>
            </w:r>
            <w:r>
              <w:rPr>
                <w:rFonts w:hint="eastAsia" w:ascii="宋体" w:hAnsi="宋体" w:cs="宋体"/>
                <w:sz w:val="21"/>
                <w:szCs w:val="21"/>
              </w:rPr>
              <w:t xml:space="preserve">×1279</w:t>
            </w:r>
            <w:r>
              <w:rPr>
                <w:rFonts w:ascii="宋体" w:hAnsi="宋体" w:cs="宋体"/>
                <w:sz w:val="21"/>
                <w:szCs w:val="21"/>
              </w:rPr>
              <w:t xml:space="preserve">mm</w:t>
            </w:r>
            <w:r>
              <w:rPr>
                <w:rFonts w:hint="eastAsia" w:ascii="宋体" w:hAnsi="宋体" w:cs="宋体"/>
                <w:sz w:val="21"/>
                <w:szCs w:val="21"/>
              </w:rPr>
              <w:t xml:space="preserve">×94mm</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r>
        <w:trPr>
          <w:trHeight w:val="7401"/>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低空数字底座</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具备系统三层架构仿真能力、低空数据底座核心支撑、综合后台管理管控功能：</w:t>
            </w:r>
            <w:r>
              <w:rPr>
                <w:rFonts w:hint="eastAsia" w:ascii="宋体" w:hAnsi="宋体"/>
                <w:sz w:val="21"/>
                <w:szCs w:val="21"/>
              </w:rPr>
              <w:br/>
              <w:t xml:space="preserve">（1）分层架构支撑功能：采用三层架构（实训引擎层+场景建模层+教学应用层），各层级协同联动，支撑飞行运算、环境还原、前端应用全流程，保障实训稳定高效运行。</w:t>
            </w:r>
            <w:r>
              <w:rPr>
                <w:rFonts w:hint="eastAsia" w:ascii="宋体" w:hAnsi="宋体"/>
                <w:sz w:val="21"/>
                <w:szCs w:val="21"/>
              </w:rPr>
              <w:br/>
              <w:t xml:space="preserve">（2）低空飞行与环境仿真功能：还原无人机气动特性与低空环境效应（风场、地形遮挡等），贴合真实低空作业环境，提供高仿真实训模拟条件。</w:t>
            </w:r>
            <w:r>
              <w:rPr>
                <w:rFonts w:hint="eastAsia" w:ascii="宋体" w:hAnsi="宋体"/>
                <w:sz w:val="21"/>
                <w:szCs w:val="21"/>
              </w:rPr>
              <w:br/>
              <w:t xml:space="preserve">●（3）低空全维度数据底座搭建：搭建与苏州市低空环境匹配的标准化数据底座，整合空域、气象情报、场景仿真、资质装备、飞行数据五大类核心数据，为平台提供统一规范的数据支撑。</w:t>
            </w:r>
            <w:r>
              <w:rPr>
                <w:rFonts w:hint="eastAsia" w:ascii="宋体" w:hAnsi="宋体"/>
                <w:sz w:val="21"/>
                <w:szCs w:val="21"/>
              </w:rPr>
              <w:br/>
              <w:t xml:space="preserve">（4）平台核心系统架构：采用 “低空数据底座 + 空域规划与管理 + 飞行活动管理” 一体化架构，各模块独立运行、数据互通，保障低空运营管控全流程协同运转。</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（5）多角色权限用户管理：覆盖学员、教师、超级管理员三级</w:t>
            </w:r>
            <w:r>
              <w:rPr>
                <w:rFonts w:hint="eastAsia" w:ascii="宋体" w:hAnsi="宋体"/>
                <w:sz w:val="21"/>
                <w:szCs w:val="21"/>
              </w:rPr>
              <w:t xml:space="preserve">角色，基于角色分级配置操作权限，区分权责边界，保障系统安全管理</w:t>
            </w:r>
            <w:r>
              <w:rPr>
                <w:rFonts w:hint="eastAsia" w:ascii="宋体" w:hAnsi="宋体"/>
                <w:sz w:val="21"/>
                <w:szCs w:val="21"/>
              </w:rPr>
              <w:t xml:space="preserve">。</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（6）可视化数据统计展示：展示学员姓名、手机号、</w:t>
            </w:r>
            <w:r>
              <w:rPr>
                <w:rFonts w:hint="eastAsia" w:ascii="宋体" w:hAnsi="宋体"/>
                <w:sz w:val="21"/>
                <w:szCs w:val="21"/>
              </w:rPr>
              <w:t xml:space="preserve">所属机构等基础信息，支持管理员对学员信息进行增删改查全流程操作</w:t>
            </w:r>
            <w:r>
              <w:rPr>
                <w:rFonts w:hint="eastAsia" w:ascii="宋体" w:hAnsi="宋体"/>
                <w:sz w:val="21"/>
                <w:szCs w:val="21"/>
              </w:rPr>
              <w:t xml:space="preserve">。</w:t>
            </w:r>
            <w:r>
              <w:rPr>
                <w:rFonts w:hint="eastAsia" w:ascii="宋体" w:hAnsi="宋体"/>
                <w:sz w:val="21"/>
                <w:szCs w:val="21"/>
              </w:rPr>
              <w:br/>
              <w:t xml:space="preserve">（7）学员基础信息管理：展示学员姓名、手机号、所属机构等基础信息，支持管理员对学员信息进行增删改查全流程操作。</w:t>
            </w:r>
            <w:r>
              <w:rPr>
                <w:rFonts w:hint="eastAsia" w:ascii="宋体" w:hAnsi="宋体"/>
                <w:sz w:val="21"/>
                <w:szCs w:val="21"/>
              </w:rPr>
              <w:br/>
              <w:t xml:space="preserve">（8）实训成绩信息管理：展示学员姓名、训练模块、训练时间、得分等考核信息，支持成绩编辑、删除与归档，实现考核全流程数字化管理。</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r>
        <w:trPr>
          <w:trHeight w:val="1408"/>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场景应用虚拟仿真实训系统</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具备本地化低空场景与气象环境仿真、多场景无人机巡检实训演练功能：</w:t>
            </w:r>
            <w:r>
              <w:rPr>
                <w:rFonts w:hint="eastAsia" w:ascii="宋体" w:hAnsi="宋体"/>
                <w:sz w:val="21"/>
                <w:szCs w:val="21"/>
              </w:rPr>
              <w:br/>
              <w:t xml:space="preserve">（1）苏州本地典型低空场景适配：内置≥3个苏州本地典型低空场景，贴合本地地理与作业特征，适配本地化低空实训教学需求。</w:t>
            </w:r>
            <w:r>
              <w:rPr>
                <w:rFonts w:hint="eastAsia" w:ascii="宋体" w:hAnsi="宋体"/>
                <w:sz w:val="21"/>
                <w:szCs w:val="21"/>
              </w:rPr>
              <w:br/>
              <w:t xml:space="preserve">（2）多维气象与风场配置功能：支持9种风向、1-9级风速自定义配置，可按无人机抗风等级实时反馈姿态动作，还原复杂风场下的真实作业状态。</w:t>
            </w:r>
            <w:r>
              <w:rPr>
                <w:rFonts w:hint="eastAsia" w:ascii="宋体" w:hAnsi="宋体"/>
                <w:sz w:val="21"/>
                <w:szCs w:val="21"/>
              </w:rPr>
              <w:br/>
              <w:t xml:space="preserve">（3）多行业设备巡检实训功能：支持农业、能源、电力等多行业设备巡检模拟实训，适配不同行业作业场景，帮助学员掌握巡检规范与流程。</w:t>
            </w:r>
            <w:r>
              <w:rPr>
                <w:rFonts w:hint="eastAsia" w:ascii="宋体" w:hAnsi="宋体"/>
                <w:sz w:val="21"/>
                <w:szCs w:val="21"/>
              </w:rPr>
              <w:br/>
              <w:t xml:space="preserve">（4）智能航线规划与飞行模式切换：支持多模式航线规划与定位/姿态等飞行模式切换，适配不同巡检场景，帮助学员掌握低空操控技巧。</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（5）机载作业功能模拟：复刻无人机实战作业功能，支持云台调节、定点拍摄等操作，贴合真实巡检流程，规范学员作业标准。</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（6）巡检资料存储与导出功能：巡检照片等实训资料可本地存储、一键导出，支持实训复盘、考核与归档。</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r>
        <w:trPr>
          <w:trHeight w:val="2361"/>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bookmarkStart w:id="99" w:name="_Hlk242346657"/>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空域规划与管理系统</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具备空域规划与管理实训功能：</w:t>
            </w:r>
            <w:r>
              <w:rPr>
                <w:rFonts w:hint="eastAsia" w:ascii="宋体" w:hAnsi="宋体"/>
                <w:sz w:val="21"/>
                <w:szCs w:val="21"/>
              </w:rPr>
              <w:br/>
              <w:t xml:space="preserve">●（1）空域数字规划与动态管理：支持空域资源数字化规划、空域使用动态调整与全生命周期管理，实现空域资源精细化、可视化管控，贴合苏州本地低空运营需求。</w:t>
            </w:r>
            <w:r>
              <w:rPr>
                <w:rFonts w:hint="eastAsia" w:ascii="宋体" w:hAnsi="宋体"/>
                <w:sz w:val="21"/>
                <w:szCs w:val="21"/>
              </w:rPr>
              <w:br/>
              <w:t xml:space="preserve">（2）梯度化实训任务配置：内置不少于 10 个梯度化空域规划实训任务，覆盖基础到进阶全层级场景，支持实训任务参数自定义配置，满足个性化教学需求。</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r>
        <w:trPr>
          <w:trHeight w:val="1692"/>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飞行活动管理系统</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ind w:left="0"/>
              <w:rPr>
                <w:rFonts w:ascii="宋体" w:hAnsi="宋体"/>
                <w:sz w:val="21"/>
                <w:szCs w:val="21"/>
              </w:rPr>
            </w:pPr>
            <w:r>
              <w:rPr>
                <w:rFonts w:hint="eastAsia" w:ascii="宋体" w:hAnsi="宋体"/>
                <w:sz w:val="21"/>
                <w:szCs w:val="21"/>
              </w:rPr>
              <w:t xml:space="preserve">具备飞行活动全流程管控、算法模型与二次开发能力、数据可视化与扩展适配能力功能：</w:t>
            </w:r>
            <w:r>
              <w:rPr>
                <w:rFonts w:hint="eastAsia" w:ascii="宋体" w:hAnsi="宋体"/>
                <w:sz w:val="21"/>
                <w:szCs w:val="21"/>
              </w:rPr>
              <w:br/>
              <w:t xml:space="preserve">●（1）飞行活动审批与全流程管理：实现飞行活动线上申请、多级审批、任务派发全流程闭环管理，规范低空飞行审批流程，提升管理效率。</w:t>
            </w:r>
            <w:r>
              <w:rPr>
                <w:rFonts w:hint="eastAsia" w:ascii="宋体" w:hAnsi="宋体"/>
                <w:sz w:val="21"/>
                <w:szCs w:val="21"/>
              </w:rPr>
              <w:br/>
              <w:t xml:space="preserve">●（2）飞行动态实时监控：支持低空飞行活动全流程动态监控，实时获取无人机飞行状态、位置、轨迹等核心数据，实现飞行活动全周期可追溯、可监管。</w:t>
            </w:r>
            <w:r>
              <w:rPr>
                <w:rFonts w:hint="eastAsia" w:ascii="宋体" w:hAnsi="宋体"/>
                <w:sz w:val="21"/>
                <w:szCs w:val="21"/>
              </w:rPr>
              <w:br/>
              <w:t xml:space="preserve">（3）多场景飞行管控适配：覆盖不少于 5 个低空核心应用场景的飞行管控能力，适配不同行业、场景的低空飞行管控需求，提供场景化管控策略与实训方案</w:t>
            </w:r>
            <w:r>
              <w:rPr>
                <w:rFonts w:hint="eastAsia" w:ascii="宋体" w:hAnsi="宋体"/>
                <w:sz w:val="21"/>
                <w:szCs w:val="21"/>
              </w:rPr>
              <w:br/>
              <w:t xml:space="preserve">（4）多角色协同与数据互通：支持多角色协同操作，低空数据底座与各业务系统间数据实时互通，实现低空飞行全流程协同管理，满足多主体协同管控实训需求。</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（5）多语言开发与工具链支持：支持高精度空域数据标准化导入，可基于实际业务需求构建多目标优化模型，贴合真实低空运营场景的规划与调度需求。</w:t>
            </w:r>
            <w:r>
              <w:rPr>
                <w:rFonts w:hint="eastAsia" w:ascii="宋体" w:hAnsi="宋体"/>
                <w:sz w:val="21"/>
                <w:szCs w:val="21"/>
              </w:rPr>
              <w:br/>
            </w:r>
            <w:r>
              <w:rPr>
                <w:rFonts w:hint="eastAsia" w:ascii="宋体" w:hAnsi="宋体"/>
                <w:sz w:val="21"/>
                <w:szCs w:val="21"/>
                <w:lang w:bidi="ar"/>
              </w:rPr>
              <w:t xml:space="preserve">▲</w:t>
            </w:r>
            <w:r>
              <w:rPr>
                <w:rFonts w:hint="eastAsia" w:ascii="宋体" w:hAnsi="宋体"/>
                <w:sz w:val="21"/>
                <w:szCs w:val="21"/>
              </w:rPr>
              <w:t xml:space="preserve">（6）高精度数据导入与模型构建：支持高精度空域数据标准化导入，可基于实际业务需求构建多目标优化模型，贴合真实低空运营场景的规划与调度需求。</w:t>
            </w:r>
            <w:r>
              <w:rPr>
                <w:rFonts w:hint="eastAsia" w:ascii="宋体" w:hAnsi="宋体"/>
                <w:sz w:val="21"/>
                <w:szCs w:val="21"/>
              </w:rPr>
              <w:br/>
              <w:t xml:space="preserve">（7）智能算法集成与复杂问题求解：原生集成遗传算法、粒子群算法等智能优化算法，可快速求解复杂空域规划、飞行调度类问题，提升实训场景的真实性与专业性。</w:t>
            </w:r>
            <w:r>
              <w:rPr>
                <w:rFonts w:hint="eastAsia" w:ascii="宋体" w:hAnsi="宋体"/>
                <w:sz w:val="21"/>
                <w:szCs w:val="21"/>
              </w:rPr>
              <w:br/>
              <w:t xml:space="preserve">（8）运营数据可视化与分析预测：支持低空运营服务与管理数据的可视化展示、多维度统计分析、趋势智能预测，可一键生成标准化分析报告，为教学管理与运营决策提供数据支撑。</w:t>
            </w:r>
            <w:r>
              <w:rPr>
                <w:rFonts w:hint="eastAsia" w:ascii="宋体" w:hAnsi="宋体"/>
                <w:sz w:val="21"/>
                <w:szCs w:val="21"/>
              </w:rPr>
              <w:br/>
              <w:t xml:space="preserve">（9）标准化扩展与落地适配：支持标准化数据格式导入、算法库自定义管理，预留标准化接口，可灵活配置模型库、仿真算法控制等核心模块，支持平台本地化落地与个性化定制。</w:t>
            </w:r>
            <w:r/>
          </w:p>
        </w:tc>
        <w:tc>
          <w:tcPr>
            <w:shd w:val="clear" w:color="auto" w:fill="auto"/>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bookmarkEnd w:id="99"/>
            <w:r/>
          </w:p>
        </w:tc>
      </w:tr>
    </w:tbl>
    <w:p>
      <w:pPr>
        <w:pStyle w:val="875"/>
        <w:ind w:left="0" w:firstLine="0"/>
      </w:pPr>
      <w:r/>
      <w:r/>
    </w:p>
    <w:p>
      <w:pPr>
        <w:ind w:left="0" w:firstLine="420"/>
        <w:rPr>
          <w:rFonts w:ascii="宋体" w:hAnsi="宋体"/>
          <w:sz w:val="21"/>
        </w:rPr>
      </w:pPr>
      <w:r>
        <w:rPr>
          <w:rFonts w:ascii="宋体" w:hAnsi="宋体"/>
          <w:sz w:val="21"/>
        </w:rPr>
        <w:t xml:space="preserve">（三）人员配置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指定1人作为本次服务的项目经理，负责跟踪推进项目工作和问题的协调落实；具有相关工作管理经验；指定1人为项目技术负责人，负责项目具体实施技术方面工作，具有相关工作经验；指定1人为项目实施售</w:t>
      </w:r>
      <w:r>
        <w:rPr>
          <w:rFonts w:hint="eastAsia" w:ascii="宋体" w:hAnsi="宋体"/>
          <w:sz w:val="21"/>
        </w:rPr>
        <w:t xml:space="preserve">后运维负责人，负责项目具体运维技术方面工作具有相关工作经验；除项目经理、项目技术负责人和项目运维负责人外其他实施团队成员配备不少于6人，能够顺利开展维护服务工作。</w:t>
      </w:r>
      <w:r/>
    </w:p>
    <w:p>
      <w:pPr>
        <w:ind w:left="0" w:firstLine="420"/>
        <w:spacing w:line="360" w:lineRule="auto"/>
        <w:tabs>
          <w:tab w:val="left" w:pos="0" w:leader="none"/>
        </w:tabs>
        <w:rPr>
          <w:rFonts w:ascii="宋体" w:hAnsi="宋体"/>
          <w:sz w:val="21"/>
        </w:rPr>
      </w:pPr>
      <w:r>
        <w:rPr>
          <w:rFonts w:ascii="宋体" w:hAnsi="宋体"/>
          <w:sz w:val="21"/>
        </w:rPr>
        <w:t xml:space="preserve">（四）其他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1.项目背景； </w:t>
      </w:r>
      <w:r/>
    </w:p>
    <w:p>
      <w:pPr>
        <w:ind w:left="0" w:firstLine="420"/>
        <w:spacing w:line="360" w:lineRule="auto"/>
        <w:tabs>
          <w:tab w:val="left" w:pos="0" w:leader="none"/>
        </w:tabs>
        <w:rPr>
          <w:rFonts w:ascii="宋体" w:hAnsi="宋体"/>
          <w:sz w:val="21"/>
        </w:rPr>
      </w:pPr>
      <w:r>
        <w:rPr>
          <w:rFonts w:hint="eastAsia" w:ascii="宋体" w:hAnsi="宋体"/>
          <w:sz w:val="21"/>
        </w:rPr>
        <w:t xml:space="preserve">2.项目必要性；</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3.项目需求分析。</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投标人根据本项目特点，制定下列实施服务方案。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1.服务范围；</w:t>
      </w:r>
      <w:r/>
    </w:p>
    <w:p>
      <w:pPr>
        <w:ind w:left="0" w:firstLine="420"/>
        <w:spacing w:line="360" w:lineRule="auto"/>
        <w:tabs>
          <w:tab w:val="left" w:pos="0" w:leader="none"/>
        </w:tabs>
        <w:rPr>
          <w:rFonts w:ascii="宋体" w:hAnsi="宋体"/>
          <w:sz w:val="21"/>
        </w:rPr>
      </w:pPr>
      <w:r>
        <w:rPr>
          <w:rFonts w:hint="eastAsia" w:ascii="宋体" w:hAnsi="宋体"/>
          <w:sz w:val="21"/>
        </w:rPr>
        <w:t xml:space="preserve">2.内容和实施标准；</w:t>
      </w:r>
      <w:r/>
    </w:p>
    <w:p>
      <w:pPr>
        <w:ind w:left="0" w:firstLine="420"/>
        <w:spacing w:line="360" w:lineRule="auto"/>
        <w:tabs>
          <w:tab w:val="left" w:pos="0" w:leader="none"/>
        </w:tabs>
        <w:rPr>
          <w:rFonts w:ascii="宋体" w:hAnsi="宋体"/>
          <w:sz w:val="21"/>
        </w:rPr>
      </w:pPr>
      <w:r>
        <w:rPr>
          <w:rFonts w:hint="eastAsia" w:ascii="宋体" w:hAnsi="宋体"/>
          <w:sz w:val="21"/>
        </w:rPr>
        <w:t xml:space="preserve">3.内容和实施方法。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投标人根据本项目特点，制定下列售后服务方案。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1.技术支持；</w:t>
      </w:r>
      <w:r/>
    </w:p>
    <w:p>
      <w:pPr>
        <w:ind w:left="0" w:firstLine="420"/>
        <w:spacing w:line="360" w:lineRule="auto"/>
        <w:tabs>
          <w:tab w:val="left" w:pos="0" w:leader="none"/>
        </w:tabs>
        <w:rPr>
          <w:rFonts w:ascii="宋体" w:hAnsi="宋体"/>
          <w:sz w:val="21"/>
        </w:rPr>
      </w:pPr>
      <w:r>
        <w:rPr>
          <w:rFonts w:hint="eastAsia" w:ascii="宋体" w:hAnsi="宋体"/>
          <w:sz w:val="21"/>
        </w:rPr>
        <w:t xml:space="preserve">2.网络服务网点布局；</w:t>
      </w:r>
      <w:r/>
    </w:p>
    <w:p>
      <w:pPr>
        <w:ind w:left="0" w:firstLine="420"/>
        <w:spacing w:line="360" w:lineRule="auto"/>
        <w:tabs>
          <w:tab w:val="left" w:pos="0" w:leader="none"/>
        </w:tabs>
        <w:rPr>
          <w:rFonts w:ascii="宋体" w:hAnsi="宋体"/>
          <w:sz w:val="21"/>
        </w:rPr>
      </w:pPr>
      <w:r>
        <w:rPr>
          <w:rFonts w:hint="eastAsia" w:ascii="宋体" w:hAnsi="宋体"/>
          <w:sz w:val="21"/>
        </w:rPr>
        <w:t xml:space="preserve">3.网络服务网点服务。</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投标人根据本项目特点，制定下列应急保障方案。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2.故障处理；</w:t>
      </w:r>
      <w:r/>
    </w:p>
    <w:p>
      <w:pPr>
        <w:ind w:left="0" w:firstLine="420"/>
        <w:spacing w:line="360" w:lineRule="auto"/>
        <w:tabs>
          <w:tab w:val="left" w:pos="0" w:leader="none"/>
        </w:tabs>
        <w:rPr>
          <w:rFonts w:ascii="宋体" w:hAnsi="宋体"/>
          <w:sz w:val="21"/>
        </w:rPr>
      </w:pPr>
      <w:r>
        <w:rPr>
          <w:rFonts w:hint="eastAsia" w:ascii="宋体" w:hAnsi="宋体"/>
          <w:sz w:val="21"/>
        </w:rPr>
        <w:t xml:space="preserve">3.应急方案。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（五）履约验收基本要求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875"/>
        <w:ind w:left="400" w:firstLine="420"/>
        <w:spacing w:line="360" w:lineRule="auto"/>
        <w:rPr>
          <w:rFonts w:ascii="宋体" w:hAnsi="宋体" w:cs="宋体"/>
          <w:sz w:val="21"/>
          <w:szCs w:val="21"/>
        </w:rPr>
      </w:pPr>
      <w:r>
        <w:rPr>
          <w:sz w:val="21"/>
          <w:szCs w:val="21"/>
        </w:rPr>
        <w:t xml:space="preserve">（六）</w:t>
      </w:r>
      <w:r>
        <w:rPr>
          <w:rFonts w:hint="eastAsia" w:ascii="宋体" w:hAnsi="宋体" w:cs="宋体"/>
          <w:sz w:val="21"/>
          <w:szCs w:val="21"/>
        </w:rPr>
        <w:t xml:space="preserve">项目商务要求</w:t>
      </w:r>
      <w:r/>
    </w:p>
    <w:p>
      <w:pPr>
        <w:ind w:left="400" w:firstLine="420"/>
        <w:spacing w:after="120" w:line="360" w:lineRule="auto"/>
        <w:rPr>
          <w:rFonts w:ascii="宋体" w:hAnsi="宋体"/>
          <w:sz w:val="21"/>
          <w:szCs w:val="21"/>
        </w:rPr>
      </w:pPr>
      <w:r>
        <w:rPr>
          <w:rFonts w:hint="eastAsia" w:ascii="宋体" w:hAnsi="宋体"/>
          <w:sz w:val="21"/>
          <w:szCs w:val="21"/>
        </w:rPr>
        <w:t xml:space="preserve">1、交付时间</w:t>
      </w:r>
      <w:r/>
    </w:p>
    <w:p>
      <w:pPr>
        <w:ind w:left="400" w:firstLine="420"/>
        <w:spacing w:after="120" w:line="360" w:lineRule="auto"/>
        <w:rPr>
          <w:rFonts w:ascii="宋体" w:hAnsi="宋体"/>
          <w:sz w:val="21"/>
          <w:szCs w:val="21"/>
        </w:rPr>
      </w:pPr>
      <w:r>
        <w:rPr>
          <w:rFonts w:hint="eastAsia" w:ascii="宋体" w:hAnsi="宋体"/>
          <w:sz w:val="21"/>
          <w:szCs w:val="21"/>
        </w:rPr>
        <w:t xml:space="preserve">签订合同后30天内完成供货、安装、调试并能正常运行。</w:t>
      </w:r>
      <w:r/>
    </w:p>
    <w:p>
      <w:pPr>
        <w:ind w:left="400" w:firstLine="420"/>
        <w:spacing w:after="120" w:line="360" w:lineRule="auto"/>
        <w:rPr>
          <w:rFonts w:ascii="宋体" w:hAnsi="宋体"/>
          <w:sz w:val="21"/>
          <w:szCs w:val="21"/>
        </w:rPr>
      </w:pPr>
      <w:r>
        <w:rPr>
          <w:rFonts w:hint="eastAsia" w:ascii="宋体" w:hAnsi="宋体"/>
          <w:sz w:val="21"/>
          <w:szCs w:val="21"/>
        </w:rPr>
        <w:t xml:space="preserve">2、交付地点</w:t>
      </w:r>
      <w:r/>
    </w:p>
    <w:p>
      <w:pPr>
        <w:ind w:left="400" w:firstLine="420"/>
        <w:spacing w:after="120" w:line="360" w:lineRule="auto"/>
        <w:rPr>
          <w:rFonts w:ascii="宋体" w:hAnsi="宋体"/>
          <w:sz w:val="21"/>
          <w:szCs w:val="21"/>
        </w:rPr>
      </w:pPr>
      <w:r>
        <w:rPr>
          <w:rFonts w:hint="eastAsia" w:ascii="宋体" w:hAnsi="宋体"/>
          <w:sz w:val="21"/>
          <w:szCs w:val="21"/>
        </w:rPr>
        <w:t xml:space="preserve">地点：</w:t>
      </w:r>
      <w:r>
        <w:rPr>
          <w:rFonts w:hint="eastAsia" w:ascii="宋体" w:hAnsi="宋体"/>
          <w:sz w:val="21"/>
          <w:szCs w:val="21"/>
          <w:u w:val="single"/>
        </w:rPr>
        <w:t xml:space="preserve">江苏省苏州市吴中区致能大道106号</w:t>
      </w:r>
      <w:r>
        <w:rPr>
          <w:rFonts w:hint="eastAsia" w:ascii="宋体" w:hAnsi="宋体"/>
          <w:sz w:val="21"/>
          <w:szCs w:val="21"/>
        </w:rPr>
        <w:t xml:space="preserve">（详细地址）。</w:t>
      </w:r>
      <w:r/>
    </w:p>
    <w:p>
      <w:pPr>
        <w:ind w:left="400" w:firstLine="420"/>
        <w:spacing w:after="120" w:line="360" w:lineRule="auto"/>
        <w:rPr>
          <w:rFonts w:ascii="宋体" w:hAnsi="宋体"/>
          <w:sz w:val="21"/>
          <w:szCs w:val="21"/>
        </w:rPr>
      </w:pPr>
      <w:r>
        <w:rPr>
          <w:rFonts w:hint="eastAsia" w:ascii="宋体" w:hAnsi="宋体"/>
          <w:sz w:val="21"/>
          <w:szCs w:val="21"/>
        </w:rPr>
        <w:t xml:space="preserve">3、付款条件（进度和方式）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本项目的预付款为</w:t>
      </w:r>
      <w:bookmarkStart w:id="100" w:name="_GoBack"/>
      <w:r>
        <w:rPr>
          <w:rFonts w:hint="eastAsia" w:ascii="宋体" w:hAnsi="宋体"/>
          <w:sz w:val="21"/>
          <w:szCs w:val="21"/>
        </w:rPr>
        <w:t xml:space="preserve">合同金额的30%</w:t>
      </w:r>
      <w:bookmarkEnd w:id="100"/>
      <w:r>
        <w:rPr>
          <w:rFonts w:hint="eastAsia" w:ascii="宋体" w:hAnsi="宋体"/>
          <w:sz w:val="21"/>
          <w:szCs w:val="21"/>
        </w:rPr>
        <w:t xml:space="preserve">。待全部货物安装到位，经调试、验收合格后，乙方将中标金额5%即￥元(大写：)的履约保证金缴纳至甲方指定账户，且提供下列材料后30个工作日内，甲方支付不超过合同总价的90%（含预付款）。待验收合格满1年， 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若采购单位超期未退还，则按照银行同期贷款利率支付利息。</w:t>
      </w:r>
      <w:r/>
    </w:p>
    <w:p>
      <w:pPr>
        <w:ind w:left="0" w:firstLine="840"/>
        <w:spacing w:line="480" w:lineRule="exact"/>
        <w:widowControl w:val="off"/>
        <w:rPr>
          <w:rFonts w:hint="eastAsia" w:ascii="宋体" w:hAnsi="宋体"/>
          <w:sz w:val="21"/>
          <w:szCs w:val="21"/>
        </w:rPr>
      </w:pPr>
      <w:r>
        <w:rPr>
          <w:rFonts w:hint="eastAsia" w:ascii="宋体" w:hAnsi="宋体"/>
          <w:sz w:val="21"/>
          <w:szCs w:val="21"/>
        </w:rPr>
        <w:t xml:space="preserve">A、合格销售发票</w:t>
      </w:r>
      <w:r/>
    </w:p>
    <w:p>
      <w:pPr>
        <w:ind w:left="0" w:firstLine="840"/>
        <w:spacing w:line="480" w:lineRule="exact"/>
        <w:widowControl w:val="off"/>
        <w:rPr>
          <w:rFonts w:hint="eastAsia" w:ascii="宋体" w:hAnsi="宋体"/>
          <w:sz w:val="21"/>
          <w:szCs w:val="21"/>
        </w:rPr>
      </w:pPr>
      <w:r>
        <w:rPr>
          <w:rFonts w:hint="eastAsia" w:ascii="宋体" w:hAnsi="宋体"/>
          <w:sz w:val="21"/>
          <w:szCs w:val="21"/>
        </w:rPr>
        <w:t xml:space="preserve">B、甲方签收后的送货回单</w:t>
      </w:r>
      <w:r/>
    </w:p>
    <w:p>
      <w:pPr>
        <w:ind w:left="0" w:firstLine="840"/>
        <w:spacing w:line="480" w:lineRule="exact"/>
        <w:widowControl w:val="off"/>
        <w:rPr>
          <w:rFonts w:hint="eastAsia" w:ascii="宋体" w:hAnsi="宋体"/>
          <w:sz w:val="21"/>
          <w:szCs w:val="21"/>
        </w:rPr>
      </w:pPr>
      <w:r>
        <w:rPr>
          <w:rFonts w:hint="eastAsia" w:ascii="宋体" w:hAnsi="宋体"/>
          <w:sz w:val="21"/>
          <w:szCs w:val="21"/>
        </w:rPr>
        <w:t xml:space="preserve">C、履行验收报告单</w:t>
      </w:r>
      <w:r/>
    </w:p>
    <w:p>
      <w:pPr>
        <w:ind w:left="0" w:firstLine="840"/>
        <w:spacing w:line="480" w:lineRule="exact"/>
        <w:widowControl w:val="off"/>
        <w:rPr>
          <w:rFonts w:hint="eastAsia" w:ascii="宋体" w:hAnsi="宋体"/>
          <w:sz w:val="21"/>
          <w:szCs w:val="21"/>
        </w:rPr>
      </w:pPr>
      <w:r>
        <w:rPr>
          <w:rFonts w:hint="eastAsia" w:ascii="宋体" w:hAnsi="宋体"/>
          <w:sz w:val="21"/>
          <w:szCs w:val="21"/>
        </w:rPr>
        <w:t xml:space="preserve">D、履约保证金缴纳凭证</w:t>
      </w:r>
      <w:r/>
    </w:p>
    <w:p>
      <w:pPr>
        <w:ind w:left="400" w:firstLine="420"/>
        <w:spacing w:after="120" w:line="360" w:lineRule="auto"/>
        <w:rPr>
          <w:rFonts w:ascii="宋体" w:hAnsi="宋体"/>
          <w:sz w:val="21"/>
          <w:szCs w:val="21"/>
        </w:rPr>
      </w:pPr>
      <w:r>
        <w:rPr>
          <w:rFonts w:hint="eastAsia" w:ascii="宋体" w:hAnsi="宋体"/>
          <w:sz w:val="21"/>
          <w:szCs w:val="21"/>
        </w:rPr>
        <w:t xml:space="preserve">4、包装和运输要求</w:t>
      </w:r>
      <w:r/>
    </w:p>
    <w:p>
      <w:pPr>
        <w:ind w:left="400" w:firstLine="420"/>
        <w:spacing w:after="120" w:line="360" w:lineRule="auto"/>
        <w:rPr>
          <w:rFonts w:ascii="宋体" w:hAnsi="宋体"/>
          <w:sz w:val="21"/>
          <w:szCs w:val="21"/>
        </w:rPr>
      </w:pPr>
      <w:r>
        <w:rPr>
          <w:rFonts w:hint="eastAsia" w:ascii="宋体" w:hAnsi="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400" w:firstLine="420"/>
        <w:spacing w:after="120" w:line="360" w:lineRule="auto"/>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400" w:firstLine="420"/>
        <w:spacing w:after="120" w:line="360" w:lineRule="auto"/>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400" w:firstLine="420"/>
        <w:spacing w:after="120" w:line="360" w:lineRule="auto"/>
        <w:rPr>
          <w:rFonts w:ascii="宋体" w:hAnsi="宋体"/>
          <w:sz w:val="21"/>
          <w:szCs w:val="21"/>
        </w:rPr>
      </w:pPr>
      <w:r>
        <w:rPr>
          <w:rFonts w:hint="eastAsia" w:ascii="宋体" w:hAnsi="宋体"/>
          <w:sz w:val="21"/>
          <w:szCs w:val="21"/>
        </w:rPr>
        <w:t xml:space="preserve">5、售后服务要求</w:t>
      </w:r>
      <w:r/>
    </w:p>
    <w:p>
      <w:pPr>
        <w:ind w:left="400" w:firstLine="420"/>
        <w:spacing w:after="120" w:line="360" w:lineRule="auto"/>
        <w:rPr>
          <w:rFonts w:ascii="宋体" w:hAnsi="宋体"/>
          <w:sz w:val="21"/>
          <w:szCs w:val="21"/>
        </w:rPr>
      </w:pPr>
      <w:r>
        <w:rPr>
          <w:rFonts w:hint="eastAsia" w:ascii="宋体" w:hAnsi="宋体"/>
          <w:sz w:val="21"/>
          <w:szCs w:val="21"/>
        </w:rPr>
        <w:t xml:space="preserve">（1）供应商提供的售后服务标准应不低于同型号产品的市场服务标准。</w:t>
      </w:r>
      <w:r/>
    </w:p>
    <w:p>
      <w:pPr>
        <w:ind w:left="400" w:firstLine="420"/>
        <w:spacing w:after="120" w:line="360" w:lineRule="auto"/>
        <w:rPr>
          <w:rFonts w:ascii="宋体" w:hAnsi="宋体"/>
          <w:sz w:val="21"/>
          <w:szCs w:val="21"/>
        </w:rPr>
      </w:pPr>
      <w:r>
        <w:rPr>
          <w:rFonts w:hint="eastAsia" w:ascii="宋体" w:hAnsi="宋体"/>
          <w:sz w:val="21"/>
          <w:szCs w:val="21"/>
        </w:rPr>
        <w:t xml:space="preserve">（2）自验收合格之日起，应提供</w:t>
      </w:r>
      <w:r>
        <w:rPr>
          <w:rFonts w:hint="eastAsia" w:ascii="宋体" w:hAnsi="宋体"/>
          <w:sz w:val="21"/>
          <w:szCs w:val="21"/>
          <w:u w:val="single"/>
        </w:rPr>
        <w:t xml:space="preserve">至少</w:t>
      </w:r>
      <w:r>
        <w:rPr>
          <w:rFonts w:ascii="宋体" w:hAnsi="宋体"/>
          <w:sz w:val="21"/>
          <w:szCs w:val="21"/>
          <w:u w:val="single"/>
        </w:rPr>
        <w:t xml:space="preserve">3</w:t>
      </w:r>
      <w:r>
        <w:rPr>
          <w:rFonts w:hint="eastAsia" w:ascii="宋体" w:hAnsi="宋体"/>
          <w:sz w:val="21"/>
          <w:szCs w:val="21"/>
          <w:u w:val="single"/>
        </w:rPr>
        <w:t xml:space="preserve">年</w:t>
      </w:r>
      <w:r>
        <w:rPr>
          <w:rFonts w:hint="eastAsia" w:ascii="宋体" w:hAnsi="宋体"/>
          <w:sz w:val="21"/>
          <w:szCs w:val="21"/>
        </w:rPr>
        <w:t xml:space="preserve">质量保证期。</w:t>
      </w:r>
      <w:r/>
    </w:p>
    <w:p>
      <w:pPr>
        <w:ind w:left="400" w:firstLine="420"/>
        <w:spacing w:after="120" w:line="360" w:lineRule="auto"/>
        <w:rPr>
          <w:rFonts w:ascii="宋体" w:hAnsi="宋体"/>
          <w:sz w:val="21"/>
          <w:szCs w:val="21"/>
        </w:rPr>
      </w:pPr>
      <w:r>
        <w:rPr>
          <w:rFonts w:hint="eastAsia" w:ascii="宋体" w:hAnsi="宋体"/>
          <w:sz w:val="21"/>
          <w:szCs w:val="21"/>
        </w:rPr>
        <w:t xml:space="preserve">（3）在质量保证期内，确因产品质量问题产生的设备更换、备件、耗材、人工等费用均由供应商承担，因人为因素出现的故障不在免费保修范围。</w:t>
      </w:r>
      <w:r/>
    </w:p>
    <w:p>
      <w:pPr>
        <w:ind w:left="400" w:firstLine="420"/>
        <w:spacing w:after="120" w:line="360" w:lineRule="auto"/>
        <w:rPr>
          <w:rFonts w:ascii="宋体" w:hAnsi="宋体"/>
          <w:sz w:val="21"/>
          <w:szCs w:val="21"/>
        </w:rPr>
      </w:pPr>
      <w:r>
        <w:rPr>
          <w:rFonts w:hint="eastAsia" w:ascii="宋体" w:hAnsi="宋体"/>
          <w:sz w:val="21"/>
          <w:szCs w:val="21"/>
        </w:rPr>
        <w:t xml:space="preserve">（4）提供5×8小时售后服务热线。</w:t>
      </w:r>
      <w:r/>
    </w:p>
    <w:p>
      <w:pPr>
        <w:ind w:left="400" w:firstLine="420"/>
        <w:spacing w:after="120" w:line="360" w:lineRule="auto"/>
        <w:rPr>
          <w:rFonts w:ascii="宋体" w:hAnsi="宋体"/>
          <w:sz w:val="21"/>
          <w:szCs w:val="21"/>
        </w:rPr>
      </w:pPr>
      <w:r>
        <w:rPr>
          <w:rFonts w:hint="eastAsia" w:ascii="宋体" w:hAnsi="宋体"/>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400" w:firstLine="420"/>
        <w:spacing w:after="120" w:line="360" w:lineRule="auto"/>
        <w:rPr>
          <w:rFonts w:ascii="宋体" w:hAnsi="宋体"/>
          <w:sz w:val="21"/>
          <w:szCs w:val="21"/>
        </w:rPr>
      </w:pPr>
      <w:r>
        <w:rPr>
          <w:rFonts w:hint="eastAsia" w:ascii="宋体" w:hAnsi="宋体"/>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75"/>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bookmarkEnd w:id="10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（1）本次拟采购的产品中</w:t>
      </w:r>
      <w:r>
        <w:rPr>
          <w:rFonts w:hint="eastAsia" w:ascii="宋体" w:hAnsi="宋体"/>
          <w:b/>
          <w:sz w:val="21"/>
        </w:rPr>
        <w:t xml:space="preserve">运维实训终端、实训级高性能计算终端</w:t>
      </w:r>
      <w:r>
        <w:rPr>
          <w:rFonts w:hint="eastAsia" w:ascii="宋体" w:hAnsi="宋体"/>
          <w:b/>
          <w:sz w:val="21"/>
        </w:rPr>
        <w:t xml:space="preserve">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w:t>
      </w:r>
      <w:r>
        <w:rPr>
          <w:rFonts w:hint="eastAsia" w:ascii="宋体" w:hAnsi="宋体"/>
          <w:b/>
          <w:sz w:val="21"/>
        </w:rPr>
        <w:t xml:space="preserve">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本项目的预付款</w:t>
      </w:r>
      <w:r>
        <w:rPr>
          <w:rFonts w:hint="eastAsia" w:ascii="宋体" w:hAnsi="宋体"/>
          <w:sz w:val="21"/>
          <w:szCs w:val="21"/>
        </w:rPr>
        <w:t xml:space="preserve">为合同金额的30%。待全部货物安装到位，经调试、验收合格后，乙方将中标金额5%即￥元(大写：)的履约保证金缴纳至甲方指定账户，且提供下列材料后30个工作日内，甲方支付不超过合同总价的90%（含预付款）。待验收合格满1年，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若采购单位超期未退还，则按照银行同期贷款利率支付利息。</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A、合格销售发票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B、甲方签收后的送货回单</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C、履行验收报告单</w:t>
      </w:r>
      <w:r/>
    </w:p>
    <w:p>
      <w:pPr>
        <w:ind w:left="0" w:firstLine="420"/>
        <w:spacing w:line="480" w:lineRule="exact"/>
        <w:widowControl w:val="off"/>
        <w:rPr>
          <w:rFonts w:ascii="宋体" w:hAnsi="宋体"/>
          <w:sz w:val="21"/>
          <w:szCs w:val="21"/>
        </w:rPr>
      </w:pPr>
      <w:r>
        <w:rPr>
          <w:rFonts w:hint="eastAsia" w:ascii="宋体" w:hAnsi="宋体"/>
          <w:sz w:val="21"/>
          <w:szCs w:val="21"/>
        </w:rPr>
        <w:t xml:space="preserve">D、履约保证金缴纳凭证</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w:t>
      </w:r>
      <w:r>
        <w:rPr>
          <w:rFonts w:hint="eastAsia"/>
          <w:sz w:val="22"/>
          <w:szCs w:val="28"/>
          <w:u w:val="single"/>
        </w:rPr>
        <w:t xml:space="preserve">30</w:t>
      </w:r>
      <w:r>
        <w:rPr>
          <w:rFonts w:hint="eastAsia"/>
          <w:sz w:val="22"/>
          <w:szCs w:val="28"/>
        </w:rPr>
        <w:t xml:space="preserve">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履约保证金可以以支票、汇票、本票或者金融机构、担保机构出具的履约保函等非现金形式提交。</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中标金额的5%</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11" w:name="OLE_LINK63"/>
      <w:r>
        <w:rPr>
          <w:rFonts w:ascii="Wingdings" w:hAnsi="Wingdings" w:eastAsia="Wingdings" w:cs="Wingdings"/>
          <w:bCs/>
          <w:sz w:val="21"/>
          <w:szCs w:val="21"/>
        </w:rPr>
        <w:t xml:space="preserve">þ</w:t>
      </w:r>
      <w:bookmarkEnd w:id="111"/>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bC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硬件设备正确安装且能够正常使用，软件能够正常运行</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ascii="宋体" w:hAnsi="宋体"/>
          <w:sz w:val="21"/>
          <w:szCs w:val="21"/>
          <w:u w:val="single"/>
        </w:rPr>
        <w:t xml:space="preserve">三</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22"/>
        <w:ind w:left="0" w:firstLine="0"/>
        <w:rPr>
          <w:rFonts w:ascii="宋体" w:hAnsi="宋体"/>
          <w:b/>
          <w:sz w:val="44"/>
          <w:szCs w:val="22"/>
        </w:rPr>
      </w:pPr>
      <w:r>
        <w:rPr>
          <w:rFonts w:ascii="宋体" w:hAnsi="宋体"/>
          <w:b/>
          <w:sz w:val="44"/>
          <w:szCs w:val="22"/>
        </w:rPr>
      </w:r>
      <w:r/>
    </w:p>
    <w:p>
      <w:pPr>
        <w:pStyle w:val="922"/>
        <w:ind w:left="400" w:firstLine="883"/>
        <w:rPr>
          <w:rFonts w:ascii="宋体" w:hAnsi="宋体"/>
          <w:b/>
          <w:sz w:val="44"/>
          <w:szCs w:val="22"/>
        </w:rPr>
      </w:pPr>
      <w:r>
        <w:rPr>
          <w:rFonts w:hint="eastAsia" w:ascii="宋体" w:hAnsi="宋体"/>
          <w:b/>
          <w:sz w:val="44"/>
          <w:szCs w:val="22"/>
        </w:rPr>
        <w:br w:type="page" w:clear="all"/>
      </w:r>
      <w:r/>
    </w:p>
    <w:p>
      <w:pPr>
        <w:pStyle w:val="863"/>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8"/>
      <w:r/>
      <w:bookmarkEnd w:id="109"/>
      <w:r/>
      <w:bookmarkEnd w:id="110"/>
      <w:r/>
      <w:bookmarkEnd w:id="112"/>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bookmarkEnd w:id="118"/>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bookmarkEnd w:id="122"/>
      <w:bookmarkEnd w:id="12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bookmarkEnd w:id="120"/>
      <w:r/>
    </w:p>
    <w:p>
      <w:pPr>
        <w:ind w:left="0"/>
      </w:pPr>
      <w:r/>
      <w:r/>
    </w:p>
    <w:p>
      <w:pPr>
        <w:pStyle w:val="875"/>
      </w:pPr>
      <w:r/>
      <w:r/>
    </w:p>
    <w:p>
      <w:r/>
      <w:r/>
    </w:p>
    <w:p>
      <w:pPr>
        <w:pStyle w:val="875"/>
      </w:pPr>
      <w:r/>
      <w:r/>
    </w:p>
    <w:p>
      <w:r/>
      <w:r/>
    </w:p>
    <w:p>
      <w:pPr>
        <w:pStyle w:val="875"/>
      </w:pPr>
      <w:r/>
      <w:r/>
    </w:p>
    <w:p>
      <w:r/>
      <w:r/>
    </w:p>
    <w:p>
      <w:pPr>
        <w:pStyle w:val="87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81"/>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w:t>
            </w:r>
            <w:r/>
          </w:p>
          <w:p>
            <w:pPr>
              <w:ind w:left="0"/>
              <w:jc w:val="center"/>
              <w:rPr>
                <w:rFonts w:ascii="宋体" w:hAnsi="宋体" w:cs="Times New Roman"/>
                <w:bCs/>
                <w:sz w:val="21"/>
                <w:szCs w:val="21"/>
              </w:rPr>
            </w:pPr>
            <w:r>
              <w:rPr>
                <w:rFonts w:ascii="宋体" w:hAnsi="宋体" w:cs="Times New Roman"/>
                <w:bCs/>
                <w:sz w:val="21"/>
                <w:szCs w:val="21"/>
              </w:rPr>
              <w:t xml:space="preserve">类别</w:t>
            </w:r>
            <w:r/>
          </w:p>
        </w:tc>
        <w:tc>
          <w:tcPr>
            <w:tcW w:w="1033"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评审项</w:t>
            </w:r>
            <w:r/>
          </w:p>
        </w:tc>
        <w:tc>
          <w:tcPr>
            <w:tcW w:w="7500"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评审规则</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价格部分</w:t>
            </w:r>
            <w:r/>
          </w:p>
          <w:p>
            <w:pPr>
              <w:ind w:left="0"/>
              <w:jc w:val="center"/>
              <w:rPr>
                <w:rFonts w:ascii="宋体" w:hAnsi="宋体" w:cs="Times New Roman"/>
                <w:bCs/>
                <w:sz w:val="21"/>
                <w:szCs w:val="21"/>
              </w:rPr>
            </w:pPr>
            <w:r>
              <w:rPr>
                <w:rFonts w:ascii="宋体" w:hAnsi="宋体" w:cs="Times New Roman"/>
                <w:bCs/>
                <w:sz w:val="21"/>
                <w:szCs w:val="21"/>
              </w:rPr>
              <w:t xml:space="preserve">(</w:t>
            </w:r>
            <w:r>
              <w:rPr>
                <w:rFonts w:ascii="宋体" w:hAnsi="宋体" w:cs="Times New Roman"/>
                <w:bCs/>
                <w:sz w:val="21"/>
                <w:szCs w:val="21"/>
              </w:rPr>
              <w:t xml:space="preserve">3</w:t>
            </w:r>
            <w:r>
              <w:rPr>
                <w:rFonts w:hint="eastAsia" w:ascii="宋体" w:hAnsi="宋体" w:cs="Times New Roman"/>
                <w:bCs/>
                <w:sz w:val="21"/>
                <w:szCs w:val="21"/>
              </w:rPr>
              <w:t xml:space="preserve">0</w:t>
            </w:r>
            <w:r>
              <w:rPr>
                <w:rFonts w:ascii="宋体" w:hAnsi="宋体" w:cs="Times New Roman"/>
                <w:bCs/>
                <w:sz w:val="21"/>
                <w:szCs w:val="21"/>
              </w:rPr>
              <w:t xml:space="preserve">分)</w:t>
            </w:r>
            <w:r/>
          </w:p>
        </w:tc>
        <w:tc>
          <w:tcPr>
            <w:tcW w:w="1033"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投标报价</w:t>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1"/>
              </w:rPr>
            </w:pPr>
            <w:r>
              <w:rPr>
                <w:rFonts w:hint="eastAsia" w:ascii="宋体" w:hAnsi="宋体" w:cs="Times New Roman"/>
                <w:bCs/>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1"/>
              </w:rPr>
            </w:pPr>
            <w:r>
              <w:rPr>
                <w:rFonts w:hint="eastAsia" w:ascii="宋体" w:hAnsi="宋体" w:cs="Times New Roman"/>
                <w:bCs/>
                <w:sz w:val="21"/>
                <w:szCs w:val="21"/>
              </w:rPr>
              <w:t xml:space="preserve">投标报价得分＝（评标基准价/投标报价）×</w:t>
            </w:r>
            <w:r>
              <w:rPr>
                <w:rFonts w:ascii="宋体" w:hAnsi="宋体" w:cs="Times New Roman"/>
                <w:bCs/>
                <w:sz w:val="21"/>
                <w:szCs w:val="21"/>
              </w:rPr>
              <w:t xml:space="preserve">3</w:t>
            </w:r>
            <w:r>
              <w:rPr>
                <w:rFonts w:ascii="宋体" w:hAnsi="宋体" w:cs="Times New Roman"/>
                <w:bCs/>
                <w:sz w:val="21"/>
                <w:szCs w:val="21"/>
              </w:rPr>
              <w:t xml:space="preserve">0</w:t>
            </w:r>
            <w:r>
              <w:rPr>
                <w:rFonts w:hint="eastAsia" w:ascii="宋体" w:hAnsi="宋体" w:cs="Times New Roman"/>
                <w:bCs/>
                <w:sz w:val="21"/>
                <w:szCs w:val="21"/>
              </w:rPr>
              <w:t xml:space="preserve">%×100</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w:t>
            </w:r>
            <w:r>
              <w:rPr>
                <w:rFonts w:hint="eastAsia" w:ascii="宋体" w:hAnsi="宋体" w:cs="Times New Roman"/>
                <w:bCs/>
                <w:sz w:val="21"/>
                <w:szCs w:val="21"/>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技术</w:t>
            </w:r>
            <w:r>
              <w:rPr>
                <w:rFonts w:ascii="宋体" w:hAnsi="宋体" w:cs="Times New Roman"/>
                <w:bCs/>
                <w:sz w:val="21"/>
                <w:szCs w:val="21"/>
              </w:rPr>
              <w:t xml:space="preserve">部分</w:t>
            </w:r>
            <w:r/>
          </w:p>
          <w:p>
            <w:pPr>
              <w:ind w:left="0"/>
              <w:jc w:val="center"/>
              <w:rPr>
                <w:rFonts w:ascii="宋体" w:hAnsi="宋体" w:cs="Times New Roman"/>
                <w:bCs/>
                <w:sz w:val="21"/>
                <w:szCs w:val="21"/>
              </w:rPr>
            </w:pPr>
            <w:r>
              <w:rPr>
                <w:rFonts w:ascii="宋体" w:hAnsi="宋体" w:cs="Times New Roman"/>
                <w:bCs/>
                <w:sz w:val="21"/>
                <w:szCs w:val="21"/>
              </w:rPr>
              <w:t xml:space="preserve">(6</w:t>
            </w:r>
            <w:r>
              <w:rPr>
                <w:rFonts w:hint="eastAsia" w:ascii="宋体" w:hAnsi="宋体" w:cs="Times New Roman"/>
                <w:bCs/>
                <w:sz w:val="21"/>
                <w:szCs w:val="21"/>
              </w:rPr>
              <w:t xml:space="preserve">0</w:t>
            </w:r>
            <w:r>
              <w:rPr>
                <w:rFonts w:ascii="宋体" w:hAnsi="宋体" w:cs="Times New Roman"/>
                <w:bCs/>
                <w:sz w:val="21"/>
                <w:szCs w:val="21"/>
              </w:rPr>
              <w:t xml:space="preserve">分)</w:t>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技术参数比较</w:t>
            </w:r>
            <w:r/>
          </w:p>
        </w:tc>
        <w:tc>
          <w:tcPr>
            <w:tcW w:w="750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评委根据招标文件所提供的技术参数及相关要求，对投标人所投产品的技术参数及相关证明材料进行评审。</w:t>
            </w:r>
            <w:r/>
          </w:p>
          <w:p>
            <w:pPr>
              <w:ind w:left="0"/>
              <w:widowControl w:val="off"/>
              <w:rPr>
                <w:rFonts w:ascii="宋体" w:hAnsi="宋体"/>
                <w:sz w:val="21"/>
                <w:szCs w:val="21"/>
                <w:lang w:bidi="ar"/>
              </w:rPr>
            </w:pPr>
            <w:r>
              <w:rPr>
                <w:rFonts w:hint="eastAsia" w:ascii="宋体" w:hAnsi="宋体"/>
                <w:sz w:val="21"/>
                <w:szCs w:val="21"/>
                <w:lang w:bidi="ar"/>
              </w:rPr>
              <w:t xml:space="preserve">带“</w:t>
            </w:r>
            <w:bookmarkStart w:id="124" w:name="OLE_LINK54"/>
            <w:r/>
            <w:bookmarkStart w:id="125" w:name="OLE_LINK55"/>
            <w:r>
              <w:rPr>
                <w:rFonts w:hint="eastAsia" w:ascii="宋体" w:hAnsi="宋体"/>
                <w:sz w:val="21"/>
                <w:szCs w:val="21"/>
                <w:lang w:bidi="ar"/>
              </w:rPr>
              <w:t xml:space="preserve">▲</w:t>
            </w:r>
            <w:bookmarkEnd w:id="124"/>
            <w:r/>
            <w:bookmarkEnd w:id="125"/>
            <w:r>
              <w:rPr>
                <w:rFonts w:hint="eastAsia" w:ascii="宋体" w:hAnsi="宋体"/>
                <w:sz w:val="21"/>
                <w:szCs w:val="21"/>
                <w:lang w:bidi="ar"/>
              </w:rPr>
              <w:t xml:space="preserve">”项为重要技术参数，完全满足或优于招标文件要求的，每满足一条得2分，最高得</w:t>
            </w:r>
            <w:r>
              <w:rPr>
                <w:rFonts w:ascii="宋体" w:hAnsi="宋体"/>
                <w:sz w:val="21"/>
                <w:szCs w:val="21"/>
                <w:lang w:bidi="ar"/>
              </w:rPr>
              <w:t xml:space="preserve">12</w:t>
            </w:r>
            <w:r>
              <w:rPr>
                <w:rFonts w:hint="eastAsia" w:ascii="宋体" w:hAnsi="宋体"/>
                <w:sz w:val="21"/>
                <w:szCs w:val="21"/>
                <w:lang w:bidi="ar"/>
              </w:rPr>
              <w:t xml:space="preserve">分。 </w:t>
            </w:r>
            <w:r/>
          </w:p>
          <w:p>
            <w:pPr>
              <w:ind w:left="0"/>
              <w:jc w:val="left"/>
              <w:rPr>
                <w:rFonts w:ascii="宋体" w:hAnsi="宋体"/>
                <w:sz w:val="21"/>
                <w:szCs w:val="21"/>
              </w:rPr>
            </w:pPr>
            <w:r>
              <w:rPr>
                <w:rFonts w:hint="eastAsia" w:ascii="宋体" w:hAnsi="宋体"/>
                <w:b/>
                <w:sz w:val="21"/>
                <w:szCs w:val="21"/>
                <w:lang w:bidi="ar"/>
              </w:rPr>
              <w:t xml:space="preserve">注：“▲”的技术参数须提供相关证明材料（需与参数要求提供的相关材料一致）并加盖投标单位公章，未按要求提供的视为负偏离。</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12</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项目理解</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rPr>
                <w:rFonts w:ascii="宋体" w:hAnsi="宋体"/>
                <w:sz w:val="21"/>
                <w:szCs w:val="21"/>
              </w:rPr>
            </w:pPr>
            <w:r>
              <w:rPr>
                <w:rFonts w:hint="eastAsia" w:ascii="宋体" w:hAnsi="宋体"/>
                <w:sz w:val="21"/>
                <w:szCs w:val="21"/>
              </w:rPr>
              <w:t xml:space="preserve">1.项目背景； </w:t>
            </w:r>
            <w:r/>
          </w:p>
          <w:p>
            <w:pPr>
              <w:ind w:left="0"/>
              <w:rPr>
                <w:rFonts w:ascii="宋体" w:hAnsi="宋体"/>
                <w:sz w:val="21"/>
                <w:szCs w:val="21"/>
              </w:rPr>
            </w:pPr>
            <w:r>
              <w:rPr>
                <w:rFonts w:hint="eastAsia" w:ascii="宋体" w:hAnsi="宋体"/>
                <w:sz w:val="21"/>
                <w:szCs w:val="21"/>
              </w:rPr>
              <w:t xml:space="preserve">2.项目必要性；</w:t>
            </w:r>
            <w:r/>
          </w:p>
          <w:p>
            <w:pPr>
              <w:ind w:left="0"/>
              <w:rPr>
                <w:rFonts w:ascii="宋体" w:hAnsi="宋体"/>
                <w:sz w:val="21"/>
                <w:szCs w:val="21"/>
              </w:rPr>
            </w:pPr>
            <w:r>
              <w:rPr>
                <w:rFonts w:hint="eastAsia" w:ascii="宋体" w:hAnsi="宋体"/>
                <w:sz w:val="21"/>
                <w:szCs w:val="21"/>
              </w:rPr>
              <w:t xml:space="preserve">3.项目需求分析。</w:t>
            </w:r>
            <w:r/>
          </w:p>
          <w:p>
            <w:pPr>
              <w:ind w:left="0"/>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实施服务方案</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投标人根据本项目特点，制定下列实施服务方案。</w:t>
            </w:r>
            <w:r/>
          </w:p>
          <w:p>
            <w:pPr>
              <w:ind w:left="0"/>
              <w:rPr>
                <w:rFonts w:ascii="宋体" w:hAnsi="宋体"/>
                <w:sz w:val="21"/>
                <w:szCs w:val="21"/>
              </w:rPr>
            </w:pPr>
            <w:r>
              <w:rPr>
                <w:rFonts w:hint="eastAsia" w:ascii="宋体" w:hAnsi="宋体"/>
                <w:sz w:val="21"/>
                <w:szCs w:val="21"/>
              </w:rPr>
              <w:t xml:space="preserve">1.服务范围；</w:t>
            </w:r>
            <w:r/>
          </w:p>
          <w:p>
            <w:pPr>
              <w:ind w:left="0"/>
              <w:rPr>
                <w:rFonts w:ascii="宋体" w:hAnsi="宋体"/>
                <w:sz w:val="21"/>
                <w:szCs w:val="21"/>
              </w:rPr>
            </w:pPr>
            <w:r>
              <w:rPr>
                <w:rFonts w:hint="eastAsia" w:ascii="宋体" w:hAnsi="宋体"/>
                <w:sz w:val="21"/>
                <w:szCs w:val="21"/>
              </w:rPr>
              <w:t xml:space="preserve">2.内容和实施标准；</w:t>
            </w:r>
            <w:r/>
          </w:p>
          <w:p>
            <w:pPr>
              <w:ind w:left="0"/>
              <w:rPr>
                <w:rFonts w:ascii="宋体" w:hAnsi="宋体"/>
                <w:sz w:val="21"/>
                <w:szCs w:val="21"/>
              </w:rPr>
            </w:pPr>
            <w:r>
              <w:rPr>
                <w:rFonts w:hint="eastAsia" w:ascii="宋体" w:hAnsi="宋体"/>
                <w:sz w:val="21"/>
                <w:szCs w:val="21"/>
              </w:rPr>
              <w:t xml:space="preserve">3.内容和实施方法。</w:t>
            </w:r>
            <w:r/>
          </w:p>
          <w:p>
            <w:pPr>
              <w:ind w:left="0"/>
              <w:rPr>
                <w:rFonts w:ascii="宋体" w:hAnsi="宋体"/>
                <w:sz w:val="21"/>
                <w:szCs w:val="21"/>
              </w:rPr>
            </w:pPr>
            <w:r>
              <w:rPr>
                <w:rFonts w:hint="eastAsia" w:ascii="宋体" w:hAnsi="宋体"/>
                <w:sz w:val="21"/>
                <w:szCs w:val="21"/>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售后服务方案</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投标人根据本项目特点，制定下列售后服务方案。</w:t>
            </w:r>
            <w:r/>
          </w:p>
          <w:p>
            <w:pPr>
              <w:ind w:left="0"/>
              <w:rPr>
                <w:rFonts w:ascii="宋体" w:hAnsi="宋体"/>
                <w:sz w:val="21"/>
                <w:szCs w:val="21"/>
              </w:rPr>
            </w:pPr>
            <w:r>
              <w:rPr>
                <w:rFonts w:hint="eastAsia" w:ascii="宋体" w:hAnsi="宋体"/>
                <w:sz w:val="21"/>
                <w:szCs w:val="21"/>
              </w:rPr>
              <w:t xml:space="preserve">1.技术支持；</w:t>
            </w:r>
            <w:r/>
          </w:p>
          <w:p>
            <w:pPr>
              <w:ind w:left="0"/>
              <w:rPr>
                <w:rFonts w:ascii="宋体" w:hAnsi="宋体"/>
                <w:sz w:val="21"/>
                <w:szCs w:val="21"/>
              </w:rPr>
            </w:pPr>
            <w:r>
              <w:rPr>
                <w:rFonts w:hint="eastAsia" w:ascii="宋体" w:hAnsi="宋体"/>
                <w:sz w:val="21"/>
                <w:szCs w:val="21"/>
              </w:rPr>
              <w:t xml:space="preserve">2.网络服务网点布局；</w:t>
            </w:r>
            <w:r/>
          </w:p>
          <w:p>
            <w:pPr>
              <w:ind w:left="0"/>
              <w:rPr>
                <w:rFonts w:ascii="宋体" w:hAnsi="宋体"/>
                <w:sz w:val="21"/>
                <w:szCs w:val="21"/>
              </w:rPr>
            </w:pPr>
            <w:r>
              <w:rPr>
                <w:rFonts w:hint="eastAsia" w:ascii="宋体" w:hAnsi="宋体"/>
                <w:sz w:val="21"/>
                <w:szCs w:val="21"/>
              </w:rPr>
              <w:t xml:space="preserve">3.网络服务网点服务。</w:t>
            </w:r>
            <w:r/>
          </w:p>
          <w:p>
            <w:pPr>
              <w:ind w:left="0"/>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应急保障方案</w:t>
            </w:r>
            <w:r/>
          </w:p>
        </w:tc>
        <w:tc>
          <w:tcPr>
            <w:tcW w:w="750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投标人根据本项目特点，制定下列应急保障方案。</w:t>
            </w:r>
            <w:r/>
          </w:p>
          <w:p>
            <w:pPr>
              <w:ind w:left="0"/>
              <w:rPr>
                <w:rFonts w:ascii="宋体" w:hAnsi="宋体"/>
                <w:sz w:val="21"/>
                <w:szCs w:val="21"/>
              </w:rPr>
            </w:pPr>
            <w:r>
              <w:rPr>
                <w:rFonts w:hint="eastAsia" w:ascii="宋体" w:hAnsi="宋体"/>
                <w:sz w:val="21"/>
                <w:szCs w:val="21"/>
              </w:rPr>
              <w:t xml:space="preserve">1.响应时间；</w:t>
            </w:r>
            <w:r/>
          </w:p>
          <w:p>
            <w:pPr>
              <w:ind w:left="0"/>
              <w:rPr>
                <w:rFonts w:ascii="宋体" w:hAnsi="宋体"/>
                <w:sz w:val="21"/>
                <w:szCs w:val="21"/>
              </w:rPr>
            </w:pPr>
            <w:r>
              <w:rPr>
                <w:rFonts w:hint="eastAsia" w:ascii="宋体" w:hAnsi="宋体"/>
                <w:sz w:val="21"/>
                <w:szCs w:val="21"/>
              </w:rPr>
              <w:t xml:space="preserve">2.故障处理；</w:t>
            </w:r>
            <w:r/>
          </w:p>
          <w:p>
            <w:pPr>
              <w:ind w:left="0"/>
              <w:rPr>
                <w:rFonts w:ascii="宋体" w:hAnsi="宋体"/>
                <w:sz w:val="21"/>
                <w:szCs w:val="21"/>
              </w:rPr>
            </w:pPr>
            <w:r>
              <w:rPr>
                <w:rFonts w:hint="eastAsia" w:ascii="宋体" w:hAnsi="宋体"/>
                <w:sz w:val="21"/>
                <w:szCs w:val="21"/>
              </w:rPr>
              <w:t xml:space="preserve">3.应急方案。</w:t>
            </w:r>
            <w:r/>
          </w:p>
          <w:p>
            <w:pPr>
              <w:ind w:left="0"/>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相关功能演示</w:t>
            </w:r>
            <w:r/>
          </w:p>
        </w:tc>
        <w:tc>
          <w:tcPr>
            <w:tcW w:w="7500" w:type="dxa"/>
            <w:vAlign w:val="center"/>
            <w:textDirection w:val="lrTb"/>
            <w:noWrap w:val="false"/>
          </w:tcPr>
          <w:p>
            <w:pPr>
              <w:ind w:left="0" w:firstLine="420"/>
              <w:rPr>
                <w:rFonts w:ascii="宋体" w:hAnsi="宋体"/>
                <w:sz w:val="21"/>
                <w:szCs w:val="21"/>
              </w:rPr>
            </w:pPr>
            <w:r>
              <w:rPr>
                <w:rFonts w:hint="eastAsia" w:ascii="宋体" w:hAnsi="宋体"/>
                <w:sz w:val="21"/>
                <w:szCs w:val="21"/>
              </w:rPr>
              <w:t xml:space="preserve">投标单位须按招标需求中带“</w:t>
            </w:r>
            <w:bookmarkStart w:id="126" w:name="OLE_LINK56"/>
            <w:r/>
            <w:bookmarkStart w:id="127" w:name="OLE_LINK57"/>
            <w:r/>
            <w:bookmarkStart w:id="128" w:name="OLE_LINK59"/>
            <w:r>
              <w:rPr>
                <w:rFonts w:hint="eastAsia" w:ascii="宋体" w:hAnsi="宋体"/>
                <w:sz w:val="21"/>
                <w:szCs w:val="21"/>
              </w:rPr>
              <w:t xml:space="preserve">●</w:t>
            </w:r>
            <w:bookmarkEnd w:id="126"/>
            <w:r/>
            <w:bookmarkEnd w:id="127"/>
            <w:r/>
            <w:bookmarkEnd w:id="128"/>
            <w:r>
              <w:rPr>
                <w:rFonts w:hint="eastAsia" w:ascii="宋体" w:hAnsi="宋体"/>
                <w:sz w:val="21"/>
                <w:szCs w:val="21"/>
              </w:rPr>
              <w:t xml:space="preserve">”的核心技术重要参数功能进行视频演示，每项需要演示的内容应逐条演示，展示全面，内容完整，条理清晰，每项得</w:t>
            </w:r>
            <w:r>
              <w:rPr>
                <w:rFonts w:ascii="宋体" w:hAnsi="宋体"/>
                <w:sz w:val="21"/>
                <w:szCs w:val="21"/>
              </w:rPr>
              <w:t xml:space="preserve">2</w:t>
            </w:r>
            <w:r>
              <w:rPr>
                <w:rFonts w:hint="eastAsia" w:ascii="宋体" w:hAnsi="宋体"/>
                <w:sz w:val="21"/>
                <w:szCs w:val="21"/>
              </w:rPr>
              <w:t xml:space="preserve">分；演示内容基本完整，条理较为清晰的得</w:t>
            </w:r>
            <w:r>
              <w:rPr>
                <w:rFonts w:ascii="宋体" w:hAnsi="宋体"/>
                <w:sz w:val="21"/>
                <w:szCs w:val="21"/>
              </w:rPr>
              <w:t xml:space="preserve">1</w:t>
            </w:r>
            <w:r>
              <w:rPr>
                <w:rFonts w:hint="eastAsia" w:ascii="宋体" w:hAnsi="宋体"/>
                <w:sz w:val="21"/>
                <w:szCs w:val="21"/>
              </w:rPr>
              <w:t xml:space="preserve">分；每项演示内容完全脱离采购需求或未作完整演示的不得分。本项最高得</w:t>
            </w:r>
            <w:r>
              <w:rPr>
                <w:rFonts w:ascii="宋体" w:hAnsi="宋体"/>
                <w:sz w:val="21"/>
                <w:szCs w:val="21"/>
              </w:rPr>
              <w:t xml:space="preserve">8</w:t>
            </w:r>
            <w:r>
              <w:rPr>
                <w:rFonts w:hint="eastAsia" w:ascii="宋体" w:hAnsi="宋体"/>
                <w:sz w:val="21"/>
                <w:szCs w:val="21"/>
              </w:rPr>
              <w:t xml:space="preserve">分。</w:t>
            </w:r>
            <w:r/>
          </w:p>
          <w:p>
            <w:pPr>
              <w:ind w:left="0"/>
              <w:rPr>
                <w:rFonts w:ascii="宋体" w:hAnsi="宋体" w:cs="Times New Roman"/>
                <w:bCs/>
                <w:sz w:val="21"/>
                <w:szCs w:val="21"/>
              </w:rPr>
            </w:pPr>
            <w:r>
              <w:rPr>
                <w:rFonts w:hint="eastAsia" w:ascii="宋体" w:hAnsi="宋体"/>
                <w:b/>
                <w:sz w:val="21"/>
                <w:szCs w:val="21"/>
              </w:rPr>
              <w:t xml:space="preserve">（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bookmarkStart w:id="129" w:name="OLE_LINK58"/>
            <w:r>
              <w:rPr>
                <w:rFonts w:hint="eastAsia" w:ascii="宋体" w:hAnsi="宋体" w:cs="Times New Roman"/>
                <w:bCs/>
                <w:sz w:val="21"/>
                <w:szCs w:val="21"/>
              </w:rPr>
              <w:t xml:space="preserve">项目经理</w:t>
            </w:r>
            <w:bookmarkEnd w:id="129"/>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投标人针对本项目拟投入的项目经理：</w:t>
            </w:r>
            <w:r/>
          </w:p>
          <w:p>
            <w:pPr>
              <w:pStyle w:val="875"/>
              <w:ind w:left="0" w:firstLine="0"/>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具有电子信息类高级工程师得</w:t>
            </w:r>
            <w:bookmarkStart w:id="130" w:name="OLE_LINK50"/>
            <w:r/>
            <w:bookmarkStart w:id="131" w:name="OLE_LINK51"/>
            <w:r>
              <w:rPr>
                <w:rFonts w:ascii="宋体" w:hAnsi="宋体" w:cs="Calibri"/>
                <w:sz w:val="21"/>
                <w:szCs w:val="21"/>
              </w:rPr>
              <w:t xml:space="preserve">3</w:t>
            </w:r>
            <w:r>
              <w:rPr>
                <w:rFonts w:hint="eastAsia" w:ascii="宋体" w:hAnsi="宋体" w:cs="Calibri"/>
                <w:sz w:val="21"/>
                <w:szCs w:val="21"/>
              </w:rPr>
              <w:t xml:space="preserve">分</w:t>
            </w:r>
            <w:bookmarkEnd w:id="130"/>
            <w:r/>
            <w:bookmarkEnd w:id="131"/>
            <w:r>
              <w:rPr>
                <w:rFonts w:hint="eastAsia" w:ascii="宋体" w:hAnsi="宋体" w:cs="Calibri"/>
                <w:sz w:val="21"/>
                <w:szCs w:val="21"/>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具有有效期内的</w:t>
            </w:r>
            <w:bookmarkStart w:id="132" w:name="OLE_LINK36"/>
            <w:r/>
            <w:bookmarkStart w:id="133" w:name="OLE_LINK37"/>
            <w:r>
              <w:rPr>
                <w:rFonts w:hint="eastAsia" w:ascii="宋体" w:hAnsi="宋体"/>
                <w:sz w:val="21"/>
                <w:szCs w:val="21"/>
              </w:rPr>
              <w:t xml:space="preserve">CISAW</w:t>
            </w:r>
            <w:bookmarkEnd w:id="132"/>
            <w:r/>
            <w:bookmarkEnd w:id="133"/>
            <w:r>
              <w:rPr>
                <w:rFonts w:hint="eastAsia" w:ascii="宋体" w:hAnsi="宋体"/>
                <w:sz w:val="21"/>
                <w:szCs w:val="21"/>
              </w:rPr>
              <w:t xml:space="preserve">信息安全保障人员</w:t>
            </w:r>
            <w:r>
              <w:rPr>
                <w:rFonts w:hint="eastAsia" w:ascii="宋体" w:hAnsi="宋体"/>
                <w:sz w:val="21"/>
                <w:szCs w:val="21"/>
              </w:rPr>
              <w:t xml:space="preserve">认证</w:t>
            </w:r>
            <w:r>
              <w:rPr>
                <w:rFonts w:hint="eastAsia" w:ascii="宋体" w:hAnsi="宋体"/>
                <w:sz w:val="21"/>
                <w:szCs w:val="21"/>
              </w:rPr>
              <w:t xml:space="preserve">证书得</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w:t>
            </w:r>
            <w:r/>
          </w:p>
          <w:p>
            <w:pPr>
              <w:pStyle w:val="875"/>
              <w:ind w:left="0" w:firstLine="0"/>
              <w:rPr>
                <w:rFonts w:ascii="宋体" w:hAnsi="宋体" w:cs="Calibri"/>
                <w:sz w:val="21"/>
                <w:szCs w:val="21"/>
              </w:rPr>
            </w:pPr>
            <w:r>
              <w:rPr>
                <w:rFonts w:ascii="宋体" w:hAnsi="宋体" w:cs="Calibri"/>
                <w:sz w:val="21"/>
                <w:szCs w:val="21"/>
              </w:rPr>
              <w:t xml:space="preserve">共</w:t>
            </w:r>
            <w:r>
              <w:rPr>
                <w:rFonts w:ascii="宋体" w:hAnsi="宋体" w:cs="Calibri"/>
                <w:sz w:val="21"/>
                <w:szCs w:val="21"/>
              </w:rPr>
              <w:t xml:space="preserve">6</w:t>
            </w:r>
            <w:r>
              <w:rPr>
                <w:rFonts w:hint="eastAsia" w:ascii="宋体" w:hAnsi="宋体" w:cs="Calibri"/>
                <w:sz w:val="21"/>
                <w:szCs w:val="21"/>
              </w:rPr>
              <w:t xml:space="preserve">分。</w:t>
            </w:r>
            <w:r/>
          </w:p>
          <w:p>
            <w:pPr>
              <w:ind w:left="0"/>
              <w:rPr>
                <w:b/>
              </w:rPr>
            </w:pPr>
            <w:r>
              <w:rPr>
                <w:rFonts w:hint="eastAsia" w:ascii="宋体" w:hAnsi="宋体" w:cs="Times New Roman"/>
                <w:b/>
                <w:bCs/>
                <w:sz w:val="21"/>
                <w:szCs w:val="21"/>
              </w:rPr>
              <w:t xml:space="preserve">（注：投标文件内提供身份证正反面扫描件、有效证书或证明扫描件、投标人为其缴纳的最新一期社保证明资料并加盖投标人公章，否则不得分。</w:t>
            </w:r>
            <w:r>
              <w:rPr>
                <w:rFonts w:hint="eastAsia" w:ascii="宋体" w:hAnsi="宋体" w:cs="Times New Roman"/>
                <w:b/>
                <w:bCs/>
                <w:sz w:val="21"/>
                <w:szCs w:val="21"/>
              </w:rPr>
              <w:t xml:space="preserve">本岗位限1人，不得兼任本项目其他岗位，否则本岗位不得分。</w:t>
            </w:r>
            <w:r>
              <w:rPr>
                <w:rFonts w:hint="eastAsia" w:ascii="宋体" w:hAnsi="宋体" w:cs="Times New Roman"/>
                <w:b/>
                <w:bCs/>
                <w:sz w:val="21"/>
                <w:szCs w:val="21"/>
              </w:rPr>
              <w:t xml:space="preserve">）</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项目技术负责人</w:t>
            </w:r>
            <w:r/>
          </w:p>
        </w:tc>
        <w:tc>
          <w:tcPr>
            <w:tcW w:w="7500" w:type="dxa"/>
            <w:vAlign w:val="center"/>
            <w:textDirection w:val="lrTb"/>
            <w:noWrap w:val="false"/>
          </w:tcPr>
          <w:p>
            <w:pPr>
              <w:ind w:left="0"/>
              <w:rPr>
                <w:rFonts w:ascii="宋体" w:hAnsi="宋体"/>
                <w:sz w:val="21"/>
                <w:szCs w:val="21"/>
              </w:rPr>
            </w:pPr>
            <w:r>
              <w:rPr>
                <w:rFonts w:hint="eastAsia" w:ascii="宋体" w:hAnsi="宋体" w:cs="Times New Roman"/>
                <w:bCs/>
                <w:sz w:val="21"/>
                <w:szCs w:val="21"/>
              </w:rPr>
              <w:t xml:space="preserve">投标人针对本项目拟投入的</w:t>
            </w:r>
            <w:r>
              <w:rPr>
                <w:rFonts w:hint="eastAsia" w:ascii="宋体" w:hAnsi="宋体"/>
                <w:sz w:val="21"/>
                <w:szCs w:val="21"/>
              </w:rPr>
              <w:t xml:space="preserve">项目技术负责人：</w:t>
            </w:r>
            <w:r/>
          </w:p>
          <w:p>
            <w:pPr>
              <w:pStyle w:val="875"/>
              <w:ind w:left="0" w:firstLine="0"/>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具有注册信息安全工程师（</w:t>
            </w:r>
            <w:bookmarkStart w:id="134" w:name="OLE_LINK39"/>
            <w:r/>
            <w:bookmarkStart w:id="135" w:name="OLE_LINK40"/>
            <w:r>
              <w:rPr>
                <w:rFonts w:hint="eastAsia" w:ascii="宋体" w:hAnsi="宋体" w:cs="Calibri"/>
                <w:sz w:val="21"/>
                <w:szCs w:val="21"/>
              </w:rPr>
              <w:t xml:space="preserve">CISE</w:t>
            </w:r>
            <w:bookmarkEnd w:id="134"/>
            <w:r/>
            <w:bookmarkEnd w:id="135"/>
            <w:r>
              <w:rPr>
                <w:rFonts w:hint="eastAsia" w:ascii="宋体" w:hAnsi="宋体" w:cs="Calibri"/>
                <w:sz w:val="21"/>
                <w:szCs w:val="21"/>
              </w:rPr>
              <w:t xml:space="preserve">）证书的得</w:t>
            </w:r>
            <w:r>
              <w:rPr>
                <w:rFonts w:ascii="宋体" w:hAnsi="宋体" w:cs="Calibri"/>
                <w:sz w:val="21"/>
                <w:szCs w:val="21"/>
              </w:rPr>
              <w:t xml:space="preserve">3</w:t>
            </w:r>
            <w:r>
              <w:rPr>
                <w:rFonts w:hint="eastAsia" w:ascii="宋体" w:hAnsi="宋体" w:cs="Calibri"/>
                <w:sz w:val="21"/>
                <w:szCs w:val="21"/>
              </w:rPr>
              <w:t xml:space="preserve">分</w:t>
            </w:r>
            <w:r>
              <w:rPr>
                <w:rFonts w:hint="eastAsia" w:ascii="宋体" w:hAnsi="宋体" w:cs="Calibri"/>
                <w:sz w:val="21"/>
                <w:szCs w:val="21"/>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具有</w:t>
            </w:r>
            <w:bookmarkStart w:id="136" w:name="OLE_LINK44"/>
            <w:r/>
            <w:bookmarkStart w:id="137" w:name="OLE_LINK45"/>
            <w:r>
              <w:rPr>
                <w:rFonts w:hint="eastAsia" w:ascii="宋体" w:hAnsi="宋体"/>
                <w:sz w:val="21"/>
                <w:szCs w:val="21"/>
              </w:rPr>
              <w:t xml:space="preserve">IT服务项目经理</w:t>
            </w:r>
            <w:bookmarkEnd w:id="136"/>
            <w:r/>
            <w:bookmarkEnd w:id="137"/>
            <w:r>
              <w:rPr>
                <w:rFonts w:hint="eastAsia" w:ascii="宋体" w:hAnsi="宋体"/>
                <w:sz w:val="21"/>
                <w:szCs w:val="21"/>
              </w:rPr>
              <w:t xml:space="preserve">证书的得</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w:t>
            </w:r>
            <w:r/>
          </w:p>
          <w:p>
            <w:pPr>
              <w:pStyle w:val="875"/>
              <w:ind w:left="0" w:firstLine="0"/>
              <w:rPr>
                <w:rFonts w:ascii="宋体" w:hAnsi="宋体" w:cs="Calibri"/>
                <w:sz w:val="21"/>
                <w:szCs w:val="21"/>
              </w:rPr>
            </w:pPr>
            <w:r>
              <w:rPr>
                <w:rFonts w:ascii="宋体" w:hAnsi="宋体" w:cs="Calibri"/>
                <w:sz w:val="21"/>
                <w:szCs w:val="21"/>
              </w:rPr>
              <w:t xml:space="preserve">共</w:t>
            </w:r>
            <w:r>
              <w:rPr>
                <w:rFonts w:ascii="宋体" w:hAnsi="宋体" w:cs="Calibri"/>
                <w:sz w:val="21"/>
                <w:szCs w:val="21"/>
              </w:rPr>
              <w:t xml:space="preserve">6</w:t>
            </w:r>
            <w:r>
              <w:rPr>
                <w:rFonts w:hint="eastAsia" w:ascii="宋体" w:hAnsi="宋体" w:cs="Calibri"/>
                <w:sz w:val="21"/>
                <w:szCs w:val="21"/>
              </w:rPr>
              <w:t xml:space="preserve">分。</w:t>
            </w:r>
            <w:r/>
          </w:p>
          <w:p>
            <w:pPr>
              <w:pStyle w:val="875"/>
              <w:ind w:left="0" w:firstLine="0"/>
            </w:pPr>
            <w:r>
              <w:rPr>
                <w:rFonts w:hint="eastAsia" w:ascii="宋体" w:hAnsi="宋体"/>
                <w:b/>
                <w:bCs/>
                <w:sz w:val="21"/>
                <w:szCs w:val="21"/>
              </w:rPr>
              <w:t xml:space="preserve">（注：投标文件内提供身份证正反面扫描件、有效证书或证明扫描件、投标人为其缴纳的最新一期社保证明资料并加盖投标人公章，否则不得分。本岗位限1人，不得兼任本项目其他岗位，否则本岗位不得分。）</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033" w:type="dxa"/>
            <w:vAlign w:val="center"/>
            <w:textDirection w:val="lrTb"/>
            <w:noWrap w:val="false"/>
          </w:tcPr>
          <w:p>
            <w:pPr>
              <w:ind w:left="0"/>
              <w:jc w:val="center"/>
              <w:rPr>
                <w:rFonts w:ascii="宋体" w:hAnsi="宋体" w:cs="Times New Roman"/>
                <w:b/>
                <w:sz w:val="21"/>
                <w:szCs w:val="21"/>
              </w:rPr>
            </w:pPr>
            <w:r>
              <w:rPr>
                <w:rFonts w:hint="eastAsia" w:ascii="宋体" w:hAnsi="宋体" w:cs="Times New Roman"/>
                <w:sz w:val="21"/>
                <w:szCs w:val="21"/>
              </w:rPr>
              <w:t xml:space="preserve">项</w:t>
            </w:r>
            <w:r>
              <w:rPr>
                <w:rFonts w:hint="eastAsia" w:ascii="宋体" w:hAnsi="宋体" w:cs="Times New Roman"/>
                <w:bCs/>
                <w:sz w:val="21"/>
                <w:szCs w:val="21"/>
              </w:rPr>
              <w:t xml:space="preserve">目实施售后运维负责人</w:t>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投标人针对本项目拟投入的</w:t>
            </w:r>
            <w:r>
              <w:rPr>
                <w:rFonts w:hint="eastAsia" w:ascii="宋体" w:hAnsi="宋体" w:cs="Times New Roman"/>
                <w:sz w:val="21"/>
                <w:szCs w:val="21"/>
              </w:rPr>
              <w:t xml:space="preserve">项</w:t>
            </w:r>
            <w:r>
              <w:rPr>
                <w:rFonts w:hint="eastAsia" w:ascii="宋体" w:hAnsi="宋体" w:cs="Times New Roman"/>
                <w:bCs/>
                <w:sz w:val="21"/>
                <w:szCs w:val="21"/>
              </w:rPr>
              <w:t xml:space="preserve">目实施售后运维负责人：</w:t>
            </w:r>
            <w:r/>
          </w:p>
          <w:p>
            <w:pPr>
              <w:ind w:left="0"/>
              <w:rPr>
                <w:rFonts w:ascii="宋体" w:hAnsi="宋体" w:cs="Times New Roman"/>
                <w:bCs/>
                <w:sz w:val="21"/>
                <w:szCs w:val="21"/>
              </w:rPr>
            </w:pPr>
            <w:r>
              <w:rPr>
                <w:rFonts w:hint="eastAsia" w:ascii="宋体" w:hAnsi="宋体" w:cs="Times New Roman"/>
                <w:bCs/>
                <w:sz w:val="21"/>
                <w:szCs w:val="21"/>
              </w:rPr>
              <w:t xml:space="preserve">具有</w:t>
            </w:r>
            <w:bookmarkStart w:id="138" w:name="OLE_LINK46"/>
            <w:r/>
            <w:bookmarkStart w:id="139" w:name="OLE_LINK47"/>
            <w:r>
              <w:rPr>
                <w:rFonts w:hint="eastAsia" w:ascii="宋体" w:hAnsi="宋体" w:cs="Times New Roman"/>
                <w:bCs/>
                <w:sz w:val="21"/>
                <w:szCs w:val="21"/>
              </w:rPr>
              <w:t xml:space="preserve">软件设计师</w:t>
            </w:r>
            <w:bookmarkEnd w:id="138"/>
            <w:r/>
            <w:bookmarkEnd w:id="139"/>
            <w:r>
              <w:rPr>
                <w:rFonts w:hint="eastAsia" w:ascii="宋体" w:hAnsi="宋体" w:cs="Times New Roman"/>
                <w:bCs/>
                <w:sz w:val="21"/>
                <w:szCs w:val="21"/>
              </w:rPr>
              <w:t xml:space="preserve">证书的得</w:t>
            </w:r>
            <w:r>
              <w:rPr>
                <w:rFonts w:ascii="宋体" w:hAnsi="宋体"/>
                <w:sz w:val="21"/>
                <w:szCs w:val="21"/>
              </w:rPr>
              <w:t xml:space="preserve">3</w:t>
            </w:r>
            <w:r>
              <w:rPr>
                <w:rFonts w:hint="eastAsia" w:ascii="宋体" w:hAnsi="宋体"/>
                <w:sz w:val="21"/>
                <w:szCs w:val="21"/>
              </w:rPr>
              <w:t xml:space="preserve">分</w:t>
            </w:r>
            <w:r>
              <w:rPr>
                <w:rFonts w:hint="eastAsia" w:ascii="宋体" w:hAnsi="宋体" w:cs="Times New Roman"/>
                <w:bCs/>
                <w:sz w:val="21"/>
                <w:szCs w:val="21"/>
              </w:rPr>
              <w:t xml:space="preserve">，最高</w:t>
            </w:r>
            <w:r>
              <w:rPr>
                <w:rFonts w:ascii="宋体" w:hAnsi="宋体" w:cs="Times New Roman"/>
                <w:bCs/>
                <w:sz w:val="21"/>
                <w:szCs w:val="21"/>
              </w:rPr>
              <w:t xml:space="preserve">3</w:t>
            </w:r>
            <w:r>
              <w:rPr>
                <w:rFonts w:hint="eastAsia" w:ascii="宋体" w:hAnsi="宋体" w:cs="Times New Roman"/>
                <w:bCs/>
                <w:sz w:val="21"/>
                <w:szCs w:val="21"/>
              </w:rPr>
              <w:t xml:space="preserve">分。</w:t>
            </w:r>
            <w:r/>
          </w:p>
          <w:p>
            <w:pPr>
              <w:pStyle w:val="875"/>
              <w:ind w:left="0" w:firstLine="0"/>
            </w:pPr>
            <w:r>
              <w:rPr>
                <w:rFonts w:hint="eastAsia" w:ascii="宋体" w:hAnsi="宋体"/>
                <w:b/>
                <w:bCs/>
                <w:sz w:val="21"/>
                <w:szCs w:val="21"/>
              </w:rPr>
              <w:t xml:space="preserve">（注：投标文件内提供身份证正反面扫描件、有效证书或证明扫描件、投标人为其缴纳的最新一期社保证明资料并加盖投标人公章，否则不得分。本岗位限1人，不得兼任本项目其他岗位，否则本岗位不得分。）</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w:t>
            </w:r>
            <w:r/>
          </w:p>
        </w:tc>
      </w:tr>
      <w:tr>
        <w:trPr>
          <w:trHeight w:val="860"/>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033" w:type="dxa"/>
            <w:vAlign w:val="center"/>
            <w:textDirection w:val="lrTb"/>
            <w:noWrap w:val="false"/>
          </w:tcPr>
          <w:p>
            <w:pPr>
              <w:ind w:left="0"/>
              <w:jc w:val="center"/>
              <w:rPr>
                <w:rFonts w:ascii="宋体" w:hAnsi="宋体" w:cs="Times New Roman"/>
                <w:b/>
                <w:sz w:val="21"/>
                <w:szCs w:val="21"/>
              </w:rPr>
            </w:pPr>
            <w:r>
              <w:rPr>
                <w:rFonts w:hint="eastAsia" w:ascii="宋体" w:hAnsi="宋体" w:cs="Times New Roman"/>
                <w:bCs/>
                <w:sz w:val="21"/>
                <w:szCs w:val="21"/>
              </w:rPr>
              <w:t xml:space="preserve">项目组成员（除项目经理、项目技术负责人、项目实施</w:t>
            </w:r>
            <w:r>
              <w:rPr>
                <w:rFonts w:hint="eastAsia" w:ascii="宋体" w:hAnsi="宋体" w:cs="Times New Roman"/>
                <w:bCs/>
                <w:sz w:val="21"/>
                <w:szCs w:val="21"/>
              </w:rPr>
              <w:t xml:space="preserve">售后运维负责人）</w:t>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投标人针对本项目拟投入的项目组成员（除项目经理、项目技术负责人、项目实施售后运维负责人）：</w:t>
            </w:r>
            <w:r/>
          </w:p>
          <w:p>
            <w:pPr>
              <w:ind w:left="0"/>
              <w:rPr>
                <w:rFonts w:ascii="宋体" w:hAnsi="宋体" w:cs="Times New Roman"/>
                <w:bCs/>
                <w:sz w:val="21"/>
                <w:szCs w:val="21"/>
              </w:rPr>
            </w:pPr>
            <w:r>
              <w:rPr>
                <w:rFonts w:hint="eastAsia" w:ascii="宋体" w:hAnsi="宋体" w:cs="Times New Roman"/>
                <w:bCs/>
                <w:sz w:val="21"/>
                <w:szCs w:val="21"/>
              </w:rPr>
              <w:t xml:space="preserve">每有1人</w:t>
            </w:r>
            <w:r>
              <w:rPr>
                <w:rFonts w:hint="eastAsia" w:ascii="宋体" w:hAnsi="宋体" w:cs="Times New Roman"/>
                <w:bCs/>
                <w:sz w:val="21"/>
                <w:szCs w:val="21"/>
              </w:rPr>
              <w:t xml:space="preserve">具有</w:t>
            </w:r>
            <w:bookmarkStart w:id="140" w:name="OLE_LINK48"/>
            <w:r/>
            <w:bookmarkStart w:id="141" w:name="OLE_LINK49"/>
            <w:r>
              <w:rPr>
                <w:rFonts w:hint="eastAsia" w:ascii="宋体" w:hAnsi="宋体" w:cs="Times New Roman"/>
                <w:bCs/>
                <w:sz w:val="21"/>
                <w:szCs w:val="21"/>
              </w:rPr>
              <w:t xml:space="preserve">数据库系统</w:t>
            </w:r>
            <w:bookmarkEnd w:id="140"/>
            <w:r/>
            <w:bookmarkEnd w:id="141"/>
            <w:r>
              <w:rPr>
                <w:rFonts w:hint="eastAsia" w:ascii="宋体" w:hAnsi="宋体" w:cs="Times New Roman"/>
                <w:bCs/>
                <w:sz w:val="21"/>
                <w:szCs w:val="21"/>
              </w:rPr>
              <w:t xml:space="preserve">工程师证书得</w:t>
            </w:r>
            <w:r>
              <w:rPr>
                <w:rFonts w:ascii="宋体" w:hAnsi="宋体" w:cs="Times New Roman"/>
                <w:bCs/>
                <w:sz w:val="21"/>
                <w:szCs w:val="21"/>
              </w:rPr>
              <w:t xml:space="preserve">2</w:t>
            </w:r>
            <w:r>
              <w:rPr>
                <w:rFonts w:hint="eastAsia" w:ascii="宋体" w:hAnsi="宋体" w:cs="Times New Roman"/>
                <w:bCs/>
                <w:sz w:val="21"/>
                <w:szCs w:val="21"/>
              </w:rPr>
              <w:t xml:space="preserve">分，最高</w:t>
            </w:r>
            <w:r>
              <w:rPr>
                <w:rFonts w:ascii="宋体" w:hAnsi="宋体" w:cs="Times New Roman"/>
                <w:bCs/>
                <w:sz w:val="21"/>
                <w:szCs w:val="21"/>
              </w:rPr>
              <w:t xml:space="preserve">2</w:t>
            </w:r>
            <w:r>
              <w:rPr>
                <w:rFonts w:hint="eastAsia" w:ascii="宋体" w:hAnsi="宋体" w:cs="Times New Roman"/>
                <w:bCs/>
                <w:sz w:val="21"/>
                <w:szCs w:val="21"/>
              </w:rPr>
              <w:t xml:space="preserve">分。</w:t>
            </w:r>
            <w:r/>
          </w:p>
          <w:p>
            <w:pPr>
              <w:ind w:left="0"/>
            </w:pPr>
            <w:r>
              <w:rPr>
                <w:rFonts w:hint="eastAsia" w:ascii="宋体" w:hAnsi="宋体"/>
                <w:b/>
                <w:bCs/>
                <w:sz w:val="21"/>
                <w:szCs w:val="21"/>
              </w:rPr>
              <w:t xml:space="preserve">（注：投标文件内提供身份证正反面扫描件、有效证书或证明扫描件、投标人为其缴纳的最新一期社保证明资料并加盖投标人公章，否则不得分。）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w:t>
            </w:r>
            <w:r/>
          </w:p>
        </w:tc>
      </w:tr>
      <w:tr>
        <w:trPr>
          <w:trHeight w:val="1196"/>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综合实力</w:t>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投标单位（或所投产品生产厂家）具有有效期内质量管理体系认证证书、环境管理体系认证证书、职业健康安全管理体系认证证书的有一项得1分，最多得3分。</w:t>
            </w:r>
            <w:r/>
          </w:p>
          <w:p>
            <w:pPr>
              <w:ind w:left="0"/>
              <w:rPr>
                <w:rFonts w:ascii="宋体" w:hAnsi="宋体" w:cs="Times New Roman"/>
                <w:b/>
                <w:bCs/>
                <w:sz w:val="21"/>
                <w:szCs w:val="21"/>
              </w:rPr>
            </w:pPr>
            <w:r>
              <w:rPr>
                <w:rFonts w:hint="eastAsia" w:ascii="宋体" w:hAnsi="宋体" w:cs="Times New Roman"/>
                <w:b/>
                <w:bCs/>
                <w:sz w:val="21"/>
                <w:szCs w:val="21"/>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3</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103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类似业绩</w:t>
            </w:r>
            <w:r/>
          </w:p>
        </w:tc>
        <w:tc>
          <w:tcPr>
            <w:tcW w:w="7500"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投标单位或所投产品生产厂家自2023年1月1日起至今（以合同签订之日起为准）具有类似项目业绩的，每提供一个得</w:t>
            </w:r>
            <w:r>
              <w:rPr>
                <w:rFonts w:ascii="宋体" w:hAnsi="宋体" w:cs="Times New Roman"/>
                <w:bCs/>
                <w:sz w:val="21"/>
                <w:szCs w:val="21"/>
              </w:rPr>
              <w:t xml:space="preserve">2</w:t>
            </w:r>
            <w:r>
              <w:rPr>
                <w:rFonts w:hint="eastAsia" w:ascii="宋体" w:hAnsi="宋体" w:cs="Times New Roman"/>
                <w:bCs/>
                <w:sz w:val="21"/>
                <w:szCs w:val="21"/>
              </w:rPr>
              <w:t xml:space="preserve">分，最高</w:t>
            </w:r>
            <w:r>
              <w:rPr>
                <w:rFonts w:ascii="宋体" w:hAnsi="宋体" w:cs="Times New Roman"/>
                <w:bCs/>
                <w:sz w:val="21"/>
                <w:szCs w:val="21"/>
              </w:rPr>
              <w:t xml:space="preserve">6</w:t>
            </w:r>
            <w:r>
              <w:rPr>
                <w:rFonts w:hint="eastAsia" w:ascii="宋体" w:hAnsi="宋体" w:cs="Times New Roman"/>
                <w:bCs/>
                <w:sz w:val="21"/>
                <w:szCs w:val="21"/>
              </w:rPr>
              <w:t xml:space="preserve">分。</w:t>
            </w:r>
            <w:r/>
          </w:p>
          <w:p>
            <w:pPr>
              <w:ind w:left="0"/>
              <w:rPr>
                <w:rFonts w:ascii="宋体" w:hAnsi="宋体" w:cs="Times New Roman"/>
                <w:b/>
                <w:bCs/>
                <w:sz w:val="21"/>
                <w:szCs w:val="21"/>
              </w:rPr>
            </w:pPr>
            <w:r>
              <w:rPr>
                <w:rFonts w:hint="eastAsia" w:ascii="宋体" w:hAnsi="宋体" w:cs="Times New Roman"/>
                <w:b/>
                <w:bCs/>
                <w:sz w:val="21"/>
                <w:szCs w:val="21"/>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6</w:t>
            </w:r>
            <w:r/>
          </w:p>
        </w:tc>
      </w:tr>
    </w:tbl>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ascii="Times New Roman" w:hAnsi="Times New Roman" w:cs="Times New Roman"/>
        <w:color w:val="auto"/>
        <w:sz w:val="2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qFormat/>
    <w:pPr>
      <w:ind w:left="900" w:firstLine="2652"/>
      <w:spacing w:before="0" w:after="0" w:line="360" w:lineRule="auto"/>
    </w:pPr>
    <w:rPr>
      <w:rFonts w:ascii="Times New Roman" w:hAnsi="Times New Roman" w:cs="Times New Roman"/>
    </w:rPr>
  </w:style>
  <w:style w:type="paragraph" w:styleId="880">
    <w:name w:val="List Number"/>
    <w:basedOn w:val="863"/>
    <w:next w:val="862"/>
    <w:qFormat/>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qFormat/>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qFormat/>
    <w:pPr>
      <w:ind w:firstLine="4608"/>
      <w:spacing w:line="360" w:lineRule="auto"/>
    </w:pPr>
    <w:rPr>
      <w:rFonts w:ascii="Calibri" w:hAnsi="Calibri"/>
    </w:rPr>
  </w:style>
  <w:style w:type="paragraph" w:styleId="886">
    <w:name w:val="annotation text"/>
    <w:basedOn w:val="863"/>
    <w:next w:val="862"/>
    <w:qFormat/>
    <w:pPr>
      <w:ind w:left="0" w:firstLine="3584"/>
      <w:spacing w:before="0" w:after="0" w:line="360" w:lineRule="auto"/>
    </w:pPr>
    <w:rPr>
      <w:rFonts w:ascii="Times New Roman" w:hAnsi="Times New Roman" w:cs="Times New Roman"/>
    </w:rPr>
  </w:style>
  <w:style w:type="paragraph" w:styleId="887">
    <w:name w:val="Body Text 3"/>
    <w:basedOn w:val="863"/>
    <w:next w:val="862"/>
    <w:qFormat/>
    <w:pPr>
      <w:ind w:left="0" w:firstLine="2048"/>
      <w:spacing w:before="0" w:after="0" w:line="500" w:lineRule="exact"/>
    </w:pPr>
    <w:rPr>
      <w:rFonts w:ascii="Times New Roman" w:hAnsi="Times New Roman" w:cs="Times New Roman"/>
    </w:rPr>
  </w:style>
  <w:style w:type="paragraph" w:styleId="888">
    <w:name w:val="List Bullet 3"/>
    <w:basedOn w:val="863"/>
    <w:next w:val="862"/>
    <w:qFormat/>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qFormat/>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uiPriority w:val="99"/>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uiPriority w:val="22"/>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uiPriority w:val="20"/>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Char1"/>
    <w:link w:val="881"/>
    <w:qFormat/>
    <w:rPr>
      <w:rFonts w:ascii="Calibri" w:hAnsi="Calibri" w:eastAsia="宋体" w:cs="Times New Roman"/>
    </w:rPr>
  </w:style>
  <w:style w:type="character" w:styleId="932" w:customStyle="1">
    <w:name w:val="页脚 Char2"/>
    <w:link w:val="905"/>
    <w:qFormat/>
    <w:rPr>
      <w:rFonts w:ascii="Calibri" w:hAnsi="Calibri" w:eastAsia="宋体" w:cs="Times New Roman"/>
    </w:rPr>
  </w:style>
  <w:style w:type="character" w:styleId="933" w:customStyle="1">
    <w:name w:val="页眉 Char2"/>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qFormat/>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qFormat/>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qFormat/>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qFormat/>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qFormat/>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qFormat/>
    <w:pPr>
      <w:ind w:left="0" w:firstLine="2560"/>
      <w:spacing w:before="0" w:after="0" w:line="240" w:lineRule="auto"/>
    </w:pPr>
    <w:rPr>
      <w:rFonts w:ascii="Times New Roman" w:hAnsi="Times New Roman" w:cs="Times New Roman"/>
    </w:rPr>
  </w:style>
  <w:style w:type="paragraph" w:styleId="1057" w:customStyle="1">
    <w:name w:val="Char Char1"/>
    <w:basedOn w:val="863"/>
    <w:next w:val="1058"/>
    <w:qFormat/>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qFormat/>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qFormat/>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qFormat/>
    <w:pPr>
      <w:ind w:left="0" w:firstLine="2560"/>
      <w:spacing w:before="0" w:after="0" w:line="240" w:lineRule="auto"/>
    </w:pPr>
    <w:rPr>
      <w:rFonts w:ascii="Times New Roman" w:hAnsi="Times New Roman" w:cs="Times New Roman"/>
    </w:rPr>
  </w:style>
  <w:style w:type="paragraph" w:styleId="1065" w:customStyle="1">
    <w:name w:val="表格"/>
    <w:basedOn w:val="863"/>
    <w:next w:val="1060"/>
    <w:qFormat/>
    <w:pPr>
      <w:ind w:left="0" w:firstLine="2560"/>
      <w:spacing w:before="0" w:after="0" w:line="360" w:lineRule="auto"/>
    </w:pPr>
    <w:rPr>
      <w:rFonts w:ascii="Times New Roman" w:hAnsi="Times New Roman" w:cs="Times New Roman"/>
    </w:rPr>
  </w:style>
  <w:style w:type="paragraph" w:styleId="1066" w:customStyle="1">
    <w:name w:val="xl68"/>
    <w:basedOn w:val="863"/>
    <w:next w:val="1067"/>
    <w:qFormat/>
    <w:pPr>
      <w:ind w:left="100" w:firstLine="5220"/>
      <w:spacing w:before="280" w:after="280" w:line="240" w:lineRule="auto"/>
    </w:pPr>
    <w:rPr>
      <w:rFonts w:ascii="Times New Roman" w:hAnsi="Times New Roman" w:cs="Times New Roman"/>
    </w:rPr>
  </w:style>
  <w:style w:type="paragraph" w:styleId="1067" w:customStyle="1">
    <w:name w:val="Char1"/>
    <w:basedOn w:val="863"/>
    <w:next w:val="1068"/>
    <w:qFormat/>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qFormat/>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qFormat/>
    <w:pPr>
      <w:ind w:left="0" w:firstLine="5120"/>
      <w:spacing w:before="280" w:after="280" w:line="240" w:lineRule="auto"/>
    </w:pPr>
    <w:rPr>
      <w:rFonts w:ascii="Times New Roman" w:hAnsi="Times New Roman" w:cs="Times New Roman"/>
    </w:rPr>
  </w:style>
  <w:style w:type="paragraph" w:styleId="1084" w:customStyle="1">
    <w:name w:val="WPSOffice手动目录 3"/>
    <w:qFormat/>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qFormat/>
    <w:pPr>
      <w:ind w:left="900" w:firstLine="2096"/>
      <w:spacing w:before="0" w:after="0" w:line="240" w:lineRule="auto"/>
    </w:pPr>
    <w:rPr>
      <w:rFonts w:ascii="Times New Roman" w:hAnsi="Times New Roman" w:cs="Times New Roman"/>
    </w:rPr>
  </w:style>
  <w:style w:type="paragraph" w:styleId="1087" w:customStyle="1">
    <w:name w:val="索引 21"/>
    <w:basedOn w:val="863"/>
    <w:next w:val="862"/>
    <w:qFormat/>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qFormat/>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qFormat/>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qFormat/>
    <w:pPr>
      <w:ind w:left="0" w:firstLine="3584"/>
      <w:spacing w:before="280" w:after="280" w:line="240" w:lineRule="auto"/>
    </w:pPr>
    <w:rPr>
      <w:rFonts w:ascii="Times New Roman" w:hAnsi="Times New Roman" w:cs="Times New Roman"/>
    </w:rPr>
  </w:style>
  <w:style w:type="paragraph" w:styleId="1105" w:customStyle="1">
    <w:name w:val="列表框1"/>
    <w:next w:val="1096"/>
    <w:qFormat/>
    <w:pPr>
      <w:ind w:firstLine="2048"/>
      <w:spacing w:line="460" w:lineRule="exact"/>
    </w:pPr>
    <w:rPr>
      <w:rFonts w:ascii="Calibri" w:hAnsi="Calibri"/>
    </w:rPr>
  </w:style>
  <w:style w:type="paragraph" w:styleId="1106" w:customStyle="1">
    <w:name w:val="1ji"/>
    <w:basedOn w:val="864"/>
    <w:next w:val="1085"/>
    <w:qFormat/>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qFormat/>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qFormat/>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qFormat/>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qFormat/>
    <w:pPr>
      <w:ind w:left="851" w:firstLine="30"/>
      <w:spacing w:after="280" w:line="360" w:lineRule="auto"/>
      <w:outlineLvl w:val="3"/>
    </w:pPr>
  </w:style>
  <w:style w:type="paragraph" w:styleId="1123" w:customStyle="1">
    <w:name w:val="font0"/>
    <w:basedOn w:val="863"/>
    <w:next w:val="1098"/>
    <w:qFormat/>
    <w:pPr>
      <w:ind w:left="0" w:firstLine="1024"/>
      <w:spacing w:before="280" w:after="280" w:line="240" w:lineRule="auto"/>
    </w:pPr>
    <w:rPr>
      <w:rFonts w:ascii="Times New Roman" w:hAnsi="Times New Roman" w:cs="Times New Roman"/>
    </w:rPr>
  </w:style>
  <w:style w:type="paragraph" w:styleId="1124" w:customStyle="1">
    <w:name w:val="CM5"/>
    <w:basedOn w:val="863"/>
    <w:next w:val="862"/>
    <w:qFormat/>
    <w:pPr>
      <w:ind w:left="200" w:firstLine="2760"/>
      <w:spacing w:before="0" w:after="0" w:line="400" w:lineRule="atLeast"/>
    </w:pPr>
    <w:rPr>
      <w:rFonts w:ascii="Times New Roman" w:hAnsi="Times New Roman" w:cs="Times New Roman"/>
    </w:rPr>
  </w:style>
  <w:style w:type="paragraph" w:styleId="1125" w:customStyle="1">
    <w:name w:val="Pa0"/>
    <w:basedOn w:val="863"/>
    <w:next w:val="862"/>
    <w:qFormat/>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qFormat/>
    <w:pPr>
      <w:ind w:left="0" w:firstLine="24"/>
      <w:spacing w:before="100" w:after="0" w:line="400" w:lineRule="exact"/>
      <w:outlineLvl w:val="1"/>
    </w:pPr>
  </w:style>
  <w:style w:type="paragraph" w:styleId="1130" w:customStyle="1">
    <w:name w:val="图片0"/>
    <w:basedOn w:val="863"/>
    <w:next w:val="910"/>
    <w:qFormat/>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qFormat/>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qFormat/>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qFormat/>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qFormat/>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qFormat/>
    <w:pPr>
      <w:ind w:left="1200" w:firstLine="2560"/>
      <w:jc w:val="center"/>
      <w:spacing w:before="0" w:after="0" w:line="360" w:lineRule="auto"/>
    </w:pPr>
    <w:rPr>
      <w:rFonts w:ascii="Times New Roman" w:hAnsi="Times New Roman" w:cs="Times New Roman"/>
    </w:rPr>
  </w:style>
  <w:style w:type="paragraph" w:styleId="1155" w:customStyle="1">
    <w:name w:val="111"/>
    <w:next w:val="1156"/>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qFormat/>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qFormat/>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qFormat/>
    <w:pPr>
      <w:ind w:left="0" w:firstLine="3584"/>
      <w:spacing w:before="0" w:after="0" w:line="240" w:lineRule="auto"/>
    </w:pPr>
    <w:rPr>
      <w:rFonts w:ascii="Times New Roman" w:hAnsi="Times New Roman" w:cs="Times New Roman"/>
    </w:rPr>
  </w:style>
  <w:style w:type="paragraph" w:styleId="1178" w:customStyle="1">
    <w:name w:val="索引 91"/>
    <w:basedOn w:val="863"/>
    <w:next w:val="862"/>
    <w:qFormat/>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qFormat/>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qFormat/>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qFormat/>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qFormat/>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qFormat/>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qFormat/>
    <w:rPr>
      <w:rFonts w:ascii="Calibri" w:hAnsi="Calibri"/>
    </w:rPr>
  </w:style>
  <w:style w:type="paragraph" w:styleId="1211" w:customStyle="1">
    <w:name w:val="正文文本缩进 21"/>
    <w:basedOn w:val="863"/>
    <w:next w:val="1151"/>
    <w:qFormat/>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qFormat/>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qFormat/>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qFormat/>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qFormat/>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qFormat/>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qFormat/>
    <w:pPr>
      <w:ind w:firstLine="2560"/>
      <w:jc w:val="center"/>
    </w:pPr>
    <w:rPr>
      <w:rFonts w:ascii="Calibri" w:hAnsi="Calibri"/>
    </w:rPr>
  </w:style>
  <w:style w:type="paragraph" w:styleId="1245" w:customStyle="1">
    <w:name w:val="修订2"/>
    <w:qFormat/>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qFormat/>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qFormat/>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qFormat/>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qFormat/>
    <w:pPr>
      <w:ind w:left="0" w:firstLine="3584"/>
      <w:spacing w:before="0" w:after="0" w:line="240" w:lineRule="auto"/>
    </w:pPr>
    <w:rPr>
      <w:rFonts w:ascii="Times New Roman" w:hAnsi="Times New Roman" w:cs="Times New Roman"/>
    </w:rPr>
  </w:style>
  <w:style w:type="paragraph" w:styleId="1256" w:customStyle="1">
    <w:name w:val="H 3"/>
    <w:basedOn w:val="866"/>
    <w:next w:val="1257"/>
    <w:qFormat/>
    <w:pPr>
      <w:ind w:left="1429" w:firstLine="18"/>
      <w:spacing w:before="0" w:after="0" w:line="360" w:lineRule="auto"/>
      <w:outlineLvl w:val="2"/>
    </w:pPr>
  </w:style>
  <w:style w:type="paragraph" w:styleId="1257" w:customStyle="1">
    <w:name w:val="xl83"/>
    <w:basedOn w:val="863"/>
    <w:next w:val="1238"/>
    <w:qFormat/>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qFormat/>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qFormat/>
    <w:pPr>
      <w:ind w:left="200" w:firstLine="3784"/>
      <w:spacing w:before="0" w:after="0" w:line="360" w:lineRule="auto"/>
    </w:pPr>
    <w:rPr>
      <w:rFonts w:ascii="Times New Roman" w:hAnsi="Times New Roman" w:cs="Times New Roman"/>
    </w:rPr>
  </w:style>
  <w:style w:type="paragraph" w:styleId="1260" w:customStyle="1">
    <w:name w:val="1"/>
    <w:basedOn w:val="863"/>
    <w:next w:val="896"/>
    <w:qFormat/>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qFormat/>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qFormat/>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qFormat/>
    <w:pPr>
      <w:ind w:left="0" w:firstLine="2560"/>
      <w:spacing w:before="0" w:after="0" w:line="240" w:lineRule="auto"/>
    </w:pPr>
    <w:rPr>
      <w:rFonts w:ascii="Times New Roman" w:hAnsi="Times New Roman" w:cs="Times New Roman"/>
    </w:rPr>
  </w:style>
  <w:style w:type="paragraph" w:styleId="1267" w:customStyle="1">
    <w:name w:val="xl24"/>
    <w:basedOn w:val="863"/>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qFormat/>
    <w:pPr>
      <w:ind w:firstLine="3584"/>
    </w:pPr>
    <w:rPr>
      <w:rFonts w:ascii="Calibri" w:hAnsi="Calibri"/>
    </w:rPr>
  </w:style>
  <w:style w:type="paragraph" w:styleId="1269" w:customStyle="1">
    <w:name w:val="xl72"/>
    <w:basedOn w:val="863"/>
    <w:next w:val="1125"/>
    <w:qFormat/>
    <w:pPr>
      <w:ind w:left="0" w:firstLine="3584"/>
      <w:spacing w:before="280" w:after="280" w:line="240" w:lineRule="auto"/>
    </w:pPr>
    <w:rPr>
      <w:rFonts w:ascii="Times New Roman" w:hAnsi="Times New Roman" w:cs="Times New Roman"/>
    </w:rPr>
  </w:style>
  <w:style w:type="paragraph" w:styleId="1270" w:customStyle="1">
    <w:name w:val="插图"/>
    <w:next w:val="862"/>
    <w:qFormat/>
    <w:pPr>
      <w:ind w:firstLine="4608"/>
      <w:jc w:val="center"/>
    </w:pPr>
    <w:rPr>
      <w:rFonts w:ascii="Calibri" w:hAnsi="Calibri"/>
    </w:rPr>
  </w:style>
  <w:style w:type="paragraph" w:styleId="1271" w:customStyle="1">
    <w:name w:val="列出段落3"/>
    <w:basedOn w:val="863"/>
    <w:next w:val="1165"/>
    <w:qFormat/>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qFormat/>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qFormat/>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qFormat/>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table" w:styleId="1281"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CECB883-ACC0-4869-84E5-6F6A5FA6432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488</cp:revision>
  <dcterms:created xsi:type="dcterms:W3CDTF">2023-12-20T13:18:00Z</dcterms:created>
  <dcterms:modified xsi:type="dcterms:W3CDTF">2026-10-20T02:07:48Z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