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启东复旦医学创新研究院实验楼（转化孵育中心、概念验证中心）实验室平台建设设备采购（三至四标段）</w:t>
      </w:r>
      <w:r>
        <w:rPr>
          <w:rFonts w:eastAsia="方正小标宋_GBK"/>
          <w:bCs/>
          <w:spacing w:val="20"/>
          <w:sz w:val="44"/>
        </w:rPr>
        <w:t xml:space="preserve">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57"/>
        <w:spacing w:line="500" w:lineRule="exact"/>
        <w:rPr>
          <w:rFonts w:eastAsia="方正小标宋_GBK"/>
          <w:b w:val="0"/>
          <w:bCs/>
        </w:rPr>
      </w:pPr>
      <w:r>
        <w:rPr>
          <w:rFonts w:eastAsia="方正小标宋_GBK"/>
          <w:b w:val="0"/>
          <w:bCs/>
        </w:rPr>
      </w:r>
      <w:r/>
    </w:p>
    <w:p>
      <w:pPr>
        <w:pStyle w:val="857"/>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JSZC-320681-JZCG-G2026-0056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4"/>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10</w:t>
      </w:r>
      <w:r>
        <w:rPr>
          <w:rFonts w:ascii="Times New Roman" w:hAnsi="Times New Roman" w:eastAsia="楷体"/>
          <w:sz w:val="44"/>
          <w:szCs w:val="44"/>
        </w:rPr>
        <w:t xml:space="preserve">月</w:t>
      </w:r>
      <w:r>
        <w:rPr>
          <w:rFonts w:ascii="Times New Roman" w:hAnsi="Times New Roman" w:eastAsia="楷体"/>
          <w:sz w:val="44"/>
          <w:szCs w:val="44"/>
        </w:rPr>
        <w:t xml:space="preserve">12</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启东复旦医学创新研究院</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启东复旦医学创新研究院实验楼（转化孵育中心、概念验证中心）实验室平台建设设备采购（三至四标段）</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JSZC-320681-JZCG-G2026-0056</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启东复旦医学创新研究院实验楼（转化孵育中心、概念验证中心）实验室平台建设设备采购（三至四标段）</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4</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JSZC-320681-JZCG-G2026-0056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启东复旦医学创新研究院实验楼（转化孵育中心、概念验证中心）实验室平台建设设备采购（三至四标段）</w:t>
      </w:r>
      <w:r>
        <w:rPr>
          <w:rFonts w:eastAsia="方正仿宋_GBK"/>
          <w:sz w:val="28"/>
          <w:szCs w:val="28"/>
        </w:rPr>
        <w:t xml:space="preserve"> </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1056</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三标段：</w:t>
      </w:r>
      <w:r>
        <w:rPr>
          <w:rFonts w:hint="eastAsia" w:eastAsia="方正仿宋_GBK"/>
          <w:sz w:val="28"/>
          <w:szCs w:val="28"/>
        </w:rPr>
        <w:t xml:space="preserve">442</w:t>
      </w:r>
      <w:r>
        <w:rPr>
          <w:rFonts w:hint="eastAsia" w:eastAsia="方正仿宋_GBK"/>
          <w:sz w:val="28"/>
          <w:szCs w:val="28"/>
        </w:rPr>
        <w:t xml:space="preserve">万元；四标段：</w:t>
      </w:r>
      <w:r>
        <w:rPr>
          <w:rFonts w:hint="eastAsia" w:eastAsia="方正仿宋_GBK"/>
          <w:sz w:val="28"/>
          <w:szCs w:val="28"/>
        </w:rPr>
        <w:t xml:space="preserve">614</w:t>
      </w:r>
      <w:r>
        <w:rPr>
          <w:rFonts w:hint="eastAsia" w:eastAsia="方正仿宋_GBK"/>
          <w:sz w:val="28"/>
          <w:szCs w:val="28"/>
        </w:rPr>
        <w:t xml:space="preserve">万元</w:t>
      </w:r>
      <w:r>
        <w:rPr>
          <w:rFonts w:hint="eastAsia" w:eastAsia="方正仿宋_GBK"/>
          <w:sz w:val="28"/>
          <w:szCs w:val="28"/>
        </w:rPr>
        <w:t xml:space="preserve"> </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w:t>
      </w:r>
      <w:r>
        <w:rPr>
          <w:rFonts w:eastAsia="方正仿宋_GBK"/>
          <w:sz w:val="28"/>
          <w:szCs w:val="28"/>
          <w:u w:val="single"/>
        </w:rPr>
        <w:t xml:space="preserve">企业采购的项目，无落实政府采购政策需满足的资格要求</w:t>
      </w:r>
      <w:r>
        <w:rPr>
          <w:rFonts w:hint="eastAsia" w:eastAsia="方正仿宋_GBK"/>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4</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启东复旦医学创新研究院</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启东市生命健康科技园金科路</w:t>
      </w:r>
      <w:r>
        <w:rPr>
          <w:rFonts w:hint="eastAsia" w:eastAsia="方正仿宋_GBK"/>
          <w:sz w:val="28"/>
          <w:szCs w:val="28"/>
        </w:rPr>
        <w:t xml:space="preserve">899</w:t>
      </w:r>
      <w:r>
        <w:rPr>
          <w:rFonts w:hint="eastAsia" w:eastAsia="方正仿宋_GBK"/>
          <w:sz w:val="28"/>
          <w:szCs w:val="28"/>
        </w:rPr>
        <w:t xml:space="preserve">号</w:t>
      </w:r>
      <w:r>
        <w:rPr>
          <w:rFonts w:hint="eastAsia" w:eastAsia="方正仿宋_GBK"/>
          <w:sz w:val="28"/>
          <w:szCs w:val="28"/>
        </w:rPr>
        <w:t xml:space="preserve">15</w:t>
      </w:r>
      <w:r>
        <w:rPr>
          <w:rFonts w:hint="eastAsia" w:eastAsia="方正仿宋_GBK"/>
          <w:sz w:val="28"/>
          <w:szCs w:val="28"/>
        </w:rPr>
        <w:t xml:space="preserve">幢</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张老师</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16621607868</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b/>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120614214"/>
      <w:r/>
      <w:bookmarkStart w:id="7" w:name="_Toc20823275"/>
      <w:r/>
      <w:bookmarkStart w:id="8" w:name="_Toc16938519"/>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5"/>
        <w:ind w:firstLine="560"/>
        <w:jc w:val="both"/>
        <w:spacing w:line="500" w:lineRule="exact"/>
        <w:rPr>
          <w:rFonts w:eastAsia="方正仿宋_GBK"/>
          <w:b/>
          <w:bCs/>
          <w:sz w:val="28"/>
          <w:szCs w:val="28"/>
        </w:rPr>
      </w:pPr>
      <w:r/>
      <w:bookmarkStart w:id="9" w:name="_Hlt16619475"/>
      <w:r/>
      <w:bookmarkStart w:id="10" w:name="_Toc458694821"/>
      <w:r/>
      <w:bookmarkStart w:id="11" w:name="_Toc20823276"/>
      <w:r/>
      <w:bookmarkStart w:id="12" w:name="_Toc513029204"/>
      <w:r/>
      <w:bookmarkStart w:id="13" w:name="_Toc16938520"/>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5"/>
        <w:ind w:firstLine="560"/>
        <w:jc w:val="both"/>
        <w:spacing w:line="500" w:lineRule="exact"/>
        <w:rPr>
          <w:rFonts w:eastAsia="方正仿宋_GBK"/>
          <w:sz w:val="28"/>
          <w:szCs w:val="28"/>
        </w:rPr>
      </w:pPr>
      <w:r/>
      <w:bookmarkStart w:id="14" w:name="_Toc513029205"/>
      <w:r/>
      <w:bookmarkStart w:id="15" w:name="_Toc20823277"/>
      <w:r/>
      <w:bookmarkStart w:id="16" w:name="_Toc16938521"/>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5"/>
        <w:ind w:firstLine="560"/>
        <w:jc w:val="both"/>
        <w:spacing w:line="500" w:lineRule="exact"/>
        <w:rPr>
          <w:rFonts w:eastAsia="方正仿宋_GBK"/>
          <w:sz w:val="28"/>
          <w:szCs w:val="28"/>
        </w:rPr>
      </w:pPr>
      <w:r/>
      <w:bookmarkStart w:id="17" w:name="_Toc16938522"/>
      <w:r/>
      <w:bookmarkStart w:id="18" w:name="_Toc20823278"/>
      <w:r/>
      <w:bookmarkStart w:id="19" w:name="_Toc513029206"/>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5"/>
        <w:ind w:firstLine="560"/>
        <w:jc w:val="both"/>
        <w:spacing w:line="500" w:lineRule="exact"/>
        <w:rPr>
          <w:rFonts w:eastAsia="方正仿宋_GBK"/>
          <w:sz w:val="28"/>
          <w:szCs w:val="28"/>
        </w:rPr>
      </w:pPr>
      <w:r/>
      <w:bookmarkStart w:id="20" w:name="_Toc20823279"/>
      <w:r/>
      <w:bookmarkStart w:id="21" w:name="_Toc16938523"/>
      <w:r/>
      <w:bookmarkStart w:id="22" w:name="_Toc513029207"/>
      <w:r/>
      <w:bookmarkStart w:id="23" w:name="_Toc462564067"/>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5"/>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5"/>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20823281"/>
      <w:r/>
      <w:bookmarkStart w:id="25" w:name="_Toc513029209"/>
      <w:r/>
      <w:bookmarkStart w:id="26" w:name="_Toc16938525"/>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5"/>
        <w:ind w:firstLine="560"/>
        <w:jc w:val="both"/>
        <w:spacing w:line="500" w:lineRule="exact"/>
        <w:rPr>
          <w:rFonts w:eastAsia="方正仿宋_GBK"/>
          <w:sz w:val="28"/>
          <w:szCs w:val="28"/>
        </w:rPr>
      </w:pPr>
      <w:r/>
      <w:bookmarkStart w:id="28" w:name="_Toc16938526"/>
      <w:r/>
      <w:bookmarkStart w:id="29" w:name="_Toc513029210"/>
      <w:r/>
      <w:bookmarkStart w:id="30" w:name="_Toc20823282"/>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560"/>
        <w:jc w:val="both"/>
        <w:spacing w:line="500" w:lineRule="exact"/>
        <w:rPr>
          <w:rFonts w:eastAsia="方正仿宋_GBK"/>
          <w:sz w:val="28"/>
          <w:szCs w:val="28"/>
        </w:rPr>
      </w:pPr>
      <w:r/>
      <w:bookmarkStart w:id="31" w:name="_Toc16938527"/>
      <w:r/>
      <w:bookmarkStart w:id="32" w:name="_Toc20823283"/>
      <w:r/>
      <w:bookmarkStart w:id="33" w:name="_Toc462564070"/>
      <w:r/>
      <w:bookmarkStart w:id="34" w:name="_Toc513029211"/>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5"/>
        <w:ind w:firstLine="560"/>
        <w:jc w:val="both"/>
        <w:spacing w:line="500" w:lineRule="exact"/>
        <w:rPr>
          <w:rFonts w:eastAsia="方正仿宋_GBK"/>
          <w:sz w:val="28"/>
          <w:szCs w:val="28"/>
        </w:rPr>
      </w:pPr>
      <w:r/>
      <w:bookmarkStart w:id="35" w:name="_Toc16938528"/>
      <w:r/>
      <w:bookmarkStart w:id="36" w:name="_Toc20823284"/>
      <w:r/>
      <w:bookmarkStart w:id="37" w:name="_Toc513029212"/>
      <w:r/>
      <w:bookmarkStart w:id="38" w:name="_Toc462564071"/>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513029213"/>
      <w:r/>
      <w:bookmarkStart w:id="40" w:name="_Toc20823285"/>
      <w:r/>
      <w:bookmarkStart w:id="41" w:name="_Toc462564072"/>
      <w:r/>
      <w:bookmarkStart w:id="42" w:name="_Toc120614216"/>
      <w:r/>
      <w:bookmarkStart w:id="43" w:name="_Toc16938529"/>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5"/>
        <w:ind w:firstLine="560"/>
        <w:jc w:val="both"/>
        <w:spacing w:line="500" w:lineRule="exact"/>
        <w:rPr>
          <w:rFonts w:eastAsia="方正仿宋_GBK"/>
          <w:sz w:val="28"/>
          <w:szCs w:val="28"/>
        </w:rPr>
      </w:pPr>
      <w:r/>
      <w:bookmarkStart w:id="44" w:name="_Toc462564073"/>
      <w:r/>
      <w:bookmarkStart w:id="45" w:name="_Toc513029214"/>
      <w:r/>
      <w:bookmarkStart w:id="46" w:name="_Toc16938530"/>
      <w:r/>
      <w:bookmarkStart w:id="47" w:name="_Toc20823286"/>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5"/>
        <w:ind w:firstLine="560"/>
        <w:jc w:val="both"/>
        <w:spacing w:line="500" w:lineRule="exact"/>
        <w:rPr>
          <w:rFonts w:eastAsia="方正仿宋_GBK"/>
          <w:sz w:val="28"/>
          <w:szCs w:val="28"/>
        </w:rPr>
      </w:pPr>
      <w:r/>
      <w:bookmarkStart w:id="48" w:name="_Toc20823287"/>
      <w:r/>
      <w:bookmarkStart w:id="49" w:name="_Toc16938531"/>
      <w:r/>
      <w:bookmarkStart w:id="50" w:name="_Toc513029215"/>
      <w:r/>
      <w:bookmarkStart w:id="51" w:name="_Toc462564074"/>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513029219"/>
      <w:r/>
      <w:bookmarkStart w:id="53" w:name="_Toc49090509"/>
      <w:r/>
      <w:bookmarkStart w:id="54" w:name="_Toc14577357"/>
      <w:r/>
      <w:bookmarkStart w:id="55" w:name="_Toc513029216"/>
      <w:r/>
      <w:bookmarkStart w:id="56" w:name="_Toc49090507"/>
      <w:r/>
      <w:bookmarkStart w:id="57"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82"/>
      <w:r/>
      <w:bookmarkStart w:id="63" w:name="_Hlt26954842"/>
      <w:r/>
      <w:bookmarkStart w:id="64" w:name="_Hlt26954848"/>
      <w:r/>
      <w:bookmarkStart w:id="65" w:name="_Hlt26670425"/>
      <w:r/>
      <w:bookmarkStart w:id="66" w:name="_Hlt26670403"/>
      <w:r/>
      <w:bookmarkStart w:id="67" w:name="_Hlt26954844"/>
      <w:r/>
      <w:bookmarkStart w:id="68" w:name="_Hlt26954731"/>
      <w:r/>
      <w:bookmarkStart w:id="69" w:name="_Hlt26670486"/>
      <w:r/>
      <w:bookmarkStart w:id="70" w:name="_Hlt26668983"/>
      <w:r/>
      <w:bookmarkStart w:id="71" w:name="_Hlt26954846"/>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55"/>
        <w:ind w:firstLine="560"/>
        <w:jc w:val="both"/>
        <w:spacing w:line="500" w:lineRule="exact"/>
        <w:rPr>
          <w:rFonts w:eastAsia="方正仿宋_GBK"/>
          <w:sz w:val="28"/>
          <w:szCs w:val="28"/>
        </w:rPr>
      </w:pPr>
      <w:r/>
      <w:bookmarkStart w:id="74" w:name="_Hlt26670360"/>
      <w:r/>
      <w:bookmarkStart w:id="75" w:name="_Hlt26668975"/>
      <w:r/>
      <w:bookmarkStart w:id="76" w:name="_Hlt26954838"/>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513029224"/>
      <w:r/>
      <w:bookmarkStart w:id="82" w:name="_Toc20823296"/>
      <w:r/>
      <w:bookmarkStart w:id="83" w:name="_Toc120614217"/>
      <w:r/>
      <w:bookmarkStart w:id="84" w:name="_Toc16938540"/>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5"/>
        <w:ind w:firstLine="560"/>
        <w:jc w:val="both"/>
        <w:spacing w:line="500" w:lineRule="exact"/>
        <w:rPr>
          <w:rFonts w:eastAsia="方正仿宋_GBK"/>
          <w:sz w:val="28"/>
          <w:szCs w:val="28"/>
        </w:rPr>
      </w:pPr>
      <w:r/>
      <w:bookmarkStart w:id="85" w:name="_Toc20823297"/>
      <w:r/>
      <w:bookmarkStart w:id="86" w:name="_Toc513029225"/>
      <w:r/>
      <w:bookmarkStart w:id="87" w:name="_Toc16938541"/>
      <w:r/>
      <w:bookmarkStart w:id="88" w:name="_Toc462564084"/>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20823298"/>
      <w:r/>
      <w:bookmarkStart w:id="90" w:name="_Toc513029226"/>
      <w:r/>
      <w:bookmarkStart w:id="91" w:name="_Toc16938542"/>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5"/>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55"/>
        <w:ind w:firstLine="560"/>
        <w:jc w:val="both"/>
        <w:spacing w:line="500" w:lineRule="exact"/>
        <w:rPr>
          <w:rFonts w:eastAsia="方正仿宋_GBK"/>
          <w:sz w:val="28"/>
          <w:szCs w:val="28"/>
        </w:rPr>
      </w:pPr>
      <w:r/>
      <w:bookmarkStart w:id="92" w:name="_Toc513029227"/>
      <w:r/>
      <w:bookmarkStart w:id="93" w:name="_Toc16938543"/>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5"/>
        <w:ind w:firstLine="560"/>
        <w:jc w:val="both"/>
        <w:spacing w:line="500" w:lineRule="exact"/>
        <w:rPr>
          <w:rFonts w:eastAsia="方正仿宋_GBK"/>
          <w:sz w:val="28"/>
          <w:szCs w:val="28"/>
        </w:rPr>
      </w:pPr>
      <w:r/>
      <w:bookmarkStart w:id="95" w:name="_Toc513029228"/>
      <w:r/>
      <w:bookmarkStart w:id="96" w:name="_Toc16938544"/>
      <w:r/>
      <w:bookmarkStart w:id="97" w:name="_Toc20823300"/>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20614218"/>
      <w:r/>
      <w:bookmarkStart w:id="99" w:name="_Toc16938545"/>
      <w:r/>
      <w:bookmarkStart w:id="100" w:name="_Toc513029229"/>
      <w:r/>
      <w:bookmarkStart w:id="101" w:name="_Toc20823301"/>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5"/>
        <w:ind w:firstLine="560"/>
        <w:jc w:val="both"/>
        <w:spacing w:line="500" w:lineRule="exact"/>
        <w:rPr>
          <w:rFonts w:eastAsia="方正仿宋_GBK"/>
          <w:sz w:val="28"/>
          <w:szCs w:val="28"/>
        </w:rPr>
      </w:pPr>
      <w:r/>
      <w:bookmarkStart w:id="102" w:name="_Toc513029230"/>
      <w:r/>
      <w:bookmarkStart w:id="103" w:name="_Toc20823302"/>
      <w:r/>
      <w:bookmarkStart w:id="104" w:name="_Toc16938546"/>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5"/>
        <w:ind w:firstLine="560"/>
        <w:jc w:val="both"/>
        <w:spacing w:line="500" w:lineRule="exact"/>
        <w:rPr>
          <w:rFonts w:eastAsia="方正仿宋_GBK"/>
          <w:sz w:val="28"/>
          <w:szCs w:val="28"/>
        </w:rPr>
      </w:pPr>
      <w:r/>
      <w:bookmarkStart w:id="105" w:name="_Toc16938547"/>
      <w:r/>
      <w:bookmarkStart w:id="106" w:name="_Toc513029231"/>
      <w:r/>
      <w:bookmarkStart w:id="107" w:name="_Toc20823303"/>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5"/>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5"/>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5"/>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16938550"/>
      <w:r/>
      <w:bookmarkStart w:id="115" w:name="_Toc513029234"/>
      <w:r/>
      <w:bookmarkStart w:id="116"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5"/>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20823307"/>
      <w:r/>
      <w:bookmarkStart w:id="118" w:name="_Toc513029235"/>
      <w:r/>
      <w:bookmarkStart w:id="119" w:name="_Toc16938551"/>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16938552"/>
      <w:r/>
      <w:bookmarkStart w:id="127" w:name="_Toc513029236"/>
      <w:r/>
      <w:bookmarkStart w:id="128" w:name="_Toc20823308"/>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513029237"/>
      <w:r/>
      <w:bookmarkStart w:id="130" w:name="_Toc20823309"/>
      <w:r/>
      <w:bookmarkStart w:id="131" w:name="_Toc16938553"/>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一、采购内容：启东复旦医学创新研究院实验楼（转化孵育中心、概念验证中心）实验室平台建设设备采购（三至四标段），具体内容见采购清单。</w:t>
      </w:r>
      <w:r/>
    </w:p>
    <w:p>
      <w:pPr>
        <w:ind w:firstLine="560"/>
        <w:spacing w:line="500" w:lineRule="exact"/>
        <w:rPr>
          <w:rFonts w:ascii="仿宋" w:hAnsi="仿宋" w:eastAsia="仿宋" w:cs="仿宋"/>
          <w:b/>
          <w:bCs/>
          <w:sz w:val="30"/>
          <w:szCs w:val="30"/>
        </w:rPr>
      </w:pPr>
      <w:r>
        <w:rPr>
          <w:rFonts w:hint="eastAsia" w:ascii="方正黑体_GBK" w:hAnsi="方正黑体_GBK" w:eastAsia="方正黑体_GBK" w:cs="方正黑体_GBK"/>
          <w:sz w:val="28"/>
          <w:szCs w:val="28"/>
        </w:rPr>
        <w:t xml:space="preserve">二、采购清单：</w:t>
      </w:r>
      <w:r/>
    </w:p>
    <w:tbl>
      <w:tblPr>
        <w:tblW w:w="9189" w:type="dxa"/>
        <w:tblLayout w:type="fixed"/>
        <w:tblCellMar>
          <w:left w:w="15" w:type="dxa"/>
          <w:top w:w="15" w:type="dxa"/>
          <w:right w:w="15" w:type="dxa"/>
          <w:bottom w:w="15" w:type="dxa"/>
        </w:tblCellMar>
        <w:tblLook w:val="04A0" w:firstRow="1" w:lastRow="0" w:firstColumn="1" w:lastColumn="0" w:noHBand="0" w:noVBand="1"/>
      </w:tblPr>
      <w:tblGrid>
        <w:gridCol w:w="2054"/>
        <w:gridCol w:w="1170"/>
        <w:gridCol w:w="3672"/>
        <w:gridCol w:w="1008"/>
        <w:gridCol w:w="1285"/>
      </w:tblGrid>
      <w:tr>
        <w:trPr>
          <w:trHeight w:val="549"/>
        </w:trPr>
        <w:tc>
          <w:tcPr>
            <w:gridSpan w:val="5"/>
            <w:tcBorders>
              <w:top w:val="single" w:color="000000" w:sz="4" w:space="0"/>
              <w:left w:val="single" w:color="000000" w:sz="4" w:space="0"/>
              <w:bottom w:val="single" w:color="000000" w:sz="4" w:space="0"/>
              <w:right w:val="single" w:color="auto" w:sz="4" w:space="0"/>
            </w:tcBorders>
            <w:tcW w:w="9189" w:type="dxa"/>
            <w:vAlign w:val="center"/>
            <w:textDirection w:val="lrTb"/>
            <w:noWrap/>
          </w:tcPr>
          <w:p>
            <w:pPr>
              <w:jc w:val="center"/>
              <w:spacing w:line="400" w:lineRule="exact"/>
              <w:rPr>
                <w:rFonts w:ascii="宋体" w:hAnsi="宋体" w:cs="宋体"/>
                <w:b/>
                <w:bCs/>
                <w:color w:val="000000"/>
                <w:sz w:val="20"/>
                <w:szCs w:val="20"/>
              </w:rPr>
            </w:pPr>
            <w:r>
              <w:rPr>
                <w:rFonts w:hint="eastAsia" w:ascii="宋体" w:hAnsi="宋体" w:cs="宋体"/>
                <w:b/>
                <w:bCs/>
                <w:color w:val="000000"/>
                <w:sz w:val="20"/>
                <w:szCs w:val="20"/>
              </w:rPr>
              <w:t xml:space="preserve">纳米药物工艺（冻干）开发与检测设备（三标段）</w:t>
            </w:r>
            <w:r/>
          </w:p>
        </w:tc>
      </w:tr>
      <w:tr>
        <w:trPr>
          <w:trHeight w:val="360"/>
        </w:trPr>
        <w:tc>
          <w:tcPr>
            <w:tcBorders>
              <w:left w:val="single" w:color="000000" w:sz="4" w:space="0"/>
              <w:bottom w:val="single" w:color="000000" w:sz="4" w:space="0"/>
              <w:right w:val="single" w:color="000000" w:sz="4" w:space="0"/>
            </w:tcBorders>
            <w:tcW w:w="205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设备</w:t>
            </w:r>
            <w:r/>
          </w:p>
        </w:tc>
        <w:tc>
          <w:tcPr>
            <w:tcBorders>
              <w:bottom w:val="single" w:color="000000" w:sz="4" w:space="0"/>
              <w:right w:val="single" w:color="000000"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序号</w:t>
            </w:r>
            <w:r/>
          </w:p>
        </w:tc>
        <w:tc>
          <w:tcPr>
            <w:tcBorders>
              <w:left w:val="single" w:color="000000" w:sz="4" w:space="0"/>
              <w:right w:val="single" w:color="000000" w:sz="4" w:space="0"/>
            </w:tcBorders>
            <w:tcW w:w="367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仪器名称</w:t>
            </w:r>
            <w:r/>
          </w:p>
        </w:tc>
        <w:tc>
          <w:tcPr>
            <w:tcBorders>
              <w:left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数量</w:t>
            </w:r>
            <w:r/>
          </w:p>
        </w:tc>
        <w:tc>
          <w:tcPr>
            <w:tcBorders>
              <w:left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纳米药物冻干（小试）设备</w:t>
            </w:r>
            <w:r/>
          </w:p>
        </w:tc>
        <w:tc>
          <w:tcPr>
            <w:tcBorders>
              <w:top w:val="single" w:color="000000" w:sz="4" w:space="0"/>
              <w:bottom w:val="single" w:color="000000" w:sz="4" w:space="0"/>
              <w:right w:val="single" w:color="000000"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医药级0.2平米研发冻干机</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auto" w:sz="4" w:space="0"/>
              <w:right w:val="single" w:color="000000" w:sz="4" w:space="0"/>
            </w:tcBorders>
            <w:tcW w:w="2054" w:type="dxa"/>
            <w:vAlign w:val="center"/>
            <w:vMerge w:val="continue"/>
            <w:textDirection w:val="lrTb"/>
            <w:noWrap/>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auto" w:sz="4" w:space="0"/>
              <w:right w:val="single" w:color="000000"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冻干机真空置换成核控制器</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纳米粒子检测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纳米粒度与Zeta 电位仪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多通道不溶性微粒仪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高精度检测设备</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auto"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库仑法水分仪</w:t>
            </w:r>
            <w:r/>
          </w:p>
        </w:tc>
        <w:tc>
          <w:tcPr>
            <w:tcBorders>
              <w:top w:val="single" w:color="000000" w:sz="4" w:space="0"/>
              <w:left w:val="single" w:color="000000" w:sz="4" w:space="0"/>
              <w:right w:val="single" w:color="000000" w:sz="4" w:space="0"/>
            </w:tcBorders>
            <w:tcW w:w="1008"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right w:val="single" w:color="000000" w:sz="4" w:space="0"/>
            </w:tcBorders>
            <w:tcW w:w="1285"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低温DSC（差示热量扫描仪）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高效液相色谱仪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8</w:t>
            </w:r>
            <w:r/>
          </w:p>
        </w:tc>
        <w:tc>
          <w:tcPr>
            <w:tcBorders>
              <w:top w:val="single" w:color="000000" w:sz="4" w:space="0"/>
              <w:left w:val="single" w:color="auto" w:sz="4" w:space="0"/>
              <w:bottom w:val="single" w:color="000000" w:sz="4" w:space="0"/>
              <w:right w:val="single" w:color="000000" w:sz="4" w:space="0"/>
            </w:tcBorders>
            <w:tcW w:w="3672"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液相色谱-质谱-联用仪</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spacing w:line="400" w:lineRule="exact"/>
              <w:rPr>
                <w:rFonts w:ascii="宋体" w:hAnsi="宋体" w:cs="宋体"/>
                <w:sz w:val="20"/>
                <w:szCs w:val="20"/>
              </w:rPr>
            </w:pPr>
            <w:r>
              <w:rPr>
                <w:rFonts w:hint="eastAsia" w:ascii="宋体" w:hAnsi="宋体" w:cs="宋体"/>
                <w:color w:val="000000"/>
                <w:sz w:val="20"/>
                <w:szCs w:val="20"/>
              </w:rPr>
              <w:t xml:space="preserve">套</w:t>
            </w:r>
            <w:r/>
          </w:p>
        </w:tc>
      </w:tr>
    </w:tbl>
    <w:p>
      <w:pPr>
        <w:spacing w:line="400" w:lineRule="exact"/>
        <w:rPr>
          <w:rFonts w:ascii="宋体" w:hAnsi="宋体" w:cs="宋体"/>
          <w:sz w:val="20"/>
          <w:szCs w:val="20"/>
        </w:rPr>
      </w:pPr>
      <w:r>
        <w:rPr>
          <w:rFonts w:ascii="宋体" w:hAnsi="宋体" w:cs="宋体"/>
          <w:sz w:val="20"/>
          <w:szCs w:val="20"/>
        </w:rPr>
      </w:r>
      <w:r/>
    </w:p>
    <w:tbl>
      <w:tblPr>
        <w:tblW w:w="9211" w:type="dxa"/>
        <w:tblLayout w:type="fixed"/>
        <w:tblCellMar>
          <w:left w:w="15" w:type="dxa"/>
          <w:top w:w="15" w:type="dxa"/>
          <w:right w:w="15" w:type="dxa"/>
          <w:bottom w:w="15" w:type="dxa"/>
        </w:tblCellMar>
        <w:tblLook w:val="04A0" w:firstRow="1" w:lastRow="0" w:firstColumn="1" w:lastColumn="0" w:noHBand="0" w:noVBand="1"/>
      </w:tblPr>
      <w:tblGrid>
        <w:gridCol w:w="2054"/>
        <w:gridCol w:w="1170"/>
        <w:gridCol w:w="3694"/>
        <w:gridCol w:w="986"/>
        <w:gridCol w:w="1307"/>
      </w:tblGrid>
      <w:tr>
        <w:trPr>
          <w:trHeight w:val="570"/>
        </w:trPr>
        <w:tc>
          <w:tcPr>
            <w:gridSpan w:val="5"/>
            <w:tcBorders>
              <w:top w:val="single" w:color="000000" w:sz="4" w:space="0"/>
              <w:left w:val="single" w:color="000000" w:sz="4" w:space="0"/>
              <w:bottom w:val="single" w:color="000000" w:sz="4" w:space="0"/>
              <w:right w:val="single" w:color="auto" w:sz="4" w:space="0"/>
            </w:tcBorders>
            <w:tcW w:w="9211" w:type="dxa"/>
            <w:vAlign w:val="center"/>
            <w:textDirection w:val="lrTb"/>
            <w:noWrap/>
          </w:tcPr>
          <w:p>
            <w:pPr>
              <w:jc w:val="center"/>
              <w:spacing w:line="400" w:lineRule="exact"/>
              <w:rPr>
                <w:rFonts w:ascii="宋体" w:hAnsi="宋体" w:cs="宋体"/>
                <w:b/>
                <w:bCs/>
                <w:color w:val="000000"/>
                <w:sz w:val="20"/>
                <w:szCs w:val="20"/>
              </w:rPr>
            </w:pPr>
            <w:r>
              <w:rPr>
                <w:rFonts w:ascii="宋体" w:hAnsi="宋体" w:cs="宋体"/>
                <w:b/>
                <w:bCs/>
                <w:color w:val="000000"/>
                <w:sz w:val="20"/>
                <w:szCs w:val="20"/>
              </w:rPr>
              <w:t xml:space="preserve">中试发酵分离纯化与灌装冻干集成系统</w:t>
            </w:r>
            <w:r>
              <w:rPr>
                <w:rFonts w:hint="eastAsia" w:ascii="宋体" w:hAnsi="宋体" w:cs="宋体"/>
                <w:b/>
                <w:bCs/>
                <w:color w:val="000000"/>
                <w:sz w:val="20"/>
                <w:szCs w:val="20"/>
              </w:rPr>
              <w:t xml:space="preserve">（四标段）</w:t>
            </w:r>
            <w:r/>
          </w:p>
        </w:tc>
      </w:tr>
      <w:tr>
        <w:trPr>
          <w:trHeight w:val="360"/>
        </w:trPr>
        <w:tc>
          <w:tcPr>
            <w:tcBorders>
              <w:left w:val="single" w:color="000000" w:sz="4" w:space="0"/>
              <w:bottom w:val="single" w:color="auto" w:sz="4" w:space="0"/>
              <w:right w:val="single" w:color="000000" w:sz="4" w:space="0"/>
            </w:tcBorders>
            <w:tcW w:w="205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设备</w:t>
            </w:r>
            <w:r/>
          </w:p>
        </w:tc>
        <w:tc>
          <w:tcPr>
            <w:tcBorders>
              <w:left w:val="single" w:color="000000" w:sz="4" w:space="0"/>
              <w:bottom w:val="single" w:color="auto" w:sz="4" w:space="0"/>
              <w:right w:val="single" w:color="000000"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序号</w:t>
            </w:r>
            <w:r/>
          </w:p>
        </w:tc>
        <w:tc>
          <w:tcPr>
            <w:tcBorders>
              <w:left w:val="single" w:color="000000" w:sz="4" w:space="0"/>
              <w:bottom w:val="single" w:color="auto" w:sz="4" w:space="0"/>
              <w:right w:val="single" w:color="000000"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仪器名称</w:t>
            </w:r>
            <w:r/>
          </w:p>
        </w:tc>
        <w:tc>
          <w:tcPr>
            <w:tcBorders>
              <w:left w:val="single" w:color="000000" w:sz="4" w:space="0"/>
              <w:bottom w:val="single" w:color="auto" w:sz="4" w:space="0"/>
              <w:right w:val="single" w:color="000000"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数量</w:t>
            </w:r>
            <w:r/>
          </w:p>
        </w:tc>
        <w:tc>
          <w:tcPr>
            <w:tcBorders>
              <w:left w:val="single" w:color="000000" w:sz="4" w:space="0"/>
              <w:bottom w:val="single" w:color="auto" w:sz="4" w:space="0"/>
              <w:right w:val="single" w:color="000000"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单位</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1.发酵（中试）配套设备</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50 L一次性微生物反应系统</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 L微生物台式反应器</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30 L桌面式配液系统</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50 L储液系统（2-8℃保持）</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温度控制单元TCU</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碟片式离心机</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432"/>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制药级无菌封管机</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Borders>
              <w:top w:val="single" w:color="auto" w:sz="4" w:space="0"/>
              <w:left w:val="single" w:color="auto" w:sz="4" w:space="0"/>
              <w:bottom w:val="single" w:color="auto" w:sz="4" w:space="0"/>
              <w:right w:val="single" w:color="auto" w:sz="4" w:space="0"/>
            </w:tcBorders>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制药级无菌接管机</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2054"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2.蛋白纯化超滤（中试）配套设备</w:t>
            </w:r>
            <w:r/>
          </w:p>
        </w:tc>
        <w:tc>
          <w:tcPr>
            <w:tcBorders>
              <w:top w:val="single" w:color="auto" w:sz="4" w:space="0"/>
              <w:bottom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auto" w:sz="4" w:space="0"/>
              <w:bottom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蛋白纯化系统</w:t>
            </w:r>
            <w:r/>
          </w:p>
        </w:tc>
        <w:tc>
          <w:tcPr>
            <w:tcBorders>
              <w:top w:val="single" w:color="auto" w:sz="4" w:space="0"/>
              <w:bottom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bottom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2054"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auto" w:sz="4" w:space="0"/>
              <w:bottom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auto" w:sz="4" w:space="0"/>
              <w:bottom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超滤系统</w:t>
            </w:r>
            <w:r/>
          </w:p>
        </w:tc>
        <w:tc>
          <w:tcPr>
            <w:tcBorders>
              <w:top w:val="single" w:color="auto" w:sz="4" w:space="0"/>
              <w:bottom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bottom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2054" w:type="dxa"/>
            <w:vAlign w:val="center"/>
            <w:textDirection w:val="lrTb"/>
            <w:noWrap w:val="false"/>
          </w:tcPr>
          <w:p>
            <w:pPr>
              <w:spacing w:line="400" w:lineRule="exact"/>
              <w:rPr>
                <w:rFonts w:ascii="宋体" w:hAnsi="宋体" w:cs="宋体"/>
                <w:color w:val="000000"/>
                <w:sz w:val="20"/>
                <w:szCs w:val="20"/>
              </w:rPr>
            </w:pPr>
            <w:r>
              <w:rPr>
                <w:rFonts w:hint="eastAsia" w:ascii="宋体" w:hAnsi="宋体" w:cs="宋体"/>
                <w:color w:val="000000"/>
                <w:sz w:val="20"/>
                <w:szCs w:val="20"/>
              </w:rPr>
              <w:t xml:space="preserve">3.专业制剂灌装冻干（中试）集成系统</w:t>
            </w:r>
            <w:r/>
          </w:p>
        </w:tc>
        <w:tc>
          <w:tcPr>
            <w:tcBorders>
              <w:top w:val="single" w:color="auto" w:sz="4" w:space="0"/>
            </w:tcBorders>
            <w:tcW w:w="117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auto" w:sz="4" w:space="0"/>
            </w:tcBorders>
            <w:tcW w:w="3694" w:type="dxa"/>
            <w:vAlign w:val="center"/>
            <w:textDirection w:val="lrTb"/>
            <w:noWrap/>
          </w:tcPr>
          <w:p>
            <w:pPr>
              <w:jc w:val="center"/>
              <w:spacing w:line="400" w:lineRule="exact"/>
              <w:rPr>
                <w:rFonts w:ascii="宋体" w:hAnsi="宋体" w:cs="宋体"/>
                <w:sz w:val="20"/>
                <w:szCs w:val="20"/>
              </w:rPr>
            </w:pPr>
            <w:r>
              <w:rPr>
                <w:rFonts w:hint="eastAsia" w:ascii="宋体" w:hAnsi="宋体" w:cs="宋体"/>
                <w:sz w:val="20"/>
                <w:szCs w:val="20"/>
              </w:rPr>
              <w:t xml:space="preserve">制剂灌装冻干集成系统</w:t>
            </w:r>
            <w:r/>
          </w:p>
        </w:tc>
        <w:tc>
          <w:tcPr>
            <w:tcBorders>
              <w:top w:val="single" w:color="auto" w:sz="4" w:space="0"/>
            </w:tcBorders>
            <w:tcW w:w="986"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auto" w:sz="4" w:space="0"/>
            </w:tcBorders>
            <w:tcW w:w="130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bl>
    <w:p>
      <w:pPr>
        <w:ind w:firstLine="602"/>
        <w:spacing w:line="500" w:lineRule="exact"/>
        <w:rPr>
          <w:rFonts w:ascii="仿宋" w:hAnsi="仿宋" w:eastAsia="仿宋" w:cs="仿宋"/>
          <w:b/>
          <w:bCs/>
          <w:sz w:val="30"/>
          <w:szCs w:val="30"/>
        </w:rPr>
      </w:pPr>
      <w:r>
        <w:rPr>
          <w:rFonts w:ascii="仿宋" w:hAnsi="仿宋" w:eastAsia="仿宋" w:cs="仿宋"/>
          <w:b/>
          <w:bCs/>
          <w:sz w:val="30"/>
          <w:szCs w:val="30"/>
        </w:rPr>
      </w:r>
      <w:r/>
    </w:p>
    <w:p>
      <w:pPr>
        <w:jc w:val="left"/>
        <w:spacing w:line="560" w:lineRule="exact"/>
        <w:widowControl/>
        <w:rPr>
          <w:rFonts w:ascii="仿宋" w:hAnsi="仿宋" w:eastAsia="仿宋" w:cs="仿宋"/>
          <w:b/>
          <w:bCs/>
          <w:sz w:val="30"/>
          <w:szCs w:val="30"/>
        </w:rPr>
      </w:pPr>
      <w:r>
        <w:rPr>
          <w:rFonts w:hint="eastAsia" w:ascii="仿宋" w:hAnsi="仿宋" w:eastAsia="仿宋" w:cs="仿宋"/>
          <w:b/>
          <w:bCs/>
          <w:sz w:val="30"/>
          <w:szCs w:val="30"/>
        </w:rPr>
        <w:t xml:space="preserve">三标段</w:t>
      </w:r>
      <w:r/>
    </w:p>
    <w:tbl>
      <w:tblPr>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5"/>
        <w:gridCol w:w="455"/>
        <w:gridCol w:w="230"/>
        <w:gridCol w:w="710"/>
        <w:gridCol w:w="212"/>
        <w:gridCol w:w="8404"/>
        <w:gridCol w:w="431"/>
      </w:tblGrid>
      <w:tr>
        <w:trPr>
          <w:cantSplit/>
          <w:gridAfter w:val="1"/>
          <w:jc w:val="center"/>
          <w:trHeight w:val="378" w:hRule="exact"/>
        </w:trPr>
        <w:tc>
          <w:tcPr>
            <w:gridSpan w:val="6"/>
            <w:tcW w:w="10226" w:type="dxa"/>
            <w:vAlign w:val="center"/>
            <w:textDirection w:val="lrTb"/>
            <w:noWrap w:val="false"/>
          </w:tcPr>
          <w:p>
            <w:pPr>
              <w:ind w:firstLine="120"/>
              <w:jc w:val="center"/>
              <w:spacing w:line="300" w:lineRule="exact"/>
              <w:rPr>
                <w:rFonts w:ascii="宋体" w:hAnsi="宋体" w:cs="宋体"/>
                <w:b/>
                <w:bCs/>
                <w:color w:val="000000"/>
                <w:sz w:val="18"/>
                <w:szCs w:val="18"/>
              </w:rPr>
            </w:pPr>
            <w:r>
              <w:rPr>
                <w:rFonts w:hint="eastAsia" w:ascii="宋体" w:hAnsi="宋体" w:cs="宋体"/>
                <w:b/>
                <w:bCs/>
                <w:color w:val="000000"/>
                <w:sz w:val="24"/>
              </w:rPr>
              <w:t xml:space="preserve">纳米药物冻干（小试）设备</w:t>
            </w:r>
            <w:r/>
          </w:p>
        </w:tc>
      </w:tr>
      <w:tr>
        <w:trPr>
          <w:cantSplit/>
          <w:gridAfter w:val="1"/>
          <w:jc w:val="center"/>
          <w:trHeight w:val="386" w:hRule="exact"/>
        </w:trPr>
        <w:tc>
          <w:tcPr>
            <w:gridSpan w:val="2"/>
            <w:tcW w:w="670" w:type="dxa"/>
            <w:vAlign w:val="center"/>
            <w:textDirection w:val="lrTb"/>
            <w:noWrap w:val="false"/>
          </w:tcPr>
          <w:p>
            <w:pPr>
              <w:jc w:val="center"/>
              <w:spacing w:line="300" w:lineRule="exact"/>
              <w:rPr>
                <w:rFonts w:ascii="宋体" w:hAnsi="宋体"/>
                <w:b/>
                <w:color w:val="000000"/>
                <w:szCs w:val="21"/>
              </w:rPr>
            </w:pPr>
            <w:r>
              <w:rPr>
                <w:rFonts w:hint="eastAsia" w:ascii="宋体" w:hAnsi="宋体"/>
                <w:b/>
                <w:color w:val="000000"/>
                <w:szCs w:val="21"/>
              </w:rPr>
              <w:t xml:space="preserve">序号</w:t>
            </w:r>
            <w:r/>
          </w:p>
        </w:tc>
        <w:tc>
          <w:tcPr>
            <w:gridSpan w:val="2"/>
            <w:tcW w:w="940" w:type="dxa"/>
            <w:vAlign w:val="center"/>
            <w:textDirection w:val="lrTb"/>
            <w:noWrap w:val="false"/>
          </w:tcPr>
          <w:p>
            <w:pPr>
              <w:jc w:val="center"/>
              <w:spacing w:line="300" w:lineRule="exact"/>
              <w:rPr>
                <w:rFonts w:ascii="宋体" w:hAnsi="宋体"/>
                <w:b/>
                <w:color w:val="000000"/>
                <w:szCs w:val="21"/>
              </w:rPr>
            </w:pPr>
            <w:r>
              <w:rPr>
                <w:rFonts w:hint="eastAsia" w:ascii="宋体" w:hAnsi="宋体"/>
                <w:b/>
                <w:color w:val="000000"/>
                <w:szCs w:val="21"/>
              </w:rPr>
              <w:t xml:space="preserve">名称</w:t>
            </w:r>
            <w:r/>
          </w:p>
        </w:tc>
        <w:tc>
          <w:tcPr>
            <w:gridSpan w:val="2"/>
            <w:tcW w:w="8616" w:type="dxa"/>
            <w:vAlign w:val="center"/>
            <w:textDirection w:val="lrTb"/>
            <w:noWrap w:val="false"/>
          </w:tcPr>
          <w:p>
            <w:pPr>
              <w:jc w:val="center"/>
              <w:spacing w:line="300" w:lineRule="exact"/>
              <w:rPr>
                <w:rFonts w:ascii="宋体" w:hAnsi="宋体"/>
                <w:b/>
                <w:color w:val="000000"/>
                <w:szCs w:val="21"/>
              </w:rPr>
            </w:pPr>
            <w:r>
              <w:rPr>
                <w:rFonts w:hint="eastAsia" w:ascii="宋体" w:hAnsi="宋体"/>
                <w:b/>
                <w:color w:val="000000"/>
                <w:szCs w:val="21"/>
              </w:rPr>
              <w:t xml:space="preserve">设备参数</w:t>
            </w:r>
            <w:r/>
          </w:p>
        </w:tc>
      </w:tr>
      <w:tr>
        <w:trPr>
          <w:gridAfter w:val="1"/>
          <w:jc w:val="center"/>
          <w:trHeight w:val="90"/>
        </w:trPr>
        <w:tc>
          <w:tcPr>
            <w:gridSpan w:val="2"/>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gridSpan w:val="2"/>
            <w:tcW w:w="94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rPr>
              <w:t xml:space="preserve">医药级0.2平米研发冻干机</w:t>
            </w:r>
            <w:r/>
          </w:p>
        </w:tc>
        <w:tc>
          <w:tcPr>
            <w:gridSpan w:val="2"/>
            <w:tcW w:w="8616" w:type="dxa"/>
            <w:vAlign w:val="center"/>
            <w:textDirection w:val="lrTb"/>
            <w:noWrap w:val="false"/>
          </w:tcPr>
          <w:p>
            <w:pPr>
              <w:jc w:val="left"/>
              <w:spacing w:line="280" w:lineRule="exact"/>
              <w:rPr>
                <w:rFonts w:ascii="宋体" w:hAnsi="宋体" w:cs="宋体"/>
                <w:color w:val="000000"/>
                <w:szCs w:val="21"/>
                <w:lang w:bidi="ar"/>
              </w:rPr>
            </w:pPr>
            <w:r>
              <w:rPr>
                <w:rFonts w:hint="eastAsia" w:ascii="宋体" w:hAnsi="宋体" w:cs="宋体"/>
                <w:b/>
                <w:bCs/>
                <w:color w:val="000000"/>
                <w:szCs w:val="21"/>
                <w:lang w:bidi="ar"/>
              </w:rPr>
              <w:t xml:space="preserve">为满足高水平生物医药冻干机技术开发与冻干工艺研究，需要冻干机设计与制造工艺整体满足高水平冻干机技术开发，质量过硬，设计理念先进。</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1.设计制造符合中国GMP、欧盟cGMP、FDA，cGMP规范要求。</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2.设计能耗符合ISO 14064标准。</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3.冻干机最大凝冰量≥5kG，凝冰效能≥4kG/24h。</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4.采用安全可靠的压缩机组成制冷系统，冻干机冷凝器温度≤-80℃，制冷系统具有变频功能，高效省电节能减排</w:t>
            </w:r>
            <w:r/>
          </w:p>
          <w:p>
            <w:pPr>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5.预冻温度≤-55℃，层板控温范围：-60~+80℃，样品可在冻干机内玻璃化成核和预冻，确保干燥后样品形态。冻干机有效冻干面积≥0.2m2。</w:t>
            </w:r>
            <w:r/>
          </w:p>
          <w:p>
            <w:pP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6.冻干机样品腔（干燥仓）和冷阱间配有主阀（中隔阀或其他类别主阀门都可），主阀必须配有高精度电容式真空计，且不得使用定时器开关的方式开关主阀，以大幅提高冻干效率，和避免频繁开关主阀的老化风险，甚至导致主阀密封圈脱落。冻干机样品腔（干燥仓）外侧必须配有电磁阀的管路，法兰尺寸不小于3英寸，该法兰用于连接真空置换成核控制器，确保样品在冻干机层板上快速预冻成核。</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冻干机必须提供灵活多变的模块化配置选择，根据不同样品的冻干工艺要求，可后期在原（本）冻干机上添加或变更这些模块配置，如CIP在位清洗模块，SIP在线灭菌模块，在线取样等，满足后续使用者多样化样品开发的需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8.极限真空可达0.002mbar (0.2Pa)，相对最大抽气可达8.5m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/h，一年使用后仍能达到以上参数，确保冻干过程有效性以及长期稳定使用。</w:t>
            </w:r>
            <w:r/>
          </w:p>
          <w:p>
            <w:pPr>
              <w:ind w:left="404" w:hanging="440"/>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★9.系统整体泄漏率≤0.01mbarL/s。</w:t>
            </w:r>
            <w:r/>
          </w:p>
          <w:p>
            <w:pPr>
              <w:ind w:left="404" w:hanging="440"/>
              <w:jc w:val="left"/>
              <w:spacing w:line="280" w:lineRule="exact"/>
              <w:widowControl/>
              <w:rPr>
                <w:rFonts w:ascii="宋体" w:hAnsi="宋体" w:cs="宋体"/>
                <w:color w:val="000000"/>
                <w:szCs w:val="21"/>
                <w:lang w:bidi="ar"/>
              </w:rPr>
            </w:pPr>
            <w:r>
              <w:rPr>
                <w:rFonts w:hint="eastAsia" w:ascii="宋体" w:hAnsi="宋体" w:cs="宋体"/>
                <w:b/>
                <w:bCs/>
                <w:szCs w:val="21"/>
                <w:lang w:bidi="ar"/>
              </w:rPr>
              <w:t xml:space="preserve">投标人应提供上述6、9带</w:t>
            </w:r>
            <w:r>
              <w:rPr>
                <w:rFonts w:hint="eastAsia" w:ascii="宋体" w:hAnsi="宋体" w:cs="宋体"/>
                <w:b/>
                <w:bCs/>
                <w:color w:val="000000"/>
                <w:szCs w:val="21"/>
                <w:lang w:bidi="ar"/>
              </w:rPr>
              <w:t xml:space="preserve">★</w:t>
            </w:r>
            <w:r>
              <w:rPr>
                <w:rFonts w:hint="eastAsia" w:ascii="宋体" w:hAnsi="宋体" w:cs="宋体"/>
                <w:b/>
                <w:bCs/>
                <w:szCs w:val="21"/>
                <w:lang w:bidi="ar"/>
              </w:rPr>
              <w:t xml:space="preserve">产品彩页或官网截图或者相关证明。</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10.提供原厂FAT和SAT文件和测试验收服务。</w:t>
            </w:r>
            <w:r/>
          </w:p>
          <w:p>
            <w:pPr>
              <w:ind w:left="404" w:hanging="44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11.冻干机在600KG内。</w:t>
            </w:r>
            <w:r/>
          </w:p>
          <w:p>
            <w:pPr>
              <w:ind w:left="-36"/>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样品腔（干燥仓）与层板</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1.容器耐受压力：1BarA</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2.容器耐受温度：-80~+90℃</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3.样品腔门：手动开关门。</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4.层板尺寸：320×315×12mm (W×D×T)。</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5.层板数量：2+1（+1是压盖板），每个层板配有1个样品温度探头，可实时监测每一块板的温度，实现精确的工艺控制，保证冻干工艺的均一性和可重复性。</w:t>
            </w:r>
            <w:r/>
          </w:p>
          <w:p>
            <w:pPr>
              <w:ind w:left="360" w:hanging="360"/>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6.层板间距：标准间距80mm，间距可调最大间距105mm，便于不同样品容器的进样</w:t>
            </w:r>
            <w:r>
              <w:rPr>
                <w:rFonts w:hint="eastAsia" w:ascii="宋体" w:hAnsi="宋体" w:cs="宋体"/>
                <w:szCs w:val="21"/>
              </w:rPr>
              <w:t xml:space="preserve">。</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7.层板平整度：≤0.5mm/m，物理层面保证热传导的均一性，从而确保同一批次产品水分含量稳定及质量稳定性。</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★8.层板温度均一性：层板任一两点设计温差≤0.5℃，空载验证温度0.5℃。参数可被验证，用于提高冻干产品的批次稳定性，避免层差效应或边缘效应的发生。</w:t>
            </w:r>
            <w:r/>
          </w:p>
          <w:p>
            <w:pPr>
              <w:ind w:left="360" w:hanging="360"/>
              <w:jc w:val="left"/>
              <w:spacing w:line="280" w:lineRule="exact"/>
              <w:widowControl/>
              <w:rPr>
                <w:rFonts w:ascii="宋体" w:hAnsi="宋体" w:cs="宋体"/>
                <w:color w:val="000000"/>
                <w:szCs w:val="21"/>
                <w:lang w:bidi="ar"/>
              </w:rPr>
            </w:pPr>
            <w:r>
              <w:rPr>
                <w:rFonts w:hint="eastAsia" w:ascii="宋体" w:hAnsi="宋体" w:cs="宋体"/>
                <w:b/>
                <w:bCs/>
                <w:szCs w:val="21"/>
                <w:lang w:bidi="ar"/>
              </w:rPr>
              <w:t xml:space="preserve">投标人应提供产品彩页或官网截图或者相关证明。</w:t>
            </w:r>
            <w:r/>
          </w:p>
        </w:tc>
      </w:tr>
      <w:tr>
        <w:trPr>
          <w:cantSplit/>
          <w:gridAfter w:val="1"/>
          <w:jc w:val="center"/>
          <w:trHeight w:val="2623"/>
        </w:trPr>
        <w:tc>
          <w:tcPr>
            <w:gridSpan w:val="2"/>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gridSpan w:val="2"/>
            <w:tcW w:w="94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rPr>
              <w:t xml:space="preserve">医药级0.2平米研发冻干机</w:t>
            </w:r>
            <w:r/>
          </w:p>
        </w:tc>
        <w:tc>
          <w:tcPr>
            <w:gridSpan w:val="2"/>
            <w:tcW w:w="8616" w:type="dxa"/>
            <w:vAlign w:val="center"/>
            <w:textDirection w:val="lrTb"/>
            <w:noWrap w:val="false"/>
          </w:tcPr>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9.层板温度范围：-60~+80℃。</w:t>
            </w:r>
            <w:r/>
          </w:p>
          <w:p>
            <w:pPr>
              <w:ind w:left="360" w:hanging="360"/>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★10.板层预冻最低温度：-55℃。</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11.层板采用高精度深孔钻技术，零内焊无死角，杜绝硅油泄露风险。</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12.层板升温和降温速率max. 1.6℃/min，从20℃降至至-40℃在45min内完成，通过快速升降温来确认设备的性能。</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13.所有与样品接触和操作表面，都使用316L不锈钢。</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14.样品腔上方预留2个验证口，预留口管路法兰使用KF16或KF25，用于增加模块，如增加温度探头，或真空规等</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15.样品腔外侧配有电磁阀的管路，法兰尺寸4英寸，用于连接真空置换成核控制器。</w:t>
            </w:r>
            <w:r/>
          </w:p>
          <w:p>
            <w:pP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制冷系统：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1.制冷系统结构：双压缩机（全封闭压缩机）组成复叠式压缩机组，实现超低温，高效能和经济运行，确保设备验证的可靠性。</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2.制冷系统极限低温≤-80℃。</w:t>
            </w:r>
            <w:r/>
          </w:p>
          <w:p>
            <w:pPr>
              <w:ind w:left="360" w:hanging="360"/>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★3.最大凝冰量5kG，凝冰效率4kG/24h。</w:t>
            </w:r>
            <w:r/>
          </w:p>
          <w:p>
            <w:pPr>
              <w:ind w:left="360" w:hanging="360"/>
              <w:spacing w:line="280" w:lineRule="exact"/>
              <w:widowControl/>
              <w:rPr>
                <w:rFonts w:ascii="宋体" w:hAnsi="宋体" w:cs="宋体"/>
                <w:color w:val="000000"/>
                <w:szCs w:val="21"/>
                <w:lang w:bidi="ar"/>
              </w:rPr>
            </w:pPr>
            <w:r>
              <w:rPr>
                <w:rFonts w:hint="eastAsia" w:ascii="宋体" w:hAnsi="宋体" w:cs="宋体"/>
                <w:b/>
                <w:bCs/>
                <w:szCs w:val="21"/>
                <w:lang w:bidi="ar"/>
              </w:rPr>
              <w:t xml:space="preserve">投标人应提供产品彩页或官网截图或者相关证明。</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4.冷凝器耐受范围：-117~+80℃。</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5.制冷速度：550s/m3。</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6.制冷量传导的激发模式：中隔阀和压力控制同步，快速精准的达到设定的压力值，使得升华能量稳定。</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7.真空规类型：电容规，可精准实时测量全真空量程真空度。</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8.冷凝管表面积：0.2m2。</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9.除霜模式：手动，支持后期升级制热气电化霜。</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10.环保制冷剂，GWP（大气总体量变化值）＜100，符合且优于2025年制冷剂法规GWP≤150的要求。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11.冷阱降温速率max. 2.5℃/min，即从室温20℃降至极限-85℃在46min内完成，从室温降至-40℃（需验证温度）仅需15min。SAT测试通过如上数据来确保机器性能。</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12.样品腔和冷阱分别为独立腔体，通过中隔阀分隔，防止样品污染。</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13.自吸附冷阱可防止冷凝水杂质沉积，冻干结束后也能单独清洗冷阱。单独清洗可降低样品在升华后的溶剂在冷阱中的残留，防止污染下一批次的样品。</w:t>
            </w:r>
            <w:r/>
          </w:p>
          <w:p>
            <w:pP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真空系统</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1.真空泵类型：双级旋片泵。</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2.极限真空：2×10-3mbar (0.2Pa)。</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3.相对最大抽速：8.5m3/h (50Hz)。</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4.真空规类型：皮拉尼。</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5.真空范围：大气压~10-4mbar。</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6.真空控制精度：0.001mbar。</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7.系统泄露率：0.01mbarL/s。</w:t>
            </w:r>
            <w:r/>
          </w:p>
          <w:p>
            <w:pPr>
              <w:ind w:left="360" w:hanging="360"/>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8.操作程序可自动控制腔体压力，即自动填充惰性气体（如氮气），防止冻干样品的返潮。</w:t>
            </w:r>
            <w:r/>
          </w:p>
        </w:tc>
      </w:tr>
      <w:tr>
        <w:trPr>
          <w:cantSplit/>
          <w:gridAfter w:val="1"/>
          <w:jc w:val="center"/>
          <w:trHeight w:val="5632"/>
        </w:trPr>
        <w:tc>
          <w:tcPr>
            <w:gridSpan w:val="2"/>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gridSpan w:val="2"/>
            <w:tcW w:w="94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rPr>
              <w:t xml:space="preserve">医药级0.2平米研发冻干机</w:t>
            </w:r>
            <w:r/>
          </w:p>
        </w:tc>
        <w:tc>
          <w:tcPr>
            <w:gridSpan w:val="2"/>
            <w:tcW w:w="8616" w:type="dxa"/>
            <w:vAlign w:val="center"/>
            <w:textDirection w:val="lrTb"/>
            <w:noWrap w:val="false"/>
          </w:tcPr>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循环系统</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1.循环泵类型：屏蔽式循环泵。</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2.循环介质：低粘度高阶硅油</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3.加热模式：PID控制固态继电器。</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4.加热温度范围：室温~+80℃。</w:t>
            </w:r>
            <w:r/>
          </w:p>
          <w:p>
            <w:pPr>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操作系统</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1.可兼容上位机的Window系统，窗口模块使操作更简便，上位机符合21CFR 11标准。</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2.可切换自动、半自动和手动三种操作模式</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3.快速指令可快速打开窗口页面，包括用户设置、报警信息、冻干曲线信息、设备信息和帮助信息。同时显示登录中的用户信息、审计权限信息、进行中的程序信息、日期时间信息。</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4.监控页面用于监控设备运行总况，可更进一步监控每个系统的运行总况，具有更换模块的校准功能。</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5.程序（过程）页面可管理自动过程，可设定自动过程的预设参数。不限定程序数量，每条程序可编辑99个冻干程序步骤。</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6.控制台页面可切换手动控制与自动过程，和执行手动程序。</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7.具备三级管理员系统实现权限管理，原厂工程师可根据实际情况定制管理体系。</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8.内置至少20条冻干工艺曲线参考。</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9.具备外接上位机、打印机和远程监控接口协议，连接专用打印机可直接输出数据，通过Ethernet通讯接口，网线接口，将数据导入上位机。</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安全体系：</w:t>
            </w:r>
            <w:r/>
          </w:p>
          <w:p>
            <w:pPr>
              <w:spacing w:line="300" w:lineRule="exact"/>
              <w:widowControl/>
              <w:rPr>
                <w:rFonts w:ascii="宋体" w:hAnsi="宋体" w:cs="宋体"/>
                <w:color w:val="000000"/>
                <w:szCs w:val="21"/>
                <w:lang w:bidi="ar"/>
              </w:rPr>
            </w:pPr>
            <w:r>
              <w:rPr>
                <w:rFonts w:hint="eastAsia" w:ascii="宋体" w:hAnsi="宋体" w:cs="宋体"/>
                <w:szCs w:val="21"/>
                <w:lang w:bidi="ar"/>
              </w:rPr>
              <w:t xml:space="preserve">1.</w:t>
            </w:r>
            <w:r>
              <w:rPr>
                <w:rFonts w:hint="eastAsia" w:ascii="宋体" w:hAnsi="宋体" w:cs="宋体"/>
                <w:color w:val="000000"/>
                <w:szCs w:val="21"/>
                <w:lang w:bidi="ar"/>
              </w:rPr>
              <w:t xml:space="preserve">具备CE认证。</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2.设备整体根据工程力学设计，避免锋利尖角造成操作损伤</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3.提供完备的电气线路图，便于维护保养。</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4.急停开关便于操作者触及，具有完善的报警逻辑和报警通知。</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5.提供制冷系统过压断电保护，确保任何情况下的操作人员安全。</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6.采用按键冲突保护模式，防止误操作导致系统故障。</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7.具有完善用户管理，可多级管理且追溯样品信息。</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8.标配UPS能提供断电保护，断电后程序保持保压状态，重新通电后先做系统启动准备，然后从断电前的步骤继续程序。</w:t>
            </w:r>
            <w:r/>
          </w:p>
        </w:tc>
      </w:tr>
      <w:tr>
        <w:trPr>
          <w:gridAfter w:val="1"/>
          <w:jc w:val="center"/>
          <w:trHeight w:val="3043"/>
        </w:trPr>
        <w:tc>
          <w:tcPr>
            <w:gridSpan w:val="2"/>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gridSpan w:val="2"/>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Style w:val="965"/>
              <w:ind w:left="14" w:hanging="50"/>
              <w:spacing w:line="260" w:lineRule="exact"/>
              <w:rPr>
                <w:rFonts w:ascii="宋体" w:hAnsi="宋体" w:cs="宋体"/>
                <w:color w:val="000000"/>
                <w:szCs w:val="21"/>
                <w:lang w:bidi="ar"/>
              </w:rPr>
              <w:outlineLvl w:val="0"/>
            </w:pPr>
            <w:r>
              <w:rPr>
                <w:rFonts w:hint="eastAsia" w:ascii="宋体" w:hAnsi="宋体" w:cs="宋体"/>
                <w:color w:val="000000"/>
                <w:szCs w:val="21"/>
                <w:lang w:bidi="ar"/>
              </w:rPr>
              <w:t xml:space="preserve">冻干机真空置换成核控制器</w:t>
            </w:r>
            <w:r/>
          </w:p>
        </w:tc>
        <w:tc>
          <w:tcPr>
            <w:gridSpan w:val="2"/>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为满足高水平生物医药冻干机技术开发与冻干工艺研究，先进的真空置换成核技术为未来发展的需求。本次采购的该设备需要先进的技术、先进的设计以及过硬的质量。</w:t>
            </w:r>
            <w:r/>
          </w:p>
          <w:p>
            <w:pPr>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整体要求</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1.设计制造符合中国GMP、欧盟cGMP、FDA，cGMP规范要求。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2.真空置换成核控制系统主要用于具有生物活性成分(API)的化合物，如蛋白、多肽、细胞等快速成核（玻璃化），成核时间≤10秒，成核与预冻整体时间≤1小时</w:t>
            </w:r>
            <w:r/>
          </w:p>
          <w:p>
            <w:pPr>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3.成核控制使用减压法体系，成核时间根据样品浓度可由程序控制。不得使用冰雾法——随机向样品腔吹冰气，成核时间具有随机性无法控制且增加产品污染风险；不得使用增压法，避免冻干机样品腔（仓门）因增压而爆裂造成生产事故。</w:t>
            </w:r>
            <w:r/>
          </w:p>
          <w:p>
            <w:pPr>
              <w:ind w:left="360" w:hanging="360"/>
              <w:spacing w:line="300" w:lineRule="exact"/>
              <w:widowControl/>
              <w:rPr>
                <w:rFonts w:ascii="宋体" w:hAnsi="宋体" w:cs="宋体"/>
                <w:color w:val="000000"/>
                <w:szCs w:val="21"/>
                <w:lang w:bidi="ar"/>
              </w:rPr>
            </w:pPr>
            <w:r>
              <w:rPr>
                <w:rFonts w:hint="eastAsia" w:ascii="宋体" w:hAnsi="宋体" w:cs="宋体"/>
                <w:b/>
                <w:bCs/>
                <w:szCs w:val="21"/>
                <w:lang w:bidi="ar"/>
              </w:rPr>
              <w:t xml:space="preserve">投标人应提供产品彩页或官网截图或者相关证明。</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4.必须使用过滤装置，或具备清洗灭菌功能，以避免批次交叉污染。</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5.选用高性能真空泵，极限真空≤1Pa，相对最大抽气量≥33m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6.使用高真空电磁阀和皮拉尼真空规实时显示和控制真空度。</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7.极限真空：0.002mbar(0.2Pa)，更低的极限真空确保达到更低的设备环境温度，更适合生物药、复杂生产化合物的研究需求。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8.最大抽速：8.5m3/h，这个工程平衡点可应对最大放气，匹配工艺过程中的持续气体负荷，利于控制。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9.整体系统功率：1.33kW@50Hz；整体系统尺寸（含真空补偿罐、底座、真空泵、控制器）：800×800×1,290mm(WDH)。</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10.提供原厂FAT和SAT文件和测试验收服务。</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真空补偿罐</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1.真空补偿罐内腔材质：不次于316L不锈钢等级材质。</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2.真空补偿罐体积不小于220L，补偿罐必须可与任何品牌具备成核控制功能的冻干机连接，且保证样品成核能在冻干机层板上直接完成。</w:t>
            </w:r>
            <w:r/>
          </w:p>
          <w:p>
            <w:pP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3.真空补偿罐应当使用标准3英寸或4英寸TC快捷接头，直接与冻干机样品腔（干燥仓）连接，不得与冻干样品腔门对接，避免干涉在线灭菌、在线取样等其他模块使用。</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4.真空补偿罐尺寸：Φ720×600mmH。</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5.成核时间≤10秒（标样验证），成核时间根据样品浓度可由程序控制。</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6.样品可同时在原位进行预冻，成核+预冻可在1小时内完成。</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7.高真空挡板电磁阀控制真空补偿罐与冻干机的通路。</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8.真空补偿罐法兰连接口具有过滤装置，避免启动阶段批次污染。</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9.真空补偿罐可单独由程序控制清洗和灭菌，清洗连接业主纯水系统即可；灭菌须选配微波灭活装置。</w:t>
            </w:r>
            <w:r/>
          </w:p>
          <w:p>
            <w:pPr>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真空泵</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1.真空泵安装在底座内，与真空补偿罐用ISO-F/NW40连接。</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2.极限真空度≤0.005mbar(0.5Pa)。</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3.相对最大抽速≥37m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/h@50Hz，(≈616.7L/min)。</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4.真空规类型：皮拉尼。</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5.真空范围：大气压~10-4mbar。</w:t>
            </w:r>
            <w:r/>
          </w:p>
          <w:p>
            <w:pPr>
              <w:ind w:left="360" w:hanging="36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6.真空控制精度：0.001mbar。</w:t>
            </w:r>
            <w:r/>
          </w:p>
          <w:p>
            <w:pPr>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控制器</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1.高清触摸屏，PLC控制。</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2.可显示补偿罐与冻干机的通断状态、实时显示真空值。</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3.可自动执行成核预冻程序，并可控制电磁阀（常闭）通断。</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4.可保存10条成核预冻数据，数据可快捷调取。</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5.具有手动清洗控制程序。</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6.具有手动微波灭菌程序（须连接微波灭活装置）。</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安全体系要求</w:t>
            </w:r>
            <w:r/>
          </w:p>
          <w:p>
            <w:pPr>
              <w:ind w:left="-36"/>
              <w:spacing w:line="260" w:lineRule="exact"/>
              <w:widowControl/>
              <w:rPr>
                <w:rFonts w:ascii="宋体" w:hAnsi="宋体" w:cs="宋体"/>
                <w:szCs w:val="21"/>
                <w:lang w:bidi="ar"/>
              </w:rPr>
            </w:pPr>
            <w:r>
              <w:rPr>
                <w:rFonts w:hint="eastAsia" w:ascii="宋体" w:hAnsi="宋体" w:cs="宋体"/>
                <w:szCs w:val="21"/>
                <w:lang w:bidi="ar"/>
              </w:rPr>
              <w:t xml:space="preserve">1.具备CE认证。</w:t>
            </w:r>
            <w:r/>
          </w:p>
          <w:p>
            <w:pPr>
              <w:ind w:left="404" w:hanging="440"/>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2.设备整体根据工程力学设计，避免锋利尖角造成操作损伤。</w:t>
            </w:r>
            <w:r/>
          </w:p>
          <w:p>
            <w:pPr>
              <w:ind w:left="404" w:hanging="440"/>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3.提供完备的电气线路图，便于维护保养。</w:t>
            </w:r>
            <w:r/>
          </w:p>
          <w:p>
            <w:pPr>
              <w:ind w:left="404" w:hanging="440"/>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4.急停开关便于操作者触及，具有完善的报警逻辑和报警通知。</w:t>
            </w:r>
            <w:r/>
          </w:p>
          <w:p>
            <w:pPr>
              <w:ind w:left="404" w:hanging="440"/>
              <w:spacing w:line="26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w:t>
            </w:r>
            <w:r>
              <w:rPr>
                <w:rFonts w:hint="eastAsia" w:ascii="宋体" w:hAnsi="宋体" w:cs="宋体"/>
                <w:color w:val="000000"/>
                <w:szCs w:val="21"/>
                <w:lang w:bidi="ar"/>
              </w:rPr>
              <w:t xml:space="preserve">采用按键冲突保护模式，防止误操作导致系统故障。</w:t>
            </w:r>
            <w:r/>
          </w:p>
          <w:p>
            <w:pPr>
              <w:ind w:left="404" w:hanging="440"/>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6.具备过压自泄压装置。</w:t>
            </w:r>
            <w:r/>
          </w:p>
        </w:tc>
      </w:tr>
      <w:tr>
        <w:trPr>
          <w:cantSplit/>
          <w:gridAfter w:val="1"/>
          <w:jc w:val="center"/>
          <w:trHeight w:val="837"/>
        </w:trPr>
        <w:tc>
          <w:tcPr>
            <w:gridSpan w:val="2"/>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gridSpan w:val="2"/>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纳米粒度与Zeta 电位仪</w:t>
            </w:r>
            <w:r/>
          </w:p>
        </w:tc>
        <w:tc>
          <w:tcPr>
            <w:gridSpan w:val="2"/>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一、粒径检测（动态光散射）</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1.原理：动态光散射技术</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★2.粒径范围：0.3 nm – 15 μm（依赖于样品和样品池选件）</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3.样品量：20 μL – 1 mL（依赖于样品池选件）</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★4.检测角度：三个检测角度，背散射角度+90°+电位检测角度；</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5.测试时间：手动或自动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6.分析算法：多种分析方式</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二、Zeta电位测试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1.原理：相位分析光散射技术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2.Zeta范围：无实际限制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3.快慢场相图结合或者等效技术具（备快 / 慢场或等效高电导校正能力）</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4.电泳迁移率范围：&gt; ±20 μm.cm/V.s</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5.电导率范围：0 - ≥200 mS/cm（依赖于样品）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6.测试时间：手动或自动</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★7.Zeta测试粒径范围：4 nm – &gt;100 μm （依赖于样品）</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8.样品量：0.75 mL – 1.0 mL（接受更小体积）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三、分子量测试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1.分子量范围：342 Da – 2 x 10</w:t>
            </w:r>
            <w:r>
              <w:rPr>
                <w:rFonts w:hint="eastAsia" w:ascii="宋体" w:hAnsi="宋体" w:cs="宋体"/>
                <w:color w:val="000000"/>
                <w:szCs w:val="21"/>
                <w:vertAlign w:val="superscript"/>
                <w:lang w:bidi="ar"/>
              </w:rPr>
              <w:t xml:space="preserve">7</w:t>
            </w:r>
            <w:r>
              <w:rPr>
                <w:rFonts w:hint="eastAsia" w:ascii="宋体" w:hAnsi="宋体" w:cs="宋体"/>
                <w:color w:val="000000"/>
                <w:szCs w:val="21"/>
                <w:lang w:bidi="ar"/>
              </w:rPr>
              <w:t xml:space="preserve"> Da （依赖于样品）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2.浓度检测</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3.原理：LEDLS或等效原理</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4.结果：体积分数和数量浓度</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5.趋势测试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6.时间和温度（可自动计算温度转变点）</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四、系统参数</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1.温控范围：0°C - 90°C  +/- 0.1°C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2.冷凝控制：干燥空气或者氮气</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3.标准激光光源：高性能激光器， 波长 630–680nm（不同波长激光器可选）</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4.相关器：最快采样≤50ns、通道≥1000、动态范围≥10¹⁰</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5.检测器：APD 雪崩光电二极管（可含辅助检测器）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6.光强控制：0.0001%  - 100%，手动或者自动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五、软件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1.报告编辑器，得到符合用户需求的定制化报告</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2.软件版本向下兼容，终生免费升级</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3.具有批量结果导出能力</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4.具有多结果合并能力</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5.浓度计算器提供粒径测试适合的浓度范围信息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6.中文和英文</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7.具有SOP功能，测试结果不受人为操作因素影响</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8.具有统计报告，多结果叠加比较</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9.符合21CFR Part 11</w:t>
            </w:r>
            <w:r/>
          </w:p>
        </w:tc>
      </w:tr>
      <w:tr>
        <w:trPr>
          <w:cantSplit/>
          <w:gridAfter w:val="1"/>
          <w:jc w:val="center"/>
          <w:trHeight w:val="837"/>
        </w:trPr>
        <w:tc>
          <w:tcPr>
            <w:gridSpan w:val="2"/>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gridSpan w:val="2"/>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 w:val="20"/>
                <w:szCs w:val="20"/>
              </w:rPr>
              <w:t xml:space="preserve">多通道</w:t>
            </w:r>
            <w:r>
              <w:rPr>
                <w:rFonts w:hint="eastAsia" w:ascii="宋体" w:hAnsi="宋体" w:cs="宋体"/>
                <w:color w:val="000000"/>
                <w:szCs w:val="21"/>
                <w:lang w:bidi="ar"/>
              </w:rPr>
              <w:t xml:space="preserve">不溶性微粒仪</w:t>
            </w:r>
            <w:r/>
          </w:p>
        </w:tc>
        <w:tc>
          <w:tcPr>
            <w:gridSpan w:val="2"/>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符合美国药典USP 787，USP 788，USP 789，USP1788的全部现行要求，符合ChP 2025版0903章节，EP，JP等多种药典收入方法（光阻法 / 光遮蔽法或 SPOS 单颗粒光学传感等药典等效原理）。</w:t>
            </w:r>
            <w:r/>
          </w:p>
          <w:p>
            <w:pPr>
              <w:jc w:val="left"/>
              <w:spacing w:line="270" w:lineRule="exact"/>
              <w:widowControl/>
              <w:rPr>
                <w:rFonts w:ascii="宋体" w:hAnsi="宋体" w:cs="宋体"/>
                <w:b/>
                <w:bCs/>
                <w:color w:val="000000"/>
                <w:szCs w:val="21"/>
                <w:lang w:bidi="ar"/>
              </w:rPr>
            </w:pPr>
            <w:r>
              <w:rPr>
                <w:rFonts w:hint="eastAsia" w:ascii="宋体" w:hAnsi="宋体" w:cs="宋体"/>
                <w:b/>
                <w:bCs/>
                <w:szCs w:val="21"/>
                <w:lang w:bidi="ar"/>
              </w:rPr>
              <w:t xml:space="preserve">★1. </w:t>
            </w:r>
            <w:r>
              <w:rPr>
                <w:rFonts w:hint="eastAsia" w:ascii="宋体" w:hAnsi="宋体" w:cs="宋体"/>
                <w:b/>
                <w:bCs/>
                <w:color w:val="000000"/>
                <w:szCs w:val="21"/>
                <w:lang w:bidi="ar"/>
              </w:rPr>
              <w:t xml:space="preserve">传感器粒径检测范围：0.5μm — 400μm；</w:t>
            </w:r>
            <w:r/>
          </w:p>
          <w:p>
            <w:pPr>
              <w:jc w:val="left"/>
              <w:spacing w:line="27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70" w:lineRule="exact"/>
              <w:widowControl/>
              <w:rPr>
                <w:rFonts w:ascii="宋体" w:hAnsi="宋体" w:cs="宋体"/>
                <w:b/>
                <w:bCs/>
                <w:color w:val="000000"/>
                <w:szCs w:val="21"/>
                <w:lang w:bidi="ar"/>
              </w:rPr>
            </w:pPr>
            <w:r>
              <w:rPr>
                <w:rFonts w:hint="eastAsia" w:ascii="宋体" w:hAnsi="宋体" w:cs="宋体"/>
                <w:b/>
                <w:bCs/>
                <w:szCs w:val="21"/>
                <w:lang w:bidi="ar"/>
              </w:rPr>
              <w:t xml:space="preserve">★2. </w:t>
            </w:r>
            <w:r>
              <w:rPr>
                <w:rFonts w:hint="eastAsia" w:ascii="宋体" w:hAnsi="宋体" w:cs="宋体"/>
                <w:b/>
                <w:bCs/>
                <w:color w:val="000000"/>
                <w:szCs w:val="21"/>
                <w:lang w:bidi="ar"/>
              </w:rPr>
              <w:t xml:space="preserve">粒径通道数：至少500个数据通道, 32个自定义通道；</w:t>
            </w:r>
            <w:r/>
          </w:p>
          <w:p>
            <w:pPr>
              <w:jc w:val="left"/>
              <w:spacing w:line="27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3.流量：6 mL/min—100 mL/min，流速准确性：±2%；</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4.进样体积：100% ；</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5.注射器标配：2.5 mL、10mL 、25mL，可支持1mL、5 mL等其他规格；  </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6.最小进样量：＜300μL；</w:t>
            </w:r>
            <w:r/>
          </w:p>
          <w:p>
            <w:pPr>
              <w:jc w:val="left"/>
              <w:spacing w:line="27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★7.最高浓度：不低于9000颗/mL</w:t>
            </w:r>
            <w:r/>
          </w:p>
          <w:p>
            <w:pPr>
              <w:jc w:val="left"/>
              <w:spacing w:line="270" w:lineRule="exact"/>
              <w:widowControl/>
              <w:rPr>
                <w:rFonts w:ascii="宋体" w:hAnsi="宋体" w:cs="宋体"/>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8.传感器分辨率：大于98%；</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9.粒径准确性：±10%， 计数准确性：±10%，体积准确性：±1%；</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10.灵敏度：10PPT；</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11.进样系统：可搭配微量进样系统，包含软硬件适配及验证方案。</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12.支持审计追踪、用户权限管理、数据完整性、数据库管理（包含数据导出、自动备份、手动备份）、电子签名、安全性设置、多种报告形势及法规报告模板。审计追踪功能一旦开启，无法关闭；</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13.支持数据再分析处理，支持导出为PDF、Excel等格式；支持多种数据呈现形式。</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14.采用升降台设置，升降台中集成磁力搅拌台，支持不同转速调节；</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15.进样管采用高洁净度、耐腐蚀、耐高温的半透明的PFA材质，方便观察气泡，方便更换，不易污染；</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16.模块化设计，仪器由取样器、传感器、数据处理器组成。</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17.支持过往数据校准前后对比分析；</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18.3Q验证</w:t>
            </w:r>
            <w:r/>
          </w:p>
          <w:p>
            <w:pPr>
              <w:jc w:val="left"/>
              <w:spacing w:line="270" w:lineRule="exact"/>
              <w:widowControl/>
              <w:rPr>
                <w:rFonts w:ascii="宋体" w:hAnsi="宋体" w:cs="宋体"/>
                <w:color w:val="000000"/>
                <w:szCs w:val="21"/>
                <w:lang w:bidi="ar"/>
              </w:rPr>
            </w:pPr>
            <w:r>
              <w:rPr>
                <w:rFonts w:hint="eastAsia" w:ascii="宋体" w:hAnsi="宋体" w:cs="宋体"/>
                <w:color w:val="000000"/>
                <w:szCs w:val="21"/>
                <w:lang w:bidi="ar"/>
              </w:rPr>
              <w:t xml:space="preserve">19.可兼容样品高通量全自动进样模块；满足后续高浓度样品的检测需求。</w:t>
            </w:r>
            <w:r/>
          </w:p>
        </w:tc>
      </w:tr>
      <w:tr>
        <w:trPr>
          <w:gridBefore w:val="1"/>
          <w:jc w:val="center"/>
          <w:trHeight w:val="4111"/>
        </w:trPr>
        <w:tc>
          <w:tcPr>
            <w:gridSpan w:val="2"/>
            <w:tcW w:w="685"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gridSpan w:val="2"/>
            <w:tcW w:w="922" w:type="dxa"/>
            <w:vAlign w:val="center"/>
            <w:textDirection w:val="lrTb"/>
            <w:noWrap w:val="false"/>
          </w:tcPr>
          <w:p>
            <w:pPr>
              <w:spacing w:line="260" w:lineRule="exact"/>
              <w:widowControl/>
              <w:rPr>
                <w:rFonts w:ascii="宋体" w:hAnsi="宋体" w:cs="宋体"/>
                <w:szCs w:val="21"/>
              </w:rPr>
            </w:pPr>
            <w:r>
              <w:rPr>
                <w:rFonts w:hint="eastAsia" w:ascii="宋体" w:hAnsi="宋体" w:cs="宋体"/>
                <w:szCs w:val="21"/>
              </w:rPr>
              <w:t xml:space="preserve">库仑法水分仪</w:t>
            </w:r>
            <w:r/>
          </w:p>
          <w:p>
            <w:pPr>
              <w:jc w:val="left"/>
              <w:spacing w:line="260" w:lineRule="exact"/>
              <w:widowControl/>
              <w:rPr>
                <w:rFonts w:ascii="宋体" w:hAnsi="宋体" w:cs="宋体"/>
                <w:color w:val="000000"/>
                <w:szCs w:val="21"/>
                <w:lang w:bidi="ar"/>
              </w:rPr>
            </w:pPr>
            <w:r>
              <w:rPr>
                <w:rFonts w:ascii="宋体" w:hAnsi="宋体" w:cs="宋体"/>
                <w:color w:val="000000"/>
                <w:szCs w:val="21"/>
                <w:lang w:bidi="ar"/>
              </w:rPr>
            </w:r>
            <w:r/>
          </w:p>
        </w:tc>
        <w:tc>
          <w:tcPr>
            <w:gridSpan w:val="2"/>
            <w:tcW w:w="8835" w:type="dxa"/>
            <w:vAlign w:val="center"/>
            <w:textDirection w:val="lrTb"/>
            <w:noWrap w:val="false"/>
          </w:tcPr>
          <w:p>
            <w:pPr>
              <w:spacing w:line="260" w:lineRule="exact"/>
              <w:widowControl/>
              <w:rPr>
                <w:rFonts w:ascii="宋体" w:hAnsi="宋体" w:cs="宋体"/>
                <w:szCs w:val="21"/>
              </w:rPr>
            </w:pPr>
            <w:r>
              <w:rPr>
                <w:rFonts w:hint="eastAsia" w:ascii="宋体" w:hAnsi="宋体" w:cs="宋体"/>
                <w:szCs w:val="21"/>
              </w:rPr>
              <w:t xml:space="preserve">1. 运行环境</w:t>
            </w:r>
            <w:r/>
          </w:p>
          <w:p>
            <w:pPr>
              <w:spacing w:line="260" w:lineRule="exact"/>
              <w:widowControl/>
              <w:rPr>
                <w:rFonts w:ascii="宋体" w:hAnsi="宋体" w:cs="宋体"/>
                <w:szCs w:val="21"/>
              </w:rPr>
            </w:pPr>
            <w:r>
              <w:rPr>
                <w:rFonts w:hint="eastAsia" w:ascii="宋体" w:hAnsi="宋体" w:cs="宋体"/>
                <w:szCs w:val="21"/>
              </w:rPr>
              <w:t xml:space="preserve">1.1相对湿度：≤80%</w:t>
            </w:r>
            <w:r/>
          </w:p>
          <w:p>
            <w:pPr>
              <w:spacing w:line="260" w:lineRule="exact"/>
              <w:widowControl/>
              <w:rPr>
                <w:rFonts w:ascii="宋体" w:hAnsi="宋体" w:cs="宋体"/>
                <w:szCs w:val="21"/>
              </w:rPr>
            </w:pPr>
            <w:r>
              <w:rPr>
                <w:rFonts w:hint="eastAsia" w:ascii="宋体" w:hAnsi="宋体" w:cs="宋体"/>
                <w:szCs w:val="21"/>
              </w:rPr>
              <w:t xml:space="preserve">1.2适用电源：电压220V（±10%），50Hz(±2%)。</w:t>
            </w:r>
            <w:r/>
          </w:p>
          <w:p>
            <w:pPr>
              <w:spacing w:line="260" w:lineRule="exact"/>
              <w:widowControl/>
              <w:rPr>
                <w:rFonts w:ascii="宋体" w:hAnsi="宋体" w:cs="宋体"/>
                <w:szCs w:val="21"/>
              </w:rPr>
            </w:pPr>
            <w:r>
              <w:rPr>
                <w:rFonts w:hint="eastAsia" w:ascii="宋体" w:hAnsi="宋体" w:cs="宋体"/>
                <w:szCs w:val="21"/>
              </w:rPr>
              <w:t xml:space="preserve">1.3环境温度：5℃～40℃</w:t>
            </w:r>
            <w:r/>
          </w:p>
          <w:p>
            <w:pPr>
              <w:spacing w:line="260" w:lineRule="exact"/>
              <w:widowControl/>
              <w:rPr>
                <w:rFonts w:ascii="宋体" w:hAnsi="宋体" w:cs="宋体"/>
                <w:szCs w:val="21"/>
              </w:rPr>
            </w:pPr>
            <w:r>
              <w:rPr>
                <w:rFonts w:hint="eastAsia" w:ascii="宋体" w:hAnsi="宋体" w:cs="宋体"/>
                <w:szCs w:val="21"/>
              </w:rPr>
              <w:t xml:space="preserve">2．用途：用于固体、液体和气体样品中水分含量的测定，符合各种库仑法水分仪的相关标准。</w:t>
            </w:r>
            <w:r/>
          </w:p>
          <w:p>
            <w:pPr>
              <w:spacing w:line="260" w:lineRule="exact"/>
              <w:widowControl/>
              <w:rPr>
                <w:rFonts w:ascii="宋体" w:hAnsi="宋体" w:cs="宋体"/>
                <w:szCs w:val="21"/>
              </w:rPr>
            </w:pPr>
            <w:r>
              <w:rPr>
                <w:rFonts w:hint="eastAsia" w:ascii="宋体" w:hAnsi="宋体" w:cs="宋体"/>
                <w:szCs w:val="21"/>
              </w:rPr>
              <w:t xml:space="preserve">3. 技术参数及功能</w:t>
            </w:r>
            <w:r/>
          </w:p>
          <w:p>
            <w:pPr>
              <w:spacing w:line="260" w:lineRule="exact"/>
              <w:widowControl/>
              <w:rPr>
                <w:rFonts w:ascii="宋体" w:hAnsi="宋体" w:cs="宋体"/>
                <w:szCs w:val="21"/>
              </w:rPr>
            </w:pPr>
            <w:r>
              <w:rPr>
                <w:rFonts w:hint="eastAsia" w:ascii="宋体" w:hAnsi="宋体" w:cs="宋体"/>
                <w:szCs w:val="21"/>
              </w:rPr>
              <w:t xml:space="preserve">3.1测试范围及精度</w:t>
            </w:r>
            <w:r/>
          </w:p>
          <w:p>
            <w:pPr>
              <w:spacing w:line="260" w:lineRule="exact"/>
              <w:widowControl/>
              <w:rPr>
                <w:rFonts w:ascii="宋体" w:hAnsi="宋体" w:cs="宋体"/>
                <w:szCs w:val="21"/>
              </w:rPr>
            </w:pPr>
            <w:r>
              <w:rPr>
                <w:rFonts w:hint="eastAsia" w:ascii="宋体" w:hAnsi="宋体" w:cs="宋体"/>
                <w:szCs w:val="21"/>
              </w:rPr>
              <w:t xml:space="preserve">3.1.1测量技术：双铂针指示电极永停终点法，可采用以下任一技术路线：①恒定极化电压 - 电流测定法；②恒定极化电流 - 电位测定法；③双铂电极交流极化法。</w:t>
            </w:r>
            <w:r/>
          </w:p>
          <w:p>
            <w:pPr>
              <w:spacing w:line="260" w:lineRule="exact"/>
              <w:widowControl/>
              <w:rPr>
                <w:rFonts w:ascii="宋体" w:hAnsi="宋体" w:cs="宋体"/>
                <w:szCs w:val="21"/>
              </w:rPr>
            </w:pPr>
            <w:r>
              <w:rPr>
                <w:rFonts w:hint="eastAsia" w:ascii="宋体" w:hAnsi="宋体" w:cs="宋体"/>
                <w:szCs w:val="21"/>
              </w:rPr>
              <w:t xml:space="preserve">3.1.2极化输出能力（满足所选路线即可）：恒压路线极化电压范围不窄于 0–±2000mV、分辨率≤0.1mV；恒流 / 交流路线极化电流范围不窄于 0–24μA、分辨率≤0.1μA。</w:t>
            </w:r>
            <w:r/>
          </w:p>
          <w:p>
            <w:pPr>
              <w:spacing w:line="260" w:lineRule="exact"/>
              <w:widowControl/>
              <w:rPr>
                <w:rFonts w:ascii="宋体" w:hAnsi="宋体" w:cs="宋体"/>
                <w:szCs w:val="21"/>
              </w:rPr>
            </w:pPr>
            <w:r>
              <w:rPr>
                <w:rFonts w:hint="eastAsia" w:ascii="宋体" w:hAnsi="宋体" w:cs="宋体"/>
                <w:szCs w:val="21"/>
              </w:rPr>
              <w:t xml:space="preserve">3.1.3指示信号测量能力（满足所选路线即可）：恒压路线电流测量范围不窄于 0–±200μA、分辨率≤0.1μA；恒流路线电压测量范围不窄于 ±2000mV、分辨率≤0.1mV。</w:t>
            </w:r>
            <w:r/>
          </w:p>
          <w:p>
            <w:pPr>
              <w:spacing w:line="260" w:lineRule="exact"/>
              <w:widowControl/>
              <w:rPr>
                <w:rFonts w:ascii="宋体" w:hAnsi="宋体" w:cs="宋体"/>
                <w:szCs w:val="21"/>
              </w:rPr>
            </w:pPr>
            <w:r>
              <w:rPr>
                <w:rFonts w:hint="eastAsia" w:ascii="宋体" w:hAnsi="宋体" w:cs="宋体"/>
                <w:szCs w:val="21"/>
              </w:rPr>
              <w:t xml:space="preserve">3.1.4所选任何技术路线均要满足水分测量相关性能，见 3.1.5–3.1.7</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3.1.5水分测量范围：10μg–200mg H2O</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3.1.6水分测量范围检出限：≤5μg</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3.1.7水分测量范围分辨率：≤0.1μg</w:t>
            </w:r>
            <w:r/>
          </w:p>
          <w:p>
            <w:pPr>
              <w:spacing w:line="260" w:lineRule="exact"/>
              <w:widowControl/>
              <w:rPr>
                <w:rFonts w:ascii="宋体" w:hAnsi="宋体" w:cs="宋体"/>
                <w:szCs w:val="21"/>
              </w:rPr>
            </w:pPr>
            <w:r>
              <w:rPr>
                <w:rFonts w:hint="eastAsia" w:ascii="宋体" w:hAnsi="宋体" w:cs="宋体"/>
                <w:szCs w:val="21"/>
              </w:rPr>
              <w:t xml:space="preserve">3.1.9测量精度（RSD）：100 μg H2O时 &lt; 5%；1000 μg H2O时&lt; 1%；≥1000 μg H2O时0.3%</w:t>
            </w:r>
            <w:r/>
          </w:p>
          <w:p>
            <w:pPr>
              <w:spacing w:line="260" w:lineRule="exact"/>
              <w:widowControl/>
              <w:rPr>
                <w:rFonts w:ascii="宋体" w:hAnsi="宋体" w:cs="宋体"/>
                <w:szCs w:val="21"/>
              </w:rPr>
            </w:pPr>
            <w:r>
              <w:rPr>
                <w:rFonts w:hint="eastAsia" w:ascii="宋体" w:hAnsi="宋体" w:cs="宋体"/>
                <w:szCs w:val="21"/>
              </w:rPr>
              <w:t xml:space="preserve">3.2功能特点</w:t>
            </w:r>
            <w:r/>
          </w:p>
          <w:p>
            <w:pPr>
              <w:spacing w:line="260" w:lineRule="exact"/>
              <w:widowControl/>
              <w:rPr>
                <w:rFonts w:ascii="宋体" w:hAnsi="宋体" w:cs="宋体"/>
                <w:szCs w:val="21"/>
              </w:rPr>
            </w:pPr>
            <w:r>
              <w:rPr>
                <w:rFonts w:hint="eastAsia" w:ascii="宋体" w:hAnsi="宋体" w:cs="宋体"/>
                <w:szCs w:val="21"/>
              </w:rPr>
              <w:t xml:space="preserve">3.2.1具有可防止试剂进入仪器内部结构设计；</w:t>
            </w:r>
            <w:r/>
          </w:p>
          <w:p>
            <w:pPr>
              <w:spacing w:line="260" w:lineRule="exact"/>
              <w:widowControl/>
              <w:rPr>
                <w:rFonts w:ascii="宋体" w:hAnsi="宋体" w:cs="宋体"/>
                <w:szCs w:val="21"/>
              </w:rPr>
            </w:pPr>
            <w:r>
              <w:rPr>
                <w:rFonts w:hint="eastAsia" w:ascii="宋体" w:hAnsi="宋体" w:cs="宋体"/>
                <w:szCs w:val="21"/>
              </w:rPr>
              <w:t xml:space="preserve">3.2.2配备智能溶剂泵，可在触摸屏完成加液、排液、更换溶剂操作；可在测量样品之间进行溶剂更换且无需重新启动方法。</w:t>
            </w:r>
            <w:r/>
          </w:p>
          <w:p>
            <w:pPr>
              <w:spacing w:line="260" w:lineRule="exact"/>
              <w:widowControl/>
              <w:rPr>
                <w:rFonts w:ascii="宋体" w:hAnsi="宋体" w:cs="宋体"/>
                <w:szCs w:val="21"/>
              </w:rPr>
            </w:pPr>
            <w:r>
              <w:rPr>
                <w:rFonts w:hint="eastAsia" w:ascii="宋体" w:hAnsi="宋体" w:cs="宋体"/>
                <w:szCs w:val="21"/>
              </w:rPr>
              <w:t xml:space="preserve">3.2.3可设置测量控制重点为速度或精度，极化参数与终点判定阈值可调。 </w:t>
            </w:r>
            <w:r/>
          </w:p>
          <w:p>
            <w:pPr>
              <w:spacing w:line="260" w:lineRule="exact"/>
              <w:widowControl/>
              <w:rPr>
                <w:rFonts w:ascii="宋体" w:hAnsi="宋体" w:cs="宋体"/>
                <w:szCs w:val="21"/>
              </w:rPr>
            </w:pPr>
            <w:r>
              <w:rPr>
                <w:rFonts w:hint="eastAsia" w:ascii="宋体" w:hAnsi="宋体" w:cs="宋体"/>
                <w:szCs w:val="21"/>
              </w:rPr>
              <w:t xml:space="preserve">3.2.4方法结束后，可自动进行预滴定，保持滴定杯处于待机状态</w:t>
            </w:r>
            <w:r/>
          </w:p>
          <w:p>
            <w:pPr>
              <w:spacing w:line="260" w:lineRule="exact"/>
              <w:widowControl/>
              <w:rPr>
                <w:rFonts w:ascii="宋体" w:hAnsi="宋体" w:cs="宋体"/>
                <w:szCs w:val="21"/>
              </w:rPr>
            </w:pPr>
            <w:r>
              <w:rPr>
                <w:rFonts w:hint="eastAsia" w:ascii="宋体" w:hAnsi="宋体" w:cs="宋体"/>
                <w:szCs w:val="21"/>
              </w:rPr>
              <w:t xml:space="preserve">3.2.5漂移值：漂移值可自动扣除，可自动测量在线漂移值，或使用同一测量值，也可输入固定漂移值；</w:t>
            </w:r>
            <w:r/>
          </w:p>
          <w:p>
            <w:pPr>
              <w:spacing w:line="260" w:lineRule="exact"/>
              <w:widowControl/>
              <w:rPr>
                <w:rFonts w:ascii="宋体" w:hAnsi="宋体" w:cs="宋体"/>
                <w:szCs w:val="21"/>
              </w:rPr>
            </w:pPr>
            <w:r>
              <w:rPr>
                <w:rFonts w:hint="eastAsia" w:ascii="宋体" w:hAnsi="宋体" w:cs="宋体"/>
                <w:szCs w:val="21"/>
              </w:rPr>
              <w:t xml:space="preserve">3.2.6统计评估：多次结果可以进行平均值，标准偏差，相对标准偏差统计；</w:t>
            </w:r>
            <w:r/>
          </w:p>
          <w:p>
            <w:pPr>
              <w:spacing w:line="260" w:lineRule="exact"/>
              <w:widowControl/>
              <w:rPr>
                <w:rFonts w:ascii="宋体" w:hAnsi="宋体" w:cs="宋体"/>
                <w:szCs w:val="21"/>
              </w:rPr>
            </w:pPr>
            <w:r>
              <w:rPr>
                <w:rFonts w:hint="eastAsia" w:ascii="宋体" w:hAnsi="宋体" w:cs="宋体"/>
                <w:szCs w:val="21"/>
              </w:rPr>
              <w:t xml:space="preserve">3.2.7屏幕在线显示：测量曲线横纵坐标可选，横坐标可选择：V(体积)、t(时间)，纵坐标可选择： I(测量值)、V(体积)、drift(漂移值)、水含量；可显示多个测量结果，包括水含量、水总量、消耗电量、漂移值、空白值、分析时间、滴定时间等</w:t>
            </w:r>
            <w:r/>
          </w:p>
          <w:p>
            <w:pPr>
              <w:spacing w:line="260" w:lineRule="exact"/>
              <w:widowControl/>
              <w:rPr>
                <w:rFonts w:ascii="宋体" w:hAnsi="宋体" w:cs="宋体"/>
                <w:szCs w:val="21"/>
              </w:rPr>
            </w:pPr>
            <w:r>
              <w:rPr>
                <w:rFonts w:hint="eastAsia" w:ascii="宋体" w:hAnsi="宋体" w:cs="宋体"/>
                <w:szCs w:val="21"/>
              </w:rPr>
              <w:t xml:space="preserve">3.2.8内置多个方法模板；</w:t>
            </w:r>
            <w:r/>
          </w:p>
          <w:p>
            <w:pPr>
              <w:spacing w:line="260" w:lineRule="exact"/>
              <w:widowControl/>
              <w:rPr>
                <w:rFonts w:ascii="宋体" w:hAnsi="宋体" w:cs="宋体"/>
                <w:szCs w:val="21"/>
              </w:rPr>
            </w:pPr>
            <w:r>
              <w:rPr>
                <w:rFonts w:hint="eastAsia" w:ascii="宋体" w:hAnsi="宋体" w:cs="宋体"/>
                <w:szCs w:val="21"/>
              </w:rPr>
              <w:t xml:space="preserve">3.2.9可创建多个方法；</w:t>
            </w:r>
            <w:r/>
          </w:p>
          <w:p>
            <w:pPr>
              <w:spacing w:line="260" w:lineRule="exact"/>
              <w:widowControl/>
              <w:rPr>
                <w:rFonts w:ascii="宋体" w:hAnsi="宋体" w:cs="宋体"/>
                <w:szCs w:val="21"/>
              </w:rPr>
            </w:pPr>
            <w:r>
              <w:rPr>
                <w:rFonts w:hint="eastAsia" w:ascii="宋体" w:hAnsi="宋体" w:cs="宋体"/>
                <w:szCs w:val="21"/>
              </w:rPr>
              <w:t xml:space="preserve">3.2.10每个方法中可支持多个样品；</w:t>
            </w:r>
            <w:r/>
          </w:p>
          <w:p>
            <w:pPr>
              <w:spacing w:line="260" w:lineRule="exact"/>
              <w:widowControl/>
              <w:rPr>
                <w:rFonts w:ascii="宋体" w:hAnsi="宋体" w:cs="宋体"/>
                <w:szCs w:val="21"/>
              </w:rPr>
            </w:pPr>
            <w:r>
              <w:rPr>
                <w:rFonts w:hint="eastAsia" w:ascii="宋体" w:hAnsi="宋体" w:cs="宋体"/>
                <w:szCs w:val="21"/>
              </w:rPr>
              <w:t xml:space="preserve">3.2.11具有方法排队功能，启动多个方法后可依次运行；</w:t>
            </w:r>
            <w:r/>
          </w:p>
          <w:p>
            <w:pPr>
              <w:spacing w:line="260" w:lineRule="exact"/>
              <w:widowControl/>
              <w:rPr>
                <w:rFonts w:ascii="宋体" w:hAnsi="宋体" w:cs="宋体"/>
                <w:szCs w:val="21"/>
              </w:rPr>
            </w:pPr>
            <w:r>
              <w:rPr>
                <w:rFonts w:hint="eastAsia" w:ascii="宋体" w:hAnsi="宋体" w:cs="宋体"/>
                <w:szCs w:val="21"/>
              </w:rPr>
              <w:t xml:space="preserve">3.2.12连接软件存储方法不受限制；</w:t>
            </w:r>
            <w:r/>
          </w:p>
          <w:p>
            <w:pPr>
              <w:spacing w:line="260" w:lineRule="exact"/>
              <w:widowControl/>
              <w:rPr>
                <w:rFonts w:ascii="宋体" w:hAnsi="宋体" w:cs="宋体"/>
                <w:szCs w:val="21"/>
              </w:rPr>
            </w:pPr>
            <w:r>
              <w:rPr>
                <w:rFonts w:hint="eastAsia" w:ascii="宋体" w:hAnsi="宋体" w:cs="宋体"/>
                <w:szCs w:val="21"/>
              </w:rPr>
              <w:t xml:space="preserve">3.2.13结果可保存至U盘或局域网内，并可输出PDF，CSV格式的数据</w:t>
            </w:r>
            <w:r/>
          </w:p>
          <w:p>
            <w:pPr>
              <w:spacing w:line="260" w:lineRule="exact"/>
              <w:widowControl/>
              <w:rPr>
                <w:rFonts w:ascii="宋体" w:hAnsi="宋体" w:cs="宋体"/>
                <w:szCs w:val="21"/>
              </w:rPr>
            </w:pPr>
            <w:r>
              <w:rPr>
                <w:rFonts w:hint="eastAsia" w:ascii="宋体" w:hAnsi="宋体" w:cs="宋体"/>
                <w:szCs w:val="21"/>
              </w:rPr>
              <w:t xml:space="preserve">3.2.14结果可通过紧凑型打印机或网络打印机打印。</w:t>
            </w:r>
            <w:r/>
          </w:p>
          <w:p>
            <w:pPr>
              <w:spacing w:line="260" w:lineRule="exact"/>
              <w:widowControl/>
              <w:rPr>
                <w:rFonts w:ascii="宋体" w:hAnsi="宋体" w:cs="宋体"/>
                <w:szCs w:val="21"/>
              </w:rPr>
            </w:pPr>
            <w:r>
              <w:rPr>
                <w:rFonts w:hint="eastAsia" w:ascii="宋体" w:hAnsi="宋体" w:cs="宋体"/>
                <w:szCs w:val="21"/>
              </w:rPr>
              <w:t xml:space="preserve">3.3</w:t>
            </w:r>
            <w:r>
              <w:rPr>
                <w:rFonts w:hint="eastAsia" w:ascii="宋体" w:hAnsi="宋体" w:cs="宋体"/>
                <w:szCs w:val="21"/>
              </w:rPr>
              <w:tab/>
              <w:t xml:space="preserve">控制操作单元</w:t>
            </w:r>
            <w:r/>
          </w:p>
          <w:p>
            <w:pPr>
              <w:spacing w:line="260" w:lineRule="exact"/>
              <w:widowControl/>
              <w:rPr>
                <w:rFonts w:ascii="宋体" w:hAnsi="宋体" w:cs="宋体"/>
                <w:szCs w:val="21"/>
              </w:rPr>
            </w:pPr>
            <w:r>
              <w:rPr>
                <w:rFonts w:hint="eastAsia" w:ascii="宋体" w:hAnsi="宋体" w:cs="宋体"/>
                <w:szCs w:val="21"/>
              </w:rPr>
              <w:t xml:space="preserve">3.3.1多级权限管理，每个用户组可设置不同的权限，可以设置多个用户并设有密码或指纹保护；所有的用户都可以在自己的主界面设置快捷键，一键开始分析任务。</w:t>
            </w:r>
            <w:r/>
          </w:p>
          <w:p>
            <w:pPr>
              <w:spacing w:line="260" w:lineRule="exact"/>
              <w:widowControl/>
              <w:rPr>
                <w:rFonts w:ascii="宋体" w:hAnsi="宋体" w:cs="宋体"/>
                <w:szCs w:val="21"/>
              </w:rPr>
            </w:pPr>
            <w:r>
              <w:rPr>
                <w:rFonts w:hint="eastAsia" w:ascii="宋体" w:hAnsi="宋体" w:cs="宋体"/>
                <w:szCs w:val="21"/>
              </w:rPr>
              <w:t xml:space="preserve">3.4主机功能</w:t>
            </w:r>
            <w:r/>
          </w:p>
          <w:p>
            <w:pPr>
              <w:spacing w:line="260" w:lineRule="exact"/>
              <w:widowControl/>
              <w:rPr>
                <w:rFonts w:ascii="宋体" w:hAnsi="宋体" w:cs="宋体"/>
                <w:szCs w:val="21"/>
              </w:rPr>
            </w:pPr>
            <w:r>
              <w:rPr>
                <w:rFonts w:hint="eastAsia" w:ascii="宋体" w:hAnsi="宋体" w:cs="宋体"/>
                <w:szCs w:val="21"/>
              </w:rPr>
              <w:t xml:space="preserve">3.4.1主机具备数字电极接口或等效功能接口，可以连接数字电极；</w:t>
            </w:r>
            <w:r/>
          </w:p>
          <w:p>
            <w:pPr>
              <w:spacing w:line="260" w:lineRule="exact"/>
              <w:widowControl/>
              <w:rPr>
                <w:rFonts w:ascii="宋体" w:hAnsi="宋体" w:cs="宋体"/>
                <w:szCs w:val="21"/>
              </w:rPr>
            </w:pPr>
            <w:r>
              <w:rPr>
                <w:rFonts w:hint="eastAsia" w:ascii="宋体" w:hAnsi="宋体" w:cs="宋体"/>
                <w:szCs w:val="21"/>
              </w:rPr>
              <w:t xml:space="preserve">3.4.2仪器可以测量在线漂移值，并在结果计算时进行漂移值扣除，完成库仑法水分测定；</w:t>
            </w:r>
            <w:r/>
          </w:p>
          <w:p>
            <w:pPr>
              <w:spacing w:line="260" w:lineRule="exact"/>
              <w:widowControl/>
              <w:rPr>
                <w:rFonts w:ascii="宋体" w:hAnsi="宋体" w:cs="宋体"/>
                <w:szCs w:val="21"/>
              </w:rPr>
            </w:pPr>
            <w:r>
              <w:rPr>
                <w:rFonts w:hint="eastAsia" w:ascii="宋体" w:hAnsi="宋体" w:cs="宋体"/>
                <w:szCs w:val="21"/>
              </w:rPr>
              <w:t xml:space="preserve">3.4.3 KF溶剂泵：全密封更换卡尔费休试剂, 防止操作人员与有毒的试剂接触，并防止废液溢流。任何时候，KF溶剂泵都可以自动排废液、加液或更换溶剂，对使用者进行全面的保护；</w:t>
            </w:r>
            <w:r/>
          </w:p>
          <w:p>
            <w:pPr>
              <w:spacing w:line="260" w:lineRule="exact"/>
              <w:widowControl/>
              <w:rPr>
                <w:rFonts w:ascii="宋体" w:hAnsi="宋体" w:cs="宋体"/>
                <w:szCs w:val="21"/>
              </w:rPr>
            </w:pPr>
            <w:r>
              <w:rPr>
                <w:rFonts w:hint="eastAsia" w:ascii="宋体" w:hAnsi="宋体" w:cs="宋体"/>
                <w:szCs w:val="21"/>
              </w:rPr>
              <w:t xml:space="preserve">3.4.4可配套多位的加热炉自动进样器，自动测量样品瓶空白值并进行扣除，方便进行批量样品的测试，节省人工并提高工作效率；</w:t>
            </w:r>
            <w:r/>
          </w:p>
          <w:p>
            <w:pPr>
              <w:spacing w:line="260" w:lineRule="exact"/>
              <w:widowControl/>
              <w:rPr>
                <w:rFonts w:ascii="宋体" w:hAnsi="宋体" w:cs="宋体"/>
                <w:szCs w:val="21"/>
              </w:rPr>
            </w:pPr>
            <w:r>
              <w:rPr>
                <w:rFonts w:hint="eastAsia" w:ascii="宋体" w:hAnsi="宋体" w:cs="宋体"/>
                <w:szCs w:val="21"/>
              </w:rPr>
              <w:t xml:space="preserve">3.5滴定杯</w:t>
            </w:r>
            <w:r/>
          </w:p>
          <w:p>
            <w:pPr>
              <w:spacing w:line="260" w:lineRule="exact"/>
              <w:widowControl/>
              <w:rPr>
                <w:rFonts w:ascii="宋体" w:hAnsi="宋体" w:cs="宋体"/>
                <w:szCs w:val="21"/>
              </w:rPr>
            </w:pPr>
            <w:r>
              <w:rPr>
                <w:rFonts w:hint="eastAsia" w:ascii="宋体" w:hAnsi="宋体" w:cs="宋体"/>
                <w:szCs w:val="21"/>
              </w:rPr>
              <w:t xml:space="preserve">3.5.1采用分体式滴定杯设计，由滴定杯和杯盖两部分组成，可直接拆卸和安装，便于日常清洁和维护</w:t>
            </w:r>
            <w:r/>
          </w:p>
          <w:p>
            <w:pPr>
              <w:spacing w:line="260" w:lineRule="exact"/>
              <w:widowControl/>
              <w:rPr>
                <w:rFonts w:ascii="宋体" w:hAnsi="宋体" w:cs="宋体"/>
                <w:szCs w:val="21"/>
              </w:rPr>
            </w:pPr>
            <w:r>
              <w:rPr>
                <w:rFonts w:hint="eastAsia" w:ascii="宋体" w:hAnsi="宋体" w:cs="宋体"/>
                <w:szCs w:val="21"/>
              </w:rPr>
              <w:t xml:space="preserve">3.5.2滴定杯杯盖上有多个开口，包括双铂针电极，电解电极，直接进样口，加热炉进样口，加液口和排液口，或者等效功能结构，实现在直接进样、加热炉进样、加排液操作之间灵活切换，无需插拔管路。</w:t>
            </w:r>
            <w:r/>
          </w:p>
          <w:p>
            <w:pPr>
              <w:spacing w:line="260" w:lineRule="exact"/>
              <w:widowControl/>
              <w:rPr>
                <w:rFonts w:ascii="宋体" w:hAnsi="宋体" w:cs="宋体"/>
                <w:szCs w:val="21"/>
              </w:rPr>
            </w:pPr>
            <w:r>
              <w:rPr>
                <w:rFonts w:hint="eastAsia" w:ascii="宋体" w:hAnsi="宋体" w:cs="宋体"/>
                <w:szCs w:val="21"/>
              </w:rPr>
              <w:t xml:space="preserve">3.6电解电极</w:t>
            </w:r>
            <w:r/>
          </w:p>
          <w:p>
            <w:pPr>
              <w:spacing w:line="260" w:lineRule="exact"/>
              <w:widowControl/>
              <w:rPr>
                <w:rFonts w:ascii="宋体" w:hAnsi="宋体" w:cs="宋体"/>
                <w:szCs w:val="21"/>
              </w:rPr>
            </w:pPr>
            <w:r>
              <w:rPr>
                <w:rFonts w:hint="eastAsia" w:ascii="宋体" w:hAnsi="宋体" w:cs="宋体"/>
                <w:szCs w:val="21"/>
              </w:rPr>
              <w:t xml:space="preserve">3.6.1主机识别电解电极可即插即用，仪器可读取电解电极型号、序列号信息或具备等效电极管理功能</w:t>
            </w:r>
            <w:r/>
          </w:p>
          <w:p>
            <w:pPr>
              <w:spacing w:line="260" w:lineRule="exact"/>
              <w:widowControl/>
              <w:rPr>
                <w:rFonts w:ascii="宋体" w:hAnsi="宋体" w:cs="宋体"/>
                <w:szCs w:val="21"/>
              </w:rPr>
            </w:pPr>
            <w:r>
              <w:rPr>
                <w:rFonts w:hint="eastAsia" w:ascii="宋体" w:hAnsi="宋体" w:cs="宋体"/>
                <w:szCs w:val="21"/>
              </w:rPr>
              <w:t xml:space="preserve">3.6.2 电解电极电流可选择不同档位：多档位调节或自动调节</w:t>
            </w:r>
            <w:r/>
          </w:p>
          <w:p>
            <w:pPr>
              <w:spacing w:line="260" w:lineRule="exact"/>
              <w:widowControl/>
              <w:rPr>
                <w:rFonts w:ascii="宋体" w:hAnsi="宋体" w:cs="宋体"/>
                <w:szCs w:val="21"/>
              </w:rPr>
            </w:pPr>
            <w:r>
              <w:rPr>
                <w:rFonts w:hint="eastAsia" w:ascii="宋体" w:hAnsi="宋体" w:cs="宋体"/>
                <w:szCs w:val="21"/>
              </w:rPr>
              <w:t xml:space="preserve">3.7搅拌器</w:t>
            </w:r>
            <w:r/>
          </w:p>
          <w:p>
            <w:pPr>
              <w:spacing w:line="260" w:lineRule="exact"/>
              <w:widowControl/>
              <w:rPr>
                <w:rFonts w:ascii="宋体" w:hAnsi="宋体" w:cs="宋体"/>
                <w:szCs w:val="21"/>
              </w:rPr>
            </w:pPr>
            <w:r>
              <w:rPr>
                <w:rFonts w:hint="eastAsia" w:ascii="宋体" w:hAnsi="宋体" w:cs="宋体"/>
                <w:szCs w:val="21"/>
              </w:rPr>
              <w:t xml:space="preserve">3.7.1内置磁力搅拌器，可在0-100%的范围内随意调节转速 </w:t>
            </w:r>
            <w:r/>
          </w:p>
          <w:p>
            <w:pPr>
              <w:spacing w:line="260" w:lineRule="exact"/>
              <w:widowControl/>
              <w:rPr>
                <w:rFonts w:ascii="宋体" w:hAnsi="宋体" w:cs="宋体"/>
                <w:szCs w:val="21"/>
              </w:rPr>
            </w:pPr>
            <w:r>
              <w:rPr>
                <w:rFonts w:hint="eastAsia" w:ascii="宋体" w:hAnsi="宋体" w:cs="宋体"/>
                <w:szCs w:val="21"/>
              </w:rPr>
              <w:t xml:space="preserve">3.8外围接口：</w:t>
            </w:r>
            <w:r/>
          </w:p>
          <w:p>
            <w:pPr>
              <w:spacing w:line="260" w:lineRule="exact"/>
              <w:widowControl/>
              <w:rPr>
                <w:rFonts w:ascii="宋体" w:hAnsi="宋体" w:cs="宋体"/>
                <w:szCs w:val="21"/>
              </w:rPr>
            </w:pPr>
            <w:r>
              <w:rPr>
                <w:rFonts w:hint="eastAsia" w:ascii="宋体" w:hAnsi="宋体" w:cs="宋体"/>
                <w:szCs w:val="21"/>
              </w:rPr>
              <w:t xml:space="preserve">3.8.1主机标配如下接口：数字电极接口；电解电极接口；USB-A接口；以太网口。</w:t>
            </w:r>
            <w:r/>
          </w:p>
          <w:p>
            <w:pPr>
              <w:jc w:val="left"/>
              <w:spacing w:line="260" w:lineRule="exact"/>
              <w:widowControl/>
              <w:rPr>
                <w:rFonts w:ascii="宋体" w:hAnsi="宋体" w:cs="宋体"/>
                <w:color w:val="000000"/>
                <w:szCs w:val="21"/>
                <w:lang w:bidi="ar"/>
              </w:rPr>
            </w:pPr>
            <w:r>
              <w:rPr>
                <w:rFonts w:hint="eastAsia" w:ascii="宋体" w:hAnsi="宋体" w:cs="宋体"/>
                <w:szCs w:val="21"/>
              </w:rPr>
              <w:t xml:space="preserve">3.8.2能够直接连接打印机、天平、U盘和电脑等外围设备，即插即用；天平称量结果可直接传输至仪器。 </w:t>
            </w:r>
            <w:r/>
          </w:p>
        </w:tc>
      </w:tr>
      <w:tr>
        <w:trPr>
          <w:gridBefore w:val="1"/>
          <w:jc w:val="center"/>
          <w:trHeight w:val="1932"/>
        </w:trPr>
        <w:tc>
          <w:tcPr>
            <w:gridSpan w:val="2"/>
            <w:tcW w:w="685" w:type="dxa"/>
            <w:vAlign w:val="center"/>
            <w:textDirection w:val="lrTb"/>
            <w:noWrap w:val="false"/>
          </w:tcPr>
          <w:p>
            <w:pPr>
              <w:jc w:val="center"/>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gridSpan w:val="2"/>
            <w:tcW w:w="922" w:type="dxa"/>
            <w:vAlign w:val="center"/>
            <w:textDirection w:val="lrTb"/>
            <w:noWrap w:val="false"/>
          </w:tcPr>
          <w:p>
            <w:pPr>
              <w:spacing w:line="280" w:lineRule="exact"/>
              <w:widowControl/>
              <w:rPr>
                <w:rFonts w:ascii="宋体" w:hAnsi="宋体" w:cs="宋体"/>
                <w:szCs w:val="21"/>
              </w:rPr>
            </w:pPr>
            <w:r>
              <w:rPr>
                <w:rFonts w:hint="eastAsia" w:ascii="宋体" w:hAnsi="宋体" w:cs="宋体"/>
                <w:szCs w:val="21"/>
              </w:rPr>
              <w:t xml:space="preserve">低温DSC</w:t>
            </w:r>
            <w:r>
              <w:rPr>
                <w:rFonts w:hint="eastAsia" w:ascii="宋体" w:hAnsi="宋体" w:cs="宋体"/>
                <w:color w:val="000000"/>
                <w:sz w:val="20"/>
                <w:szCs w:val="20"/>
              </w:rPr>
              <w:t xml:space="preserve">（差示热量扫描仪）</w:t>
            </w:r>
            <w:r/>
          </w:p>
        </w:tc>
        <w:tc>
          <w:tcPr>
            <w:gridSpan w:val="2"/>
            <w:tcW w:w="8835" w:type="dxa"/>
            <w:vAlign w:val="center"/>
            <w:textDirection w:val="lrTb"/>
            <w:noWrap w:val="false"/>
          </w:tcPr>
          <w:p>
            <w:pPr>
              <w:spacing w:line="280" w:lineRule="exact"/>
              <w:widowControl/>
              <w:rPr>
                <w:rFonts w:ascii="宋体" w:hAnsi="宋体" w:cs="宋体"/>
                <w:szCs w:val="21"/>
              </w:rPr>
            </w:pPr>
            <w:r>
              <w:rPr>
                <w:rFonts w:hint="eastAsia" w:ascii="宋体" w:hAnsi="宋体" w:cs="宋体"/>
                <w:szCs w:val="21"/>
              </w:rPr>
              <w:t xml:space="preserve">设备应用：</w:t>
            </w:r>
            <w:r/>
          </w:p>
          <w:p>
            <w:pPr>
              <w:spacing w:line="280" w:lineRule="exact"/>
              <w:widowControl/>
              <w:rPr>
                <w:rFonts w:ascii="宋体" w:hAnsi="宋体" w:cs="宋体"/>
                <w:szCs w:val="21"/>
              </w:rPr>
            </w:pPr>
            <w:r>
              <w:rPr>
                <w:rFonts w:hint="eastAsia" w:ascii="宋体" w:hAnsi="宋体" w:cs="宋体"/>
                <w:szCs w:val="21"/>
              </w:rPr>
              <w:t xml:space="preserve">1 可用于完成玻璃化转变、熔点和熔融行为、结晶和成核、固化、材料稳定性、纯度、反应焓和转变焓、多晶现象、液-晶转变、热历史的检测和分析。</w:t>
            </w:r>
            <w:r/>
          </w:p>
          <w:p>
            <w:pPr>
              <w:spacing w:line="280" w:lineRule="exact"/>
              <w:widowControl/>
              <w:rPr>
                <w:rFonts w:ascii="宋体" w:hAnsi="宋体" w:cs="宋体"/>
                <w:szCs w:val="21"/>
              </w:rPr>
            </w:pPr>
            <w:r>
              <w:rPr>
                <w:rFonts w:hint="eastAsia" w:ascii="宋体" w:hAnsi="宋体" w:cs="宋体"/>
                <w:szCs w:val="21"/>
              </w:rPr>
              <w:t xml:space="preserve">2 可用于材料的玻璃化转变温度（Tg）、熔点（Tm）和熔融行为、结晶行为（结晶温度、结晶速率、结晶度）、固化动力学（固化时间、固化度、固化速率测试）、氧化诱导期（氧化时间、老化性）、稳定性、纯度、熔融热焓等的测试。</w:t>
            </w:r>
            <w:r/>
          </w:p>
          <w:p>
            <w:pPr>
              <w:spacing w:line="280" w:lineRule="exact"/>
              <w:widowControl/>
              <w:rPr>
                <w:rFonts w:ascii="宋体" w:hAnsi="宋体" w:cs="宋体"/>
                <w:szCs w:val="21"/>
              </w:rPr>
            </w:pPr>
            <w:r>
              <w:rPr>
                <w:rFonts w:hint="eastAsia" w:ascii="宋体" w:hAnsi="宋体" w:cs="宋体"/>
                <w:szCs w:val="21"/>
              </w:rPr>
              <w:t xml:space="preserve">3. 设备参数条件：</w:t>
            </w:r>
            <w:r/>
          </w:p>
          <w:p>
            <w:pPr>
              <w:spacing w:line="280" w:lineRule="exact"/>
              <w:widowControl/>
              <w:rPr>
                <w:rFonts w:ascii="宋体" w:hAnsi="宋体" w:cs="宋体"/>
                <w:szCs w:val="21"/>
              </w:rPr>
            </w:pPr>
            <w:r>
              <w:rPr>
                <w:rFonts w:hint="eastAsia" w:ascii="宋体" w:hAnsi="宋体" w:cs="宋体"/>
                <w:szCs w:val="21"/>
              </w:rPr>
              <w:t xml:space="preserve">3.1 环境温度：0～40℃ 3.2 相对湿度：20～70％ 3.3 电源规格：220V，50Hz，温度范围：-70~500℃，机械制冷方式 </w:t>
            </w:r>
            <w:r/>
          </w:p>
          <w:p>
            <w:pPr>
              <w:jc w:val="left"/>
              <w:spacing w:line="280" w:lineRule="exact"/>
              <w:widowControl/>
              <w:rPr>
                <w:rFonts w:ascii="宋体" w:hAnsi="宋体" w:cs="宋体"/>
                <w:szCs w:val="21"/>
              </w:rPr>
            </w:pPr>
            <w:r>
              <w:rPr>
                <w:rFonts w:hint="eastAsia" w:ascii="宋体" w:hAnsi="宋体" w:cs="宋体"/>
                <w:szCs w:val="21"/>
              </w:rPr>
              <w:t xml:space="preserve">3.2 热电偶材质：</w:t>
            </w:r>
            <w:r>
              <w:rPr>
                <w:rFonts w:hint="eastAsia" w:ascii="宋体" w:hAnsi="宋体" w:cs="宋体"/>
                <w:szCs w:val="21"/>
                <w:lang w:bidi="ar"/>
              </w:rPr>
              <w:t xml:space="preserve">耐氧化耐腐蚀的多接点热电堆</w:t>
            </w:r>
            <w:r/>
          </w:p>
          <w:p>
            <w:pPr>
              <w:spacing w:line="280" w:lineRule="exact"/>
              <w:widowControl/>
              <w:rPr>
                <w:rFonts w:ascii="宋体" w:hAnsi="宋体" w:cs="宋体"/>
                <w:color w:val="000000"/>
                <w:szCs w:val="21"/>
                <w:lang w:bidi="ar"/>
              </w:rPr>
            </w:pPr>
            <w:r>
              <w:rPr>
                <w:rFonts w:hint="eastAsia" w:ascii="宋体" w:hAnsi="宋体" w:cs="宋体"/>
                <w:szCs w:val="21"/>
              </w:rPr>
              <w:t xml:space="preserve">3.3热电偶要求：热电偶对数≥3对 </w:t>
            </w:r>
            <w:r/>
          </w:p>
          <w:p>
            <w:pPr>
              <w:spacing w:line="280" w:lineRule="exact"/>
              <w:widowControl/>
              <w:rPr>
                <w:rFonts w:ascii="宋体" w:hAnsi="宋体" w:cs="宋体"/>
                <w:szCs w:val="21"/>
              </w:rPr>
            </w:pPr>
            <w:r>
              <w:rPr>
                <w:rFonts w:hint="eastAsia" w:ascii="宋体" w:hAnsi="宋体" w:cs="宋体"/>
                <w:szCs w:val="21"/>
              </w:rPr>
              <w:t xml:space="preserve">3.4 传感器设计：采用耐腐蚀材质，量热传感器与炉体能够独立更换维修，不需要连整个炉体一起更换</w:t>
            </w:r>
            <w:r/>
          </w:p>
          <w:p>
            <w:pPr>
              <w:jc w:val="left"/>
              <w:spacing w:line="280" w:lineRule="exact"/>
              <w:widowControl/>
              <w:rPr>
                <w:rFonts w:ascii="宋体" w:hAnsi="宋体" w:cs="宋体"/>
                <w:szCs w:val="21"/>
              </w:rPr>
            </w:pPr>
            <w:r>
              <w:rPr>
                <w:rFonts w:hint="eastAsia" w:ascii="宋体" w:hAnsi="宋体" w:cs="宋体"/>
                <w:szCs w:val="21"/>
              </w:rPr>
              <w:t xml:space="preserve">3.5 炉体材质：</w:t>
            </w:r>
            <w:r>
              <w:rPr>
                <w:rFonts w:hint="eastAsia" w:ascii="宋体" w:hAnsi="宋体" w:cs="宋体"/>
                <w:szCs w:val="21"/>
                <w:lang w:bidi="ar"/>
              </w:rPr>
              <w:t xml:space="preserve">高导热金属炉体（纯银或等效材质）</w:t>
            </w:r>
            <w:r>
              <w:rPr>
                <w:rFonts w:hint="eastAsia" w:ascii="宋体" w:hAnsi="宋体" w:cs="宋体"/>
                <w:szCs w:val="21"/>
              </w:rPr>
              <w:t xml:space="preserve"> 温度准确度：≤±0.1℃，温度精度：≤±0.02℃，升温速率：0.02～100℃/min</w:t>
            </w:r>
            <w:r/>
          </w:p>
          <w:p>
            <w:pPr>
              <w:spacing w:line="280" w:lineRule="exact"/>
              <w:widowControl/>
              <w:rPr>
                <w:rFonts w:ascii="宋体" w:hAnsi="宋体" w:cs="宋体"/>
                <w:szCs w:val="21"/>
              </w:rPr>
            </w:pPr>
            <w:r>
              <w:rPr>
                <w:rFonts w:hint="eastAsia" w:ascii="宋体" w:hAnsi="宋体" w:cs="宋体"/>
                <w:szCs w:val="21"/>
              </w:rPr>
              <w:t xml:space="preserve">3.6 量热灵敏度：≤0.1uW </w:t>
            </w:r>
            <w:r/>
          </w:p>
          <w:p>
            <w:pPr>
              <w:spacing w:line="280" w:lineRule="exact"/>
              <w:widowControl/>
              <w:rPr>
                <w:rFonts w:ascii="宋体" w:hAnsi="宋体" w:cs="宋体"/>
                <w:szCs w:val="21"/>
              </w:rPr>
            </w:pPr>
            <w:r>
              <w:rPr>
                <w:rFonts w:hint="eastAsia" w:ascii="宋体" w:hAnsi="宋体" w:cs="宋体"/>
                <w:szCs w:val="21"/>
              </w:rPr>
              <w:t xml:space="preserve">3.7 热焓准确度：≤±0.1% （铟标样） </w:t>
            </w:r>
            <w:r/>
          </w:p>
          <w:p>
            <w:pPr>
              <w:spacing w:line="280" w:lineRule="exact"/>
              <w:widowControl/>
              <w:rPr>
                <w:rFonts w:ascii="宋体" w:hAnsi="宋体" w:cs="宋体"/>
                <w:szCs w:val="21"/>
              </w:rPr>
            </w:pPr>
            <w:r>
              <w:rPr>
                <w:rFonts w:hint="eastAsia" w:ascii="宋体" w:hAnsi="宋体" w:cs="宋体"/>
                <w:szCs w:val="21"/>
              </w:rPr>
              <w:t xml:space="preserve">3.8 焓值精度：≤±0.1% （铟标样）</w:t>
            </w:r>
            <w:r/>
          </w:p>
          <w:p>
            <w:pPr>
              <w:spacing w:line="280" w:lineRule="exact"/>
              <w:widowControl/>
              <w:rPr>
                <w:rFonts w:ascii="宋体" w:hAnsi="宋体" w:cs="宋体"/>
                <w:szCs w:val="21"/>
              </w:rPr>
            </w:pPr>
            <w:r>
              <w:rPr>
                <w:rFonts w:hint="eastAsia" w:ascii="宋体" w:hAnsi="宋体" w:cs="宋体"/>
                <w:szCs w:val="21"/>
              </w:rPr>
              <w:t xml:space="preserve">3.9 基线平直度：≤10uW（-30~100℃） </w:t>
            </w:r>
            <w:r/>
          </w:p>
          <w:p>
            <w:pPr>
              <w:spacing w:line="280" w:lineRule="exact"/>
              <w:widowControl/>
              <w:rPr>
                <w:rFonts w:ascii="宋体" w:hAnsi="宋体" w:cs="宋体"/>
                <w:szCs w:val="21"/>
              </w:rPr>
            </w:pPr>
            <w:r>
              <w:rPr>
                <w:rFonts w:hint="eastAsia" w:ascii="宋体" w:hAnsi="宋体" w:cs="宋体"/>
                <w:szCs w:val="21"/>
              </w:rPr>
              <w:t xml:space="preserve">3.10 基线重现性：≤10uW（-30~100℃）</w:t>
            </w:r>
            <w:r/>
          </w:p>
          <w:p>
            <w:pPr>
              <w:spacing w:line="280" w:lineRule="exact"/>
              <w:widowControl/>
              <w:rPr>
                <w:rFonts w:ascii="宋体" w:hAnsi="宋体" w:cs="宋体"/>
                <w:szCs w:val="21"/>
              </w:rPr>
            </w:pPr>
            <w:r>
              <w:rPr>
                <w:rFonts w:hint="eastAsia" w:ascii="宋体" w:hAnsi="宋体" w:cs="宋体"/>
                <w:szCs w:val="21"/>
              </w:rPr>
              <w:t xml:space="preserve">3.11 气体控制：配有内置气体控制装置，并可以通过软件程序自动切换两种不同的气体。气氛支持静态或动态；可通氧化、还原、惰性等气体</w:t>
            </w:r>
            <w:r/>
          </w:p>
          <w:p>
            <w:pPr>
              <w:spacing w:line="280" w:lineRule="exact"/>
              <w:widowControl/>
              <w:rPr>
                <w:rFonts w:ascii="宋体" w:hAnsi="宋体" w:cs="宋体"/>
                <w:szCs w:val="21"/>
              </w:rPr>
            </w:pPr>
            <w:r>
              <w:rPr>
                <w:rFonts w:hint="eastAsia" w:ascii="宋体" w:hAnsi="宋体" w:cs="宋体"/>
                <w:szCs w:val="21"/>
              </w:rPr>
              <w:t xml:space="preserve">3.12 软件：中英文操作系统；支持文本、图片、PDF等格式数据输出；可直接对数据进行分析处理，能够一键标出Tg，熔点，焓值，包含n级模型动力学分析、纯度软件各一套。</w:t>
            </w:r>
            <w:r/>
          </w:p>
          <w:p>
            <w:pPr>
              <w:spacing w:line="280" w:lineRule="exact"/>
              <w:widowControl/>
              <w:rPr>
                <w:rFonts w:ascii="宋体" w:hAnsi="宋体" w:cs="宋体"/>
                <w:szCs w:val="21"/>
              </w:rPr>
            </w:pPr>
            <w:r>
              <w:rPr>
                <w:rFonts w:hint="eastAsia" w:ascii="宋体" w:hAnsi="宋体" w:cs="宋体"/>
                <w:szCs w:val="21"/>
              </w:rPr>
              <w:t xml:space="preserve">3.13仪器校准技术：一次校准可覆盖常用升温速率、坩埚与气氛组合，或具备等效自动修正能力。</w:t>
            </w:r>
            <w:r/>
          </w:p>
          <w:p>
            <w:pPr>
              <w:spacing w:line="280" w:lineRule="exact"/>
              <w:widowControl/>
              <w:rPr>
                <w:rFonts w:ascii="宋体" w:hAnsi="宋体" w:cs="宋体"/>
                <w:szCs w:val="21"/>
              </w:rPr>
            </w:pPr>
            <w:r>
              <w:rPr>
                <w:rFonts w:hint="eastAsia" w:ascii="宋体" w:hAnsi="宋体" w:cs="宋体"/>
                <w:szCs w:val="21"/>
              </w:rPr>
              <w:t xml:space="preserve">3.14后续支持扩展符合FDA - 21 CFR Part 11的要求、符合制药机械实施GMP通则的审计追踪功能。法规软件设计必须为封闭系统，其主要功能需包括：应用访问控制(进入密码)、用户级别管理(文件完整性)、审计跟踪(修改和系统历史)、电子签名(电子记录状态)、含用户权限功能。</w:t>
            </w:r>
            <w:r/>
          </w:p>
          <w:p>
            <w:pPr>
              <w:spacing w:line="280" w:lineRule="exact"/>
              <w:widowControl/>
              <w:rPr>
                <w:rFonts w:ascii="宋体" w:hAnsi="宋体" w:cs="宋体"/>
                <w:szCs w:val="21"/>
              </w:rPr>
            </w:pPr>
            <w:r>
              <w:rPr>
                <w:rFonts w:hint="eastAsia" w:ascii="宋体" w:hAnsi="宋体" w:cs="宋体"/>
                <w:szCs w:val="21"/>
              </w:rPr>
              <w:t xml:space="preserve">4. 主机、附件详细清单 </w:t>
            </w:r>
            <w:r/>
          </w:p>
          <w:p>
            <w:pPr>
              <w:spacing w:line="280" w:lineRule="exact"/>
              <w:widowControl/>
              <w:rPr>
                <w:rFonts w:ascii="宋体" w:hAnsi="宋体" w:cs="宋体"/>
                <w:szCs w:val="21"/>
              </w:rPr>
            </w:pPr>
            <w:r>
              <w:rPr>
                <w:rFonts w:hint="eastAsia" w:ascii="宋体" w:hAnsi="宋体" w:cs="宋体"/>
                <w:szCs w:val="21"/>
              </w:rPr>
              <w:t xml:space="preserve">4.1 差示扫描量热仪主机一台。</w:t>
            </w:r>
            <w:r/>
          </w:p>
          <w:p>
            <w:pPr>
              <w:spacing w:line="280" w:lineRule="exact"/>
              <w:widowControl/>
              <w:rPr>
                <w:rFonts w:ascii="宋体" w:hAnsi="宋体" w:cs="宋体"/>
                <w:szCs w:val="21"/>
              </w:rPr>
            </w:pPr>
            <w:r>
              <w:rPr>
                <w:rFonts w:hint="eastAsia" w:ascii="宋体" w:hAnsi="宋体" w:cs="宋体"/>
                <w:szCs w:val="21"/>
              </w:rPr>
              <w:t xml:space="preserve">4.2 机械式制冷设备一套。</w:t>
            </w:r>
            <w:r/>
          </w:p>
          <w:p>
            <w:pPr>
              <w:spacing w:line="280" w:lineRule="exact"/>
              <w:widowControl/>
              <w:rPr>
                <w:rFonts w:ascii="宋体" w:hAnsi="宋体" w:cs="宋体"/>
                <w:szCs w:val="21"/>
              </w:rPr>
            </w:pPr>
            <w:r>
              <w:rPr>
                <w:rFonts w:hint="eastAsia" w:ascii="宋体" w:hAnsi="宋体" w:cs="宋体"/>
                <w:szCs w:val="21"/>
              </w:rPr>
              <w:t xml:space="preserve">4.3 坩埚密封压片机一台。</w:t>
            </w:r>
            <w:r/>
          </w:p>
          <w:p>
            <w:pPr>
              <w:spacing w:line="280" w:lineRule="exact"/>
              <w:widowControl/>
              <w:rPr>
                <w:rFonts w:ascii="宋体" w:hAnsi="宋体" w:cs="宋体"/>
                <w:szCs w:val="21"/>
              </w:rPr>
            </w:pPr>
            <w:r>
              <w:rPr>
                <w:rFonts w:hint="eastAsia" w:ascii="宋体" w:hAnsi="宋体" w:cs="宋体"/>
                <w:szCs w:val="21"/>
              </w:rPr>
              <w:t xml:space="preserve">4.4 原装进口40ul铝坩埚100套。</w:t>
            </w:r>
            <w:r/>
          </w:p>
          <w:p>
            <w:pPr>
              <w:spacing w:line="280" w:lineRule="exact"/>
              <w:widowControl/>
              <w:rPr>
                <w:rFonts w:ascii="宋体" w:hAnsi="宋体" w:cs="宋体"/>
                <w:szCs w:val="21"/>
              </w:rPr>
            </w:pPr>
            <w:r>
              <w:rPr>
                <w:rFonts w:hint="eastAsia" w:ascii="宋体" w:hAnsi="宋体" w:cs="宋体"/>
                <w:szCs w:val="21"/>
              </w:rPr>
              <w:t xml:space="preserve">4.5 操作工具箱3个。</w:t>
            </w:r>
            <w:r/>
          </w:p>
          <w:p>
            <w:pPr>
              <w:spacing w:line="280" w:lineRule="exact"/>
              <w:widowControl/>
              <w:rPr>
                <w:rFonts w:ascii="宋体" w:hAnsi="宋体" w:cs="宋体"/>
                <w:szCs w:val="21"/>
              </w:rPr>
            </w:pPr>
            <w:r>
              <w:rPr>
                <w:rFonts w:hint="eastAsia" w:ascii="宋体" w:hAnsi="宋体" w:cs="宋体"/>
                <w:szCs w:val="21"/>
              </w:rPr>
              <w:t xml:space="preserve">4.6 校正用In、Zn标样各一套。</w:t>
            </w:r>
            <w:r/>
          </w:p>
        </w:tc>
      </w:tr>
      <w:tr>
        <w:trPr>
          <w:gridBefore w:val="1"/>
          <w:jc w:val="center"/>
          <w:trHeight w:val="202"/>
        </w:trPr>
        <w:tc>
          <w:tcPr>
            <w:gridSpan w:val="2"/>
            <w:tcW w:w="685" w:type="dxa"/>
            <w:vAlign w:val="center"/>
            <w:textDirection w:val="lrTb"/>
            <w:noWrap w:val="false"/>
          </w:tcPr>
          <w:p>
            <w:pPr>
              <w:jc w:val="center"/>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w:t>
            </w:r>
            <w:r/>
          </w:p>
        </w:tc>
        <w:tc>
          <w:tcPr>
            <w:gridSpan w:val="2"/>
            <w:tcW w:w="922" w:type="dxa"/>
            <w:vAlign w:val="center"/>
            <w:textDirection w:val="lrTb"/>
            <w:noWrap w:val="false"/>
          </w:tcPr>
          <w:p>
            <w:pPr>
              <w:spacing w:line="280" w:lineRule="exact"/>
              <w:widowControl/>
              <w:rPr>
                <w:rFonts w:ascii="宋体" w:hAnsi="宋体" w:cs="宋体"/>
                <w:szCs w:val="21"/>
              </w:rPr>
            </w:pPr>
            <w:r>
              <w:rPr>
                <w:rFonts w:hint="eastAsia" w:ascii="宋体" w:hAnsi="宋体" w:cs="宋体"/>
                <w:color w:val="000000"/>
                <w:szCs w:val="21"/>
                <w:lang w:bidi="ar"/>
              </w:rPr>
              <w:t xml:space="preserve">高效液相色谱仪</w:t>
            </w:r>
            <w:r/>
          </w:p>
        </w:tc>
        <w:tc>
          <w:tcPr>
            <w:gridSpan w:val="2"/>
            <w:tcW w:w="8835"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技术指标：</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1、四元溶剂管理系统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1.1色谱泵：一体式独立柱塞，数控直线驱动色谱泵技术，双压力传感器反馈回路，无需阻尼器。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1.2集成式漏液管理：漏液传感器。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 泵压力传感器反馈回路：2路。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 压缩补偿：自动、连续。</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 梯度模式：低压混合，四元梯度。</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1.6 流速范围：流速范围：0.001~5.000 mL/min. 以 0.001ml/min 为增量。</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1.7 最大操作压力：≥9500psi。</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 流速精度：≤0.075%RSD。</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1.9 流速准确度：±1.0%。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1.10 梯度延迟体积：＜1000ul，不随反压变化。</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1.11 梯度变化模式：预编10种以上梯度曲线，包含线性、步进、凹线、凸线四种类型。</w:t>
            </w:r>
            <w:r/>
          </w:p>
          <w:p>
            <w:pPr>
              <w:jc w:val="left"/>
              <w:spacing w:line="280" w:lineRule="exact"/>
              <w:widowControl/>
              <w:rPr>
                <w:rFonts w:ascii="宋体" w:hAnsi="宋体" w:cs="宋体"/>
                <w:b/>
                <w:bCs/>
                <w:color w:val="000000"/>
                <w:szCs w:val="21"/>
                <w:highlight w:val="cyan"/>
                <w:lang w:bidi="ar"/>
              </w:rPr>
            </w:pPr>
            <w:r>
              <w:rPr>
                <w:rFonts w:hint="eastAsia" w:ascii="宋体" w:hAnsi="宋体" w:cs="宋体"/>
                <w:color w:val="000000"/>
                <w:szCs w:val="21"/>
                <w:lang w:bidi="ar"/>
              </w:rPr>
              <w:t xml:space="preserve">1.12内置自动缓冲盐配置功能：可实现自动配置缓冲盐浓度和pH值梯度变化</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2、自动进样器管理系统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2.1样品数量：可容纳&gt;100个2mL样品瓶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2.2进样范围：0.1~50 </w:t>
            </w:r>
            <w:r>
              <w:rPr>
                <w:rFonts w:ascii="Symbol" w:hAnsi="Symbol" w:eastAsia="Symbol" w:cs="Symbol"/>
                <w:color w:val="000000"/>
                <w:szCs w:val="21"/>
                <w:lang w:bidi="ar"/>
              </w:rPr>
              <w:t xml:space="preserve">m</w:t>
            </w:r>
            <w:r>
              <w:rPr>
                <w:rFonts w:hint="eastAsia" w:ascii="宋体" w:hAnsi="宋体" w:cs="宋体"/>
                <w:color w:val="000000"/>
                <w:szCs w:val="21"/>
                <w:lang w:bidi="ar"/>
              </w:rPr>
              <w:t xml:space="preserve">L。</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2.3进样精度：</w:t>
            </w:r>
            <w:r>
              <w:rPr>
                <w:rFonts w:hint="eastAsia" w:ascii="宋体" w:hAnsi="宋体" w:cs="宋体"/>
                <w:color w:val="000000"/>
                <w:szCs w:val="21"/>
                <w:lang w:bidi="ar"/>
              </w:rPr>
              <w:t xml:space="preserve"> &lt;0.25%。</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2.4样品交叉污染度：&lt;0.002%。</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2.5 样品室控温范围：4-40℃，增量为0.1℃。</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3、色谱柱管理系统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3.1温度范围：室温~80.0℃，增量0.1℃。</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3.2溶剂平衡；主动预加热。</w:t>
            </w:r>
            <w:r/>
          </w:p>
          <w:p>
            <w:pPr>
              <w:jc w:val="left"/>
              <w:spacing w:line="280" w:lineRule="exact"/>
              <w:widowControl/>
              <w:rPr>
                <w:rFonts w:ascii="宋体" w:hAnsi="宋体" w:cs="宋体"/>
                <w:b/>
                <w:bCs/>
                <w:color w:val="000000"/>
                <w:szCs w:val="21"/>
                <w:highlight w:val="cyan"/>
                <w:lang w:bidi="ar"/>
              </w:rPr>
            </w:pPr>
            <w:r>
              <w:rPr>
                <w:rFonts w:hint="eastAsia" w:ascii="宋体" w:hAnsi="宋体" w:cs="宋体"/>
                <w:color w:val="000000"/>
                <w:szCs w:val="21"/>
                <w:lang w:bidi="ar"/>
              </w:rPr>
              <w:t xml:space="preserve">3.3系统必须配有智能芯片信息记录技术，记录色谱柱使用情况。</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4、二极管阵列检测器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4.1波长范围：190~800 nm。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4.2带宽：1.2nm。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4.3波长准确度：±1nm。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4.4光源：单一光源，氘灯。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5、色谱数据管理系统</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5.1内置数据库。</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5.2登录时输入用户名和密码，每个使用者可以使用各自的用户名，密码和权限，相互之间的数据互相独立，互不干扰。</w:t>
            </w:r>
            <w:r/>
          </w:p>
          <w:p>
            <w:pPr>
              <w:jc w:val="left"/>
              <w:spacing w:line="280" w:lineRule="exact"/>
              <w:widowControl/>
              <w:rPr>
                <w:rFonts w:ascii="宋体" w:hAnsi="宋体" w:cs="宋体"/>
                <w:szCs w:val="21"/>
              </w:rPr>
            </w:pPr>
            <w:r>
              <w:rPr>
                <w:rFonts w:hint="eastAsia" w:ascii="宋体" w:hAnsi="宋体" w:cs="宋体"/>
                <w:color w:val="000000"/>
                <w:szCs w:val="21"/>
                <w:lang w:bidi="ar"/>
              </w:rPr>
              <w:t xml:space="preserve">5.3操作向导模式和在线帮助功能：只需按照指南要求进行操作即可执行相应的功能。</w:t>
            </w:r>
            <w:r/>
          </w:p>
        </w:tc>
      </w:tr>
      <w:tr>
        <w:trPr>
          <w:gridBefore w:val="1"/>
          <w:jc w:val="center"/>
          <w:trHeight w:val="3272"/>
        </w:trPr>
        <w:tc>
          <w:tcPr>
            <w:gridSpan w:val="2"/>
            <w:tcW w:w="685"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8</w:t>
            </w:r>
            <w:r/>
          </w:p>
        </w:tc>
        <w:tc>
          <w:tcPr>
            <w:gridSpan w:val="2"/>
            <w:tcW w:w="922"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液相色谱-质谱-联用仪</w:t>
            </w:r>
            <w:r/>
          </w:p>
        </w:tc>
        <w:tc>
          <w:tcPr>
            <w:gridSpan w:val="2"/>
            <w:tcW w:w="8835"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 1. 液相色谱仪</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★1.1四元梯度泵</w:t>
            </w:r>
            <w:r/>
          </w:p>
          <w:p>
            <w:pPr>
              <w:jc w:val="left"/>
              <w:spacing w:line="260" w:lineRule="exact"/>
              <w:widowControl/>
              <w:rPr>
                <w:rFonts w:ascii="宋体" w:hAnsi="宋体" w:cs="宋体"/>
                <w:b/>
                <w:bCs/>
                <w:szCs w:val="21"/>
                <w:lang w:bidi="ar"/>
              </w:rPr>
            </w:pPr>
            <w:r>
              <w:rPr>
                <w:rFonts w:hint="eastAsia" w:ascii="宋体" w:hAnsi="宋体" w:cs="宋体"/>
                <w:b/>
                <w:bCs/>
                <w:color w:val="000000"/>
                <w:szCs w:val="21"/>
                <w:lang w:bidi="ar"/>
              </w:rPr>
              <w:t xml:space="preserve">驱动方式：双柱塞往复泵，具备冲程自动优化功能</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流速精密度：≤0.07%RSD</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流速准确度：≤±1% </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流速范围： 0.001-10.0mL/min, 0.001mL/min 步进</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耐压：≥600bar</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脱气：内置脱气机</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投标人提供相应证明文件或者材料，证明满足上述四元梯度泵的要求）</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1.2自动进样器</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★1.2.1进样方式：高压、阀进样技术，使用微型计量泵控制取样体积或其他等效技术。</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进样范围：0.1-100ul，增量为0.1ul；进样精度：&lt;0.25 % RSD；样品残留：&lt;0.004 %</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投标人提供相应证明文件或者材料，证明满足上述自动进样器的要求）</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1.2.2进样循环时间：≤18s</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1.2.3样品容量：≥130位*2mL Vial</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1.2.4编程进样：可进行柱前衍生，柱前样品稀释，自动混合等复杂进样方式。</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w:t>
            </w:r>
            <w:r>
              <w:rPr>
                <w:rFonts w:hint="eastAsia" w:ascii="宋体" w:hAnsi="宋体" w:cs="宋体"/>
                <w:color w:val="000000"/>
                <w:szCs w:val="21"/>
                <w:lang w:bidi="ar"/>
              </w:rPr>
              <w:tab/>
              <w:t xml:space="preserve">柱温箱</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1.3.1温控区：2个（单个设备中，非多个设备拼凑）</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1.3.2温控技术：采用半导体温控技术</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1.3.3控温范围：室温下10℃-85℃ </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1.3.4温度稳定性：≤±0.1℃</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1.3.5控温准确度：≤±0.5℃</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1.3.6温度精度：</w:t>
            </w:r>
            <w:r>
              <w:rPr>
                <w:rFonts w:hint="eastAsia" w:ascii="宋体" w:hAnsi="宋体" w:cs="宋体"/>
                <w:color w:val="000000"/>
                <w:szCs w:val="21"/>
                <w:lang w:bidi="ar"/>
              </w:rPr>
              <w:tab/>
              <w:t xml:space="preserve">≤0.05℃ </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1.3.7色谱柱容量：≥4根300mm色谱柱</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1.4双波长紫外检测器</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1.4.1光源：氘灯</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1.4.2波长范围：190～600nm </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1.4.4</w:t>
            </w:r>
            <w:r>
              <w:rPr>
                <w:rFonts w:hint="eastAsia" w:ascii="宋体" w:hAnsi="宋体" w:cs="宋体"/>
                <w:color w:val="000000"/>
                <w:szCs w:val="21"/>
                <w:lang w:bidi="ar"/>
              </w:rPr>
              <w:tab/>
              <w:t xml:space="preserve">波长精度：±1nm氘灯自动校准</w:t>
            </w:r>
            <w:r/>
          </w:p>
          <w:p>
            <w:pPr>
              <w:jc w:val="left"/>
              <w:spacing w:line="260" w:lineRule="exact"/>
              <w:widowControl/>
              <w:rPr>
                <w:rFonts w:ascii="宋体" w:hAnsi="宋体" w:cs="宋体"/>
                <w:color w:val="000000"/>
                <w:szCs w:val="21"/>
                <w:highlight w:val="cyan"/>
                <w:lang w:bidi="ar"/>
              </w:rPr>
            </w:pPr>
            <w:r>
              <w:rPr>
                <w:rFonts w:hint="eastAsia" w:ascii="宋体" w:hAnsi="宋体" w:cs="宋体"/>
                <w:color w:val="000000"/>
                <w:szCs w:val="21"/>
                <w:lang w:bidi="ar"/>
              </w:rPr>
              <w:t xml:space="preserve">1.4.5</w:t>
            </w:r>
            <w:r>
              <w:rPr>
                <w:rFonts w:hint="eastAsia" w:ascii="宋体" w:hAnsi="宋体" w:cs="宋体"/>
                <w:color w:val="000000"/>
                <w:szCs w:val="21"/>
                <w:lang w:bidi="ar"/>
              </w:rPr>
              <w:tab/>
              <w:t xml:space="preserve">采样速率：≥100Hz（单波长检测）</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1.4.6</w:t>
            </w:r>
            <w:r>
              <w:rPr>
                <w:rFonts w:hint="eastAsia" w:ascii="宋体" w:hAnsi="宋体" w:cs="宋体"/>
                <w:color w:val="000000"/>
                <w:szCs w:val="21"/>
                <w:lang w:bidi="ar"/>
              </w:rPr>
              <w:tab/>
              <w:t xml:space="preserve">基线噪音： &lt;±0.25·10-5 AU，在 230 nm 条件下（单波长检测）</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1.4.7</w:t>
            </w:r>
            <w:r>
              <w:rPr>
                <w:rFonts w:hint="eastAsia" w:ascii="宋体" w:hAnsi="宋体" w:cs="宋体"/>
                <w:color w:val="000000"/>
                <w:szCs w:val="21"/>
                <w:lang w:bidi="ar"/>
              </w:rPr>
              <w:tab/>
              <w:t xml:space="preserve">基线漂移： &lt;1·10-4 AU/h，在 230 nm 条件下</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1.5 智能化功能</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1.5.1 智能化任务程序设置：可设定不少于50个任务程序且可根据分析项目名称命名（非method 1, method 2命名），每个任务程序中包含至少3项不同工作，如：purge, 预冲洗，平衡，后冲洗等</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1.5.2 智能化仪器冲洗：至少2种判定仪器冲洗Purge和色谱柱平衡终点的方式（自动判断和人工判断）</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1.5.3 任务开启模式：至少3种任务开启模式：实时开启，定时开启，循环定时开启，并能显示未来开启的具体日期和时间</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 质谱仪</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2.1离子源： </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2.1.1种类：配置 ESI 源并可独立工作于 ESI 模式，可选 APCI 扩展</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2.1.2 抗污染：为提高仪器的抗污染能力，正交喷雾 + 反吹气去中性粒子（或等效抗污染结构）</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2.1.3 干燥气：≥2路干燥气，以确保更好的离子化效果</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2.1.4 维护：清洗及更换离子传输单元（一二级锥孔或毛细管）无需卸载真空</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2.2 四极杆质量分析器：</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2.2.1 材质和结构：双曲面四极杆（金属或镀金材质）</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2.2.2四极杆温度：可独立加热控温，以提高仪器的抗污染能力</w:t>
            </w:r>
            <w:r/>
          </w:p>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2.2.3 在四极杆前采用离子滤片（1mm），消除节点效应，提高离子传输效率</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★2.3 检测性能：</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 质量范围：m/z 10-1200</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 最大扫描速率：≥15,000amu/s</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灵敏度：ESI正离子模式，液质联用柱上进样10pg 利血平，10pg 利血平 S/N≥300:1（RMS）</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正负模式切换时间：≤25ms</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动态范围：≥6×106 </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SIM最小驻留时间：≤1ms</w:t>
            </w:r>
            <w:r/>
          </w:p>
          <w:p>
            <w:pPr>
              <w:jc w:val="left"/>
              <w:spacing w:line="26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四极杆分辨率：单位质量分辨率 FWHM ≤1.0Da，峰宽 / 分辨率档位可调，以提升在复杂基质分析时的选择性</w:t>
            </w:r>
            <w:r/>
          </w:p>
          <w:p>
            <w:pPr>
              <w:jc w:val="left"/>
              <w:spacing w:line="260" w:lineRule="exact"/>
              <w:widowControl/>
              <w:rPr>
                <w:rFonts w:ascii="宋体" w:hAnsi="宋体" w:cs="宋体"/>
                <w:color w:val="000000"/>
                <w:szCs w:val="21"/>
                <w:lang w:bidi="ar"/>
              </w:rPr>
            </w:pPr>
            <w:r>
              <w:rPr>
                <w:rFonts w:hint="eastAsia" w:ascii="宋体" w:hAnsi="宋体" w:cs="宋体"/>
                <w:b/>
                <w:bCs/>
                <w:color w:val="000000"/>
                <w:szCs w:val="21"/>
                <w:lang w:bidi="ar"/>
              </w:rPr>
              <w:t xml:space="preserve">（投标人提供相应证明文件或者材料，证明满足上述四极杆检测器的检测性能要求）</w:t>
            </w:r>
            <w:r/>
          </w:p>
        </w:tc>
      </w:tr>
    </w:tbl>
    <w:p>
      <w:r/>
      <w:r/>
    </w:p>
    <w:p>
      <w:pPr>
        <w:spacing w:line="500" w:lineRule="exact"/>
        <w:rPr>
          <w:rFonts w:ascii="仿宋" w:hAnsi="仿宋" w:eastAsia="仿宋" w:cs="仿宋"/>
          <w:b/>
          <w:bCs/>
          <w:sz w:val="30"/>
          <w:szCs w:val="30"/>
        </w:rPr>
      </w:pPr>
      <w:r>
        <w:rPr>
          <w:rFonts w:hint="eastAsia" w:ascii="仿宋" w:hAnsi="仿宋" w:eastAsia="仿宋" w:cs="仿宋"/>
          <w:b/>
          <w:bCs/>
          <w:sz w:val="30"/>
          <w:szCs w:val="30"/>
        </w:rPr>
        <w:t xml:space="preserve">四标段</w:t>
      </w:r>
      <w:r/>
    </w:p>
    <w:tbl>
      <w:tblPr>
        <w:tblW w:w="10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5"/>
        <w:gridCol w:w="823"/>
        <w:gridCol w:w="8909"/>
      </w:tblGrid>
      <w:tr>
        <w:trPr>
          <w:jc w:val="center"/>
          <w:trHeight w:val="374" w:hRule="exact"/>
        </w:trPr>
        <w:tc>
          <w:tcPr>
            <w:gridSpan w:val="3"/>
            <w:tcW w:w="10387" w:type="dxa"/>
            <w:vAlign w:val="center"/>
            <w:textDirection w:val="lrTb"/>
            <w:noWrap w:val="false"/>
          </w:tcPr>
          <w:p>
            <w:pPr>
              <w:jc w:val="center"/>
              <w:spacing w:line="240" w:lineRule="exact"/>
              <w:rPr>
                <w:rFonts w:ascii="宋体" w:hAnsi="宋体"/>
                <w:b/>
                <w:color w:val="000000"/>
                <w:szCs w:val="21"/>
              </w:rPr>
            </w:pPr>
            <w:r>
              <w:rPr>
                <w:rFonts w:hint="eastAsia" w:ascii="宋体" w:hAnsi="宋体"/>
                <w:b/>
                <w:color w:val="000000"/>
                <w:szCs w:val="21"/>
              </w:rPr>
              <w:t xml:space="preserve">中试发酵分离纯化与灌装冻干集成系统</w:t>
            </w:r>
            <w:r/>
          </w:p>
        </w:tc>
      </w:tr>
      <w:tr>
        <w:trPr>
          <w:jc w:val="center"/>
          <w:trHeight w:val="444" w:hRule="exact"/>
        </w:trPr>
        <w:tc>
          <w:tcPr>
            <w:tcW w:w="655" w:type="dxa"/>
            <w:vAlign w:val="center"/>
            <w:textDirection w:val="lrTb"/>
            <w:noWrap w:val="false"/>
          </w:tcPr>
          <w:p>
            <w:pPr>
              <w:jc w:val="center"/>
              <w:spacing w:line="240" w:lineRule="exact"/>
              <w:rPr>
                <w:rFonts w:ascii="宋体" w:hAnsi="宋体"/>
                <w:b/>
                <w:color w:val="000000"/>
                <w:szCs w:val="21"/>
              </w:rPr>
            </w:pPr>
            <w:r>
              <w:rPr>
                <w:rFonts w:hint="eastAsia" w:ascii="宋体" w:hAnsi="宋体"/>
                <w:b/>
                <w:color w:val="000000"/>
                <w:szCs w:val="21"/>
              </w:rPr>
              <w:t xml:space="preserve">序号</w:t>
            </w:r>
            <w:r/>
          </w:p>
        </w:tc>
        <w:tc>
          <w:tcPr>
            <w:tcW w:w="823" w:type="dxa"/>
            <w:vAlign w:val="center"/>
            <w:textDirection w:val="lrTb"/>
            <w:noWrap w:val="false"/>
          </w:tcPr>
          <w:p>
            <w:pPr>
              <w:jc w:val="center"/>
              <w:spacing w:line="240" w:lineRule="exact"/>
              <w:rPr>
                <w:rFonts w:ascii="宋体" w:hAnsi="宋体"/>
                <w:b/>
                <w:color w:val="000000"/>
                <w:szCs w:val="21"/>
              </w:rPr>
            </w:pPr>
            <w:r>
              <w:rPr>
                <w:rFonts w:hint="eastAsia" w:ascii="宋体" w:hAnsi="宋体"/>
                <w:b/>
                <w:color w:val="000000"/>
                <w:szCs w:val="21"/>
              </w:rPr>
              <w:t xml:space="preserve">名称</w:t>
            </w:r>
            <w:r/>
          </w:p>
        </w:tc>
        <w:tc>
          <w:tcPr>
            <w:tcW w:w="8909" w:type="dxa"/>
            <w:vAlign w:val="center"/>
            <w:textDirection w:val="lrTb"/>
            <w:noWrap w:val="false"/>
          </w:tcPr>
          <w:p>
            <w:pPr>
              <w:jc w:val="center"/>
              <w:spacing w:line="240" w:lineRule="exact"/>
              <w:rPr>
                <w:rFonts w:ascii="宋体" w:hAnsi="宋体"/>
                <w:b/>
                <w:color w:val="000000"/>
                <w:szCs w:val="21"/>
              </w:rPr>
            </w:pPr>
            <w:r>
              <w:rPr>
                <w:rFonts w:hint="eastAsia" w:ascii="宋体" w:hAnsi="宋体"/>
                <w:b/>
                <w:color w:val="000000"/>
                <w:szCs w:val="21"/>
              </w:rPr>
              <w:t xml:space="preserve">设备参数</w:t>
            </w:r>
            <w:r/>
          </w:p>
        </w:tc>
      </w:tr>
      <w:tr>
        <w:trPr>
          <w:jc w:val="center"/>
          <w:trHeight w:val="312"/>
        </w:trPr>
        <w:tc>
          <w:tcPr>
            <w:tcW w:w="655" w:type="dxa"/>
            <w:vAlign w:val="center"/>
            <w:vMerge w:val="restart"/>
            <w:textDirection w:val="lrTb"/>
            <w:noWrap w:val="false"/>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W w:w="823" w:type="dxa"/>
            <w:vAlign w:val="center"/>
            <w:vMerge w:val="restart"/>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50L一次性微生物反应系统</w:t>
            </w:r>
            <w:r/>
          </w:p>
        </w:tc>
        <w:tc>
          <w:tcPr>
            <w:tcW w:w="8909" w:type="dxa"/>
            <w:vAlign w:val="center"/>
            <w:vMerge w:val="restart"/>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适用于大肠杆菌,酵母等微生物细胞的培养,在质粒生产,蛋白表达等领域应用；</w:t>
            </w:r>
            <w:r/>
          </w:p>
          <w:p>
            <w:pPr>
              <w:jc w:val="left"/>
              <w:spacing w:line="300" w:lineRule="exact"/>
              <w:widowControl/>
              <w:rPr>
                <w:rFonts w:ascii="宋体" w:hAnsi="宋体" w:cs="宋体"/>
                <w:szCs w:val="21"/>
                <w:lang w:bidi="ar"/>
              </w:rPr>
            </w:pPr>
            <w:r>
              <w:rPr>
                <w:rFonts w:hint="eastAsia" w:ascii="宋体" w:hAnsi="宋体" w:cs="宋体"/>
                <w:b/>
                <w:bCs/>
                <w:szCs w:val="21"/>
                <w:lang w:bidi="ar"/>
              </w:rPr>
              <w:t xml:space="preserve">★反应系统为设备和耗材组合产品，需可快速兼顾不同项目多品种共线要求；</w:t>
            </w:r>
            <w:r/>
          </w:p>
          <w:p>
            <w:pPr>
              <w:jc w:val="left"/>
              <w:spacing w:line="300" w:lineRule="exact"/>
              <w:widowControl/>
              <w:rPr>
                <w:rFonts w:ascii="宋体" w:hAnsi="宋体" w:cs="宋体"/>
                <w:b/>
                <w:bCs/>
                <w:szCs w:val="21"/>
                <w:lang w:bidi="ar"/>
              </w:rPr>
            </w:pPr>
            <w:r>
              <w:rPr>
                <w:rFonts w:ascii="宋体" w:hAnsi="宋体" w:cs="宋体"/>
                <w:b/>
                <w:bCs/>
                <w:szCs w:val="21"/>
                <w:lang w:bidi="ar"/>
              </w:rPr>
              <w:t xml:space="preserve">投标人应提供</w:t>
            </w:r>
            <w:r>
              <w:rPr>
                <w:rFonts w:hint="eastAsia" w:ascii="宋体" w:hAnsi="宋体" w:cs="宋体"/>
                <w:b/>
                <w:bCs/>
                <w:szCs w:val="21"/>
                <w:lang w:bidi="ar"/>
              </w:rPr>
              <w:t xml:space="preserve">产品CE证书，耗材提供盖章版一次性系统验证指南，生产体系需有</w:t>
            </w:r>
            <w:r>
              <w:rPr>
                <w:rFonts w:ascii="宋体" w:hAnsi="宋体" w:cs="宋体"/>
                <w:b/>
                <w:bCs/>
                <w:szCs w:val="21"/>
                <w:lang w:bidi="ar"/>
              </w:rPr>
              <w:t xml:space="preserve">ISO13485 2016 体系</w:t>
            </w:r>
            <w:r>
              <w:rPr>
                <w:rFonts w:hint="eastAsia" w:ascii="宋体" w:hAnsi="宋体" w:cs="宋体"/>
                <w:b/>
                <w:bCs/>
                <w:szCs w:val="21"/>
                <w:lang w:bidi="ar"/>
              </w:rPr>
              <w:t xml:space="preserve">和</w:t>
            </w:r>
            <w:r>
              <w:rPr>
                <w:rFonts w:ascii="宋体" w:hAnsi="宋体" w:cs="宋体"/>
                <w:b/>
                <w:bCs/>
                <w:szCs w:val="21"/>
                <w:lang w:bidi="ar"/>
              </w:rPr>
              <w:t xml:space="preserve">ISO9001质量管理体系</w:t>
            </w:r>
            <w:r>
              <w:rPr>
                <w:rFonts w:hint="eastAsia" w:ascii="宋体" w:hAnsi="宋体" w:cs="宋体"/>
                <w:b/>
                <w:bCs/>
                <w:szCs w:val="21"/>
                <w:lang w:bidi="ar"/>
              </w:rPr>
              <w:t xml:space="preserve">，并提供盖章体系证书佐证。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符合GMP要求，可在C级洁净环境下，进行无菌发酵；</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反应系统需提供2年质保；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需随机提供不少于5套耗材。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反应系统需与配液系统、补液装置等应用场景关联使用设备接口要配套，尺寸、高度需一致，并能提供工艺放大支持服务。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1.一次性微生物反应器由罐体，控制器，TCU或更先进部件构成。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2.一次性微生物反应器系统能使用一次性反应袋进行培养，培养体积25-50L。</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3.配置至少2路气体控制（Air，O2）气路，每一路气体均配置质量流量计，流量精度±1%。氧气MFC量程0-100LPM，空气MFC量程0-100LPM。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4.配有至少4个变速蠕动泵。</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5.至少配有pH和DO传感器，电极可湿热灭菌。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6.罐体配有称重模块，称重精度1%FS。</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技术要求：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1.反应器满足25-50L培养体积。</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2.一次性反应器采用顶部机械的搅拌方式，搅拌转速0-600RPM可调。</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3.pH控制：控制范围满足pH 2.00~12.00，显示精度0.1。pH为PID自动控制，反馈控制可以选择与碱泵、酸泵相关联。</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4.DO控制：支持电极离线灭菌后的无菌连接，DO控制范围0-100%，显示精度0.01%。DO可与搅拌速度、空气、氧气量关联控制，可以选择优先级，也可所有参数平行控制，灵活设置。</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5.配备称重单元、pH、DO、温度、转速、角度、通气、二氧化碳比例等参数的监测控制单元。</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6.温度控制：罐体控温模块通过PID控制，可调控温度范围为5-52℃，显示精度±0.1℃，控制精度±0.3℃；</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7.压力控制：系统配备压力传感器，进行反应器袋内压力监测，同时系统具有多级过压保护程序。</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8.消泡：带有消泡电极，可以与蠕动泵关联，实现自动补消泡剂。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9.排气口具有0.2 μm气体过滤器，具备控温加热功能以去除冷凝水，可配置2个尾气滤器加热装置。</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1.控制模块：PLC可编程逻辑程序控制。</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2.软件类型：对应标包反应器自研自主软著。</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3.人机界面：人机界面友好，可切换多种监控画面，画面切换流畅，长期使用无死机现象；软件操作系统至少具有三级安全权限，在线记录关键数据并保证数据完整性、可靠性。</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4.检测控制功能：按照工艺要求预先设定各种工艺参数并自动监控生产状态、处理报警事件，均有曲线记录，并可随时查阅分析；可同时检测控制搅拌速度、罐内温度、pH值、DO值、补料、进气流量等。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5.PID调节：各参数有PID调节过程显示，如设定值，实时值，PID设定值，上下限值等。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6.超限报警功能 ：可设定温度、转速、pH值、DO值的上、下限并具备超限报警功能。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7.控制切换：具备手自动切换功能。速度、温度、pH值、DO值、补料等都能设定为自动、手动及关闭状态。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数据显示、记录和存储：系统数据可图形显示曲线，有运行过程的实时显示、数据记录、数据存储、密码管理、异常分析等功能及报警等功能；实时数据在停电重新开机时能原样恢复。系统各类数据按生产批号归档储存，可永久储存，可随时查阅。</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9.整定和标定：各检测和控制回路的参数可以在画面上在线手动设定和修正，可以进行温度、pH、DO传感器的随时整定调校，各蠕动泵流量的标定。</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配套耗材要求：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1.采用热焊接工艺制造，耗材要有理化、内毒素、微粒等测试文件。</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2.接触产品的所有材料应符合Class VI USP&lt;87&gt;、USP &lt;88&gt;要求。</w:t>
            </w:r>
            <w:r/>
          </w:p>
          <w:p>
            <w:pPr>
              <w:jc w:val="left"/>
              <w:spacing w:line="300" w:lineRule="exact"/>
              <w:widowControl/>
              <w:rPr>
                <w:rFonts w:ascii="宋体" w:hAnsi="宋体" w:cs="宋体"/>
                <w:szCs w:val="21"/>
                <w:lang w:bidi="ar"/>
              </w:rPr>
            </w:pPr>
            <w:r>
              <w:rPr>
                <w:rFonts w:hint="eastAsia" w:ascii="宋体" w:hAnsi="宋体" w:cs="宋体"/>
                <w:b/>
                <w:bCs/>
                <w:szCs w:val="21"/>
                <w:lang w:bidi="ar"/>
              </w:rPr>
              <w:t xml:space="preserve">★3.袋子供应商需提供化学兼容性、物理性能等文件。袋体膜材具备足够机械强度，厚度不低于400μm，并提供袋体膜材证明资料。</w:t>
            </w:r>
            <w:r/>
          </w:p>
          <w:p>
            <w:pPr>
              <w:jc w:val="left"/>
              <w:spacing w:line="300" w:lineRule="exact"/>
              <w:widowControl/>
              <w:rPr>
                <w:rFonts w:ascii="宋体" w:hAnsi="宋体" w:cs="宋体"/>
                <w:b/>
                <w:bCs/>
                <w:szCs w:val="21"/>
                <w:lang w:bidi="ar"/>
              </w:rPr>
            </w:pPr>
            <w:r>
              <w:rPr>
                <w:rFonts w:hint="eastAsia" w:ascii="宋体" w:hAnsi="宋体" w:cs="宋体"/>
                <w:b/>
                <w:bCs/>
                <w:szCs w:val="21"/>
                <w:lang w:bidi="ar"/>
              </w:rPr>
              <w:t xml:space="preserve">投标人应提供类似美国FDA</w:t>
            </w:r>
            <w:r>
              <w:rPr>
                <w:rFonts w:ascii="宋体" w:hAnsi="宋体" w:cs="宋体"/>
                <w:b/>
                <w:bCs/>
                <w:szCs w:val="21"/>
                <w:lang w:bidi="ar"/>
              </w:rPr>
              <w:t xml:space="preserve">涉及药物产品制造的</w:t>
            </w:r>
            <w:r>
              <w:rPr>
                <w:rFonts w:hint="eastAsia" w:ascii="宋体" w:hAnsi="宋体" w:cs="宋体"/>
                <w:b/>
                <w:bCs/>
                <w:szCs w:val="21"/>
                <w:lang w:bidi="ar"/>
              </w:rPr>
              <w:t xml:space="preserve">袋子膜材</w:t>
            </w:r>
            <w:r>
              <w:rPr>
                <w:rFonts w:ascii="宋体" w:hAnsi="宋体" w:cs="宋体"/>
                <w:b/>
                <w:bCs/>
                <w:szCs w:val="21"/>
                <w:lang w:bidi="ar"/>
              </w:rPr>
              <w:t xml:space="preserve">DMF文件</w:t>
            </w:r>
            <w:r>
              <w:rPr>
                <w:rFonts w:hint="eastAsia" w:ascii="宋体" w:hAnsi="宋体" w:cs="宋体"/>
                <w:b/>
                <w:bCs/>
                <w:szCs w:val="21"/>
                <w:lang w:bidi="ar"/>
              </w:rPr>
              <w:t xml:space="preserve">或</w:t>
            </w:r>
            <w:r>
              <w:rPr>
                <w:rFonts w:ascii="宋体" w:hAnsi="宋体" w:cs="宋体"/>
                <w:b/>
                <w:bCs/>
                <w:szCs w:val="21"/>
                <w:lang w:bidi="ar"/>
              </w:rPr>
              <w:t xml:space="preserve">产品技术说明等进行佐证。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4.采用可切割的热塑管或无菌快接头，且无毒无菌无热源，保证无动物来源成份。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5.搅拌式反应袋标配非一次性传统 pH和DO电极插口；有温度电极插口，要求温度电极不能接触培养液；可提供培养袋整合的pH和DO一次性电极，提前Gamma辐照灭菌，两点预校准，使用时，只需单点校准即可。</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6.反应袋收获管路要求：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采用底部收获管路，应位于培养袋最底部，可直接通过重力作用完成收获。</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7.反应袋通气：有表层通气和深层通气两种通气形式；表层通气、深层通气和尾气具有独立的气体过滤除菌(0.2μm)。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8.具备耗材生产资质，采用ISO9001和ISO13485双体系运营并获得认证，保证反应袋耗材品质；</w:t>
            </w:r>
            <w:r/>
          </w:p>
        </w:tc>
      </w:tr>
      <w:tr>
        <w:trPr>
          <w:jc w:val="center"/>
          <w:trHeight w:val="11200"/>
        </w:trPr>
        <w:tc>
          <w:tcPr>
            <w:tcW w:w="655" w:type="dxa"/>
            <w:vAlign w:val="center"/>
            <w:vMerge w:val="restart"/>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2</w:t>
            </w:r>
            <w:r/>
          </w:p>
        </w:tc>
        <w:tc>
          <w:tcPr>
            <w:tcW w:w="823" w:type="dxa"/>
            <w:vAlign w:val="center"/>
            <w:vMerge w:val="restart"/>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5L微生物台式反应器</w:t>
            </w:r>
            <w:r/>
          </w:p>
        </w:tc>
        <w:tc>
          <w:tcPr>
            <w:tcW w:w="8909" w:type="dxa"/>
            <w:vAlign w:val="center"/>
            <w:vMerge w:val="restart"/>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适用于微生物发酵做质粒、蛋白产品生产，系统参照制药企业GMP要求执行。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反应器需与配液系统、补液装置等应用场景关联使用设备接口要配套，尺寸、高度需一致，并能提供工艺放大支持。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反应器需提供2年质保；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1.设备运行模式为“1拖1”的形式，即一台控制柜控制一个玻璃罐体。</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2.配备主流台式电脑为上位机，屏幕尺寸不小于21英寸。</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罐体及技术要求：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1.罐体配有不锈钢提拉把手，方便清洗机高温灭菌等移动罐体的操作。</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2.罐体材料：单层罐体，高硼硅材质，外部包裹电热毯加热或配备夹套进行水浴循环加热。</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3.工艺接口：带有温度接口、pH接口、DO接口、加液口、接种口、补料口、进气口、排气口、收液口等接口，所有接口设计无死角和液体残留。</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4.搅拌桨形式：选择合适的桨型适配大肠杆菌培养工艺，桨叶位置可调。</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5.搅拌浆材质：搅拌桨应当采用热处理过的316L不锈钢，电抛光、表面光洁度Ra＜0.4μm。所有的边缘应是圆弧状；如有螺丝等紧固件确保不生锈。</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6.任何与物料直接接触的金属部件必须采用SUS/AISI316L不锈钢，表面电抛光，光洁度Ra＜0.4μm。所有非产品接触金属部件表面应采用SUS/AISI304不锈钢或更好材料，外表面光洁度Ra＜0.8μm。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自控要求：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1.可自动完成搅拌、温度、pH、DO、通气、补料等控制。</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2.采用顶部机械搅拌，无泄漏，不易磨损，方便维护。</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3.搅拌转速采用PID自动控制，调速范围：0-1000rpm，控制精度：±1%，分辨率：1rpm。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4.温度采用PID自动控制，电加热或水浴控温，PT100温度探头；控制范围：室温~60℃，控制精度：±0.1°C，分辨率：0.1°C。</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5.pH控制：PID自动控制，可关联酸碱泵控制，智能pH电极；控制范围：2-12pH，控制精度：±0.02pH，分辨率：0.01pH。</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6.DO控制：PID自动控制，氧气通过质量流量计控制，光学DO电极；控制范围：0-100%，控制精度：±3%，分辨率：0.1%。</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7.通气方式：表层、深层通气。深层采用合适的环形空气分布器通气，且能配置质量流量计，通气量与罐体容积相匹配；控制界面可设定调节Air、O2、通气量。</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8.灭菌控制：离线灭菌，pH/DO传感器及附件管道与反应器支持离线重复灭菌。可满足罐工作体积和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空罐灭菌，在121℃的条件下达到无菌要求。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9.补料控制：补料包括补碱、消泡、培养液、缓冲液等，配制不少于4个变速蠕动泵，可实现全自动补料控制，并且每个变速蠕动泵的功能都可以自由指定。</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1.控制模块：PLC可编程逻辑程序控制。</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2.软件类型：国产软件，自研自主软著。</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3.人机界面：人机界面友好，可切换多种监控画面，画面切换流畅，长期使用无死机现象；软件操作系统至少具有三级安全权限，在线记录关键数据并保证数据完整性、可靠性。</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4.检测控制功能：按照工艺要求预先设定各种工艺参数并自动监控生产状态、处理报警事件，均有曲线记录，并可随时查阅分析；可同时检测控制搅拌速度、罐内温度、pH值、DO值、补料、进气流量等。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5.PID调节：各参数有PID调节过程显示，如设定值，实时值，PID设定值，上下限值等。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6.超限报警功能：可设定温度、转速、pH值、DO值的上、下限并具备超限报警功能。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7.控制切换：具备手自动切换功能。速度、温度、pH值、DO值、补料等都能设定为自动、手动及关闭状态。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数据显示、记录和存储：系统数据可图形显示曲线，有运行过程的实时显示、数据记录、数据存储、密码管理、异常分析等功能及报警等功能；实时数据在停电重新开机时能原样恢复。系统各类数据按生产批号归档储存，可永久储存，可随时查阅。</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9.整定和标定：各检测和控制回路的参数可以在画面上在线手动设定和修正，可以进行温度、pH、DO传感器的随时整定调校，各蠕动泵流量的标定。</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10.关联控制：具备DO与通气量、搅拌、补料等的关联控制；pH与补酸、补碱的关联控制等功能。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11.补料泵具有多种补料模式，例如指数补料、profile补料等。</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12.完整性检测：系统自带完整性检测功能，可满足本项目 0-200 mbar 保压测试使用。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至少提供以下随机文件：1、产品CE证书，软件产品证书。2、产品使用说明书；3、工艺操作说明书；4、保修卡；5、合格证明书；6、出厂检验报告；</w:t>
            </w:r>
            <w:r/>
          </w:p>
        </w:tc>
      </w:tr>
      <w:tr>
        <w:trPr>
          <w:jc w:val="center"/>
          <w:trHeight w:val="693"/>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3</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30L桌面式配液系统</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b/>
                <w:bCs/>
                <w:szCs w:val="21"/>
                <w:lang w:bidi="ar"/>
              </w:rPr>
              <w:t xml:space="preserve">★配液系统为设备和耗材组合产品，需可快速兼顾不同项目多品种共线要求；</w:t>
            </w:r>
            <w:r/>
          </w:p>
          <w:p>
            <w:pPr>
              <w:jc w:val="left"/>
              <w:spacing w:line="300" w:lineRule="exact"/>
              <w:widowControl/>
              <w:rPr>
                <w:rFonts w:ascii="宋体" w:hAnsi="宋体" w:cs="宋体"/>
                <w:szCs w:val="21"/>
                <w:lang w:bidi="ar"/>
              </w:rPr>
            </w:pPr>
            <w:r>
              <w:rPr>
                <w:rFonts w:ascii="宋体" w:hAnsi="宋体" w:cs="宋体"/>
                <w:b/>
                <w:bCs/>
                <w:szCs w:val="21"/>
                <w:lang w:bidi="ar"/>
              </w:rPr>
              <w:t xml:space="preserve">投标人应提供</w:t>
            </w:r>
            <w:r>
              <w:rPr>
                <w:rFonts w:hint="eastAsia" w:ascii="宋体" w:hAnsi="宋体" w:cs="宋体"/>
                <w:b/>
                <w:bCs/>
                <w:szCs w:val="21"/>
                <w:lang w:bidi="ar"/>
              </w:rPr>
              <w:t xml:space="preserve">产品CE证书，耗材提供盖章版一次性系统验证指南，生产体系需有</w:t>
            </w:r>
            <w:r>
              <w:rPr>
                <w:rFonts w:ascii="宋体" w:hAnsi="宋体" w:cs="宋体"/>
                <w:b/>
                <w:bCs/>
                <w:szCs w:val="21"/>
                <w:lang w:bidi="ar"/>
              </w:rPr>
              <w:t xml:space="preserve">ISO13485 2016 体系</w:t>
            </w:r>
            <w:r>
              <w:rPr>
                <w:rFonts w:hint="eastAsia" w:ascii="宋体" w:hAnsi="宋体" w:cs="宋体"/>
                <w:b/>
                <w:bCs/>
                <w:szCs w:val="21"/>
                <w:lang w:bidi="ar"/>
              </w:rPr>
              <w:t xml:space="preserve">和</w:t>
            </w:r>
            <w:r>
              <w:rPr>
                <w:rFonts w:ascii="宋体" w:hAnsi="宋体" w:cs="宋体"/>
                <w:b/>
                <w:bCs/>
                <w:szCs w:val="21"/>
                <w:lang w:bidi="ar"/>
              </w:rPr>
              <w:t xml:space="preserve">ISO9001质量管理体系</w:t>
            </w:r>
            <w:r>
              <w:rPr>
                <w:rFonts w:hint="eastAsia" w:ascii="宋体" w:hAnsi="宋体" w:cs="宋体"/>
                <w:b/>
                <w:bCs/>
                <w:szCs w:val="21"/>
                <w:lang w:bidi="ar"/>
              </w:rPr>
              <w:t xml:space="preserve">，并提供盖章体系证书佐证。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设备需与反应器、补液装置等应用场景关联使用设备接口要配套，尺寸、高度需一致。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配液系统需提供2年质保；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配液系统需随机提供至少5套耗材。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1.称重模块：高精度称重传感器（称量量程0.1g~35kg，精度±0.1%）。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2.温控模块：PID算法调节，范围0℃~60℃，精度±0.5℃（搭配PT100温度探头）。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3.磁偶式搅拌驱动：无刷直流电机，转速50~600rpm（无极调速），扭矩≥2N·m，满足 1</w:t>
            </w:r>
            <w:r>
              <w:rPr>
                <w:rFonts w:hint="eastAsia" w:ascii="宋体" w:hAnsi="宋体" w:cs="宋体"/>
                <w:szCs w:val="21"/>
                <w:lang w:bidi="ar"/>
              </w:rPr>
              <w:noBreakHyphen/>
              <w:t xml:space="preserve">30L 配液袋搅拌工艺要求。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4.pH检测：量程0~14，精度±0.05，自动温度补偿。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5.电导率检测：量程1us~300mS/cm，精度±5%。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6.操作界面：中英双语；</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7.高清触控屏，分辨率不低于1920×1080，支持手套操作。</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8.UI界面：实时显示搅拌速度、温度、pH/电导率曲线及重量数据。</w:t>
            </w:r>
            <w:r/>
          </w:p>
          <w:p>
            <w:pPr>
              <w:spacing w:line="300" w:lineRule="exact"/>
              <w:rPr>
                <w:szCs w:val="21"/>
              </w:rPr>
            </w:pPr>
            <w:r>
              <w:rPr>
                <w:rFonts w:hint="eastAsia" w:ascii="宋体" w:hAnsi="宋体" w:cs="宋体"/>
                <w:szCs w:val="21"/>
                <w:lang w:bidi="ar"/>
              </w:rPr>
              <w:t xml:space="preserve">9.满足权限管理、审计追踪、数据记录、批次报表等功能；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10.全面符合GMP 要求;二级电子签名，符合21 CFR Part 11电子数据完整性相关要求。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软件具备参数超限报警、手/自动切换、历史数据存储查询等功能，与本项目其他工艺设备软件能力匹配。</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至少提供以下随机文件:1. 产品CE证书；2. 用户手册；3. 保修卡 ；4. 合格证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系统配置:1、搅拌控制器主机；2、通用搅拌器；3、袋子支撑容器（1L-30L）可多选；4、主机控制器通讯线；5.其他配套设施。</w:t>
            </w:r>
            <w:r/>
          </w:p>
        </w:tc>
      </w:tr>
      <w:tr>
        <w:trPr>
          <w:jc w:val="center"/>
          <w:trHeight w:val="693"/>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4</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50L储液系统（2-8℃保持）</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储液系统为设备和耗材组合产品，需可快速兼顾不同项目多品种共线要求；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储液系统需与反应器、配液系统等应用场景关联使用设备接口要配套，尺寸、高度需一致。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储液系统需提供2年质保；</w:t>
            </w:r>
            <w:r/>
          </w:p>
          <w:p>
            <w:pPr>
              <w:jc w:val="left"/>
              <w:spacing w:line="300" w:lineRule="exact"/>
              <w:widowControl/>
              <w:rPr>
                <w:szCs w:val="21"/>
              </w:rPr>
            </w:pPr>
            <w:r>
              <w:rPr>
                <w:rFonts w:hint="eastAsia" w:ascii="宋体" w:hAnsi="宋体" w:cs="宋体"/>
                <w:szCs w:val="21"/>
                <w:lang w:bidi="ar"/>
              </w:rPr>
              <w:t xml:space="preserve">储液系统需随机提供至少5套耗材；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1.搭配一次性储液袋使用，装液体积50L；</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2.采用多面夹套保温结构；</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3.底部坡度设计，确保物料可以顺利流出；</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4.配合TCU进行控温，控温精度不低于±0.5℃</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5.系统配有万向脚轮。</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6.保温夹套加工严格执行保压测试，以保证夹套加工品质；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7.设备主体材料应具有详细的材质证明、检验文件，设备所用材料不得对药品造成污染。</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8.金属部件表面应采用304不锈钢或更好材料，系统硬件表面应光滑，表面粗糙度Ra＜0.8μm，便于清洁消毒。主体结构具备足够结构强度与刚性，不易变形；主体钢材厚度不小于 3mm，夹套外层钢材厚度不小于 2mm。</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9.设备的所有零部件、焊缝等都进行倒角、抛光等处理，提供最少的锐角转角、最少的接缝和平整光滑的连接。设备布局合理，设备表面便于清洁，不能有清洁死角。</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10.设备表面可耐75%的乙醇、异丙醇，杀孢子剂等消毒剂。设备可承受甲醛、杀孢子剂、VHP、臭氧等空间消毒。</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11.储液系统可配合发酵体系和收液后续纯化浓缩工艺使用。</w:t>
            </w:r>
            <w:r/>
          </w:p>
        </w:tc>
      </w:tr>
      <w:tr>
        <w:trPr>
          <w:jc w:val="center"/>
          <w:trHeight w:val="320"/>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5</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温度控制单元TCU</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温度控制单元需与50L储液系统设备连用，接口要配套，并实时温度显示。</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温度控制单元需提供2年质保；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1.搭配一次性储液使用，提供冷热源。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2.压缩机制冷功率不低于2kw</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3.设备具备远程和本地控制两种模式</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4.支持 485或 Modbus</w:t>
            </w:r>
            <w:r>
              <w:rPr>
                <w:rFonts w:hint="eastAsia" w:ascii="宋体" w:hAnsi="宋体" w:cs="宋体"/>
                <w:szCs w:val="21"/>
                <w:lang w:bidi="ar"/>
              </w:rPr>
              <w:noBreakHyphen/>
              <w:t xml:space="preserve">TCP 等通用通讯协议，可实现远程数据交互。</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5.具备降温功能，控温范围满足本项目工艺使用。</w:t>
            </w:r>
            <w:r/>
          </w:p>
        </w:tc>
      </w:tr>
      <w:tr>
        <w:trPr>
          <w:jc w:val="center"/>
          <w:trHeight w:val="693"/>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6</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碟片式离心机</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碟片式离心机为公用设备，需可快速兼顾不同项目多品种快速固液分离要求；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碟片式离心机需与储液装置等应用场景关联使用，设备接口要配套，尺寸、高度需一致。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碟片式离心机需提供2年质保；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设备主体要求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1.固液分离，带CIP系统。</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2.水通量</w:t>
            </w:r>
            <w:r>
              <w:rPr>
                <w:rFonts w:hint="eastAsia" w:ascii="宋体" w:hAnsi="宋体" w:cs="宋体"/>
                <w:b/>
                <w:bCs/>
                <w:szCs w:val="21"/>
                <w:lang w:bidi="ar"/>
              </w:rPr>
              <w:t xml:space="preserve">≥</w:t>
            </w:r>
            <w:r>
              <w:rPr>
                <w:rFonts w:hint="eastAsia" w:ascii="宋体" w:hAnsi="宋体" w:cs="宋体"/>
                <w:szCs w:val="21"/>
                <w:lang w:bidi="ar"/>
              </w:rPr>
              <w:t xml:space="preserve">5m</w:t>
            </w:r>
            <w:r>
              <w:rPr>
                <w:rFonts w:hint="eastAsia" w:ascii="宋体" w:hAnsi="宋体" w:cs="宋体"/>
                <w:szCs w:val="21"/>
                <w:vertAlign w:val="superscript"/>
                <w:lang w:bidi="ar"/>
              </w:rPr>
              <w:t xml:space="preserve">3</w:t>
            </w:r>
            <w:r>
              <w:rPr>
                <w:rFonts w:hint="eastAsia" w:ascii="宋体" w:hAnsi="宋体" w:cs="宋体"/>
                <w:szCs w:val="21"/>
                <w:lang w:bidi="ar"/>
              </w:rPr>
              <w:t xml:space="preserve">/h</w:t>
            </w:r>
            <w:r/>
          </w:p>
          <w:p>
            <w:pPr>
              <w:jc w:val="left"/>
              <w:spacing w:line="300" w:lineRule="exact"/>
              <w:widowControl/>
              <w:rPr>
                <w:rFonts w:ascii="宋体" w:hAnsi="宋体" w:cs="宋体"/>
                <w:color w:val="00b0f0"/>
                <w:szCs w:val="21"/>
                <w:lang w:bidi="ar"/>
              </w:rPr>
            </w:pPr>
            <w:r>
              <w:rPr>
                <w:rFonts w:hint="eastAsia" w:ascii="宋体" w:hAnsi="宋体" w:cs="宋体"/>
                <w:b/>
                <w:bCs/>
                <w:szCs w:val="21"/>
                <w:lang w:bidi="ar"/>
              </w:rPr>
              <w:t xml:space="preserve">★3.离心机转鼓转速</w:t>
            </w:r>
            <w:r>
              <w:rPr>
                <w:rFonts w:hint="eastAsia" w:ascii="宋体" w:hAnsi="宋体" w:cs="宋体"/>
                <w:b/>
                <w:bCs/>
                <w:color w:val="000000"/>
                <w:szCs w:val="21"/>
                <w:lang w:bidi="ar"/>
              </w:rPr>
              <w:t xml:space="preserve">≥</w:t>
            </w:r>
            <w:r>
              <w:rPr>
                <w:rFonts w:hint="eastAsia" w:ascii="宋体" w:hAnsi="宋体" w:cs="宋体"/>
                <w:b/>
                <w:bCs/>
                <w:szCs w:val="21"/>
                <w:lang w:bidi="ar"/>
              </w:rPr>
              <w:t xml:space="preserve">9500rpm</w:t>
            </w:r>
            <w:r/>
          </w:p>
          <w:p>
            <w:pPr>
              <w:jc w:val="left"/>
              <w:spacing w:line="300" w:lineRule="exact"/>
              <w:widowControl/>
              <w:rPr>
                <w:szCs w:val="21"/>
              </w:rPr>
            </w:pPr>
            <w:r>
              <w:rPr>
                <w:rFonts w:ascii="宋体" w:hAnsi="宋体" w:cs="宋体"/>
                <w:b/>
                <w:bCs/>
                <w:szCs w:val="21"/>
                <w:lang w:bidi="ar"/>
              </w:rPr>
              <w:t xml:space="preserve">投标人应提供盖章</w:t>
            </w:r>
            <w:r>
              <w:rPr>
                <w:rFonts w:hint="eastAsia" w:ascii="宋体" w:hAnsi="宋体" w:cs="宋体"/>
                <w:b/>
                <w:bCs/>
                <w:szCs w:val="21"/>
                <w:lang w:bidi="ar"/>
              </w:rPr>
              <w:t xml:space="preserve">版产品</w:t>
            </w:r>
            <w:r>
              <w:rPr>
                <w:rFonts w:ascii="宋体" w:hAnsi="宋体" w:cs="宋体"/>
                <w:b/>
                <w:bCs/>
                <w:szCs w:val="21"/>
                <w:lang w:bidi="ar"/>
              </w:rPr>
              <w:t xml:space="preserve">出厂</w:t>
            </w:r>
            <w:r>
              <w:rPr>
                <w:rFonts w:hint="eastAsia" w:ascii="宋体" w:hAnsi="宋体" w:cs="宋体"/>
                <w:b/>
                <w:bCs/>
                <w:szCs w:val="21"/>
                <w:lang w:bidi="ar"/>
              </w:rPr>
              <w:t xml:space="preserve">动态</w:t>
            </w:r>
            <w:r>
              <w:rPr>
                <w:rFonts w:ascii="宋体" w:hAnsi="宋体" w:cs="宋体"/>
                <w:b/>
                <w:bCs/>
                <w:szCs w:val="21"/>
                <w:lang w:bidi="ar"/>
              </w:rPr>
              <w:t xml:space="preserve">测试报告</w:t>
            </w:r>
            <w:r>
              <w:rPr>
                <w:rFonts w:hint="eastAsia" w:ascii="宋体" w:hAnsi="宋体" w:cs="宋体"/>
                <w:b/>
                <w:bCs/>
                <w:szCs w:val="21"/>
                <w:lang w:bidi="ar"/>
              </w:rPr>
              <w:t xml:space="preserve">，最高转速≥9500rpm，报告同步体现</w:t>
            </w:r>
            <w:r>
              <w:rPr>
                <w:rFonts w:ascii="宋体" w:hAnsi="宋体" w:cs="宋体"/>
                <w:b/>
                <w:bCs/>
                <w:szCs w:val="21"/>
                <w:lang w:bidi="ar"/>
              </w:rPr>
              <w:t xml:space="preserve">分离因数</w:t>
            </w:r>
            <w:r>
              <w:rPr>
                <w:rFonts w:hint="eastAsia" w:ascii="宋体" w:hAnsi="宋体" w:cs="宋体"/>
                <w:b/>
                <w:bCs/>
                <w:szCs w:val="21"/>
                <w:lang w:bidi="ar"/>
              </w:rPr>
              <w:t xml:space="preserve">≥14000；</w:t>
            </w:r>
            <w:r>
              <w:rPr>
                <w:rFonts w:ascii="宋体" w:hAnsi="宋体" w:cs="宋体"/>
                <w:b/>
                <w:bCs/>
                <w:szCs w:val="21"/>
                <w:lang w:bidi="ar"/>
              </w:rPr>
              <w:t xml:space="preserve">当量沉降面积</w:t>
            </w:r>
            <w:r>
              <w:rPr>
                <w:rFonts w:hint="eastAsia" w:ascii="宋体" w:hAnsi="宋体" w:cs="宋体"/>
                <w:b/>
                <w:bCs/>
                <w:szCs w:val="21"/>
                <w:lang w:bidi="ar"/>
              </w:rPr>
              <w:t xml:space="preserve">不小于15000m2来进行转速性能佐证。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4.排渣格式，可调试间隔排渣，排渣量可调。</w:t>
            </w:r>
            <w:r/>
          </w:p>
          <w:p>
            <w:pPr>
              <w:jc w:val="left"/>
              <w:spacing w:line="300" w:lineRule="exact"/>
              <w:widowControl/>
              <w:rPr>
                <w:szCs w:val="21"/>
              </w:rPr>
            </w:pPr>
            <w:r>
              <w:rPr>
                <w:rFonts w:hint="eastAsia" w:ascii="宋体" w:hAnsi="宋体" w:cs="宋体"/>
                <w:szCs w:val="21"/>
                <w:lang w:bidi="ar"/>
              </w:rPr>
              <w:t xml:space="preserve">5.排渣间隔，1-60 分钟</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6.进料密度/固体密度不低于1100 / 1400 kg/m3</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7.进料温度 0-100 ˚C</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8.环境温度范围20-35 ˚C</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9.最大进料压力≥200kPa</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10.清液最大交付压力≥ 300kPa</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11. 与物料接触过流部件采用 316L 不锈钢，表面粗糙度 Ra≤0.4μm，满足生物制药 GMP 使用要求。</w:t>
            </w:r>
            <w:r/>
          </w:p>
        </w:tc>
      </w:tr>
      <w:tr>
        <w:trPr>
          <w:jc w:val="center"/>
          <w:trHeight w:val="693"/>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7</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制药级无菌封管机</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制药级无菌封管机采用慢缓热，快冷却的原理进行封管，实现管路良好的密封。而缓加热方式，能够更换的兼容不同品牌的管路，避免封管期间因加热造成的不良风险。</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适用于生物制药流体管路封管应用，供应商须有CE认证；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符合GMP要求，可在C级洁净环境下，实现高效、快速封管；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封管机需与反应器、配液系统、补液装置等应用场景关联使用设备要配套。</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需随机提供不少于5套设备耗材。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封管机需提供2年质保；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主要参数要求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1．管路尺寸</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适用外径1/4英寸—1英寸（0.2～1英寸）热塑管管路。</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2．管路状态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支持干管、湿润管或满液管接管，支持消泡剂接管，支持可热塑泵管接管。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3．管路品牌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预设常用多种品牌及型号管路，开机直接使用。非预设管路，可使用已有的品牌参数进行兼容。</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4．封管时间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主要管路封管时间约3—5min</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5．权限管理</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账号权限管理，支持三级权限及以上权限管理，也具有不需要密码的快速登录功能。支持多人多同级账号操作。</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导出数据不可编译。</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6．使用安全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封管完成，密封面温度不高于60℃，对人员不造成伤害。</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7．账号安全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封管机具有账号定时登出功能，若长期不使用，账号会自动登出。该功能可关闭。</w:t>
            </w:r>
            <w:r/>
          </w:p>
          <w:p>
            <w:pPr>
              <w:jc w:val="left"/>
              <w:spacing w:line="300" w:lineRule="exact"/>
              <w:widowControl/>
              <w:rPr>
                <w:rFonts w:ascii="宋体" w:hAnsi="宋体" w:cs="宋体"/>
                <w:szCs w:val="21"/>
                <w:lang w:bidi="ar"/>
              </w:rPr>
            </w:pPr>
            <w:r>
              <w:rPr>
                <w:rFonts w:ascii="宋体" w:hAnsi="宋体" w:cs="宋体"/>
                <w:szCs w:val="21"/>
                <w:lang w:bidi="ar"/>
              </w:rPr>
              <w:t xml:space="preserve">8. 操作便利</w:t>
            </w:r>
            <w:r/>
          </w:p>
          <w:p>
            <w:pPr>
              <w:jc w:val="left"/>
              <w:spacing w:line="300" w:lineRule="exact"/>
              <w:widowControl/>
              <w:rPr>
                <w:rFonts w:ascii="宋体" w:hAnsi="宋体" w:cs="宋体"/>
                <w:szCs w:val="21"/>
                <w:lang w:bidi="ar"/>
              </w:rPr>
            </w:pPr>
            <w:r>
              <w:rPr>
                <w:rFonts w:ascii="宋体" w:hAnsi="宋体" w:cs="宋体"/>
                <w:szCs w:val="21"/>
                <w:lang w:bidi="ar"/>
              </w:rPr>
              <w:t xml:space="preserve">①封管机具有账号记录功能，登录时可选择自己的账号，需不要每次输入。</w:t>
            </w:r>
            <w:r/>
          </w:p>
          <w:p>
            <w:pPr>
              <w:jc w:val="left"/>
              <w:spacing w:line="300" w:lineRule="exact"/>
              <w:widowControl/>
              <w:rPr>
                <w:rFonts w:ascii="宋体" w:hAnsi="宋体" w:cs="宋体"/>
                <w:szCs w:val="21"/>
                <w:lang w:bidi="ar"/>
              </w:rPr>
            </w:pPr>
            <w:r>
              <w:rPr>
                <w:rFonts w:ascii="宋体" w:hAnsi="宋体" w:cs="宋体"/>
                <w:szCs w:val="21"/>
                <w:lang w:bidi="ar"/>
              </w:rPr>
              <w:t xml:space="preserve">②具有管型号屏蔽功能，能够将不需要的管路型号进行屏蔽，减少管径选择。</w:t>
            </w:r>
            <w:r/>
          </w:p>
          <w:p>
            <w:pPr>
              <w:jc w:val="left"/>
              <w:spacing w:line="300" w:lineRule="exact"/>
              <w:widowControl/>
              <w:rPr>
                <w:rFonts w:ascii="宋体" w:hAnsi="宋体" w:cs="宋体"/>
                <w:szCs w:val="21"/>
                <w:lang w:bidi="ar"/>
              </w:rPr>
            </w:pPr>
            <w:r>
              <w:rPr>
                <w:rFonts w:ascii="宋体" w:hAnsi="宋体" w:cs="宋体"/>
                <w:szCs w:val="21"/>
                <w:lang w:bidi="ar"/>
              </w:rPr>
              <w:t xml:space="preserve">③封管前的位置就位功能，能够根据管径的选择，预留略大于管路外径尺寸的间隙。</w:t>
            </w:r>
            <w:r/>
          </w:p>
          <w:p>
            <w:pPr>
              <w:jc w:val="left"/>
              <w:spacing w:line="300" w:lineRule="exact"/>
              <w:widowControl/>
              <w:rPr>
                <w:rFonts w:ascii="宋体" w:hAnsi="宋体" w:cs="宋体"/>
                <w:szCs w:val="21"/>
                <w:lang w:bidi="ar"/>
              </w:rPr>
            </w:pPr>
            <w:r>
              <w:rPr>
                <w:rFonts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ascii="宋体" w:hAnsi="宋体" w:cs="宋体"/>
                <w:szCs w:val="21"/>
                <w:lang w:bidi="ar"/>
              </w:rPr>
              <w:t xml:space="preserve">1. 软件操作系统至少具有三级安全权限，在线记录关键数据并保证数据完整性、可靠性。</w:t>
            </w:r>
            <w:r/>
          </w:p>
          <w:p>
            <w:pPr>
              <w:jc w:val="left"/>
              <w:spacing w:line="300" w:lineRule="exact"/>
              <w:widowControl/>
              <w:rPr>
                <w:rFonts w:ascii="宋体" w:hAnsi="宋体" w:cs="宋体"/>
                <w:szCs w:val="21"/>
                <w:lang w:bidi="ar"/>
              </w:rPr>
            </w:pPr>
            <w:r>
              <w:rPr>
                <w:rFonts w:ascii="宋体" w:hAnsi="宋体" w:cs="宋体"/>
                <w:szCs w:val="21"/>
                <w:lang w:bidi="ar"/>
              </w:rPr>
              <w:t xml:space="preserve">2. 可提供源程序可供灾难恢复。</w:t>
            </w:r>
            <w:r/>
          </w:p>
          <w:p>
            <w:pPr>
              <w:jc w:val="left"/>
              <w:spacing w:line="300" w:lineRule="exact"/>
              <w:widowControl/>
              <w:rPr>
                <w:rFonts w:ascii="宋体" w:hAnsi="宋体" w:cs="宋体"/>
                <w:szCs w:val="21"/>
                <w:lang w:bidi="ar"/>
              </w:rPr>
            </w:pPr>
            <w:r>
              <w:rPr>
                <w:rFonts w:ascii="宋体" w:hAnsi="宋体" w:cs="宋体"/>
                <w:szCs w:val="21"/>
                <w:lang w:bidi="ar"/>
              </w:rPr>
              <w:t xml:space="preserve">3. 选择配方后，应能全自动封管。</w:t>
            </w:r>
            <w:r/>
          </w:p>
          <w:p>
            <w:pPr>
              <w:jc w:val="left"/>
              <w:spacing w:line="300" w:lineRule="exact"/>
              <w:widowControl/>
              <w:rPr>
                <w:rFonts w:ascii="宋体" w:hAnsi="宋体" w:cs="宋体"/>
                <w:szCs w:val="21"/>
                <w:lang w:bidi="ar"/>
              </w:rPr>
            </w:pPr>
            <w:r>
              <w:rPr>
                <w:rFonts w:ascii="宋体" w:hAnsi="宋体" w:cs="宋体"/>
                <w:szCs w:val="21"/>
                <w:lang w:bidi="ar"/>
              </w:rPr>
              <w:t xml:space="preserve">至少提供以下随机文件:1. 产品CE证书；2. 用户手册；3. 保修卡；4. 合格证；</w:t>
            </w:r>
            <w:r/>
          </w:p>
          <w:p>
            <w:pPr>
              <w:jc w:val="left"/>
              <w:spacing w:line="300" w:lineRule="exact"/>
              <w:widowControl/>
              <w:rPr>
                <w:rFonts w:ascii="宋体" w:hAnsi="宋体" w:cs="宋体"/>
                <w:szCs w:val="21"/>
                <w:lang w:bidi="ar"/>
              </w:rPr>
            </w:pPr>
            <w:r>
              <w:rPr>
                <w:rFonts w:ascii="宋体" w:hAnsi="宋体" w:cs="宋体"/>
                <w:szCs w:val="21"/>
                <w:lang w:bidi="ar"/>
              </w:rPr>
              <w:t xml:space="preserve">4. 提供IOQ验证文件及服务。</w:t>
            </w:r>
            <w:r/>
          </w:p>
        </w:tc>
      </w:tr>
      <w:tr>
        <w:trPr>
          <w:jc w:val="center"/>
          <w:trHeight w:val="90"/>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szCs w:val="21"/>
                <w:lang w:bidi="ar"/>
              </w:rPr>
              <w:t xml:space="preserve">8</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制药级无菌接管机</w:t>
            </w:r>
            <w:r/>
          </w:p>
        </w:tc>
        <w:tc>
          <w:tcPr>
            <w:tcW w:w="8909"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szCs w:val="21"/>
                <w:lang w:bidi="ar"/>
              </w:rPr>
              <w:t xml:space="preserve">整机要求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制药级无菌接管机采用无菌无热源刀片断开管路，然后对断口热熔，进而对接的原理，实现无菌接管。整个接管过程中，管路断口与刀片贴合，保证无菌。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适用于生物制药流体管路接管应用，供应商须有CE认证。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符合GMP要求，可在C级洁净环境下，实现高效、快速接管。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接管机需与反应器、配液系统、补液装置等应用场景关联使用设备要配套。</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接管机需提供2年质保。</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需随机提供不少于5套设备耗材。</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主要参数要求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1．管路尺寸</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适用外径1/4英寸—1英寸（0.2～1英寸）热塑管管路。</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2．管路状态</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支持干管、湿润管或满液管接管，支持热塑泵管接管。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3．管路品牌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预设常用多种品牌及型号管路，开机直接使用。非预设管路，可使用已有的品牌参数进行兼容。</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4．接管时间</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主要管路接管时间约2-4min。</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5．接管方式</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旋转接管，接管完成后，2根管路都实现无菌对接且贯通。</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6．权限管理</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账号权限管理，支持三级权限及以上权限管理，也具有不需要密码的快速登录功能。支持多人多同级账号操作。</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导出数据不可编译。</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7．使用安全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①接管完成，刀片温度不高于40℃，对人员不造成伤害。</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②接管过程中，刀片抬起时就开始对刀片降温，降低颗粒物对环境的影响。</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8．账号安全</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接管机具有账号定时登出功能，若长期不使用，账号会自动登出。该功能可关闭。</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 操作便利性</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①接管机具有账号记录功能，登录时可选择自己的账号，无需每次输入。</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②管托具有自动识别功能。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③发生故障时，接管机可在大部分情况下实现自动复位（旋转的状态不能自动复位）。</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软件要求</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 软件操作系统至少具有三级安全权限，在线记录关键数据并保证数据完整性、可靠性。</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2. 可提供源程序可供灾难恢复。</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 选择配方后，应能全自动接管。</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至少提供以下随机文件：1. 产品CE证书；2. 用户手册；3. 保修卡；4. 合格证 1份；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 提供IOQ验证文件及服务。</w:t>
            </w:r>
            <w:r/>
          </w:p>
        </w:tc>
      </w:tr>
      <w:tr>
        <w:trPr>
          <w:jc w:val="center"/>
          <w:trHeight w:val="90"/>
        </w:trPr>
        <w:tc>
          <w:tcPr>
            <w:tcW w:w="655" w:type="dxa"/>
            <w:vAlign w:val="center"/>
            <w:textDirection w:val="lrTb"/>
            <w:noWrap w:val="false"/>
          </w:tcPr>
          <w:p>
            <w:pPr>
              <w:jc w:val="center"/>
              <w:spacing w:line="300" w:lineRule="exact"/>
              <w:widowControl/>
              <w:rPr>
                <w:rFonts w:ascii="宋体" w:hAnsi="宋体" w:cs="宋体"/>
                <w:szCs w:val="21"/>
                <w:lang w:bidi="ar"/>
              </w:rPr>
            </w:pPr>
            <w:r>
              <w:rPr>
                <w:rFonts w:hint="eastAsia" w:ascii="宋体" w:hAnsi="宋体" w:cs="宋体"/>
                <w:color w:val="000000"/>
                <w:szCs w:val="21"/>
                <w:lang w:bidi="ar"/>
              </w:rPr>
              <w:t xml:space="preserve">9</w:t>
            </w:r>
            <w:r/>
          </w:p>
        </w:tc>
        <w:tc>
          <w:tcPr>
            <w:tcW w:w="823" w:type="dxa"/>
            <w:vAlign w:val="center"/>
            <w:textDirection w:val="lrTb"/>
            <w:noWrap w:val="false"/>
          </w:tcPr>
          <w:p>
            <w:pPr>
              <w:jc w:val="left"/>
              <w:spacing w:line="300" w:lineRule="exact"/>
              <w:widowControl/>
              <w:rPr>
                <w:rFonts w:ascii="宋体" w:hAnsi="宋体" w:cs="宋体"/>
                <w:szCs w:val="21"/>
                <w:lang w:bidi="ar"/>
              </w:rPr>
            </w:pPr>
            <w:r>
              <w:rPr>
                <w:rFonts w:hint="eastAsia" w:ascii="宋体" w:hAnsi="宋体" w:cs="宋体"/>
                <w:color w:val="000000"/>
                <w:szCs w:val="21"/>
                <w:lang w:bidi="ar"/>
              </w:rPr>
              <w:t xml:space="preserve">蛋白纯化系统</w:t>
            </w:r>
            <w:r/>
          </w:p>
        </w:tc>
        <w:tc>
          <w:tcPr>
            <w:tcW w:w="8909"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1系统泵</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★1.1全自动柱塞泵，至少双泵四泵头，泵头为钛合金材质。每个泵头都有独立除气阀、润洗通路。</w:t>
            </w:r>
            <w:r/>
          </w:p>
          <w:p>
            <w:pPr>
              <w:jc w:val="left"/>
              <w:spacing w:line="300" w:lineRule="exact"/>
              <w:widowControl/>
              <w:rPr>
                <w:rFonts w:ascii="宋体" w:hAnsi="宋体" w:cs="宋体"/>
                <w:b/>
                <w:bCs/>
                <w:color w:val="000000"/>
                <w:szCs w:val="21"/>
                <w:lang w:bidi="ar"/>
              </w:rPr>
            </w:pPr>
            <w:r>
              <w:rPr>
                <w:rFonts w:hint="eastAsia" w:ascii="宋体" w:hAnsi="宋体" w:cs="宋体"/>
                <w:b/>
                <w:bCs/>
                <w:szCs w:val="21"/>
                <w:lang w:bidi="ar"/>
              </w:rPr>
              <w:t xml:space="preserve">（提供相关证明材料并加盖投标单位公章包括但不限于实物照片或明确说明该技术内容的公开发行的产品彩页或第三方检测机构的检测报告等，自拟无效。）</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1.2单泵工作流速：0.01-150ml/min，满足实验室制备及工艺摸索的要求。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1.3系统支持双泵并联运行模式，软件一键切换，无需更换泵头、阀体及管路，最大流速≥300ml/min；系统工作压力范围0-5MPa，可适配液体粘度范围0.35-5cp，适配多种生物缓冲液体系。</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1.4流速准确度≤±1.5% 精密度：RSD &lt; 0.5% ( 条件: 1.0 到 150 mL/min， &lt; 3 MPa，0.8 到 2 cP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1.5梯度合成准确度≤±0.8% ( 条件：5% 到 95% B，2 到 150 mL/min，0.2 到 2 MPa，0.8 到 2 cP)。</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1.6具备恒压调速功能：自动根据压力调节流速输出，可以根据系统泵压力，或者层析柱前，柱前后压差恒压调速。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1.7压力控制模式：在系统即将超压时自动降低流速，保证系统连续运行，而当系统压力降低后流速能够恢复流速。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2检测器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2.1紫外检测器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2.1.1紫外检测器采用 LED 光源，标配280nm常规检测波长，无需预热，使用寿命长。</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2.1.2检测范围：-6到+6 AU，线性≤2%，在0-2 AU之间。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2.1.3光源和流动池分开设计，避免光源过热对样品的影响。</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2.2电导监测器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2.2.1检测范围：0.01-999.99 ms/cm。</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2.2.2检测池体积≥22 ul。</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2.2.3电导精确度≤±0.01 mS/cm，实时自动检测，内置温度检测器，利用校正因子做自动校正。</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2.2.4紫外检测器和电导检测器分开设计，可在两者之间添加模块。</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2.3 温度监测器：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温度范围：0-99℃，温度准确度：±1.5℃在 4℃–45℃之间。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3阀门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3.1 入口阀：在单个阀上可实现不少于2个A缓冲液入口和不少于2个B缓冲液入口的选择。</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3.2 进样阀：无需更改管线连接方式实现不同的上样方式：样品泵上样到样品环或Superloop；注射器上样到样品环或Superloop；样品泵直接上样到层析柱。</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3.3出口阀：除收集器和废液出口外，还提供额外的大体积出口。</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4组分收集器</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★4.1组分收集器, 可根据体积或峰自动收集,收集数量≥350个，范围从0.1ml-50ml, 至少兼容3，8, 15 或50ml型号的收集管。（提供相关证明材料并加盖投标单位公章包括但不限于实物照片或明确说明该技术内容的公开发行的产品彩页或第三方检测机构的检测报告等，自拟无效。）</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 控制软件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5.1符合GMP/GLP要求，软件满足 FDA 21 CFR Part11 电子记录、电子签名相关要求，数据管理采用database模式，支持OPC协议，产生数据可通过以太网连接传输。</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5.2软件至少具有系统管理、系统控制、方法编辑、结果分析等窗口功能，窗口之间可自由切换。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5.3系统管理模块：多级用户管理模式和支持电子签名，易于从实验室研究放大到生产规模，数据备份支持手动、定期保存和备份。可以选择远程控制许可，在办公室远程控制实验室仪器，进行数据处理。</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5.4系统控制模块：流路实时在线，实时监控和控制。交互式的流路控制，方便了解液体流向，并且直接可在流路图上进行控制，具有节电模式。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5.5方法编辑模块：方法建立可直接调用模板，删除添加步骤，自行修改每一步的参数，同时支持个性化命令。</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5.6结果分析：具有计算柱效、曲线比较、自动积分、曲线处理、结果报告导出等功能，手动运行的结果也能自动保存。</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5.7内置层析柱和凝胶的包含市面上常用的预装柱信息，直接选择层析柱、智能编程，随时下载升级层析柱信息，支持手动添加层析柱信息。</w:t>
            </w:r>
            <w:r/>
          </w:p>
          <w:p>
            <w:pPr>
              <w:jc w:val="left"/>
              <w:spacing w:line="300" w:lineRule="exact"/>
              <w:widowControl/>
              <w:rPr>
                <w:rFonts w:ascii="宋体" w:hAnsi="宋体" w:cs="宋体"/>
                <w:b/>
                <w:bCs/>
                <w:color w:val="000000"/>
                <w:szCs w:val="21"/>
                <w:lang w:bidi="ar"/>
              </w:rPr>
            </w:pPr>
            <w:r>
              <w:rPr>
                <w:rFonts w:hint="eastAsia" w:ascii="宋体" w:hAnsi="宋体" w:cs="宋体"/>
                <w:color w:val="000000"/>
                <w:szCs w:val="21"/>
                <w:lang w:bidi="ar"/>
              </w:rPr>
              <w:t xml:space="preserve">5.8远程监测：可实现移动设备平板、手机或计算机在局域网内查看一至多台设备的使用情况，可同时显示多条实时曲线和不少于50个运行数据；可查看仪器报警信息，及时发现运行异常的设备，可分类或分组筛选查看仪器，了解仪器在特定时间内的使用频率，便于仪器管理。</w:t>
            </w:r>
            <w:r/>
          </w:p>
          <w:p>
            <w:pPr>
              <w:jc w:val="left"/>
              <w:spacing w:line="300" w:lineRule="exact"/>
              <w:widowControl/>
              <w:rPr>
                <w:rFonts w:ascii="宋体" w:hAnsi="宋体" w:cs="宋体"/>
                <w:b/>
                <w:bCs/>
                <w:color w:val="000000"/>
                <w:szCs w:val="21"/>
                <w:highlight w:val="cyan"/>
                <w:lang w:bidi="ar"/>
              </w:rPr>
            </w:pPr>
            <w:r>
              <w:rPr>
                <w:rFonts w:hint="eastAsia" w:ascii="宋体" w:hAnsi="宋体" w:cs="宋体"/>
                <w:color w:val="000000"/>
                <w:szCs w:val="21"/>
                <w:lang w:bidi="ar"/>
              </w:rPr>
              <w:t xml:space="preserve">5.9远程控制：可实现使用移动设备平板、手机或计算机在局域网内通过浏览器控制设备，可进行手动命令操作，对设备进行远程控制，支持浏览查看结果中任意三个月时间段的结果数据，支持放大、导出图片等操作，方便远程查看实验结果数据。</w:t>
            </w:r>
            <w:r/>
          </w:p>
          <w:p>
            <w:pPr>
              <w:numPr>
                <w:ilvl w:val="0"/>
                <w:numId w:val="2"/>
              </w:numPr>
              <w:jc w:val="left"/>
              <w:spacing w:line="300" w:lineRule="exact"/>
              <w:widowControl/>
              <w:rPr>
                <w:rFonts w:ascii="宋体" w:hAnsi="宋体" w:cs="宋体"/>
                <w:szCs w:val="21"/>
                <w:lang w:bidi="ar"/>
              </w:rPr>
            </w:pPr>
            <w:r>
              <w:rPr>
                <w:rFonts w:hint="eastAsia" w:ascii="宋体" w:hAnsi="宋体" w:cs="宋体"/>
                <w:color w:val="000000"/>
                <w:szCs w:val="21"/>
                <w:lang w:bidi="ar"/>
              </w:rPr>
              <w:t xml:space="preserve">配套工作站：需配备完全匹配设备软件全功能运行要求，稳定性满足实验室长期高频使用的主流工作站。</w:t>
            </w:r>
            <w:r/>
          </w:p>
        </w:tc>
      </w:tr>
      <w:tr>
        <w:trPr>
          <w:jc w:val="center"/>
          <w:trHeight w:val="90"/>
        </w:trPr>
        <w:tc>
          <w:tcPr>
            <w:tcW w:w="655" w:type="dxa"/>
            <w:vAlign w:val="center"/>
            <w:textDirection w:val="lrTb"/>
            <w:noWrap w:val="false"/>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w:t>
            </w:r>
            <w:r/>
          </w:p>
        </w:tc>
        <w:tc>
          <w:tcPr>
            <w:tcW w:w="823"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超滤系统</w:t>
            </w:r>
            <w:r/>
          </w:p>
        </w:tc>
        <w:tc>
          <w:tcPr>
            <w:tcW w:w="8909" w:type="dxa"/>
            <w:vAlign w:val="center"/>
            <w:textDirection w:val="lrTb"/>
            <w:noWrap w:val="false"/>
          </w:tcPr>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★1、机器可以配不同泵管，流速范围最大可以到 350ml/min；最小工作体积≤15ml。</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（提供相关证明材料并加盖投标单位公章包括但不限于实物照片或明确说明该技术内容的公开发行的产品彩页或第三方检测机构的检测报告等，自拟无效。）</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2、主机配有循环泵为蠕动泵，最大流速不小于 350ml/min；补料泵为蠕动泵，流速范围不小于 0-50mL/min，一个用于全自动补料，可以进行恒定截留体积（CRV）控制，用于自动保持截留液体积。另一个用于滤出流量控制，保持滤出流量在设定流量不变。</w:t>
            </w:r>
            <w:r/>
          </w:p>
          <w:p>
            <w:pPr>
              <w:jc w:val="left"/>
              <w:spacing w:line="300" w:lineRule="exact"/>
              <w:widowControl/>
              <w:rPr>
                <w:rFonts w:ascii="宋体" w:hAnsi="宋体" w:cs="宋体"/>
                <w:color w:val="000000"/>
                <w:szCs w:val="21"/>
                <w:highlight w:val="cyan"/>
                <w:lang w:bidi="ar"/>
              </w:rPr>
            </w:pPr>
            <w:r>
              <w:rPr>
                <w:rFonts w:hint="eastAsia" w:ascii="宋体" w:hAnsi="宋体" w:cs="宋体"/>
                <w:color w:val="000000"/>
                <w:szCs w:val="21"/>
                <w:lang w:bidi="ar"/>
              </w:rPr>
              <w:t xml:space="preserve">3、配备不少于3个压力感应器，进液压力传感器、截留压力传感器和滤出压力传感器。</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★4、提供不少于0.5L USP Class VI PSU 透明循环罐，内置磁力搅拌器保证可以均匀混合储液罐中的任何液体，同时集成重量感应器用于检测储液罐内样品体积以及进行终点控制。</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（提供相关证明材料并加盖投标单位公章包括但不限于实物照片或明确说明该技术内容的公开发行的产品彩页或第三方检测机构的检测报告等，自拟无效。）</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5、系统可兼容中空纤维和膜包，使用范围广。</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6、可以通过数据记录软件自动进行数据记录分析并导出报表。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7、控制软件内置触摸屏管理控制泵的运行，而且可以方便地监测过程信息，例如流速、温度和压力。可以查看系统状态、警告和报警指示，并可以通过控制面板输入命令。</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8、系统具有警告和报警功能，可对进料和回流压力、压差、TMP、透出流速/重量、储液罐水平可以被设置在警告和报警管理系统中，可以及时地以显示的信息和声音通知。</w:t>
            </w:r>
            <w:r/>
          </w:p>
          <w:p>
            <w:pPr>
              <w:jc w:val="left"/>
              <w:spacing w:line="300" w:lineRule="exact"/>
              <w:widowControl/>
              <w:rPr>
                <w:rFonts w:ascii="宋体" w:hAnsi="宋体" w:cs="宋体"/>
                <w:szCs w:val="21"/>
                <w:lang w:bidi="ar"/>
              </w:rPr>
            </w:pPr>
            <w:r>
              <w:rPr>
                <w:rFonts w:hint="eastAsia" w:ascii="宋体" w:hAnsi="宋体" w:cs="宋体"/>
                <w:color w:val="000000"/>
                <w:szCs w:val="21"/>
                <w:lang w:bidi="ar"/>
              </w:rPr>
              <w:t xml:space="preserve">9、可以进行恒定体积的洗脱或恒定流速的滤出（减缓膜的污染）。</w:t>
            </w:r>
            <w:r/>
          </w:p>
        </w:tc>
      </w:tr>
      <w:tr>
        <w:trPr>
          <w:jc w:val="center"/>
          <w:trHeight w:val="90"/>
        </w:trPr>
        <w:tc>
          <w:tcPr>
            <w:tcW w:w="655" w:type="dxa"/>
            <w:vAlign w:val="center"/>
            <w:textDirection w:val="lrTb"/>
            <w:noWrap w:val="false"/>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w:t>
            </w:r>
            <w:r/>
          </w:p>
        </w:tc>
        <w:tc>
          <w:tcPr>
            <w:tcW w:w="823"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制剂灌装冻干集成系统</w:t>
            </w:r>
            <w:r/>
          </w:p>
        </w:tc>
        <w:tc>
          <w:tcPr>
            <w:tcW w:w="8909"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整机要求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1.集成系统适用于抗体蛋白冻干制剂和水针制剂并线使用，实现无菌西林瓶灌装、冻干、轧盖及保证无菌A级层流；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集成系统涵盖灌装机、冻干机、汽化过氧化氢灭菌系统、西林瓶进出瓶升降对接机构、轧盖机、灌轧线配套层流系统；采用1个控制集成系统，满足对所有模块的操作控制及数据记录；需配备完全匹配设备控制系统全功能运行要求，稳定性满足长期高频使用的主流工作站。</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3.冻干机生产厂家在质保期内提供驻场冻干工艺开发技术支持，自动冻干过程中可根据需要随时调整工艺参数，优化冻干工艺； </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4.冻干过程中可任意跳段-前后往复切换，自动运行过程中可任意插入压力升测试；</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5.集成系统提供2年质保；</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6.灌装与现有车间设备之间应衔接自然，运行应该协调、流畅；符合“2010版GMP、2008版EU-cGMP、FDA2004版cGMP”规范要求，外观要求美观大方，实现无菌冻干；</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7.冻干程序具有功能引导界面，可快速查找到对应功能界面；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8.冻干</w:t>
            </w:r>
            <w:r>
              <w:rPr>
                <w:rFonts w:hint="eastAsia" w:ascii="宋体" w:hAnsi="宋体" w:cs="宋体"/>
                <w:szCs w:val="21"/>
                <w:lang w:bidi="ar"/>
              </w:rPr>
              <w:t xml:space="preserve">机程序有易损件更换提醒，以保证冻干机长期可靠运行；</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9.冻干机至少具有三种模式分别为：全自动、半自动和手动模式；方便不同的使用需求，更灵活便捷、适应度更广。</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10.灌装机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10.1适用规格：2ml~10ml西林瓶；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10.2灌装稳定速度：25VPM即每分钟25瓶（基于2ml西林瓶，装量1ml常温注射水）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10.3灌装精度 ±1.5%，基于1ml装量；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10.4加塞合格率 ≥99.9%；</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10.5总功率 ≤ 8KW；</w:t>
            </w:r>
            <w:r/>
          </w:p>
          <w:p>
            <w:pPr>
              <w:jc w:val="left"/>
              <w:spacing w:line="300" w:lineRule="exact"/>
              <w:widowControl/>
              <w:rPr>
                <w:szCs w:val="21"/>
              </w:rPr>
            </w:pPr>
            <w:r>
              <w:rPr>
                <w:rFonts w:hint="eastAsia" w:ascii="宋体" w:hAnsi="宋体" w:cs="宋体"/>
                <w:color w:val="000000"/>
                <w:szCs w:val="21"/>
                <w:lang w:bidi="ar"/>
              </w:rPr>
              <w:t xml:space="preserve">10.6破瓶率 ≤0.1%；</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★10.7配包材最小量传感器，包材数量不足时自动报警；</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投标人应提供产品彩页或制造商官网截图或技术说明书，并提供该传感器3C或CE证书复印件。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10.8缓冲转盘检测瓶子累积量采用非接触式，累积量控制精准；</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10.9 缓冲转盘盘面采用特殊工艺处理，不倒瓶；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10.10缓冲转盘盘面材质根据瓶型及规格不同进行优化设计；</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10.11配有倒瓶剔除装置，保证高效稳定的理瓶与进瓶；</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★10.12具有“无瓶不加塞”功能；</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投标人应提供产品彩页或制造商官网截图或技术说明书，核心部件提供3C或CE认证证书</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10.13规格件具有标识，无需工具辅助完成快速拆卸和安装；</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10.14人机界面程序提供用来监视和控制系统的图形界面；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10.15管理安全访问(用户名及密码), 提供登录及注销功能；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10.16配方的管理功能；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10.17报警信息的自动提示和记录功能；</w:t>
            </w:r>
            <w:r/>
          </w:p>
          <w:p>
            <w:pPr>
              <w:jc w:val="left"/>
              <w:spacing w:line="300" w:lineRule="exact"/>
              <w:widowControl/>
              <w:rPr>
                <w:rFonts w:ascii="宋体" w:hAnsi="宋体" w:cs="宋体"/>
                <w:szCs w:val="21"/>
                <w:lang w:bidi="ar"/>
              </w:rPr>
            </w:pPr>
            <w:r>
              <w:rPr>
                <w:rFonts w:hint="eastAsia" w:ascii="宋体" w:hAnsi="宋体" w:cs="宋体"/>
                <w:szCs w:val="21"/>
                <w:lang w:bidi="ar"/>
              </w:rPr>
              <w:t xml:space="preserve">10.18当执行水针剂型即非冻干剂型，需要设计灌装机自动输送至轧盖机，进行西林瓶轧盖。</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11.冻干机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11.1为0.5平方及以上冻干机（对应规格2ml直径16mm西林瓶不少于2260瓶；5ml直径18.4mm西林瓶不少1300瓶；7ml直径22mm西林瓶不少1100瓶）;冻干舱体采用过氧化氢灭菌，实现无菌冻干；</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11.2板层制冷速度（空载，板层进口） +20℃ ～ -40°C ≤ 60 mins；</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投标人应提供选型计算、降温运行速率报告、客户签字的FAT或SAT报告等佐证资料。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11.3加热速度约1°C/min；</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投标人应提供选型计算、加热运行速率报告、客户签字的FAT或SAT报告等佐证资料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11.4板层温度均匀性 ±1℃（空载平衡后）；</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投标人应提供均匀性测试报告、客户签字的FAT或SAT报告等佐证资料。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11.5冷凝器捕冰能力 ≥10Kg/批；</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11.6冷凝器制冷速度（空载） +20 ～ -40℃ ≤ 30 mins；</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11.7冷凝器最低温度≤ -75℃；</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★11.8系统极限真空 ≤0.5Pa；</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11.9冻干板层进出口温度控制偏差±0.2℃（PID调节）；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11.10真空抽气速度 从大气压抽至10pa≤30mins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投标人应提供选型计算、测试报告及客户签字的FAT或SAT报告等佐证资料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11.11系统泄漏率≤ 3pa.L/sec；</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投标人应提供测试报告及客户签字的FAT或SAT报告等佐证资料</w:t>
            </w:r>
            <w:r/>
          </w:p>
          <w:p>
            <w:pPr>
              <w:jc w:val="left"/>
              <w:spacing w:line="300" w:lineRule="exact"/>
              <w:widowControl/>
              <w:rPr>
                <w:szCs w:val="21"/>
              </w:rPr>
            </w:pPr>
            <w:r>
              <w:rPr>
                <w:rFonts w:hint="eastAsia" w:ascii="宋体" w:hAnsi="宋体" w:cs="宋体"/>
                <w:color w:val="000000"/>
                <w:szCs w:val="21"/>
                <w:lang w:bidi="ar"/>
              </w:rPr>
              <w:t xml:space="preserve">11.12压塞压力 0~1.0bar（可调）；</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11.13冻干机开门方式 ：滑移开门；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11.14采用316不锈钢板材，保证箱体表面光洁，粗糙度Ra≤0.4µm</w:t>
            </w:r>
            <w:r>
              <w:rPr>
                <w:rFonts w:hint="eastAsia" w:ascii="宋体" w:hAnsi="宋体" w:cs="宋体"/>
                <w:szCs w:val="21"/>
              </w:rPr>
              <w:t xml:space="preserve">，</w:t>
            </w:r>
            <w:r>
              <w:rPr>
                <w:rFonts w:hint="eastAsia" w:ascii="宋体" w:hAnsi="宋体" w:cs="宋体"/>
                <w:color w:val="000000"/>
                <w:szCs w:val="21"/>
                <w:lang w:bidi="ar"/>
              </w:rPr>
              <w:t xml:space="preserve">从而保证无菌要求；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11.15板层具有高强度，能承受3公斤的气压实验，能够耐受长期使用，设计使用寿命不低于15年；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11.16板层通过机械加工，可保证高要求平整度，平整度要求≤±0.5mm/m；</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11.17均采用不锈钢板材制作，保证箱体表面光洁，粗糙度Ra≤0.4µm，从而保证无菌要求；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11.18冷凝器采用热水化霜；</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11.19压缩机采用双级半封闭机组，性能稳定、可靠；</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11.20采用符合蒙特利尔公约的环保型制冷剂；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11.21制冷系统具有各项保护功能，连锁保护；</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11.22真空泵泵吸气口必须设置防止倒吸的电磁压差挡板阀，避免真空泵停机时外部空气反串进系统；</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★11.23管道全部采用卫生级3A标准，保证内外壁光洁；</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投标人应提供管道TUV认证证书。</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★11.24电加热采用PID串级能量调节控制，可以最有效的利用加热能源；</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投标人应提供核心导热材料第三方检测机构出具的带有CMA或CNAS标识的SDS检测报告复印件，运动粘度（Mpa.s/25℃）5±0.5；凝点≤-75℃；闪点(开囗法)≥110℃。</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11.25与箱体连接卫生管道全部采用符合3A标准的卫生标准管材，更符合无菌要求；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11.26流程：具有冻干、化霜流程；</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11.27配方功能：具有冻干配方功能；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11.28具有批报表功能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11.29具有实时曲线和历史曲线；</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11.30具有实时报警和报警日志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11.31自动、半自动、手动在任何节点任意切换，模块化设计；</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11.32一键式体检功能，为冻干机的健康提供数据保障；</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11.33系统操作可在洁净区、机房、冻干控制室进行，并且相互具有互锁功能，避免误操作；</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★11.34控制区域装有液压急停按钮，可在紧急情况下强制停止板层运行；</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投标人应提供控制区域核心电气部件TUV认证报告来进行佐证。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11.35人机界面具有各种部件、阀门工作状态及温度、真空度参数显示；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11.36“配方管理”可实现：低温进箱、二次回冻（反复预冻）、压力升测试、掺气阀或者小碟阀选择性掺气控制、自动放气和压塞、低温出箱等个性功能；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11.37“冷冻干燥”自动过程有阶段显示功能，并可任意跳段；</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11.38“冷冻干燥”过程中可对配方进行随时调整；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11.39操作画面具有各个故障点显示功能；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11.40具有数据、曲线等不同记录功能，可根据批号随时调用或打印；</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11.41可存储1000条以上数据、曲线记录；</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11.42各个真空度、温度曲线由多种颜色显示，并可任意设置“显示”或“隐藏”；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11.43“冷冻干燥”完成后，可将“工艺配方”、“数据曲线”、“历史记录”、“操作记录”、“报警记录”等原始记录一起打印，可作为批产品的详细批记录进行保存；</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11.44可根据用户实际使用需要增加相应软件功能；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11.45软件系统符合FDA 21 CFR  PART 11；</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11.46电子签名，三级用户权限管理，曲线报表不可修改；</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★11.47 UPS不间断电源可在紧急停电后20分钟内给PLC及各类传感器提供电力。</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投标人应提供不间断电源中国质量认证中心CQC证书和中国节能认证证书。</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12汽化过氧化氢灭菌系统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12.1过氧化氢蒸汽输出温度 约60℃；</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12.2过氧化氢喷射速度 约2-6g/min；</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12.3工作温度 15℃~30℃；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12.4存储温度 -15℃~50℃；</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12.5工作湿度 ≤75%；</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12.6存储湿度 ≤85%（低于38℃）；</w:t>
            </w:r>
            <w:r/>
          </w:p>
          <w:p>
            <w:pPr>
              <w:jc w:val="left"/>
              <w:spacing w:line="300" w:lineRule="exact"/>
              <w:widowControl/>
              <w:rPr>
                <w:rFonts w:ascii="宋体" w:hAnsi="宋体" w:cs="宋体"/>
                <w:b/>
                <w:bCs/>
                <w:color w:val="000000"/>
                <w:szCs w:val="21"/>
                <w:highlight w:val="cyan"/>
                <w:lang w:bidi="ar"/>
              </w:rPr>
            </w:pPr>
            <w:r>
              <w:rPr>
                <w:rFonts w:hint="eastAsia" w:ascii="宋体" w:hAnsi="宋体" w:cs="宋体"/>
                <w:color w:val="000000"/>
                <w:szCs w:val="21"/>
                <w:lang w:bidi="ar"/>
              </w:rPr>
              <w:t xml:space="preserve">12.7配合冻干机进行过氧化氢灭菌系统，主要动力由冻干机腔体与环境之间压差产生的气流提供；冻干机过氧化氢灭菌系统灭菌能力：对枯草杆菌黑色变种芽孢、嗜热脂肪地芽孢杆菌杀灭对数值均＞5.00。</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12.8采用脉动式灭菌方式对冻干机腔体进行灭菌：</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12.9预处理：冻干机为过氧化氢灭菌提供适宜的湿度及压力环境，通过抽真空及洁净干燥压缩空气对冻干机带灭菌腔体进行除湿，湿度要求≤45%，除湿结束后抽真</w:t>
            </w:r>
            <w:r>
              <w:rPr>
                <w:rFonts w:hint="eastAsia" w:ascii="宋体" w:hAnsi="宋体" w:cs="宋体"/>
                <w:color w:val="000000"/>
                <w:szCs w:val="21"/>
                <w:lang w:bidi="ar"/>
              </w:rPr>
              <w:t xml:space="preserve">空至指定压力值90Kpa，然后进入灭菌阶段；脉动式灭菌：将设备出风口通过气动球阀与冻干机带灭菌前提连接，待灭菌腔体预处理后进入灭菌阶段。首先对蒸发室进行加热，当加热室达到指定温度135℃时打开球阀，同时运行设备给液系统开始蒸发充气，当带灭菌腔体压力下降到指定压力后关闭球阀同时抽真空至90Kpa，此过程往复指定次数后认定灭菌阶段结束，进入通风阶段；通风：为保证人员安全，灭菌后需进行通风排残，将灭菌腔体中过氧化氢浓度降至1PPM以下。首先将灭菌腔体抽真空至指定压力，通过洁净干燥空气进行置换，达到通风排残的目的；</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12.10 设备灭菌运行，灭菌系统中过氧化氢给液量、蒸发室过氧化氢蒸发情况、腔体温度变化等重要参考数据，与冻干机进行数据沟通，联动冻干机上真空系统的运行，来实现灭菌运行；</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12.11冻干机过氧化氢灭菌试剂需至少提供满足5次清洁灭菌用量。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13西林瓶进出瓶升降对接机构</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用于冻干机门前板层进出料升降对接</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13.1具有升降功能；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13.2采用电动缸或同等技术驱动；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13.3升降高度兼顾灌装机高度及冻干机板层升降高度，保证每块板层高度都与之对接，提供对接技术方案图；</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13.4升降过程运行平稳；</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13.5具有升降平台与冻干机板层对接功能；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13.6保证平台与板层之间得对接缝隙≤3mm，满足进出西林瓶要求；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13.7对接机构采用伺服电机驱动；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13.8采用翻板结构，运行稳定可靠；</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13.9采用角度传感器或更优方案限位，翻转对接准确；</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14轧盖机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14.1适用规格：2ml~10ml西林瓶；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14.2轧盖稳定速度：25VPM（基于2ml西林瓶）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14.3轧盖合格率 ≥99.9%；</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14.4总功率约5KW；</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14.5破瓶率 ≤0.1%；</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14.6整机重量约600Kg；</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14.7配包材最小量传感器，包材数量不足时自动报警；</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14.8缓冲转盘检测瓶子累积量采用非接触式，累积量控制精准；</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14.9缓冲转盘盘面采用特殊工艺处理，不倒瓶；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14.10缓冲转盘盘面材质根据瓶型及规格不同进行优化设计；</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14.11配有倒瓶剔除装置，保证高效稳定的理瓶与进瓶；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14.12具有“无瓶不轧盖”功能；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14.13规格件具有标识，无需工具辅助完成快速拆卸和安装；</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14.14供料通道上铝盖检测，具有自动停机和报警功能；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14.15可根据西林瓶尺寸调整轧盖站的高低；</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14.16无瓶不上盖、无盖不轧；</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14.17人机界面程序提供用来监视和控制系统的图形界面；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14.18管理安全访问(用户名及密码), 提供登录及注销功能；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14.19配方的管理功能；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14.20报警信息的自动提示和记录功能；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14.21.当执行水针剂型即非冻干剂型，需要轧盖机能对接灌装机处出来的西林瓶自动输送对接，以便顺利实现西林瓶轧盖。</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15灌轧线配套层流系统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15.1包含上料理瓶、灌装、冻干门前、轧盖区域A级层流系统；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15.2层流系统形式 ORABS；</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15.3洁净度 A级 ；</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15.4风速 ：0.45m/s±20%；均流膜下150~300mm检测</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15.5 气流流型 单向流；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15.6照度 ≥300Lux；</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15.7主框架 304以及上材质焊接一体设计；</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15.8安全门锁开关 泷源 或 同等品牌；</w:t>
            </w:r>
            <w:r/>
          </w:p>
          <w:p>
            <w:pPr>
              <w:jc w:val="left"/>
              <w:spacing w:line="300" w:lineRule="exact"/>
              <w:widowControl/>
              <w:rPr>
                <w:szCs w:val="21"/>
              </w:rPr>
            </w:pPr>
            <w:r>
              <w:rPr>
                <w:rFonts w:hint="eastAsia" w:ascii="宋体" w:hAnsi="宋体" w:cs="宋体"/>
                <w:color w:val="000000"/>
                <w:szCs w:val="21"/>
                <w:lang w:bidi="ar"/>
              </w:rPr>
              <w:t xml:space="preserve">15.9泪滴灯 雷士照明 或 同等品牌；</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15.11铰链  304以及上材质；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15.12门锁  304以及上材质；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15.13所有的设计均符合CGMP及FDA标准。为无菌产品的生产提供了一个物理屏障；</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15.14层流系统中设置有透明的玻璃窗，提高操作者对设备的最大操作视角；</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15.15在工艺操作的地方设置有手套；</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15.16通过对过滤器两端压差的监测，可以得知过滤两端阻力是否达到终阻力，以判断是否需要更换过滤器；</w:t>
            </w:r>
            <w:r/>
          </w:p>
          <w:p>
            <w:pPr>
              <w:jc w:val="left"/>
              <w:spacing w:line="300" w:lineRule="exact"/>
              <w:widowControl/>
              <w:rPr>
                <w:szCs w:val="21"/>
              </w:rPr>
            </w:pPr>
            <w:r>
              <w:rPr>
                <w:rFonts w:hint="eastAsia" w:ascii="宋体" w:hAnsi="宋体" w:cs="宋体"/>
                <w:color w:val="000000"/>
                <w:szCs w:val="21"/>
                <w:lang w:bidi="ar"/>
              </w:rPr>
              <w:t xml:space="preserve">15.17对每个过滤器进行完整性测试，可以检测过滤器及安装结构是否有泄漏；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15.19需提供上料理瓶平台，实现西林瓶往灌装机便捷输送；</w:t>
            </w:r>
            <w:r/>
          </w:p>
          <w:p>
            <w:pPr>
              <w:jc w:val="left"/>
              <w:spacing w:line="300" w:lineRule="exact"/>
              <w:widowControl/>
              <w:rPr>
                <w:szCs w:val="21"/>
              </w:rPr>
            </w:pPr>
            <w:r>
              <w:rPr>
                <w:rFonts w:hint="eastAsia" w:ascii="宋体" w:hAnsi="宋体" w:cs="宋体"/>
                <w:color w:val="000000"/>
                <w:szCs w:val="21"/>
                <w:lang w:bidi="ar"/>
              </w:rPr>
              <w:t xml:space="preserve">15.20灌装区域和冻干机需要配在线尘埃粒子检测和浮游菌检测。</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16.文件资料要求：供应商应至少提供以下的文件资料：</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安装确认；运行确认；工厂验收测试；操作手册；维护手册；安装手册；平面布置图；工艺流程图；电气线路图；主要部件说明书；材质报告；</w:t>
            </w:r>
            <w:r/>
          </w:p>
        </w:tc>
      </w:tr>
    </w:tbl>
    <w:p>
      <w:pPr>
        <w:ind w:firstLine="482"/>
        <w:spacing w:line="500" w:lineRule="exact"/>
        <w:rPr>
          <w:rFonts w:ascii="宋体" w:hAnsi="宋体" w:cs="宋体"/>
          <w:b/>
          <w:bCs/>
          <w:sz w:val="24"/>
        </w:rPr>
      </w:pPr>
      <w:r>
        <w:rPr>
          <w:rFonts w:hint="eastAsia" w:ascii="宋体" w:hAnsi="宋体" w:cs="宋体"/>
          <w:b/>
          <w:bCs/>
          <w:sz w:val="24"/>
        </w:rPr>
        <w:t xml:space="preserve">注：</w:t>
      </w:r>
      <w:r/>
    </w:p>
    <w:p>
      <w:pPr>
        <w:ind w:firstLine="482"/>
        <w:spacing w:line="500" w:lineRule="exact"/>
        <w:rPr>
          <w:rFonts w:ascii="宋体" w:hAnsi="宋体" w:cs="宋体"/>
          <w:b/>
          <w:bCs/>
          <w:sz w:val="24"/>
        </w:rPr>
      </w:pPr>
      <w:r>
        <w:rPr>
          <w:rFonts w:hint="eastAsia" w:ascii="宋体" w:hAnsi="宋体" w:cs="宋体"/>
          <w:b/>
          <w:bCs/>
          <w:sz w:val="24"/>
        </w:rPr>
        <w:t xml:space="preserve">1.供应商可进行现场勘察（相关费用自理），了解安装位置和应用部署架构，若因未现场勘查或现场勘查错误造成的任何后果，全部责任由供应商自负。</w:t>
      </w:r>
      <w:r/>
    </w:p>
    <w:p>
      <w:pPr>
        <w:ind w:firstLine="482"/>
        <w:spacing w:line="500" w:lineRule="exact"/>
        <w:rPr>
          <w:rFonts w:ascii="方正黑体_GBK" w:hAnsi="方正黑体_GBK" w:eastAsia="方正黑体_GBK" w:cs="方正黑体_GBK"/>
          <w:sz w:val="28"/>
          <w:szCs w:val="28"/>
        </w:rPr>
      </w:pPr>
      <w:r>
        <w:rPr>
          <w:rFonts w:hint="eastAsia" w:ascii="宋体" w:hAnsi="宋体" w:cs="宋体"/>
          <w:b/>
          <w:bCs/>
          <w:sz w:val="24"/>
        </w:rPr>
        <w:t xml:space="preserve">2.</w:t>
      </w:r>
      <w:r>
        <w:rPr>
          <w:rFonts w:hint="eastAsia" w:ascii="宋体" w:hAnsi="宋体" w:cs="宋体"/>
          <w:b/>
          <w:bCs/>
          <w:sz w:val="24"/>
          <w:lang w:val="zh-CN"/>
        </w:rPr>
        <w:t xml:space="preserve">上述采购要求尺寸、</w:t>
      </w:r>
      <w:r>
        <w:rPr>
          <w:rFonts w:hint="eastAsia" w:ascii="宋体" w:hAnsi="宋体" w:cs="宋体"/>
          <w:b/>
          <w:bCs/>
          <w:sz w:val="24"/>
        </w:rPr>
        <w:t xml:space="preserve">重量</w:t>
      </w:r>
      <w:r>
        <w:rPr>
          <w:rFonts w:hint="eastAsia" w:ascii="宋体" w:hAnsi="宋体" w:cs="宋体"/>
          <w:b/>
          <w:bCs/>
          <w:sz w:val="24"/>
          <w:lang w:val="zh-CN"/>
        </w:rPr>
        <w:t xml:space="preserve">允许偏差正负</w:t>
      </w:r>
      <w:r>
        <w:rPr>
          <w:rFonts w:hint="eastAsia" w:ascii="宋体" w:hAnsi="宋体" w:cs="宋体"/>
          <w:b/>
          <w:bCs/>
          <w:sz w:val="24"/>
        </w:rPr>
        <w:t xml:space="preserve">10</w:t>
      </w:r>
      <w:r>
        <w:rPr>
          <w:rFonts w:hint="eastAsia" w:ascii="宋体" w:hAnsi="宋体" w:cs="宋体"/>
          <w:b/>
          <w:bCs/>
          <w:sz w:val="24"/>
          <w:lang w:val="zh-CN"/>
        </w:rPr>
        <w:t xml:space="preserve">%。</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项目实施时间和地点</w:t>
      </w:r>
      <w:r/>
    </w:p>
    <w:p>
      <w:pPr>
        <w:pStyle w:val="867"/>
        <w:ind w:firstLine="560"/>
        <w:spacing w:line="540" w:lineRule="exact"/>
        <w:rPr>
          <w:rFonts w:ascii="Times New Roman" w:eastAsia="方正仿宋_GBK"/>
          <w:sz w:val="28"/>
          <w:szCs w:val="28"/>
        </w:rPr>
      </w:pPr>
      <w:r>
        <w:rPr>
          <w:rFonts w:hint="eastAsia" w:ascii="Times New Roman" w:eastAsia="方正仿宋_GBK"/>
          <w:sz w:val="28"/>
          <w:szCs w:val="28"/>
        </w:rPr>
        <w:t xml:space="preserve">1.</w:t>
      </w:r>
      <w:r>
        <w:rPr>
          <w:rFonts w:hint="eastAsia" w:ascii="Times New Roman" w:eastAsia="方正仿宋_GBK"/>
          <w:sz w:val="28"/>
          <w:szCs w:val="28"/>
        </w:rPr>
        <w:t xml:space="preserve">供货周期：在采购人签发设备进场通知后</w:t>
      </w:r>
      <w:r>
        <w:rPr>
          <w:rFonts w:hint="eastAsia" w:ascii="Times New Roman" w:eastAsia="方正仿宋_GBK"/>
          <w:sz w:val="28"/>
          <w:szCs w:val="28"/>
        </w:rPr>
        <w:t xml:space="preserve">30</w:t>
      </w:r>
      <w:r>
        <w:rPr>
          <w:rFonts w:hint="eastAsia" w:ascii="Times New Roman" w:eastAsia="方正仿宋_GBK"/>
          <w:sz w:val="28"/>
          <w:szCs w:val="28"/>
        </w:rPr>
        <w:t xml:space="preserve">日历天内设备进场，并办理完成设备开箱验收等手续。如因中标人原因延期的，除扣除全部履约保证金外，每推迟一天加罚</w:t>
      </w:r>
      <w:r>
        <w:rPr>
          <w:rFonts w:hint="eastAsia" w:ascii="Times New Roman" w:eastAsia="方正仿宋_GBK"/>
          <w:sz w:val="28"/>
          <w:szCs w:val="28"/>
        </w:rPr>
        <w:t xml:space="preserve">2000</w:t>
      </w:r>
      <w:r>
        <w:rPr>
          <w:rFonts w:hint="eastAsia" w:ascii="Times New Roman"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交货、安装地点：中标供应商应按照采购人的要求将货物运至采购人指定地点，确保正常使用。</w:t>
      </w:r>
      <w:r/>
    </w:p>
    <w:p>
      <w:pPr>
        <w:ind w:firstLine="560"/>
        <w:spacing w:line="500" w:lineRule="exact"/>
        <w:rPr>
          <w:rFonts w:ascii="仿宋" w:hAnsi="仿宋" w:eastAsia="仿宋" w:cs="仿宋"/>
          <w:sz w:val="30"/>
          <w:szCs w:val="30"/>
        </w:rPr>
      </w:pPr>
      <w:r>
        <w:rPr>
          <w:rFonts w:hint="eastAsia" w:ascii="方正黑体_GBK" w:hAnsi="方正黑体_GBK" w:eastAsia="方正黑体_GBK" w:cs="方正黑体_GBK"/>
          <w:sz w:val="28"/>
          <w:szCs w:val="28"/>
        </w:rPr>
        <w:t xml:space="preserve">四、质量要求：</w:t>
      </w:r>
      <w:r>
        <w:rPr>
          <w:rFonts w:hint="eastAsia" w:eastAsia="方正仿宋_GBK"/>
          <w:sz w:val="28"/>
          <w:szCs w:val="28"/>
        </w:rPr>
        <w:t xml:space="preserve">产品必须是全新、未使用过的原装合格正品，完全符合采购文件规定的质量、规格和性能的要求（供货时需提供相关产品合格证）。</w:t>
      </w:r>
      <w:r/>
    </w:p>
    <w:p>
      <w:pPr>
        <w:ind w:firstLine="560"/>
        <w:spacing w:line="500" w:lineRule="exact"/>
        <w:rPr>
          <w:rFonts w:ascii="方正黑体_GBK" w:hAnsi="方正黑体_GBK" w:eastAsia="方正黑体_GBK" w:cs="方正黑体_GBK"/>
          <w:sz w:val="28"/>
          <w:szCs w:val="28"/>
          <w:lang w:val="zh-CN"/>
        </w:rPr>
      </w:pPr>
      <w:r>
        <w:rPr>
          <w:rFonts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lang w:val="zh-CN"/>
        </w:rPr>
        <w:t xml:space="preserve">售后服务及其他（含安装、调试、培训、维护等）</w:t>
      </w:r>
      <w:r/>
    </w:p>
    <w:p>
      <w:pPr>
        <w:ind w:firstLine="560"/>
        <w:spacing w:line="54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p>
    <w:p>
      <w:pPr>
        <w:ind w:firstLine="560"/>
        <w:spacing w:line="54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质保期限（自交货并验收合格之日起计）：两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eastAsia="方正仿宋_GBK"/>
          <w:sz w:val="28"/>
          <w:szCs w:val="28"/>
        </w:rPr>
      </w:pPr>
      <w:r>
        <w:rPr>
          <w:rFonts w:hint="eastAsia" w:eastAsia="方正仿宋_GBK"/>
          <w:sz w:val="28"/>
          <w:szCs w:val="28"/>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p>
    <w:p>
      <w:pPr>
        <w:ind w:firstLine="560"/>
        <w:spacing w:line="54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在质量保修期内，同一商品、同一质量问题连续两次维修仍无法正常使用，供应商无条件给予全套更新或退货。在免费质量保修期内，供应商在接到用户单位电话通知后，须在</w:t>
      </w:r>
      <w:r>
        <w:rPr>
          <w:rFonts w:hint="eastAsia" w:eastAsia="方正仿宋_GBK"/>
          <w:sz w:val="28"/>
          <w:szCs w:val="28"/>
        </w:rPr>
        <w:t xml:space="preserve">6</w:t>
      </w:r>
      <w:r>
        <w:rPr>
          <w:rFonts w:hint="eastAsia" w:eastAsia="方正仿宋_GBK"/>
          <w:sz w:val="28"/>
          <w:szCs w:val="28"/>
        </w:rPr>
        <w:t xml:space="preserve">小时内到场，一般质量问题在</w:t>
      </w:r>
      <w:r>
        <w:rPr>
          <w:rFonts w:hint="eastAsia" w:eastAsia="方正仿宋_GBK"/>
          <w:sz w:val="28"/>
          <w:szCs w:val="28"/>
        </w:rPr>
        <w:t xml:space="preserve">8</w:t>
      </w:r>
      <w:r>
        <w:rPr>
          <w:rFonts w:hint="eastAsia" w:eastAsia="方正仿宋_GBK"/>
          <w:sz w:val="28"/>
          <w:szCs w:val="28"/>
        </w:rPr>
        <w:t xml:space="preserve">小时内负责修复，确保不影响用户单位实际使用。如</w:t>
      </w:r>
      <w:r>
        <w:rPr>
          <w:rFonts w:hint="eastAsia" w:eastAsia="方正仿宋_GBK"/>
          <w:sz w:val="28"/>
          <w:szCs w:val="28"/>
        </w:rPr>
        <w:t xml:space="preserve">12 </w:t>
      </w:r>
      <w:r>
        <w:rPr>
          <w:rFonts w:hint="eastAsia" w:eastAsia="方正仿宋_GBK"/>
          <w:sz w:val="28"/>
          <w:szCs w:val="28"/>
        </w:rPr>
        <w:t xml:space="preserve">小时内不能排除故障的和需更换货物或送修</w:t>
      </w:r>
      <w:r>
        <w:rPr>
          <w:rFonts w:hint="eastAsia" w:eastAsia="方正仿宋_GBK"/>
          <w:sz w:val="28"/>
          <w:szCs w:val="28"/>
        </w:rPr>
        <w:t xml:space="preserve">,</w:t>
      </w:r>
      <w:r>
        <w:rPr>
          <w:rFonts w:hint="eastAsia" w:eastAsia="方正仿宋_GBK"/>
          <w:sz w:val="28"/>
          <w:szCs w:val="28"/>
        </w:rPr>
        <w:t xml:space="preserve">必须在</w:t>
      </w:r>
      <w:r>
        <w:rPr>
          <w:rFonts w:hint="eastAsia" w:eastAsia="方正仿宋_GBK"/>
          <w:sz w:val="28"/>
          <w:szCs w:val="28"/>
        </w:rPr>
        <w:t xml:space="preserve">24</w:t>
      </w:r>
      <w:r>
        <w:rPr>
          <w:rFonts w:hint="eastAsia" w:eastAsia="方正仿宋_GBK"/>
          <w:sz w:val="28"/>
          <w:szCs w:val="28"/>
        </w:rPr>
        <w:t xml:space="preserve">小时内提供备用货物</w:t>
      </w:r>
      <w:r>
        <w:rPr>
          <w:rFonts w:hint="eastAsia" w:eastAsia="方正仿宋_GBK"/>
          <w:sz w:val="28"/>
          <w:szCs w:val="28"/>
        </w:rPr>
        <w:t xml:space="preserve">,</w:t>
      </w:r>
      <w:r>
        <w:rPr>
          <w:rFonts w:hint="eastAsia" w:eastAsia="方正仿宋_GBK"/>
          <w:sz w:val="28"/>
          <w:szCs w:val="28"/>
        </w:rPr>
        <w:t xml:space="preserve">并在</w:t>
      </w:r>
      <w:r>
        <w:rPr>
          <w:rFonts w:hint="eastAsia" w:eastAsia="方正仿宋_GBK"/>
          <w:sz w:val="28"/>
          <w:szCs w:val="28"/>
        </w:rPr>
        <w:t xml:space="preserve">3</w:t>
      </w:r>
      <w:r>
        <w:rPr>
          <w:rFonts w:hint="eastAsia" w:eastAsia="方正仿宋_GBK"/>
          <w:sz w:val="28"/>
          <w:szCs w:val="28"/>
        </w:rPr>
        <w:t xml:space="preserve">个工作日内负责维修完毕。供应商超时或未在规定的时间内及时响应和处理故障，扣款</w:t>
      </w:r>
      <w:r>
        <w:rPr>
          <w:rFonts w:hint="eastAsia" w:eastAsia="方正仿宋_GBK"/>
          <w:sz w:val="28"/>
          <w:szCs w:val="28"/>
        </w:rPr>
        <w:t xml:space="preserve">2000</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次。</w:t>
      </w:r>
      <w:r>
        <w:rPr>
          <w:rFonts w:hint="eastAsia" w:eastAsia="方正仿宋_GBK"/>
          <w:sz w:val="28"/>
          <w:szCs w:val="28"/>
        </w:rPr>
        <w:t xml:space="preserve">  </w:t>
      </w:r>
      <w:r/>
    </w:p>
    <w:p>
      <w:pPr>
        <w:ind w:firstLine="560"/>
        <w:spacing w:line="54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培训要求</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）中标供应商提供免费培训管理技术人员的服务。</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）培训内容包括正常使用和一般故障排除，并提供完整的培训资料、培训计划等文档。</w:t>
      </w:r>
      <w:r/>
    </w:p>
    <w:p>
      <w:pPr>
        <w:ind w:firstLine="560"/>
        <w:spacing w:line="54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如果中标供应商不能履行售后服务承诺，将禁止该单位参加采购单位以后的相关招标活动。</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项目验收</w:t>
      </w:r>
      <w:r/>
    </w:p>
    <w:p>
      <w:pPr>
        <w:ind w:firstLine="560"/>
        <w:spacing w:line="540" w:lineRule="exact"/>
        <w:rPr>
          <w:rFonts w:eastAsia="方正仿宋_GBK"/>
          <w:sz w:val="28"/>
          <w:szCs w:val="28"/>
        </w:rPr>
      </w:pPr>
      <w:r>
        <w:rPr>
          <w:rFonts w:hint="eastAsia" w:eastAsia="方正仿宋_GBK"/>
          <w:sz w:val="28"/>
          <w:szCs w:val="28"/>
        </w:rPr>
        <w:t xml:space="preserve">中标供应商提供的产品应由启东市市场监督管理局组织抽样检验，并取得合格的检测报告或有效的证明文件后方可安装，安装、调试完毕后，由中标供应商向采购单位提出书面验收申请，采购单位在收到中标供应商提交的书面项目验收申请后</w:t>
      </w:r>
      <w:r>
        <w:rPr>
          <w:rFonts w:hint="eastAsia" w:eastAsia="方正仿宋_GBK"/>
          <w:sz w:val="28"/>
          <w:szCs w:val="28"/>
        </w:rPr>
        <w:t xml:space="preserve">7</w:t>
      </w:r>
      <w:r>
        <w:rPr>
          <w:rFonts w:hint="eastAsia" w:eastAsia="方正仿宋_GBK"/>
          <w:sz w:val="28"/>
          <w:szCs w:val="28"/>
        </w:rPr>
        <w:t xml:space="preserve">个工作日内，将组织验收小组根据招标文件和供应商投标文件对供应商所供货物及相关产品合格证等进行验收。如验收时发现所供货物的数量、技术参数等与招投标文件不一致，或无有效产品合格证、存在安全隐患等，采购单位将向中标供应商签发整改通知书。中标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eastAsia="方正仿宋_GBK"/>
          <w:sz w:val="28"/>
          <w:szCs w:val="28"/>
        </w:rPr>
      </w:pPr>
      <w:r>
        <w:rPr>
          <w:rFonts w:hint="eastAsia" w:eastAsia="方正仿宋_GBK"/>
          <w:sz w:val="28"/>
          <w:szCs w:val="28"/>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w:t>
      </w:r>
      <w:r>
        <w:rPr>
          <w:rFonts w:hint="eastAsia" w:eastAsia="方正仿宋_GBK"/>
          <w:sz w:val="28"/>
          <w:szCs w:val="28"/>
        </w:rPr>
        <w:t xml:space="preserve">偿费用。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numPr>
          <w:ilvl w:val="0"/>
          <w:numId w:val="3"/>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本项目</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、主要标的：三标段：医药级0.2平米研发冻干机；四标段：制剂灌装冻干集成系统。</w:t>
      </w:r>
      <w:r/>
    </w:p>
    <w:p>
      <w:pPr>
        <w:numPr>
          <w:ilvl w:val="0"/>
          <w:numId w:val="3"/>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报价要求</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供应商的总报价为本项目服务期内所包含的一切费用，报价采用全费用综合单价报价方式，单价不予调整，数量按实结算。综合单价包括（但不限于）全部货物及辅材的提供、产品制造、质保期内易损件、备品备件、材料、辅材、培训及产品运输、装卸、搬运、保管、检验、包装、运输保险费、优化设计、安装技术指导、调试、运行、技术服务支持、保修期内维保服务、配合费、利润、税金、验收费、全部产品通过验收并交付使用及保修等一切费用，以及供应商认为需要的其他费用等。</w:t>
      </w:r>
      <w:r>
        <w:rPr>
          <w:rFonts w:hint="eastAsia" w:eastAsia="方正仿宋_GBK"/>
          <w:sz w:val="28"/>
          <w:szCs w:val="28"/>
          <w:lang w:val="zh-CN"/>
        </w:rPr>
        <w:t xml:space="preserve">招标文件中所有内容涉及的费用，按常规应当包括的其它费用，投标时一次包定</w:t>
      </w:r>
      <w:r>
        <w:rPr>
          <w:rFonts w:hint="eastAsia" w:eastAsia="方正仿宋_GBK"/>
          <w:sz w:val="28"/>
          <w:szCs w:val="28"/>
          <w:lang w:val="zh-CN"/>
        </w:rPr>
        <w:t xml:space="preserve">,</w:t>
      </w:r>
      <w:r>
        <w:rPr>
          <w:rFonts w:hint="eastAsia" w:eastAsia="方正仿宋_GBK"/>
          <w:sz w:val="28"/>
          <w:szCs w:val="28"/>
          <w:lang w:val="zh-CN"/>
        </w:rPr>
        <w:t xml:space="preserve">结算时不再另行追加。请各供应商在报价时请充分考虑各种因素。</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w:t>
      </w:r>
      <w:r>
        <w:rPr>
          <w:rFonts w:ascii="方正黑体_GBK" w:hAnsi="方正黑体_GBK" w:eastAsia="方正黑体_GBK" w:cs="方正黑体_GBK"/>
          <w:sz w:val="28"/>
          <w:szCs w:val="28"/>
        </w:rPr>
        <w:t xml:space="preserve">、付款方式</w:t>
      </w:r>
      <w:r/>
    </w:p>
    <w:p>
      <w:pPr>
        <w:ind w:firstLine="600"/>
        <w:spacing w:line="500" w:lineRule="exact"/>
        <w:rPr>
          <w:rFonts w:eastAsia="方正仿宋_GBK"/>
          <w:sz w:val="28"/>
          <w:szCs w:val="28"/>
        </w:rPr>
      </w:pPr>
      <w:r>
        <w:rPr>
          <w:rFonts w:hint="eastAsia" w:ascii="仿宋" w:hAnsi="仿宋" w:eastAsia="仿宋" w:cs="仿宋"/>
          <w:sz w:val="30"/>
          <w:szCs w:val="30"/>
        </w:rPr>
        <w:t xml:space="preserve">全部货物运送至采购人指定地点并安装调试完毕付合同价的60%，经启东市市场监督管理局或第三方抽检合格，并经业主组织初步核验合格后付至合同价的80%；终验合格交付使用且无故障运行三个月后付至合同价的95%；余款在项目终验合格且服务期满后一个月内一次性付清。</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一</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十二、本项目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三</w:t>
      </w:r>
      <w:r>
        <w:rPr>
          <w:rFonts w:ascii="方正黑体_GBK" w:hAnsi="方正黑体_GBK" w:eastAsia="方正黑体_GBK" w:cs="方正黑体_GBK"/>
          <w:bCs/>
          <w:sz w:val="28"/>
          <w:szCs w:val="28"/>
        </w:rPr>
        <w:t xml:space="preserve">、合同条款</w:t>
      </w:r>
      <w:r/>
    </w:p>
    <w:p>
      <w:pPr>
        <w:spacing w:before="120" w:after="120" w:line="480" w:lineRule="exact"/>
        <w:rPr>
          <w:rFonts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 启东复旦医学创新研究院  </w:t>
      </w:r>
      <w:r/>
    </w:p>
    <w:p>
      <w:pPr>
        <w:spacing w:before="120" w:after="120" w:line="480" w:lineRule="exact"/>
        <w:rPr>
          <w:u w:val="single"/>
        </w:rPr>
      </w:pPr>
      <w:r>
        <w:rPr>
          <w:rFonts w:hint="eastAsia" w:ascii="宋体" w:hAnsi="宋体" w:cs="宋体"/>
          <w:sz w:val="24"/>
        </w:rPr>
        <w:t xml:space="preserve">乙方：（卖方）</w:t>
      </w:r>
      <w:r>
        <w:rPr>
          <w:rFonts w:hint="eastAsia" w:ascii="宋体" w:hAnsi="宋体" w:cs="宋体"/>
          <w:sz w:val="24"/>
          <w:u w:val="single"/>
        </w:rPr>
        <w:t xml:space="preserve">                       </w:t>
      </w:r>
      <w:r/>
    </w:p>
    <w:p>
      <w:pPr>
        <w:ind w:firstLine="480"/>
        <w:spacing w:before="120" w:after="120" w:line="460" w:lineRule="exact"/>
        <w:rPr>
          <w:rFonts w:ascii="宋体" w:hAnsi="宋体" w:cs="宋体"/>
          <w:sz w:val="24"/>
        </w:rPr>
      </w:pPr>
      <w:r>
        <w:rPr>
          <w:rFonts w:hint="eastAsia" w:ascii="宋体" w:hAnsi="宋体" w:cs="宋体"/>
          <w:sz w:val="24"/>
        </w:rPr>
        <w:t xml:space="preserve">依据《中华人民共和国民法典》及其他有关法律、行政法规，遵循平等、自愿、公平和诚实信用的原则，对</w:t>
      </w:r>
      <w:r>
        <w:rPr>
          <w:rFonts w:hint="eastAsia" w:ascii="宋体" w:hAnsi="宋体" w:cs="宋体"/>
          <w:sz w:val="24"/>
          <w:u w:val="single"/>
        </w:rPr>
        <w:t xml:space="preserve">启东复旦医学创新研究院实验楼（转化孵育中心、概念验证中心）实验室平台建设设备采购（    标段）</w:t>
      </w:r>
      <w:r>
        <w:rPr>
          <w:rFonts w:hint="eastAsia" w:ascii="宋体" w:hAnsi="宋体" w:cs="宋体"/>
          <w:sz w:val="24"/>
        </w:rPr>
        <w:t xml:space="preserve">进行</w:t>
      </w:r>
      <w:r>
        <w:rPr>
          <w:rFonts w:hint="eastAsia" w:ascii="宋体" w:hAnsi="宋体" w:cs="宋体"/>
          <w:sz w:val="24"/>
          <w:u w:val="single"/>
        </w:rPr>
        <w:t xml:space="preserve"> 公开招标 </w:t>
      </w:r>
      <w:r>
        <w:rPr>
          <w:rFonts w:hint="eastAsia" w:ascii="宋体" w:hAnsi="宋体" w:cs="宋体"/>
          <w:sz w:val="24"/>
        </w:rPr>
        <w:t xml:space="preserve">采购，经过评委的严格审核评定，确定</w:t>
      </w:r>
      <w:r>
        <w:rPr>
          <w:rFonts w:hint="eastAsia" w:ascii="宋体" w:hAnsi="宋体" w:cs="宋体"/>
          <w:sz w:val="24"/>
          <w:u w:val="single"/>
        </w:rPr>
        <w:t xml:space="preserve">  （乙方）  </w:t>
      </w:r>
      <w:r>
        <w:rPr>
          <w:rFonts w:hint="eastAsia" w:ascii="宋体" w:hAnsi="宋体" w:cs="宋体"/>
          <w:sz w:val="24"/>
        </w:rPr>
        <w:t xml:space="preserve">为本次中标供应商。甲方、乙方同意按照下面条款和条件签署本合同。</w:t>
      </w:r>
      <w:r/>
    </w:p>
    <w:p>
      <w:pPr>
        <w:spacing w:before="120" w:after="120" w:line="460" w:lineRule="exact"/>
        <w:rPr>
          <w:rFonts w:ascii="宋体" w:hAnsi="宋体" w:cs="宋体"/>
          <w:b/>
          <w:sz w:val="24"/>
        </w:rPr>
      </w:pPr>
      <w:r>
        <w:rPr>
          <w:rFonts w:hint="eastAsia" w:ascii="宋体" w:hAnsi="宋体" w:cs="宋体"/>
          <w:b/>
          <w:sz w:val="24"/>
        </w:rPr>
        <w:t xml:space="preserve">一、货物供应明细</w:t>
      </w:r>
      <w:r>
        <w:rPr>
          <w:rFonts w:hint="eastAsia" w:ascii="宋体" w:hAnsi="宋体" w:cs="宋体"/>
          <w:b/>
          <w:bCs/>
          <w:sz w:val="24"/>
        </w:rPr>
        <w:t xml:space="preserve">：</w:t>
      </w:r>
      <w:r>
        <w:rPr>
          <w:rFonts w:hint="eastAsia" w:ascii="宋体" w:hAnsi="宋体" w:cs="宋体"/>
          <w:sz w:val="24"/>
        </w:rPr>
        <w:t xml:space="preserve">详见附件。</w:t>
      </w:r>
      <w:r/>
    </w:p>
    <w:p>
      <w:pPr>
        <w:spacing w:before="120" w:after="120" w:line="460" w:lineRule="exact"/>
        <w:rPr>
          <w:rFonts w:ascii="宋体" w:hAnsi="宋体" w:cs="宋体"/>
          <w:b/>
          <w:sz w:val="24"/>
        </w:rPr>
      </w:pPr>
      <w:r>
        <w:rPr>
          <w:rFonts w:hint="eastAsia" w:ascii="宋体" w:hAnsi="宋体" w:cs="宋体"/>
          <w:b/>
          <w:sz w:val="24"/>
        </w:rPr>
        <w:t xml:space="preserve">二、合同金额</w:t>
      </w:r>
      <w:r/>
    </w:p>
    <w:p>
      <w:pPr>
        <w:ind w:firstLine="480"/>
        <w:spacing w:line="460" w:lineRule="exact"/>
        <w:rPr>
          <w:rFonts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460" w:lineRule="exact"/>
        <w:rPr>
          <w:rFonts w:ascii="宋体" w:hAnsi="宋体" w:cs="宋体"/>
          <w:sz w:val="24"/>
        </w:rPr>
      </w:pPr>
      <w:r>
        <w:rPr>
          <w:rFonts w:hint="eastAsia" w:ascii="宋体" w:hAnsi="宋体" w:cs="宋体"/>
          <w:sz w:val="24"/>
        </w:rPr>
        <w:t xml:space="preserve">2.2本合同金额为本项目服务期内所包</w:t>
      </w:r>
      <w:r>
        <w:rPr>
          <w:rFonts w:hint="eastAsia" w:ascii="宋体" w:hAnsi="宋体" w:cs="宋体"/>
          <w:sz w:val="24"/>
        </w:rPr>
        <w:t xml:space="preserve">含的一切费用，报价采用全费用综合单价报价方式，单价不予调整，数量按实结算。综合单价包括（但不限于）全部货物及辅材的提供、产品制造、质保期内易损件、备品备件、材料、辅材、培训及产品运输、装卸、搬运、保管、检验、包装、运输保险费、优化设计、安装技术指导、调试、运行、技术服务支持、保修期内维保服务、配合费、利润、税金、验收费、全部产品通过验收并交付使用及保修等一切费用，以及乙方认为需要的其他费用等。招标文件中所有内容涉及的费用，按常规应当包括的其它费用，投标时一次包定,结算时不再另行追加。请乙方充分考虑各种因素。</w:t>
      </w:r>
      <w:r/>
    </w:p>
    <w:p>
      <w:pPr>
        <w:spacing w:before="120" w:after="120" w:line="460" w:lineRule="exact"/>
        <w:rPr>
          <w:rFonts w:ascii="宋体" w:hAnsi="宋体" w:cs="宋体"/>
          <w:b/>
          <w:sz w:val="24"/>
        </w:rPr>
      </w:pPr>
      <w:r>
        <w:rPr>
          <w:rFonts w:hint="eastAsia" w:ascii="宋体" w:hAnsi="宋体" w:cs="宋体"/>
          <w:b/>
          <w:sz w:val="24"/>
        </w:rPr>
        <w:t xml:space="preserve">三、技术资料</w:t>
      </w:r>
      <w:r/>
    </w:p>
    <w:p>
      <w:pPr>
        <w:ind w:firstLine="480"/>
        <w:spacing w:line="460" w:lineRule="exact"/>
        <w:rPr>
          <w:rFonts w:ascii="宋体" w:hAnsi="宋体" w:cs="宋体"/>
          <w:sz w:val="24"/>
        </w:rPr>
      </w:pPr>
      <w:r>
        <w:rPr>
          <w:rFonts w:hint="eastAsia" w:ascii="宋体" w:hAnsi="宋体" w:cs="宋体"/>
          <w:sz w:val="24"/>
        </w:rPr>
        <w:t xml:space="preserve">3.1 乙方应按采购文件规定的时间向甲方提供货物的有关技术资料。</w:t>
      </w:r>
      <w:r/>
    </w:p>
    <w:p>
      <w:pPr>
        <w:ind w:firstLine="480"/>
        <w:spacing w:line="460" w:lineRule="exact"/>
        <w:rPr>
          <w:rFonts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460" w:lineRule="exact"/>
        <w:rPr>
          <w:rFonts w:ascii="宋体" w:hAnsi="宋体" w:cs="宋体"/>
          <w:b/>
          <w:sz w:val="24"/>
        </w:rPr>
      </w:pPr>
      <w:r>
        <w:rPr>
          <w:rFonts w:hint="eastAsia" w:ascii="宋体" w:hAnsi="宋体" w:cs="宋体"/>
          <w:b/>
          <w:sz w:val="24"/>
        </w:rPr>
        <w:t xml:space="preserve">四、知识产权</w:t>
      </w:r>
      <w:r/>
    </w:p>
    <w:p>
      <w:pPr>
        <w:ind w:firstLine="480"/>
        <w:spacing w:line="460" w:lineRule="exact"/>
        <w:rPr>
          <w:rFonts w:ascii="宋体" w:hAnsi="宋体" w:cs="宋体"/>
          <w:sz w:val="24"/>
        </w:rPr>
      </w:pPr>
      <w:r>
        <w:rPr>
          <w:rFonts w:hint="eastAsia" w:ascii="宋体" w:hAnsi="宋体" w:cs="宋体"/>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spacing w:before="120" w:after="120" w:line="460" w:lineRule="exact"/>
        <w:rPr>
          <w:rFonts w:ascii="宋体" w:hAnsi="宋体" w:cs="宋体"/>
          <w:b/>
          <w:sz w:val="24"/>
        </w:rPr>
      </w:pPr>
      <w:r>
        <w:rPr>
          <w:rFonts w:hint="eastAsia" w:ascii="宋体" w:hAnsi="宋体" w:cs="宋体"/>
          <w:b/>
          <w:sz w:val="24"/>
        </w:rPr>
        <w:t xml:space="preserve">五、产权担保</w:t>
      </w:r>
      <w:r/>
    </w:p>
    <w:p>
      <w:pPr>
        <w:ind w:firstLine="480"/>
        <w:spacing w:line="460" w:lineRule="exact"/>
        <w:rPr>
          <w:rFonts w:ascii="宋体" w:hAnsi="宋体" w:cs="宋体"/>
          <w:sz w:val="24"/>
        </w:rPr>
      </w:pPr>
      <w:r>
        <w:rPr>
          <w:rFonts w:hint="eastAsia" w:ascii="宋体" w:hAnsi="宋体" w:cs="宋体"/>
          <w:sz w:val="24"/>
        </w:rPr>
        <w:t xml:space="preserve">5.1 乙方保证所交付的货物的所有权完全属于乙方且无任何抵押、查封等产权瑕疵。</w:t>
      </w:r>
      <w:r/>
    </w:p>
    <w:p>
      <w:pPr>
        <w:spacing w:before="120" w:after="120" w:line="460" w:lineRule="exact"/>
        <w:rPr>
          <w:rFonts w:ascii="宋体" w:hAnsi="宋体" w:cs="宋体"/>
          <w:b/>
          <w:sz w:val="24"/>
        </w:rPr>
      </w:pPr>
      <w:r>
        <w:rPr>
          <w:rFonts w:hint="eastAsia" w:ascii="宋体" w:hAnsi="宋体" w:cs="宋体"/>
          <w:b/>
          <w:sz w:val="24"/>
        </w:rPr>
        <w:t xml:space="preserve">六、转包</w:t>
      </w:r>
      <w:r/>
    </w:p>
    <w:p>
      <w:pPr>
        <w:ind w:firstLine="480"/>
        <w:spacing w:line="460" w:lineRule="exact"/>
        <w:rPr>
          <w:rFonts w:ascii="宋体" w:hAnsi="宋体" w:cs="宋体"/>
          <w:sz w:val="24"/>
        </w:rPr>
      </w:pPr>
      <w:r>
        <w:rPr>
          <w:rFonts w:hint="eastAsia" w:ascii="宋体" w:hAnsi="宋体" w:cs="宋体"/>
          <w:sz w:val="24"/>
        </w:rPr>
        <w:t xml:space="preserve">6.1本合同范围的货物，应由乙方直接供应，不得转让他人供应。</w:t>
      </w:r>
      <w:r/>
    </w:p>
    <w:p>
      <w:pPr>
        <w:spacing w:before="120" w:after="120" w:line="460" w:lineRule="exact"/>
        <w:rPr>
          <w:rFonts w:ascii="宋体" w:hAnsi="宋体" w:cs="宋体"/>
          <w:b/>
          <w:sz w:val="24"/>
        </w:rPr>
      </w:pPr>
      <w:r>
        <w:rPr>
          <w:rFonts w:hint="eastAsia" w:ascii="宋体" w:hAnsi="宋体" w:cs="宋体"/>
          <w:b/>
          <w:sz w:val="24"/>
        </w:rPr>
        <w:t xml:space="preserve">七、质保期</w:t>
      </w:r>
      <w:r/>
    </w:p>
    <w:p>
      <w:pPr>
        <w:ind w:firstLine="480"/>
        <w:spacing w:line="460" w:lineRule="exact"/>
        <w:rPr>
          <w:rFonts w:ascii="宋体" w:hAnsi="宋体" w:cs="宋体"/>
          <w:sz w:val="24"/>
        </w:rPr>
      </w:pPr>
      <w:r>
        <w:rPr>
          <w:rFonts w:hint="eastAsia" w:ascii="宋体" w:hAnsi="宋体" w:cs="宋体"/>
          <w:sz w:val="24"/>
        </w:rPr>
        <w:t xml:space="preserve">7.1 质保期（自交货验收合格之日起计）：</w:t>
      </w:r>
      <w:r>
        <w:rPr>
          <w:rFonts w:hint="eastAsia" w:ascii="宋体" w:hAnsi="宋体" w:cs="宋体"/>
          <w:sz w:val="24"/>
          <w:u w:val="single"/>
        </w:rPr>
        <w:t xml:space="preserve">    </w:t>
      </w:r>
      <w:r>
        <w:rPr>
          <w:rFonts w:hint="eastAsia" w:ascii="宋体" w:hAnsi="宋体" w:cs="宋体"/>
          <w:sz w:val="24"/>
        </w:rPr>
        <w:t xml:space="preserve">年 （以投标承诺为准）</w:t>
      </w:r>
      <w:r/>
    </w:p>
    <w:p>
      <w:pPr>
        <w:spacing w:before="120" w:after="120" w:line="460" w:lineRule="exact"/>
        <w:rPr>
          <w:rFonts w:ascii="宋体" w:hAnsi="宋体" w:cs="宋体"/>
          <w:b/>
          <w:sz w:val="24"/>
        </w:rPr>
      </w:pPr>
      <w:r>
        <w:rPr>
          <w:rFonts w:hint="eastAsia" w:ascii="宋体" w:hAnsi="宋体" w:cs="宋体"/>
          <w:b/>
          <w:sz w:val="24"/>
        </w:rPr>
        <w:t xml:space="preserve">八、交货期、交货方式及交货地点</w:t>
      </w:r>
      <w:r/>
    </w:p>
    <w:p>
      <w:pPr>
        <w:ind w:firstLine="480"/>
        <w:spacing w:line="460" w:lineRule="exact"/>
        <w:rPr>
          <w:rFonts w:ascii="宋体" w:hAnsi="宋体" w:cs="宋体"/>
          <w:spacing w:val="-6"/>
          <w:sz w:val="24"/>
        </w:rPr>
      </w:pPr>
      <w:r>
        <w:rPr>
          <w:rFonts w:hint="eastAsia" w:ascii="宋体" w:hAnsi="宋体" w:cs="宋体"/>
          <w:sz w:val="24"/>
        </w:rPr>
        <w:t xml:space="preserve">8.1 供货周期：签订合同后，接到甲方签发设备进场通知后30日历天内设备进场，并办理完成设备开箱验收等手续。如因乙方原因延期的，除扣除全部履约保证金外，每推迟一天加罚2000元。</w:t>
      </w:r>
      <w:r/>
    </w:p>
    <w:p>
      <w:pPr>
        <w:ind w:firstLine="480"/>
        <w:spacing w:line="460" w:lineRule="exact"/>
        <w:rPr>
          <w:rFonts w:ascii="宋体" w:hAnsi="宋体" w:cs="宋体"/>
          <w:sz w:val="24"/>
        </w:rPr>
      </w:pPr>
      <w:r>
        <w:rPr>
          <w:rFonts w:hint="eastAsia" w:ascii="宋体" w:hAnsi="宋体" w:cs="宋体"/>
          <w:sz w:val="24"/>
        </w:rPr>
        <w:t xml:space="preserve">8.2交货方式：送货上门</w:t>
      </w:r>
      <w:r/>
    </w:p>
    <w:p>
      <w:pPr>
        <w:ind w:firstLine="480"/>
        <w:spacing w:line="460" w:lineRule="exact"/>
        <w:rPr>
          <w:rFonts w:ascii="宋体" w:hAnsi="宋体" w:cs="宋体"/>
          <w:sz w:val="24"/>
        </w:rPr>
      </w:pPr>
      <w:r>
        <w:rPr>
          <w:rFonts w:hint="eastAsia" w:ascii="宋体" w:hAnsi="宋体" w:cs="宋体"/>
          <w:sz w:val="24"/>
        </w:rPr>
        <w:t xml:space="preserve">8.3交货、安装地点：乙方应按照甲方的要求将货物运至甲方指定地点，确保正常使用。（具体放置位置由甲方指定地点）</w:t>
      </w:r>
      <w:r/>
    </w:p>
    <w:p>
      <w:pPr>
        <w:pStyle w:val="962"/>
        <w:spacing w:before="120" w:after="120" w:line="460" w:lineRule="exact"/>
        <w:rPr>
          <w:rFonts w:hAnsi="宋体" w:cs="宋体"/>
          <w:b/>
          <w:sz w:val="24"/>
        </w:rPr>
      </w:pPr>
      <w:r>
        <w:rPr>
          <w:rFonts w:hint="eastAsia" w:hAnsi="宋体" w:cs="宋体"/>
          <w:b/>
          <w:sz w:val="24"/>
        </w:rPr>
        <w:t xml:space="preserve">九、货款支付</w:t>
      </w:r>
      <w:r/>
    </w:p>
    <w:p>
      <w:pPr>
        <w:ind w:firstLine="480"/>
        <w:spacing w:line="460" w:lineRule="exact"/>
        <w:rPr>
          <w:rFonts w:ascii="宋体" w:hAnsi="宋体" w:cs="宋体"/>
          <w:sz w:val="24"/>
        </w:rPr>
      </w:pPr>
      <w:r>
        <w:rPr>
          <w:rFonts w:hint="eastAsia" w:ascii="宋体" w:hAnsi="宋体" w:cs="宋体"/>
          <w:sz w:val="24"/>
        </w:rPr>
        <w:t xml:space="preserve">9.1付款方式：全部货物运送至甲方指定地点并安装调试完毕付合同价的60%，经启东市市场监督管理局或第三方抽检合格，并经业主组织初步核验合格后付至合同价的80%；终验合格交付使用且无故障运行三个月后付至合同价的95%；余款在项目终验合格且服务期满后一个月内一次性付清。</w:t>
      </w:r>
      <w:r/>
    </w:p>
    <w:p>
      <w:pPr>
        <w:spacing w:before="120" w:after="120" w:line="460" w:lineRule="exact"/>
        <w:rPr>
          <w:rFonts w:ascii="宋体" w:hAnsi="宋体" w:cs="宋体"/>
          <w:b/>
          <w:sz w:val="24"/>
        </w:rPr>
      </w:pPr>
      <w:r>
        <w:rPr>
          <w:rFonts w:hint="eastAsia" w:ascii="宋体" w:hAnsi="宋体" w:cs="宋体"/>
          <w:b/>
          <w:sz w:val="24"/>
        </w:rPr>
        <w:t xml:space="preserve">十、税费</w:t>
      </w:r>
      <w:r/>
    </w:p>
    <w:p>
      <w:pPr>
        <w:ind w:firstLine="480"/>
        <w:spacing w:line="460" w:lineRule="exact"/>
        <w:rPr>
          <w:rFonts w:ascii="宋体" w:hAnsi="宋体" w:cs="宋体"/>
          <w:sz w:val="24"/>
        </w:rPr>
      </w:pPr>
      <w:r>
        <w:rPr>
          <w:rFonts w:hint="eastAsia" w:ascii="宋体" w:hAnsi="宋体" w:cs="宋体"/>
          <w:sz w:val="24"/>
        </w:rPr>
        <w:t xml:space="preserve">10.1 本合同执行中相关的一切税费均由乙方负担。</w:t>
      </w:r>
      <w:r/>
    </w:p>
    <w:p>
      <w:pPr>
        <w:spacing w:before="120" w:after="120" w:line="460" w:lineRule="exact"/>
        <w:rPr>
          <w:rFonts w:ascii="宋体" w:hAnsi="宋体" w:cs="宋体"/>
          <w:b/>
          <w:sz w:val="24"/>
        </w:rPr>
      </w:pPr>
      <w:r>
        <w:rPr>
          <w:rFonts w:hint="eastAsia" w:ascii="宋体" w:hAnsi="宋体" w:cs="宋体"/>
          <w:b/>
          <w:sz w:val="24"/>
        </w:rPr>
        <w:t xml:space="preserve">十一、质量保证及售后服务</w:t>
      </w:r>
      <w:r/>
    </w:p>
    <w:p>
      <w:pPr>
        <w:ind w:firstLine="480"/>
        <w:spacing w:line="460" w:lineRule="exact"/>
        <w:rPr>
          <w:rFonts w:ascii="仿宋" w:hAnsi="仿宋" w:eastAsia="仿宋" w:cs="仿宋"/>
          <w:sz w:val="30"/>
          <w:szCs w:val="30"/>
        </w:rPr>
      </w:pPr>
      <w:r>
        <w:rPr>
          <w:rFonts w:hint="eastAsia" w:ascii="宋体" w:hAnsi="宋体" w:cs="宋体"/>
          <w:sz w:val="24"/>
        </w:rPr>
        <w:t xml:space="preserve">11.1质量要求:产品必须是全新、未使用过的原装合格正品，完全符合采购文件规定的质量、规格和性能的要求（供货时需提供相关产品合格证）。</w:t>
      </w:r>
      <w:r/>
    </w:p>
    <w:p>
      <w:pPr>
        <w:ind w:firstLine="480"/>
        <w:spacing w:line="460" w:lineRule="exact"/>
        <w:rPr>
          <w:rFonts w:ascii="宋体" w:hAnsi="宋体" w:cs="宋体"/>
          <w:sz w:val="24"/>
        </w:rPr>
      </w:pPr>
      <w:r>
        <w:rPr>
          <w:rFonts w:hint="eastAsia" w:ascii="宋体" w:hAnsi="宋体" w:cs="宋体"/>
          <w:sz w:val="24"/>
        </w:rPr>
        <w:t xml:space="preserve">11.2</w:t>
      </w:r>
      <w:r>
        <w:rPr>
          <w:rFonts w:hint="eastAsia" w:ascii="宋体" w:hAnsi="宋体" w:cs="宋体"/>
          <w:sz w:val="24"/>
          <w:lang w:val="zh-CN"/>
        </w:rPr>
        <w:t xml:space="preserve">所有货物进场前均须提供产品合格证书、检测报告或有效的证明文件后方可安装。</w:t>
      </w:r>
      <w:r>
        <w:rPr>
          <w:rFonts w:hint="eastAsia" w:ascii="宋体" w:hAnsi="宋体" w:cs="宋体"/>
          <w:sz w:val="24"/>
        </w:rPr>
        <w:t xml:space="preserve">乙方</w:t>
      </w:r>
      <w:r>
        <w:rPr>
          <w:rFonts w:hint="eastAsia" w:ascii="宋体" w:hAnsi="宋体" w:cs="宋体"/>
          <w:sz w:val="24"/>
          <w:lang w:val="zh-CN"/>
        </w:rPr>
        <w:t xml:space="preserve">应采取安全措施，确保施工安全。加强施工安全管理，严格操作规程，项目在安装、调试、运维过程中一切安全责任由</w:t>
      </w:r>
      <w:r>
        <w:rPr>
          <w:rFonts w:hint="eastAsia" w:ascii="宋体" w:hAnsi="宋体" w:cs="宋体"/>
          <w:sz w:val="24"/>
        </w:rPr>
        <w:t xml:space="preserve">乙方</w:t>
      </w:r>
      <w:r>
        <w:rPr>
          <w:rFonts w:hint="eastAsia" w:ascii="宋体" w:hAnsi="宋体" w:cs="宋体"/>
          <w:sz w:val="24"/>
          <w:lang w:val="zh-CN"/>
        </w:rPr>
        <w:t xml:space="preserve">承担</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11.3质保期限（自交货并验收合格之日起计）：</w:t>
      </w:r>
      <w:r>
        <w:rPr>
          <w:rFonts w:hint="eastAsia" w:ascii="宋体" w:hAnsi="宋体" w:cs="宋体"/>
          <w:sz w:val="24"/>
          <w:u w:val="single"/>
        </w:rPr>
        <w:t xml:space="preserve">    </w:t>
      </w:r>
      <w:r>
        <w:rPr>
          <w:rFonts w:hint="eastAsia" w:ascii="宋体" w:hAnsi="宋体" w:cs="宋体"/>
          <w:sz w:val="24"/>
          <w:lang w:val="zh-CN"/>
        </w:rPr>
        <w:t xml:space="preserve">年（以投标承诺为准），原厂质保期高于</w:t>
      </w:r>
      <w:r>
        <w:rPr>
          <w:rFonts w:hint="eastAsia" w:ascii="宋体" w:hAnsi="宋体" w:cs="宋体"/>
          <w:sz w:val="24"/>
        </w:rPr>
        <w:t xml:space="preserve">乙方</w:t>
      </w:r>
      <w:r>
        <w:rPr>
          <w:rFonts w:hint="eastAsia" w:ascii="宋体" w:hAnsi="宋体" w:cs="宋体"/>
          <w:sz w:val="24"/>
          <w:lang w:val="zh-CN"/>
        </w:rPr>
        <w:t xml:space="preserve">承诺质保期的，按原厂质保期计算。自验收合格报告签字确认日起，开始进入质保期。保修期外为终身维护，设备故障维修只收取零配件费用，免收人工</w:t>
      </w:r>
      <w:r>
        <w:rPr>
          <w:rFonts w:hint="eastAsia" w:ascii="宋体" w:hAnsi="宋体" w:cs="宋体"/>
          <w:sz w:val="24"/>
          <w:lang w:val="zh-CN"/>
        </w:rPr>
        <w:t xml:space="preserve">等其他费用。</w:t>
      </w:r>
      <w:r/>
    </w:p>
    <w:p>
      <w:pPr>
        <w:ind w:firstLine="480"/>
        <w:spacing w:line="460" w:lineRule="exact"/>
        <w:rPr>
          <w:rFonts w:ascii="宋体" w:hAnsi="宋体" w:cs="宋体"/>
          <w:sz w:val="24"/>
        </w:rPr>
      </w:pPr>
      <w:r>
        <w:rPr>
          <w:rFonts w:hint="eastAsia" w:ascii="宋体" w:hAnsi="宋体" w:cs="宋体"/>
          <w:sz w:val="24"/>
          <w:lang w:val="zh-CN"/>
        </w:rPr>
        <w:t xml:space="preserve">本项目所提供的商品必须为原厂正品，提供产品合格证，必须能通过原厂服务电话或厂家服务站查询真伪。设备到货后，</w:t>
      </w:r>
      <w:r>
        <w:rPr>
          <w:rFonts w:hint="eastAsia" w:ascii="宋体" w:hAnsi="宋体" w:cs="宋体"/>
          <w:sz w:val="24"/>
        </w:rPr>
        <w:t xml:space="preserve">甲方</w:t>
      </w:r>
      <w:r>
        <w:rPr>
          <w:rFonts w:hint="eastAsia" w:ascii="宋体" w:hAnsi="宋体" w:cs="宋体"/>
          <w:sz w:val="24"/>
          <w:lang w:val="zh-CN"/>
        </w:rPr>
        <w:t xml:space="preserve">将对照招标文件和</w:t>
      </w:r>
      <w:r>
        <w:rPr>
          <w:rFonts w:hint="eastAsia" w:ascii="宋体" w:hAnsi="宋体" w:cs="宋体"/>
          <w:sz w:val="24"/>
        </w:rPr>
        <w:t xml:space="preserve">乙方</w:t>
      </w:r>
      <w:r>
        <w:rPr>
          <w:rFonts w:hint="eastAsia" w:ascii="宋体" w:hAnsi="宋体" w:cs="宋体"/>
          <w:sz w:val="24"/>
          <w:lang w:val="zh-CN"/>
        </w:rPr>
        <w:t xml:space="preserve">的投标文件，对设备、授权、证明文件进行核验。如发现设备、授权、证明文件与招标文件、投标文件不一致，</w:t>
      </w:r>
      <w:r>
        <w:rPr>
          <w:rFonts w:hint="eastAsia" w:ascii="宋体" w:hAnsi="宋体" w:cs="宋体"/>
          <w:sz w:val="24"/>
        </w:rPr>
        <w:t xml:space="preserve">甲方</w:t>
      </w:r>
      <w:r>
        <w:rPr>
          <w:rFonts w:hint="eastAsia" w:ascii="宋体" w:hAnsi="宋体" w:cs="宋体"/>
          <w:sz w:val="24"/>
          <w:lang w:val="zh-CN"/>
        </w:rPr>
        <w:t xml:space="preserve">取消其中标供应商资格，由此给</w:t>
      </w:r>
      <w:r>
        <w:rPr>
          <w:rFonts w:hint="eastAsia" w:ascii="宋体" w:hAnsi="宋体" w:cs="宋体"/>
          <w:sz w:val="24"/>
        </w:rPr>
        <w:t xml:space="preserve">甲方</w:t>
      </w:r>
      <w:r>
        <w:rPr>
          <w:rFonts w:hint="eastAsia" w:ascii="宋体" w:hAnsi="宋体" w:cs="宋体"/>
          <w:sz w:val="24"/>
          <w:lang w:val="zh-CN"/>
        </w:rPr>
        <w:t xml:space="preserve">造成的一切损失，</w:t>
      </w:r>
      <w:r>
        <w:rPr>
          <w:rFonts w:hint="eastAsia" w:ascii="宋体" w:hAnsi="宋体" w:cs="宋体"/>
          <w:sz w:val="24"/>
        </w:rPr>
        <w:t xml:space="preserve">乙方</w:t>
      </w:r>
      <w:r>
        <w:rPr>
          <w:rFonts w:hint="eastAsia" w:ascii="宋体" w:hAnsi="宋体" w:cs="宋体"/>
          <w:sz w:val="24"/>
          <w:lang w:val="zh-CN"/>
        </w:rPr>
        <w:t xml:space="preserve">应承担全部赔偿</w:t>
      </w:r>
      <w:r>
        <w:rPr>
          <w:rFonts w:hint="eastAsia" w:ascii="宋体" w:hAnsi="宋体" w:cs="宋体"/>
          <w:sz w:val="24"/>
        </w:rPr>
        <w:t xml:space="preserve">。</w:t>
      </w:r>
      <w:r/>
    </w:p>
    <w:p>
      <w:pPr>
        <w:ind w:firstLine="480"/>
        <w:spacing w:line="460" w:lineRule="exact"/>
        <w:rPr>
          <w:rFonts w:ascii="宋体" w:hAnsi="宋体" w:cs="宋体"/>
          <w:sz w:val="24"/>
          <w:lang w:val="zh-CN"/>
        </w:rPr>
      </w:pPr>
      <w:r>
        <w:rPr>
          <w:rFonts w:hint="eastAsia" w:ascii="宋体" w:hAnsi="宋体" w:cs="宋体"/>
          <w:sz w:val="24"/>
        </w:rPr>
        <w:t xml:space="preserve">11.4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小时内不能排除故障的和需更换货物或送修,必须在24小时内提供备用货物,并在3个工作日内负责维修完毕。乙方超时或未在规定的时间内及时响应和处理故障，扣款2000元/次</w:t>
      </w:r>
      <w:r>
        <w:rPr>
          <w:rFonts w:hint="eastAsia" w:ascii="宋体" w:hAnsi="宋体" w:cs="宋体"/>
          <w:sz w:val="24"/>
          <w:lang w:val="zh-CN"/>
        </w:rPr>
        <w:t xml:space="preserve">。</w:t>
      </w:r>
      <w:r/>
    </w:p>
    <w:p>
      <w:pPr>
        <w:ind w:firstLine="480"/>
        <w:spacing w:line="460" w:lineRule="exact"/>
        <w:rPr>
          <w:rFonts w:ascii="宋体" w:hAnsi="宋体" w:cs="宋体"/>
          <w:sz w:val="24"/>
        </w:rPr>
      </w:pPr>
      <w:r>
        <w:rPr>
          <w:rFonts w:hint="eastAsia" w:ascii="宋体" w:hAnsi="宋体" w:cs="宋体"/>
          <w:sz w:val="24"/>
        </w:rPr>
        <w:t xml:space="preserve">11.5培训要求</w:t>
      </w:r>
      <w:r/>
    </w:p>
    <w:p>
      <w:pPr>
        <w:ind w:firstLine="480"/>
        <w:spacing w:line="460" w:lineRule="exact"/>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乙方</w:t>
      </w:r>
      <w:r>
        <w:rPr>
          <w:rFonts w:hint="eastAsia" w:ascii="宋体" w:hAnsi="宋体" w:cs="宋体"/>
          <w:sz w:val="24"/>
          <w:lang w:val="zh-CN"/>
        </w:rPr>
        <w:t xml:space="preserve">提供免费培训管理技术人员的服务。</w:t>
      </w:r>
      <w:r/>
    </w:p>
    <w:p>
      <w:pPr>
        <w:ind w:firstLine="480"/>
        <w:spacing w:line="460" w:lineRule="exact"/>
        <w:rPr>
          <w:rFonts w:ascii="宋体" w:hAnsi="宋体" w:cs="宋体"/>
          <w:sz w:val="24"/>
          <w:lang w:val="zh-CN"/>
        </w:rPr>
      </w:pPr>
      <w:r>
        <w:rPr>
          <w:rFonts w:hint="eastAsia" w:ascii="宋体" w:hAnsi="宋体" w:cs="宋体"/>
          <w:sz w:val="24"/>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sz w:val="24"/>
        </w:rPr>
        <w:t xml:space="preserve">乙方</w:t>
      </w:r>
      <w:r>
        <w:rPr>
          <w:rFonts w:hint="eastAsia" w:ascii="宋体" w:hAnsi="宋体" w:cs="宋体"/>
          <w:sz w:val="24"/>
          <w:lang w:val="zh-CN"/>
        </w:rPr>
        <w:t xml:space="preserve">应安排厂家技术人员对使用单位技术人员进行集中原厂培训。</w:t>
      </w:r>
      <w:r/>
    </w:p>
    <w:p>
      <w:pPr>
        <w:ind w:firstLine="480"/>
        <w:spacing w:line="460" w:lineRule="exact"/>
        <w:rPr>
          <w:rFonts w:ascii="宋体" w:hAnsi="宋体" w:cs="宋体"/>
          <w:sz w:val="24"/>
          <w:lang w:val="zh-CN"/>
        </w:rPr>
      </w:pPr>
      <w:r>
        <w:rPr>
          <w:rFonts w:hint="eastAsia" w:ascii="宋体" w:hAnsi="宋体" w:cs="宋体"/>
          <w:sz w:val="24"/>
          <w:lang w:val="zh-CN"/>
        </w:rPr>
        <w:t xml:space="preserve">（3）培训内容包括正常使用和一般故障排除，并提供完整的培训资料、培训计划等文档。</w:t>
      </w:r>
      <w:r/>
    </w:p>
    <w:p>
      <w:pPr>
        <w:ind w:firstLine="480"/>
        <w:spacing w:line="460" w:lineRule="exact"/>
        <w:rPr>
          <w:rFonts w:ascii="宋体" w:hAnsi="宋体" w:cs="宋体"/>
          <w:sz w:val="24"/>
          <w:lang w:val="zh-CN"/>
        </w:rPr>
      </w:pPr>
      <w:r>
        <w:rPr>
          <w:rFonts w:hint="eastAsia" w:ascii="宋体" w:hAnsi="宋体" w:cs="宋体"/>
          <w:sz w:val="24"/>
          <w:lang w:val="zh-CN"/>
        </w:rPr>
        <w:t xml:space="preserve">11.6如果乙方不能履行售后服务承诺，将禁止该单位参加甲方以后的相关招标活动。</w:t>
      </w:r>
      <w:r/>
    </w:p>
    <w:p>
      <w:pPr>
        <w:ind w:firstLine="480"/>
        <w:spacing w:line="460" w:lineRule="exact"/>
        <w:rPr>
          <w:rFonts w:ascii="宋体" w:hAnsi="宋体" w:cs="宋体"/>
          <w:sz w:val="24"/>
          <w:lang w:val="zh-CN"/>
        </w:rPr>
      </w:pPr>
      <w:r>
        <w:rPr>
          <w:rFonts w:hint="eastAsia" w:ascii="宋体" w:hAnsi="宋体" w:cs="宋体"/>
          <w:sz w:val="24"/>
          <w:lang w:val="zh-CN"/>
        </w:rPr>
        <w:t xml:space="preserve">11.7乙方提供的货物在质保期内因货物本身的质量问题发生故障，乙方应负责免费更换。对达不到技术要求者，根据实际情况，经双方协商，可按以下办法处理：                                                     </w:t>
      </w:r>
      <w:r/>
    </w:p>
    <w:p>
      <w:pPr>
        <w:ind w:firstLine="480"/>
        <w:spacing w:line="460" w:lineRule="exact"/>
        <w:rPr>
          <w:rFonts w:ascii="宋体" w:hAnsi="宋体" w:cs="宋体"/>
          <w:sz w:val="24"/>
          <w:lang w:val="zh-CN"/>
        </w:rPr>
      </w:pPr>
      <w:r>
        <w:rPr>
          <w:rFonts w:hint="eastAsia" w:ascii="宋体" w:hAnsi="宋体" w:cs="宋体"/>
          <w:sz w:val="24"/>
          <w:lang w:val="zh-CN"/>
        </w:rPr>
        <w:t xml:space="preserve">⑴ 更换：由乙方承担所发生的全部费用。                           </w:t>
      </w:r>
      <w:r/>
    </w:p>
    <w:p>
      <w:pPr>
        <w:ind w:firstLine="480"/>
        <w:spacing w:line="460" w:lineRule="exact"/>
        <w:rPr>
          <w:rFonts w:ascii="宋体" w:hAnsi="宋体" w:cs="宋体"/>
          <w:sz w:val="24"/>
          <w:lang w:val="zh-CN"/>
        </w:rPr>
      </w:pPr>
      <w:r>
        <w:rPr>
          <w:rFonts w:hint="eastAsia" w:ascii="宋体" w:hAnsi="宋体" w:cs="宋体"/>
          <w:sz w:val="24"/>
          <w:lang w:val="zh-CN"/>
        </w:rPr>
        <w:t xml:space="preserve">⑵ 贬值处理：由甲乙双方合议定价。                               </w:t>
      </w:r>
      <w:r/>
    </w:p>
    <w:p>
      <w:pPr>
        <w:ind w:firstLine="480"/>
        <w:spacing w:line="460" w:lineRule="exact"/>
        <w:rPr>
          <w:rFonts w:ascii="宋体" w:hAnsi="宋体" w:cs="宋体"/>
          <w:sz w:val="24"/>
          <w:lang w:val="zh-CN"/>
        </w:rPr>
      </w:pPr>
      <w:r>
        <w:rPr>
          <w:rFonts w:hint="eastAsia" w:ascii="宋体" w:hAnsi="宋体" w:cs="宋体"/>
          <w:sz w:val="24"/>
          <w:lang w:val="zh-CN"/>
        </w:rPr>
        <w:t xml:space="preserve">⑶ 退货处理：乙方应退还甲方支付的合同款，同时承担该货物的直接费用（运输、保险、检验、货款利息及银行手续费等）。</w:t>
      </w:r>
      <w:r/>
    </w:p>
    <w:p>
      <w:pPr>
        <w:ind w:firstLine="480"/>
        <w:spacing w:line="460" w:lineRule="exact"/>
        <w:rPr>
          <w:rFonts w:ascii="宋体" w:hAnsi="宋体" w:cs="宋体"/>
          <w:sz w:val="24"/>
          <w:lang w:val="zh-CN"/>
        </w:rPr>
      </w:pPr>
      <w:r>
        <w:rPr>
          <w:rFonts w:hint="eastAsia" w:ascii="宋体" w:hAnsi="宋体" w:cs="宋体"/>
          <w:sz w:val="24"/>
          <w:lang w:val="zh-CN"/>
        </w:rPr>
        <w:t xml:space="preserve">11.8 乙方提供的货物及服务必须按照甲方要求接入</w:t>
      </w:r>
      <w:r>
        <w:rPr>
          <w:rFonts w:hint="eastAsia" w:ascii="宋体" w:hAnsi="宋体" w:cs="宋体"/>
          <w:sz w:val="24"/>
          <w:lang w:val="zh-CN"/>
        </w:rPr>
        <w:t xml:space="preserve">研究院</w:t>
      </w:r>
      <w:r>
        <w:rPr>
          <w:rFonts w:hint="eastAsia" w:ascii="宋体" w:hAnsi="宋体" w:cs="宋体"/>
          <w:sz w:val="24"/>
          <w:lang w:val="zh-CN"/>
        </w:rPr>
        <w:t xml:space="preserve">管理系统或其他数据接入及提取系统，上述接入费用由乙方承担。如乙方未能按上述需求免费接入对应系统，则视为乙方违约，由甲方自行接入，甲方有权将上述接入产生费用从货款中扣除。</w:t>
      </w:r>
      <w:r/>
    </w:p>
    <w:p>
      <w:pPr>
        <w:ind w:firstLine="480"/>
        <w:spacing w:line="460" w:lineRule="exact"/>
        <w:rPr>
          <w:rFonts w:ascii="宋体" w:hAnsi="宋体" w:cs="宋体"/>
          <w:sz w:val="24"/>
        </w:rPr>
      </w:pPr>
      <w:r>
        <w:rPr>
          <w:rFonts w:hint="eastAsia" w:ascii="宋体" w:hAnsi="宋体" w:cs="宋体"/>
          <w:sz w:val="24"/>
          <w:lang w:val="zh-CN"/>
        </w:rPr>
        <w:t xml:space="preserve">11.9 乙方投标前须自行勘察现场，如设备安装运行需涉及基建、暖通等前期改造，则相关一切费用均有乙方自行承担，并包含在合同价中，甲方不再另外支付。如因基建、暖通等改造导致工期延误，则视为乙方违约，相关违约责任由乙方承担，甲方有权扣除合同金额的10%作为合同违约金。</w:t>
      </w:r>
      <w:r/>
    </w:p>
    <w:p>
      <w:pPr>
        <w:spacing w:before="120" w:after="120" w:line="460" w:lineRule="exact"/>
        <w:rPr>
          <w:rFonts w:ascii="宋体" w:hAnsi="宋体" w:cs="宋体"/>
          <w:b/>
          <w:sz w:val="24"/>
        </w:rPr>
      </w:pPr>
      <w:r>
        <w:rPr>
          <w:rFonts w:hint="eastAsia" w:ascii="宋体" w:hAnsi="宋体" w:cs="宋体"/>
          <w:b/>
          <w:sz w:val="24"/>
        </w:rPr>
        <w:t xml:space="preserve">十二、货物验收</w:t>
      </w:r>
      <w:r/>
    </w:p>
    <w:p>
      <w:pPr>
        <w:ind w:firstLine="480"/>
        <w:spacing w:line="460" w:lineRule="exact"/>
        <w:rPr>
          <w:rFonts w:ascii="宋体" w:hAnsi="宋体" w:cs="宋体"/>
          <w:sz w:val="24"/>
          <w:lang w:val="zh-CN"/>
        </w:rPr>
      </w:pPr>
      <w:r>
        <w:rPr>
          <w:rFonts w:hint="eastAsia" w:ascii="宋体" w:hAnsi="宋体" w:cs="宋体"/>
          <w:sz w:val="24"/>
        </w:rPr>
        <w:t xml:space="preserve">12.1乙方提供的</w:t>
      </w:r>
      <w:r>
        <w:rPr>
          <w:rFonts w:hint="eastAsia" w:ascii="宋体" w:hAnsi="宋体" w:cs="宋体"/>
          <w:sz w:val="24"/>
          <w:lang w:val="zh-CN"/>
        </w:rPr>
        <w:t xml:space="preserve">产品</w:t>
      </w:r>
      <w:r>
        <w:rPr>
          <w:rFonts w:hint="eastAsia" w:ascii="宋体" w:hAnsi="宋体" w:cs="宋体"/>
          <w:sz w:val="24"/>
        </w:rPr>
        <w:t xml:space="preserve">应由启东市市场监督管理局组织抽样检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w:t>
      </w:r>
      <w:r>
        <w:rPr>
          <w:rFonts w:hint="eastAsia" w:ascii="宋体" w:hAnsi="宋体" w:cs="宋体"/>
          <w:sz w:val="24"/>
          <w:lang w:val="zh-CN"/>
        </w:rPr>
        <w:t xml:space="preserve">收。如验收时发现所供货物的数量、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p>
    <w:p>
      <w:pPr>
        <w:ind w:firstLine="480"/>
        <w:spacing w:line="460" w:lineRule="exact"/>
        <w:rPr>
          <w:rFonts w:ascii="宋体" w:hAnsi="宋体" w:cs="宋体"/>
          <w:sz w:val="24"/>
          <w:lang w:val="zh-CN"/>
        </w:rPr>
      </w:pPr>
      <w:r>
        <w:rPr>
          <w:rFonts w:hint="eastAsia" w:ascii="宋体" w:hAnsi="宋体" w:cs="宋体"/>
          <w:sz w:val="24"/>
          <w:lang w:val="zh-CN"/>
        </w:rPr>
        <w:t xml:space="preserve">12.2启东市市场监督管理局对没有具体执行标准或者以现有设备条件无法进行检测鉴定的情况下，甲方可以委托第三方检测机构进行鉴定，产品质量鉴定结果不合格的，乙方承担检测费用，甲方有权拒收、部分拒收、退货、部分退货直至解除本合同，并要求乙方支付因此造成的所有损失。破拆部件由乙方负责补齐且</w:t>
      </w:r>
      <w:r>
        <w:rPr>
          <w:rFonts w:hint="eastAsia" w:ascii="宋体" w:hAnsi="宋体" w:cs="宋体"/>
          <w:sz w:val="24"/>
        </w:rPr>
        <w:t xml:space="preserve">甲方</w:t>
      </w:r>
      <w:r>
        <w:rPr>
          <w:rFonts w:hint="eastAsia" w:ascii="宋体" w:hAnsi="宋体" w:cs="宋体"/>
          <w:sz w:val="24"/>
          <w:lang w:val="zh-CN"/>
        </w:rPr>
        <w:t xml:space="preserve">不支付任何补偿费用。</w:t>
      </w:r>
      <w:r/>
    </w:p>
    <w:p>
      <w:pPr>
        <w:spacing w:before="120" w:after="120" w:line="460" w:lineRule="exact"/>
        <w:rPr>
          <w:rFonts w:ascii="宋体" w:hAnsi="宋体" w:cs="宋体"/>
          <w:b/>
          <w:sz w:val="24"/>
        </w:rPr>
      </w:pPr>
      <w:r>
        <w:rPr>
          <w:rFonts w:hint="eastAsia" w:ascii="宋体" w:hAnsi="宋体" w:cs="宋体"/>
          <w:b/>
          <w:sz w:val="24"/>
        </w:rPr>
        <w:t xml:space="preserve">十三、货物包装、发运及运输</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.1 乙方应在货物</w:t>
      </w:r>
      <w:r>
        <w:rPr>
          <w:rFonts w:hint="eastAsia" w:ascii="宋体" w:hAnsi="宋体" w:cs="宋体"/>
          <w:sz w:val="24"/>
          <w:lang w:val="zh-CN"/>
        </w:rPr>
        <w:t xml:space="preserve">发运</w:t>
      </w:r>
      <w:r>
        <w:rPr>
          <w:rFonts w:hint="eastAsia" w:ascii="宋体" w:hAnsi="宋体" w:cs="宋体"/>
          <w:sz w:val="24"/>
        </w:rPr>
        <w:t xml:space="preserve">前对其进行满足运输距离、防潮、防震、防锈和防破损装卸等要求</w:t>
      </w:r>
      <w:r>
        <w:rPr>
          <w:rFonts w:hint="eastAsia" w:ascii="宋体" w:hAnsi="宋体" w:cs="宋体"/>
          <w:sz w:val="24"/>
          <w:lang w:val="zh-CN"/>
        </w:rPr>
        <w:t xml:space="preserve">包装</w:t>
      </w:r>
      <w:r>
        <w:rPr>
          <w:rFonts w:hint="eastAsia" w:ascii="宋体" w:hAnsi="宋体" w:cs="宋体"/>
          <w:sz w:val="24"/>
        </w:rPr>
        <w:t xml:space="preserve">，以保证货物安全运达甲方指定地点。</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.2 </w:t>
      </w:r>
      <w:r>
        <w:rPr>
          <w:rFonts w:hint="eastAsia" w:ascii="宋体" w:hAnsi="宋体" w:cs="宋体"/>
          <w:sz w:val="24"/>
          <w:lang w:val="zh-CN"/>
        </w:rPr>
        <w:t xml:space="preserve">使用</w:t>
      </w:r>
      <w:r>
        <w:rPr>
          <w:rFonts w:hint="eastAsia" w:ascii="宋体" w:hAnsi="宋体" w:cs="宋体"/>
          <w:sz w:val="24"/>
        </w:rPr>
        <w:t xml:space="preserve">说明书、质量检验证明书、随配附件和工具以及清单一并附于货物内。</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.3 乙方在货物发运手续办理完毕后24小时内或货到甲方48小时前通知甲方，</w:t>
      </w:r>
      <w:r>
        <w:rPr>
          <w:rFonts w:hint="eastAsia" w:ascii="宋体" w:hAnsi="宋体" w:cs="宋体"/>
          <w:sz w:val="24"/>
        </w:rPr>
        <w:t xml:space="preserve">以准备接货。</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.4 货物在验收合格交付甲方前所发生的所有风险由乙方承担。</w:t>
      </w:r>
      <w:r/>
    </w:p>
    <w:p>
      <w:pPr>
        <w:spacing w:before="120" w:after="120" w:line="460" w:lineRule="exact"/>
        <w:rPr>
          <w:rFonts w:ascii="宋体" w:hAnsi="宋体" w:cs="宋体"/>
          <w:b/>
          <w:sz w:val="24"/>
        </w:rPr>
      </w:pPr>
      <w:r>
        <w:rPr>
          <w:rFonts w:hint="eastAsia" w:ascii="宋体" w:hAnsi="宋体" w:cs="宋体"/>
          <w:b/>
          <w:sz w:val="24"/>
        </w:rPr>
        <w:t xml:space="preserve">十四、违约责任</w:t>
      </w:r>
      <w:r/>
    </w:p>
    <w:p>
      <w:pPr>
        <w:ind w:firstLine="480"/>
        <w:spacing w:line="460" w:lineRule="exact"/>
        <w:rPr>
          <w:rFonts w:ascii="宋体" w:hAnsi="宋体" w:cs="宋体"/>
          <w:sz w:val="24"/>
        </w:rPr>
      </w:pPr>
      <w:r>
        <w:rPr>
          <w:rFonts w:hint="eastAsia" w:ascii="宋体" w:hAnsi="宋体" w:cs="宋体"/>
          <w:sz w:val="24"/>
        </w:rPr>
        <w:t xml:space="preserve">14.1乙方货物逾期交付的，乙方应按每推迟一天加罚2000元，向甲方支付违约金外，并扣除全部履约保证金。</w:t>
      </w:r>
      <w:r/>
    </w:p>
    <w:p>
      <w:pPr>
        <w:ind w:firstLine="480"/>
        <w:spacing w:line="460" w:lineRule="exact"/>
        <w:rPr>
          <w:rFonts w:ascii="宋体" w:hAnsi="宋体" w:cs="宋体"/>
          <w:sz w:val="24"/>
        </w:rPr>
      </w:pPr>
      <w:r>
        <w:rPr>
          <w:rFonts w:hint="eastAsia" w:ascii="宋体" w:hAnsi="宋体" w:cs="宋体"/>
          <w:sz w:val="24"/>
        </w:rPr>
        <w:t xml:space="preserve">14.2乙方货物逾期交付超过</w:t>
      </w:r>
      <w:r>
        <w:rPr>
          <w:rFonts w:hint="eastAsia" w:ascii="宋体" w:hAnsi="宋体" w:cs="宋体"/>
          <w:sz w:val="24"/>
          <w:u w:val="single"/>
        </w:rPr>
        <w:t xml:space="preserve">30</w:t>
      </w:r>
      <w:r>
        <w:rPr>
          <w:rFonts w:hint="eastAsia" w:ascii="宋体" w:hAnsi="宋体" w:cs="宋体"/>
          <w:sz w:val="24"/>
        </w:rPr>
        <w:t xml:space="preserve">个日历天的，甲方有权单方面解除合同，乙方应向甲方支付合同总价</w:t>
      </w:r>
      <w:r>
        <w:rPr>
          <w:rFonts w:hint="eastAsia" w:ascii="宋体" w:hAnsi="宋体" w:cs="宋体"/>
          <w:sz w:val="24"/>
          <w:u w:val="single"/>
        </w:rPr>
        <w:t xml:space="preserve">30%</w:t>
      </w:r>
      <w:r>
        <w:rPr>
          <w:rFonts w:hint="eastAsia" w:ascii="宋体" w:hAnsi="宋体" w:cs="宋体"/>
          <w:sz w:val="24"/>
        </w:rPr>
        <w:t xml:space="preserve">的违约金。</w:t>
      </w:r>
      <w:r/>
    </w:p>
    <w:p>
      <w:pPr>
        <w:ind w:firstLine="480"/>
        <w:spacing w:line="460" w:lineRule="exact"/>
        <w:rPr>
          <w:rFonts w:ascii="宋体" w:hAnsi="宋体" w:cs="宋体"/>
          <w:sz w:val="24"/>
        </w:rPr>
      </w:pPr>
      <w:r>
        <w:rPr>
          <w:rFonts w:hint="eastAsia" w:ascii="宋体" w:hAnsi="宋体" w:cs="宋体"/>
          <w:sz w:val="24"/>
        </w:rPr>
        <w:t xml:space="preserve">14.3违约金的支付</w:t>
      </w:r>
      <w:r/>
    </w:p>
    <w:p>
      <w:pPr>
        <w:ind w:firstLine="480"/>
        <w:spacing w:line="460" w:lineRule="exact"/>
        <w:rPr>
          <w:rFonts w:ascii="宋体" w:hAnsi="宋体" w:cs="宋体"/>
          <w:sz w:val="24"/>
        </w:rPr>
      </w:pPr>
      <w:r>
        <w:rPr>
          <w:rFonts w:hint="eastAsia" w:ascii="宋体" w:hAnsi="宋体" w:cs="宋体"/>
          <w:sz w:val="24"/>
        </w:rPr>
        <w:t xml:space="preserve">①违约金从履约保证金中扣除；</w:t>
      </w:r>
      <w:r/>
    </w:p>
    <w:p>
      <w:pPr>
        <w:ind w:firstLine="480"/>
        <w:spacing w:line="460" w:lineRule="exact"/>
        <w:rPr>
          <w:rFonts w:ascii="宋体" w:hAnsi="宋体" w:cs="宋体"/>
          <w:sz w:val="24"/>
        </w:rPr>
      </w:pPr>
      <w:r>
        <w:rPr>
          <w:rFonts w:hint="eastAsia" w:ascii="宋体" w:hAnsi="宋体" w:cs="宋体"/>
          <w:sz w:val="24"/>
        </w:rPr>
        <w:t xml:space="preserve">②违约金超过履约保证金部分由应付货款中扣除；</w:t>
      </w:r>
      <w:r/>
    </w:p>
    <w:p>
      <w:pPr>
        <w:ind w:firstLine="480"/>
        <w:spacing w:line="460" w:lineRule="exact"/>
        <w:rPr>
          <w:rFonts w:ascii="宋体" w:hAnsi="宋体" w:cs="宋体"/>
          <w:sz w:val="24"/>
        </w:rPr>
      </w:pPr>
      <w:r>
        <w:rPr>
          <w:rFonts w:hint="eastAsia" w:ascii="宋体" w:hAnsi="宋体" w:cs="宋体"/>
          <w:sz w:val="24"/>
        </w:rPr>
        <w:t xml:space="preserve">③违约金超过应付货款的差额部分，乙方须支付差额部分，乙方拒绝支付的，甲方可向法院起诉要求乙方支付。</w:t>
      </w:r>
      <w:r/>
    </w:p>
    <w:p>
      <w:pPr>
        <w:ind w:firstLine="480"/>
        <w:spacing w:line="460" w:lineRule="exact"/>
        <w:rPr>
          <w:rFonts w:ascii="宋体" w:hAnsi="宋体" w:cs="宋体"/>
          <w:sz w:val="24"/>
        </w:rPr>
      </w:pPr>
      <w:r>
        <w:rPr>
          <w:rFonts w:hint="eastAsia" w:ascii="宋体" w:hAnsi="宋体" w:cs="宋体"/>
          <w:sz w:val="24"/>
        </w:rPr>
        <w:t xml:space="preserve">14.4 乙方所交的货物品种、型号、规格、技术参数、质量不符合合同规定及采购文件规定标准的，甲方有权拒收该货物，且视为乙方逾期交货，若因此产生的违约责任按照14.1条款执行。</w:t>
      </w:r>
      <w:r/>
    </w:p>
    <w:p>
      <w:pPr>
        <w:spacing w:before="120" w:after="120" w:line="460" w:lineRule="exact"/>
        <w:rPr>
          <w:rFonts w:ascii="宋体" w:hAnsi="宋体" w:cs="宋体"/>
          <w:b/>
          <w:sz w:val="24"/>
        </w:rPr>
      </w:pPr>
      <w:r>
        <w:rPr>
          <w:rFonts w:hint="eastAsia" w:ascii="宋体" w:hAnsi="宋体" w:cs="宋体"/>
          <w:b/>
          <w:sz w:val="24"/>
        </w:rPr>
        <w:t xml:space="preserve">十五、不可抗力事件处理</w:t>
      </w:r>
      <w:r/>
    </w:p>
    <w:p>
      <w:pPr>
        <w:ind w:firstLine="480"/>
        <w:spacing w:line="460" w:lineRule="exact"/>
        <w:rPr>
          <w:rFonts w:ascii="宋体" w:hAnsi="宋体" w:cs="宋体"/>
          <w:sz w:val="24"/>
        </w:rPr>
      </w:pPr>
      <w:r>
        <w:rPr>
          <w:rFonts w:hint="eastAsia" w:ascii="宋体" w:hAnsi="宋体" w:cs="宋体"/>
          <w:sz w:val="24"/>
        </w:rPr>
        <w:t xml:space="preserve">15.1 在合同有效期内，任何一方因不可抗力事件导致不能履行合同，则合同履行期可延长，其延长期与不可抗力影响期相同。</w:t>
      </w:r>
      <w:r/>
    </w:p>
    <w:p>
      <w:pPr>
        <w:ind w:firstLine="480"/>
        <w:spacing w:line="460" w:lineRule="exact"/>
        <w:rPr>
          <w:rFonts w:ascii="宋体" w:hAnsi="宋体" w:cs="宋体"/>
          <w:sz w:val="24"/>
        </w:rPr>
      </w:pPr>
      <w:r>
        <w:rPr>
          <w:rFonts w:hint="eastAsia" w:ascii="宋体" w:hAnsi="宋体" w:cs="宋体"/>
          <w:sz w:val="24"/>
        </w:rPr>
        <w:t xml:space="preserve">15.2 不可抗力事件发生后，应立即通知对方，并寄送有关权威机构出具的证明。</w:t>
      </w:r>
      <w:r/>
    </w:p>
    <w:p>
      <w:pPr>
        <w:ind w:firstLine="480"/>
        <w:spacing w:line="460" w:lineRule="exact"/>
        <w:rPr>
          <w:rFonts w:ascii="宋体" w:hAnsi="宋体" w:cs="宋体"/>
          <w:sz w:val="24"/>
        </w:rPr>
      </w:pPr>
      <w:r>
        <w:rPr>
          <w:rFonts w:hint="eastAsia" w:ascii="宋体" w:hAnsi="宋体" w:cs="宋体"/>
          <w:sz w:val="24"/>
        </w:rPr>
        <w:t xml:space="preserve">15.3 不可抗力事件延续120天以上，甲方有权选择终止合同或继续履行合同。</w:t>
      </w:r>
      <w:r/>
    </w:p>
    <w:p>
      <w:pPr>
        <w:spacing w:before="120" w:after="120" w:line="460" w:lineRule="exact"/>
        <w:rPr>
          <w:rFonts w:ascii="宋体" w:hAnsi="宋体" w:cs="宋体"/>
          <w:b/>
          <w:sz w:val="24"/>
        </w:rPr>
      </w:pPr>
      <w:r>
        <w:rPr>
          <w:rFonts w:hint="eastAsia" w:ascii="宋体" w:hAnsi="宋体" w:cs="宋体"/>
          <w:b/>
          <w:sz w:val="24"/>
        </w:rPr>
        <w:t xml:space="preserve">十六、解决争议的方法</w:t>
      </w:r>
      <w:r/>
    </w:p>
    <w:p>
      <w:pPr>
        <w:ind w:firstLine="480"/>
        <w:spacing w:line="460" w:lineRule="exact"/>
        <w:rPr>
          <w:rFonts w:ascii="宋体" w:hAnsi="宋体" w:cs="宋体"/>
          <w:sz w:val="24"/>
        </w:rPr>
      </w:pPr>
      <w:r>
        <w:rPr>
          <w:rFonts w:hint="eastAsia" w:ascii="宋体" w:hAnsi="宋体" w:cs="宋体"/>
          <w:sz w:val="24"/>
        </w:rPr>
        <w:t xml:space="preserve">双方在执行合同中所发生的一切争议，可通过协商解决，并签订补充协议。如协商不成，可向甲方所在地人民法院提起诉讼。</w:t>
      </w:r>
      <w:r/>
    </w:p>
    <w:p>
      <w:pPr>
        <w:spacing w:before="120" w:after="120" w:line="460" w:lineRule="exact"/>
        <w:rPr>
          <w:rFonts w:ascii="宋体" w:hAnsi="宋体" w:cs="宋体"/>
          <w:b/>
          <w:bCs/>
          <w:sz w:val="24"/>
        </w:rPr>
      </w:pPr>
      <w:r>
        <w:rPr>
          <w:rFonts w:hint="eastAsia" w:ascii="宋体" w:hAnsi="宋体" w:cs="宋体"/>
          <w:b/>
          <w:bCs/>
          <w:sz w:val="24"/>
        </w:rPr>
        <w:t xml:space="preserve">十七、履约保证金</w:t>
      </w:r>
      <w:r/>
    </w:p>
    <w:p>
      <w:pPr>
        <w:ind w:firstLine="480"/>
        <w:spacing w:line="460" w:lineRule="exact"/>
        <w:rPr>
          <w:rFonts w:ascii="宋体" w:hAnsi="宋体"/>
          <w:sz w:val="24"/>
        </w:rPr>
      </w:pPr>
      <w:r>
        <w:rPr>
          <w:rFonts w:hint="eastAsia" w:ascii="宋体" w:hAnsi="宋体"/>
          <w:sz w:val="24"/>
        </w:rPr>
        <w:t xml:space="preserve">17.1本项目</w:t>
      </w:r>
      <w:r>
        <w:rPr>
          <w:rFonts w:hint="eastAsia" w:ascii="宋体" w:hAnsi="宋体" w:cs="宋体"/>
          <w:sz w:val="24"/>
        </w:rPr>
        <w:t xml:space="preserve">中标</w:t>
      </w:r>
      <w:r>
        <w:rPr>
          <w:rFonts w:hint="eastAsia" w:ascii="宋体" w:hAnsi="宋体"/>
          <w:sz w:val="24"/>
        </w:rPr>
        <w:t xml:space="preserve">后的履约保证金为项目中标价的10%（</w:t>
      </w:r>
      <w:r>
        <w:rPr>
          <w:rFonts w:hint="eastAsia" w:ascii="宋体" w:hAnsi="宋体"/>
          <w:sz w:val="24"/>
          <w:u w:val="single"/>
        </w:rPr>
        <w:t xml:space="preserve">      </w:t>
      </w:r>
      <w:r>
        <w:rPr>
          <w:rFonts w:hint="eastAsia" w:ascii="宋体" w:hAnsi="宋体"/>
          <w:sz w:val="24"/>
        </w:rPr>
        <w:t xml:space="preserve">元），乙方的履约</w:t>
      </w:r>
      <w:r>
        <w:rPr>
          <w:rFonts w:hint="eastAsia" w:ascii="宋体" w:hAnsi="宋体"/>
          <w:sz w:val="24"/>
        </w:rPr>
        <w:t xml:space="preserve">保证金须在中标通知书发出之日起至合同签订前汇入</w:t>
      </w:r>
      <w:r>
        <w:rPr>
          <w:rFonts w:hint="eastAsia" w:ascii="宋体" w:hAnsi="宋体" w:cs="宋体"/>
          <w:sz w:val="24"/>
        </w:rPr>
        <w:t xml:space="preserve">甲方</w:t>
      </w:r>
      <w:r>
        <w:rPr>
          <w:rFonts w:hint="eastAsia" w:ascii="宋体" w:hAnsi="宋体"/>
          <w:sz w:val="24"/>
        </w:rPr>
        <w:t xml:space="preserve">账户（应当以数字人民币、支票、汇票或者金融机构、担保机构出具的保函等非现金形式提交），乙方凭中标通知书与</w:t>
      </w:r>
      <w:r>
        <w:rPr>
          <w:rFonts w:hint="eastAsia" w:ascii="宋体" w:hAnsi="宋体" w:cs="宋体"/>
          <w:sz w:val="24"/>
        </w:rPr>
        <w:t xml:space="preserve">甲方</w:t>
      </w:r>
      <w:r>
        <w:rPr>
          <w:rFonts w:hint="eastAsia" w:ascii="宋体" w:hAnsi="宋体"/>
          <w:sz w:val="24"/>
        </w:rPr>
        <w:t xml:space="preserve">签订合同。超期或未有协商，则视为自动放弃中标资格。</w:t>
      </w:r>
      <w:r/>
    </w:p>
    <w:p>
      <w:pPr>
        <w:ind w:firstLine="480"/>
        <w:spacing w:line="460" w:lineRule="exact"/>
        <w:rPr>
          <w:rFonts w:ascii="宋体" w:hAnsi="宋体" w:cs="宋体"/>
          <w:sz w:val="24"/>
        </w:rPr>
      </w:pPr>
      <w:r>
        <w:rPr>
          <w:rFonts w:hint="eastAsia" w:ascii="宋体" w:hAnsi="宋体" w:cs="宋体"/>
          <w:sz w:val="24"/>
        </w:rPr>
        <w:t xml:space="preserve">17.2乙方全部履约合同义务，经甲方验收合格无质量、进度等问题的，甲方在验收合格后一次性退还履约保证金，甲方若逾期退还履约保证金的，按照逾期部分的每日0.05%支付违约金。</w:t>
      </w:r>
      <w:r/>
    </w:p>
    <w:p>
      <w:pPr>
        <w:ind w:firstLine="480"/>
        <w:spacing w:line="460" w:lineRule="exact"/>
        <w:rPr>
          <w:rFonts w:ascii="宋体" w:hAnsi="宋体" w:cs="宋体"/>
          <w:sz w:val="24"/>
        </w:rPr>
      </w:pPr>
      <w:r>
        <w:rPr>
          <w:rFonts w:hint="eastAsia" w:ascii="宋体" w:hAnsi="宋体" w:cs="宋体"/>
          <w:sz w:val="24"/>
        </w:rPr>
        <w:t xml:space="preserve">17.3发生以下情况的，履约保证金不予退还或部分退还：</w:t>
      </w:r>
      <w:r/>
    </w:p>
    <w:p>
      <w:pPr>
        <w:ind w:firstLine="480"/>
        <w:spacing w:line="46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spacing w:line="46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p>
      <w:pPr>
        <w:spacing w:before="120" w:after="120" w:line="460" w:lineRule="exact"/>
        <w:rPr>
          <w:rFonts w:ascii="宋体" w:hAnsi="宋体" w:cs="宋体"/>
          <w:b/>
          <w:sz w:val="24"/>
        </w:rPr>
      </w:pPr>
      <w:r>
        <w:rPr>
          <w:rFonts w:hint="eastAsia" w:ascii="宋体" w:hAnsi="宋体" w:cs="宋体"/>
          <w:b/>
          <w:sz w:val="24"/>
        </w:rPr>
        <w:t xml:space="preserve">十八、其他</w:t>
      </w:r>
      <w:r/>
    </w:p>
    <w:p>
      <w:pPr>
        <w:ind w:firstLine="480"/>
        <w:spacing w:line="460" w:lineRule="exact"/>
        <w:rPr>
          <w:rFonts w:ascii="宋体" w:hAnsi="宋体" w:cs="宋体"/>
          <w:sz w:val="24"/>
        </w:rPr>
      </w:pPr>
      <w:r>
        <w:rPr>
          <w:rFonts w:hint="eastAsia" w:ascii="宋体" w:hAnsi="宋体" w:cs="宋体"/>
          <w:sz w:val="24"/>
        </w:rPr>
        <w:t xml:space="preserve">18.1 本合同所有附件、招标文件、投标文件、中标通知书及补充协议均为合同的有效组成部分，与本合同具有同等法律效力。</w:t>
      </w:r>
      <w:r/>
    </w:p>
    <w:p>
      <w:pPr>
        <w:ind w:firstLine="480"/>
        <w:spacing w:line="460" w:lineRule="exact"/>
        <w:rPr>
          <w:rFonts w:ascii="宋体" w:hAnsi="宋体" w:cs="宋体"/>
          <w:sz w:val="24"/>
        </w:rPr>
      </w:pPr>
      <w:r>
        <w:rPr>
          <w:rFonts w:hint="eastAsia" w:ascii="宋体" w:hAnsi="宋体" w:cs="宋体"/>
          <w:sz w:val="24"/>
        </w:rPr>
        <w:t xml:space="preserve">18.2 如一方地址、电话、传真号码有变更，应在变更当日内书面通知对方，否则，应承担相应责任。</w:t>
      </w:r>
      <w:r/>
    </w:p>
    <w:p>
      <w:pPr>
        <w:ind w:firstLine="480"/>
        <w:spacing w:line="460" w:lineRule="exact"/>
        <w:rPr>
          <w:rFonts w:ascii="宋体" w:hAnsi="宋体" w:cs="宋体"/>
          <w:sz w:val="24"/>
        </w:rPr>
      </w:pPr>
      <w:r>
        <w:rPr>
          <w:rFonts w:hint="eastAsia" w:ascii="宋体" w:hAnsi="宋体" w:cs="宋体"/>
          <w:sz w:val="24"/>
        </w:rPr>
        <w:t xml:space="preserve">18.3 除甲方事先书面同意外，乙方不得部分或全部转让其应履行的合同项下的义务。</w:t>
      </w:r>
      <w:r/>
    </w:p>
    <w:p>
      <w:pPr>
        <w:spacing w:before="120" w:after="120" w:line="460" w:lineRule="exact"/>
        <w:rPr>
          <w:rFonts w:ascii="宋体" w:hAnsi="宋体" w:cs="宋体"/>
          <w:b/>
          <w:sz w:val="24"/>
        </w:rPr>
      </w:pPr>
      <w:r>
        <w:rPr>
          <w:rFonts w:hint="eastAsia" w:ascii="宋体" w:hAnsi="宋体" w:cs="宋体"/>
          <w:b/>
          <w:sz w:val="24"/>
        </w:rPr>
        <w:t xml:space="preserve">十九、合同生效</w:t>
      </w:r>
      <w:r/>
    </w:p>
    <w:p>
      <w:pPr>
        <w:ind w:firstLine="480"/>
        <w:spacing w:line="460" w:lineRule="exact"/>
        <w:rPr>
          <w:rFonts w:ascii="宋体" w:hAnsi="宋体" w:cs="宋体"/>
          <w:sz w:val="24"/>
        </w:rPr>
      </w:pPr>
      <w:r>
        <w:rPr>
          <w:rFonts w:hint="eastAsia" w:ascii="宋体" w:hAnsi="宋体" w:cs="宋体"/>
          <w:sz w:val="24"/>
        </w:rPr>
        <w:t xml:space="preserve">19.1 本合同由双方法定代表人签字并加盖公章（同时应加盖骑缝章）后生效，合同一式八份（双方各执肆份）。</w:t>
      </w:r>
      <w:r/>
    </w:p>
    <w:p>
      <w:pPr>
        <w:ind w:firstLine="480"/>
        <w:spacing w:line="460" w:lineRule="exact"/>
        <w:rPr>
          <w:rFonts w:ascii="宋体" w:hAnsi="宋体" w:cs="宋体"/>
          <w:sz w:val="24"/>
        </w:rPr>
      </w:pPr>
      <w:r>
        <w:rPr>
          <w:rFonts w:hint="eastAsia" w:ascii="宋体" w:hAnsi="宋体" w:cs="宋体"/>
          <w:sz w:val="24"/>
        </w:rPr>
        <w:t xml:space="preserve">19.2本合同未尽事宜，遵照《中华人民共和国民法典》有关条文执行。</w:t>
      </w:r>
      <w:r/>
    </w:p>
    <w:p>
      <w:r/>
      <w:r/>
    </w:p>
    <w:p>
      <w:pPr>
        <w:spacing w:line="500" w:lineRule="exact"/>
        <w:rPr>
          <w:rFonts w:ascii="宋体" w:hAnsi="宋体" w:cs="宋体"/>
          <w:sz w:val="24"/>
        </w:rPr>
      </w:pPr>
      <w:r>
        <w:rPr>
          <w:rFonts w:hint="eastAsia" w:ascii="宋体" w:hAnsi="宋体" w:cs="宋体"/>
          <w:sz w:val="24"/>
        </w:rPr>
        <w:t xml:space="preserve">甲方（盖章）：                      </w:t>
      </w:r>
      <w:r>
        <w:rPr>
          <w:rFonts w:hint="eastAsia" w:ascii="宋体" w:hAnsi="宋体" w:cs="宋体"/>
          <w:spacing w:val="-11"/>
          <w:sz w:val="24"/>
        </w:rPr>
        <w:t xml:space="preserve">乙方（盖章）：</w:t>
      </w:r>
      <w:r>
        <w:rPr>
          <w:rFonts w:hint="eastAsia" w:ascii="宋体" w:hAnsi="宋体" w:cs="宋体"/>
          <w:sz w:val="24"/>
        </w:rPr>
        <w:t xml:space="preserve">                </w:t>
      </w:r>
      <w:r/>
    </w:p>
    <w:p>
      <w:pPr>
        <w:spacing w:line="620" w:lineRule="exact"/>
        <w:rPr>
          <w:sz w:val="24"/>
        </w:rPr>
      </w:pPr>
      <w:r>
        <w:rPr>
          <w:rFonts w:hint="eastAsia"/>
          <w:sz w:val="24"/>
        </w:rPr>
        <w:t xml:space="preserve">地址：</w:t>
      </w:r>
      <w:r>
        <w:rPr>
          <w:sz w:val="24"/>
        </w:rPr>
        <w:t xml:space="preserve"> </w:t>
      </w:r>
      <w:r>
        <w:rPr>
          <w:rFonts w:hint="eastAsia"/>
          <w:sz w:val="24"/>
        </w:rPr>
        <w:t xml:space="preserve">                             </w:t>
      </w:r>
      <w:r>
        <w:rPr>
          <w:rFonts w:hint="eastAsia"/>
          <w:sz w:val="24"/>
        </w:rPr>
        <w:t xml:space="preserve">地址：</w:t>
      </w:r>
      <w:r/>
    </w:p>
    <w:p>
      <w:pPr>
        <w:spacing w:line="500" w:lineRule="exact"/>
        <w:rPr>
          <w:rFonts w:ascii="宋体" w:hAnsi="宋体" w:cs="宋体"/>
          <w:sz w:val="24"/>
        </w:rPr>
      </w:pPr>
      <w:r>
        <w:rPr>
          <w:rFonts w:hint="eastAsia" w:ascii="宋体" w:hAnsi="宋体" w:cs="宋体"/>
          <w:sz w:val="24"/>
        </w:rPr>
        <w:t xml:space="preserve">法定代表人：                        法定代表人：             </w:t>
      </w:r>
      <w:r/>
    </w:p>
    <w:p>
      <w:pPr>
        <w:spacing w:line="500" w:lineRule="exact"/>
        <w:rPr>
          <w:rFonts w:ascii="宋体" w:hAnsi="宋体" w:cs="宋体"/>
          <w:sz w:val="24"/>
        </w:rPr>
      </w:pPr>
      <w:r>
        <w:rPr>
          <w:rFonts w:hint="eastAsia" w:ascii="宋体" w:hAnsi="宋体" w:cs="宋体"/>
          <w:sz w:val="24"/>
        </w:rPr>
        <w:t xml:space="preserve">委托代理人：                        委托代理人：            </w:t>
      </w:r>
      <w:r/>
    </w:p>
    <w:p>
      <w:pPr>
        <w:spacing w:line="500" w:lineRule="exact"/>
        <w:rPr>
          <w:rFonts w:ascii="宋体" w:hAnsi="宋体" w:cs="宋体"/>
          <w:sz w:val="24"/>
        </w:rPr>
      </w:pPr>
      <w:r>
        <w:rPr>
          <w:rFonts w:hint="eastAsia" w:ascii="宋体" w:hAnsi="宋体" w:cs="宋体"/>
          <w:sz w:val="24"/>
        </w:rPr>
        <w:t xml:space="preserve">联系电话：                          联系电话：              </w:t>
      </w:r>
      <w:r/>
    </w:p>
    <w:p>
      <w:pPr>
        <w:spacing w:line="500" w:lineRule="exact"/>
        <w:rPr>
          <w:rFonts w:ascii="宋体" w:hAnsi="宋体" w:cs="宋体"/>
          <w:sz w:val="24"/>
        </w:rPr>
      </w:pPr>
      <w:r>
        <w:rPr>
          <w:rFonts w:hint="eastAsia" w:ascii="宋体" w:hAnsi="宋体" w:cs="宋体"/>
          <w:sz w:val="24"/>
        </w:rPr>
        <w:t xml:space="preserve">开户银行：                          开户银行：</w:t>
      </w:r>
      <w:r/>
    </w:p>
    <w:p>
      <w:pPr>
        <w:jc w:val="left"/>
        <w:spacing w:line="500" w:lineRule="exact"/>
        <w:rPr>
          <w:rFonts w:ascii="方正黑体_GBK" w:hAnsi="方正黑体_GBK" w:eastAsia="方正黑体_GBK" w:cs="方正黑体_GBK"/>
          <w:bCs/>
          <w:sz w:val="28"/>
          <w:szCs w:val="28"/>
        </w:rPr>
      </w:pPr>
      <w:r>
        <w:rPr>
          <w:rFonts w:hint="eastAsia" w:ascii="宋体" w:hAnsi="宋体" w:cs="宋体"/>
          <w:sz w:val="24"/>
        </w:rPr>
        <w:t xml:space="preserve">银行账号：                          银行账号：</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4"/>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4"/>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3</w:t>
      </w:r>
      <w:r>
        <w:rPr>
          <w:rFonts w:eastAsia="方正仿宋_GBK"/>
          <w:b/>
          <w:bCs/>
          <w:sz w:val="24"/>
        </w:rPr>
        <w:t xml:space="preserve">–</w:t>
      </w:r>
      <w:r>
        <w:rPr>
          <w:rFonts w:hint="eastAsia" w:eastAsia="方正仿宋_GBK"/>
          <w:b/>
          <w:bCs/>
          <w:sz w:val="24"/>
        </w:rPr>
        <w:t xml:space="preserve">4</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5150" w:type="pct"/>
        <w:jc w:val="center"/>
        <w:tblLayout w:type="fixed"/>
        <w:tblLook w:val="04A0" w:firstRow="1" w:lastRow="0" w:firstColumn="1" w:lastColumn="0" w:noHBand="0" w:noVBand="1"/>
      </w:tblPr>
      <w:tblGrid>
        <w:gridCol w:w="771"/>
        <w:gridCol w:w="1167"/>
        <w:gridCol w:w="839"/>
        <w:gridCol w:w="6323"/>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b/>
                <w:bCs/>
                <w:sz w:val="24"/>
              </w:rPr>
            </w:pPr>
            <w:r>
              <w:rPr>
                <w:rFonts w:hint="eastAsia" w:ascii="宋体" w:hAnsi="宋体" w:cs="宋体"/>
                <w:b/>
                <w:bCs/>
                <w:sz w:val="24"/>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ascii="宋体" w:hAnsi="宋体" w:cs="宋体"/>
                <w:b/>
                <w:bCs/>
                <w:sz w:val="24"/>
              </w:rPr>
            </w:pPr>
            <w:r>
              <w:rPr>
                <w:rFonts w:hint="eastAsia" w:ascii="宋体" w:hAnsi="宋体" w:cs="宋体"/>
                <w:b/>
                <w:bCs/>
                <w:sz w:val="24"/>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b/>
                <w:bCs/>
                <w:sz w:val="24"/>
              </w:rPr>
            </w:pPr>
            <w:r>
              <w:rPr>
                <w:rFonts w:hint="eastAsia"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技术</w:t>
            </w:r>
            <w:r/>
          </w:p>
          <w:p>
            <w:pPr>
              <w:jc w:val="center"/>
              <w:rPr>
                <w:rFonts w:ascii="宋体" w:hAnsi="宋体" w:cs="宋体"/>
                <w:b/>
                <w:bCs/>
                <w:sz w:val="24"/>
              </w:rPr>
            </w:pPr>
            <w:r>
              <w:rPr>
                <w:rFonts w:hint="eastAsia" w:ascii="宋体" w:hAnsi="宋体" w:cs="宋体"/>
                <w:sz w:val="24"/>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b/>
                <w:bCs/>
                <w:sz w:val="24"/>
              </w:rPr>
            </w:pPr>
            <w:r>
              <w:rPr>
                <w:rFonts w:hint="eastAsia" w:ascii="宋体" w:hAnsi="宋体" w:cs="宋体"/>
                <w:sz w:val="24"/>
              </w:rPr>
              <w:t xml:space="preserve">45</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ascii="宋体" w:hAnsi="宋体" w:cs="宋体"/>
                <w:bCs/>
                <w:sz w:val="24"/>
              </w:rPr>
            </w:pPr>
            <w:r>
              <w:rPr>
                <w:rFonts w:hint="eastAsia" w:ascii="宋体" w:hAnsi="宋体" w:cs="宋体"/>
                <w:b/>
                <w:bCs/>
                <w:sz w:val="24"/>
              </w:rPr>
              <w:t xml:space="preserve">三</w:t>
            </w:r>
            <w:r>
              <w:rPr>
                <w:rFonts w:hint="eastAsia" w:ascii="宋体" w:hAnsi="宋体" w:cs="宋体"/>
                <w:b/>
                <w:bCs/>
                <w:color w:val="000000"/>
                <w:sz w:val="24"/>
              </w:rPr>
              <w:t xml:space="preserve">标段</w:t>
            </w:r>
            <w:r>
              <w:rPr>
                <w:rFonts w:hint="eastAsia" w:ascii="宋体" w:hAnsi="宋体" w:cs="宋体"/>
                <w:b/>
                <w:bCs/>
                <w:sz w:val="24"/>
              </w:rPr>
              <w:t xml:space="preserve">：</w:t>
            </w:r>
            <w:r>
              <w:rPr>
                <w:rFonts w:hint="eastAsia" w:ascii="宋体" w:hAnsi="宋体" w:cs="宋体"/>
                <w:sz w:val="24"/>
              </w:rPr>
              <w:t xml:space="preserve">投标人所投产品技术参数须完全满足招标文件参数要求得45分，其中加</w:t>
            </w:r>
            <w:r>
              <w:rPr>
                <w:rFonts w:hint="eastAsia" w:ascii="宋体" w:hAnsi="宋体" w:cs="宋体"/>
                <w:bCs/>
                <w:sz w:val="24"/>
              </w:rPr>
              <w:t xml:space="preserve">“★”部分为重点条款要求，每有一项不满足的扣2.4分；</w:t>
            </w:r>
            <w:r>
              <w:rPr>
                <w:rFonts w:hint="eastAsia" w:ascii="宋体" w:hAnsi="宋体" w:cs="宋体"/>
                <w:sz w:val="24"/>
              </w:rPr>
              <w:t xml:space="preserve">其它技术参数每有一项不满足扣0.1分，扣完为止。</w:t>
            </w:r>
            <w:r/>
          </w:p>
          <w:p>
            <w:pPr>
              <w:jc w:val="left"/>
              <w:widowControl/>
              <w:rPr>
                <w:rFonts w:ascii="宋体" w:hAnsi="宋体" w:cs="宋体"/>
                <w:b/>
                <w:bCs/>
                <w:sz w:val="24"/>
              </w:rPr>
            </w:pPr>
            <w:r>
              <w:rPr>
                <w:rFonts w:hint="eastAsia" w:ascii="宋体" w:hAnsi="宋体" w:cs="宋体"/>
                <w:b/>
                <w:bCs/>
                <w:sz w:val="24"/>
              </w:rPr>
              <w:t xml:space="preserve">四</w:t>
            </w:r>
            <w:r>
              <w:rPr>
                <w:rFonts w:hint="eastAsia" w:ascii="宋体" w:hAnsi="宋体" w:cs="宋体"/>
                <w:b/>
                <w:bCs/>
                <w:color w:val="000000"/>
                <w:sz w:val="24"/>
              </w:rPr>
              <w:t xml:space="preserve">标段</w:t>
            </w:r>
            <w:r>
              <w:rPr>
                <w:rFonts w:hint="eastAsia" w:ascii="宋体" w:hAnsi="宋体" w:cs="宋体"/>
                <w:b/>
                <w:bCs/>
                <w:sz w:val="24"/>
              </w:rPr>
              <w:t xml:space="preserve">：</w:t>
            </w:r>
            <w:r>
              <w:rPr>
                <w:rFonts w:hint="eastAsia" w:ascii="宋体" w:hAnsi="宋体" w:cs="宋体"/>
                <w:sz w:val="24"/>
              </w:rPr>
              <w:t xml:space="preserve">投标人所投产品技术参数须完全满足招标文件参数要求得45分，其中加</w:t>
            </w:r>
            <w:r>
              <w:rPr>
                <w:rFonts w:hint="eastAsia" w:ascii="宋体" w:hAnsi="宋体" w:cs="宋体"/>
                <w:bCs/>
                <w:sz w:val="24"/>
              </w:rPr>
              <w:t xml:space="preserve">“★”部分为重点条款要求，每有一项不满足的扣2.4分；</w:t>
            </w:r>
            <w:r>
              <w:rPr>
                <w:rFonts w:hint="eastAsia" w:ascii="宋体" w:hAnsi="宋体" w:cs="宋体"/>
                <w:sz w:val="24"/>
              </w:rPr>
              <w:t xml:space="preserve">其它技术参数每有一项不满足扣0.1分，扣完为止。</w:t>
            </w:r>
            <w:r/>
          </w:p>
          <w:p>
            <w:pPr>
              <w:jc w:val="left"/>
              <w:widowControl/>
              <w:rPr>
                <w:rFonts w:ascii="宋体" w:hAnsi="宋体" w:cs="宋体"/>
                <w:b/>
                <w:bCs/>
                <w:sz w:val="24"/>
              </w:rPr>
            </w:pPr>
            <w:r>
              <w:rPr>
                <w:rFonts w:hint="eastAsia" w:ascii="宋体" w:hAnsi="宋体" w:cs="宋体"/>
                <w:b/>
                <w:bCs/>
                <w:sz w:val="24"/>
              </w:rPr>
              <w:t xml:space="preserve">注：</w:t>
            </w:r>
            <w:r/>
          </w:p>
          <w:p>
            <w:pPr>
              <w:jc w:val="left"/>
              <w:widowControl/>
              <w:rPr>
                <w:rFonts w:ascii="宋体" w:hAnsi="宋体" w:cs="宋体"/>
                <w:b/>
                <w:bCs/>
                <w:sz w:val="24"/>
              </w:rPr>
            </w:pPr>
            <w:r>
              <w:rPr>
                <w:rFonts w:hint="eastAsia" w:ascii="宋体" w:hAnsi="宋体" w:cs="宋体"/>
                <w:b/>
                <w:bCs/>
                <w:sz w:val="24"/>
              </w:rPr>
              <w:t xml:space="preserve">（1）本项目中加“★”部分的参数须提供证明材料,未按要求提供资料或资料无法支持参数内容，视为不得分；</w:t>
            </w:r>
            <w:r/>
          </w:p>
          <w:p>
            <w:pPr>
              <w:jc w:val="left"/>
              <w:widowControl/>
              <w:rPr>
                <w:rFonts w:ascii="宋体" w:hAnsi="宋体" w:cs="宋体"/>
                <w:b/>
                <w:bCs/>
                <w:sz w:val="24"/>
              </w:rPr>
            </w:pPr>
            <w:r>
              <w:rPr>
                <w:rFonts w:hint="eastAsia" w:ascii="宋体" w:hAnsi="宋体" w:cs="宋体"/>
                <w:b/>
                <w:bCs/>
                <w:sz w:val="24"/>
              </w:rPr>
              <w:t xml:space="preserve">（2）</w:t>
            </w:r>
            <w:r>
              <w:rPr>
                <w:rFonts w:hint="eastAsia" w:ascii="宋体" w:hAnsi="宋体" w:cs="宋体"/>
                <w:b/>
                <w:sz w:val="24"/>
              </w:rPr>
              <w:t xml:space="preserve">其它不加“★</w:t>
            </w:r>
            <w:r>
              <w:rPr>
                <w:rFonts w:hint="eastAsia" w:ascii="宋体" w:hAnsi="宋体" w:cs="宋体"/>
                <w:b/>
                <w:sz w:val="24"/>
                <w:lang w:val="zh-CN"/>
              </w:rPr>
              <w:t xml:space="preserve">”</w:t>
            </w:r>
            <w:r>
              <w:rPr>
                <w:rFonts w:hint="eastAsia" w:ascii="宋体" w:hAnsi="宋体" w:cs="宋体"/>
                <w:b/>
                <w:sz w:val="24"/>
              </w:rPr>
              <w:t xml:space="preserve">的技</w:t>
            </w:r>
            <w:r>
              <w:rPr>
                <w:rFonts w:hint="eastAsia" w:ascii="宋体" w:hAnsi="宋体" w:cs="宋体"/>
                <w:b/>
                <w:bCs/>
                <w:sz w:val="24"/>
              </w:rPr>
              <w:t xml:space="preserve">术参数采用技术部分正负偏离表（格式见招标文件附件）：填制正负偏离表，完全响应的，请以空白表列示；不完全响应的，必须在偏离表中列示；列示不全的，视同故意隐瞒。</w:t>
            </w:r>
            <w:r/>
          </w:p>
          <w:p>
            <w:pPr>
              <w:jc w:val="lef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zh-CN"/>
              </w:rPr>
              <w:t xml:space="preserve">技术参数中每一条的要求为一项；技术参数中要求提供证明材料的需在投标文件中注明对应页码和序号，便于评委审核。</w:t>
            </w:r>
            <w:r/>
          </w:p>
        </w:tc>
      </w:tr>
      <w:tr>
        <w:trPr>
          <w:jc w:val="center"/>
          <w:trHeight w:val="31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产品综合性能</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ascii="宋体" w:hAnsi="宋体" w:cs="宋体"/>
                <w:b/>
                <w:bCs/>
                <w:sz w:val="24"/>
              </w:rPr>
            </w:pPr>
            <w:r>
              <w:rPr>
                <w:rFonts w:hint="eastAsia" w:ascii="宋体" w:hAnsi="宋体" w:cs="宋体"/>
                <w:sz w:val="24"/>
              </w:rPr>
              <w:t xml:space="preserve">根据投标人拟提供所有产品综合性能：</w:t>
            </w:r>
            <w:r>
              <w:rPr>
                <w:rFonts w:hint="eastAsia" w:ascii="宋体" w:hAnsi="宋体" w:cs="宋体"/>
                <w:b/>
                <w:bCs/>
                <w:sz w:val="24"/>
                <w:lang w:val="zh-CN"/>
              </w:rPr>
              <w:t xml:space="preserve">包含但不限于设备选型、硬件配置、软件功能、制造工艺、平台技术及安全性、稳定性和操控性，结合投标文件提供的佐证材料等进行综合评审。</w:t>
            </w:r>
            <w:r/>
          </w:p>
          <w:p>
            <w:pPr>
              <w:jc w:val="left"/>
              <w:spacing w:line="320" w:lineRule="exact"/>
              <w:rPr>
                <w:rFonts w:ascii="宋体" w:hAnsi="宋体" w:cs="宋体"/>
                <w:sz w:val="24"/>
              </w:rPr>
            </w:pPr>
            <w:r>
              <w:rPr>
                <w:rFonts w:hint="eastAsia" w:ascii="宋体" w:hAnsi="宋体" w:cs="宋体"/>
                <w:sz w:val="24"/>
              </w:rPr>
              <w:t xml:space="preserve">①产品性能科学先进、质量可靠安全、制造工艺精制、产品成熟、耐久性强、具有安全性、稳定性和操控性得3分；</w:t>
            </w:r>
            <w:r/>
          </w:p>
          <w:p>
            <w:pPr>
              <w:jc w:val="left"/>
              <w:spacing w:line="320" w:lineRule="exact"/>
              <w:rPr>
                <w:rFonts w:ascii="宋体" w:hAnsi="宋体" w:cs="宋体"/>
                <w:sz w:val="24"/>
              </w:rPr>
            </w:pPr>
            <w:r>
              <w:rPr>
                <w:rFonts w:hint="eastAsia" w:ascii="宋体" w:hAnsi="宋体" w:cs="宋体"/>
                <w:sz w:val="24"/>
              </w:rPr>
              <w:t xml:space="preserve">②产品性能齐全、质量良好、制造工艺有欠缺、耐久性一般，有一定的安全性、稳定性和操控性得2分；</w:t>
            </w:r>
            <w:r/>
          </w:p>
          <w:p>
            <w:pPr>
              <w:jc w:val="left"/>
              <w:spacing w:line="320" w:lineRule="exact"/>
              <w:rPr>
                <w:rFonts w:ascii="宋体" w:hAnsi="宋体" w:cs="宋体"/>
                <w:sz w:val="24"/>
              </w:rPr>
            </w:pPr>
            <w:r>
              <w:rPr>
                <w:rFonts w:hint="eastAsia" w:ascii="宋体" w:hAnsi="宋体" w:cs="宋体"/>
                <w:sz w:val="24"/>
              </w:rPr>
              <w:t xml:space="preserve">③产品性能、质量一般、制造工艺粗糙，耐久性、安全性、稳定性和操控性差的得1分；</w:t>
            </w:r>
            <w:r/>
          </w:p>
          <w:p>
            <w:pPr>
              <w:jc w:val="left"/>
              <w:spacing w:line="320" w:lineRule="exact"/>
              <w:rPr>
                <w:rFonts w:ascii="宋体" w:hAnsi="宋体" w:cs="宋体"/>
                <w:b/>
                <w:bCs/>
                <w:sz w:val="24"/>
              </w:rPr>
            </w:pPr>
            <w:r>
              <w:rPr>
                <w:rFonts w:hint="eastAsia" w:ascii="宋体" w:hAnsi="宋体" w:cs="宋体"/>
                <w:sz w:val="24"/>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实施方案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ascii="宋体" w:hAnsi="宋体" w:cs="宋体"/>
                <w:b/>
                <w:bCs/>
                <w:sz w:val="24"/>
              </w:rPr>
            </w:pPr>
            <w:r>
              <w:rPr>
                <w:rFonts w:hint="eastAsia" w:ascii="宋体" w:hAnsi="宋体" w:cs="宋体"/>
                <w:b/>
                <w:bCs/>
                <w:sz w:val="24"/>
              </w:rPr>
              <w:t xml:space="preserve">投标人针对本项目提供实施方案，包括包装运输方案、进度计划、安装调试流程、安装调试技术重难点、安装调试</w:t>
            </w:r>
            <w:r>
              <w:rPr>
                <w:rFonts w:hint="eastAsia" w:ascii="宋体" w:hAnsi="宋体" w:cs="宋体"/>
                <w:b/>
                <w:bCs/>
                <w:sz w:val="24"/>
              </w:rPr>
              <w:t xml:space="preserve">人员安排。</w:t>
            </w:r>
            <w:r/>
          </w:p>
          <w:p>
            <w:pPr>
              <w:jc w:val="left"/>
              <w:rPr>
                <w:rFonts w:ascii="宋体" w:hAnsi="宋体" w:cs="宋体"/>
                <w:sz w:val="24"/>
              </w:rPr>
            </w:pPr>
            <w:r>
              <w:rPr>
                <w:rFonts w:hint="eastAsia" w:ascii="宋体" w:hAnsi="宋体" w:cs="宋体"/>
                <w:sz w:val="24"/>
              </w:rPr>
              <w:t xml:space="preserve">①包装运输方案完整合理，进度计划安排恰当能充分考虑现场因素，安装调试流程完善、技术重难点分析精确、人员安排得当的，能够有效的实施得2分。</w:t>
            </w:r>
            <w:r/>
          </w:p>
          <w:p>
            <w:pPr>
              <w:jc w:val="left"/>
              <w:rPr>
                <w:rFonts w:ascii="宋体" w:hAnsi="宋体" w:cs="宋体"/>
                <w:sz w:val="24"/>
              </w:rPr>
            </w:pPr>
            <w:r>
              <w:rPr>
                <w:rFonts w:hint="eastAsia" w:ascii="宋体" w:hAnsi="宋体" w:cs="宋体"/>
                <w:sz w:val="24"/>
              </w:rPr>
              <w:t xml:space="preserve">②包装运输方案、进度计划、安装调试流程、安装调试技术重难点、安装调试人员安排的内容有涉及但不完整，可以实施的得1分。</w:t>
            </w:r>
            <w:r/>
          </w:p>
          <w:p>
            <w:pPr>
              <w:jc w:val="left"/>
              <w:rPr>
                <w:rFonts w:ascii="宋体" w:hAnsi="宋体" w:cs="宋体"/>
                <w:sz w:val="24"/>
              </w:rPr>
            </w:pPr>
            <w:r>
              <w:rPr>
                <w:rFonts w:hint="eastAsia" w:ascii="宋体" w:hAnsi="宋体" w:cs="宋体"/>
                <w:sz w:val="24"/>
              </w:rPr>
              <w:t xml:space="preserve">③包装运输方案、进度计划、安装调试流程、安装调试技术重难点、安装调试人员安排的内容有缺失，实施有一定的难度，得0.5分；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④未提供的不得分。</w:t>
            </w:r>
            <w:r/>
          </w:p>
        </w:tc>
      </w:tr>
      <w:tr>
        <w:trPr>
          <w:jc w:val="center"/>
          <w:trHeight w:val="240"/>
        </w:trPr>
        <w:tc>
          <w:tcPr>
            <w:shd w:val="clear" w:color="000000" w:fill="ffffff"/>
            <w:tcBorders>
              <w:top w:val="single" w:color="000000" w:sz="4" w:space="0"/>
              <w:left w:val="single" w:color="000000" w:sz="4" w:space="0"/>
              <w:bottom w:val="single" w:color="auto"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auto" w:sz="4" w:space="0"/>
              <w:right w:val="single" w:color="000000"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培训方案</w:t>
            </w:r>
            <w:r/>
          </w:p>
        </w:tc>
        <w:tc>
          <w:tcPr>
            <w:tcBorders>
              <w:top w:val="single" w:color="000000" w:sz="4" w:space="0"/>
              <w:left w:val="single" w:color="000000" w:sz="4" w:space="0"/>
              <w:bottom w:val="single" w:color="auto" w:sz="4" w:space="0"/>
              <w:right w:val="none" w:color="000000"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auto" w:sz="4" w:space="0"/>
              <w:right w:val="single" w:color="000000" w:sz="4" w:space="0"/>
            </w:tcBorders>
            <w:tcW w:w="6672" w:type="dxa"/>
            <w:textDirection w:val="lrTb"/>
            <w:noWrap/>
          </w:tcPr>
          <w:p>
            <w:pPr>
              <w:jc w:val="left"/>
              <w:widowControl/>
              <w:rPr>
                <w:rFonts w:ascii="宋体" w:hAnsi="宋体" w:cs="宋体"/>
                <w:b/>
                <w:bCs/>
                <w:sz w:val="24"/>
              </w:rPr>
            </w:pPr>
            <w:r>
              <w:rPr>
                <w:rFonts w:hint="eastAsia" w:ascii="宋体" w:hAnsi="宋体" w:cs="宋体"/>
                <w:b/>
                <w:bCs/>
                <w:sz w:val="24"/>
              </w:rPr>
              <w:t xml:space="preserve">投标人针对本项目提供培训方案，包括培训内容、培训人员安排、培训周期、培训验收。</w:t>
            </w:r>
            <w:r/>
          </w:p>
          <w:p>
            <w:pPr>
              <w:rPr>
                <w:rFonts w:ascii="宋体" w:hAnsi="宋体" w:cs="宋体"/>
                <w:sz w:val="24"/>
              </w:rPr>
            </w:pPr>
            <w:r>
              <w:rPr>
                <w:rFonts w:hint="eastAsia" w:ascii="宋体" w:hAnsi="宋体" w:cs="宋体"/>
                <w:sz w:val="24"/>
              </w:rPr>
              <w:t xml:space="preserve">①方案详细、响应及时、服务体系完整，人员配备充分齐全、合理安排培训时间和地点,培训质量能得到充分的保证，紧急故障能够提前预防突发事件发生，能对此进行有效的应对处理，切实可行的得2分；</w:t>
            </w:r>
            <w:r/>
          </w:p>
          <w:p>
            <w:pPr>
              <w:rPr>
                <w:rFonts w:ascii="宋体" w:hAnsi="宋体" w:cs="宋体"/>
                <w:sz w:val="24"/>
              </w:rPr>
            </w:pPr>
            <w:r>
              <w:rPr>
                <w:rFonts w:hint="eastAsia" w:ascii="宋体" w:hAnsi="宋体" w:cs="宋体"/>
                <w:sz w:val="24"/>
              </w:rPr>
              <w:t xml:space="preserve">②方案详细、响应虽有滞后服务体系尚算完整，能基本确保业务稳定运行，人员安排得当、培训质量有保障的，对紧急故障有解决措施但有缺项，实施起来一般的得1分；</w:t>
            </w:r>
            <w:r/>
          </w:p>
          <w:p>
            <w:pPr>
              <w:rPr>
                <w:rFonts w:ascii="宋体" w:hAnsi="宋体" w:cs="宋体"/>
                <w:sz w:val="24"/>
              </w:rPr>
            </w:pPr>
            <w:r>
              <w:rPr>
                <w:rFonts w:hint="eastAsia" w:ascii="宋体" w:hAnsi="宋体" w:cs="宋体"/>
                <w:sz w:val="24"/>
              </w:rPr>
              <w:t xml:space="preserve">③方案笼统、响应滞后，人员安排不合理、培训质量无法保证的，服务体系虽完整，但缺乏有效保障业务稳定运行的措施的得0.5分；</w:t>
            </w:r>
            <w:r/>
          </w:p>
          <w:p>
            <w:pPr>
              <w:jc w:val="left"/>
              <w:widowControl/>
              <w:rPr>
                <w:rFonts w:ascii="宋体" w:hAnsi="宋体" w:cs="宋体"/>
                <w:sz w:val="24"/>
              </w:rPr>
            </w:pPr>
            <w:r>
              <w:rPr>
                <w:rFonts w:hint="eastAsia" w:ascii="宋体" w:hAnsi="宋体" w:cs="宋体"/>
                <w:sz w:val="24"/>
              </w:rPr>
              <w:t xml:space="preserve">④未提供不得分。</w:t>
            </w:r>
            <w:r/>
          </w:p>
        </w:tc>
      </w:tr>
      <w:tr>
        <w:trPr>
          <w:jc w:val="center"/>
          <w:trHeight w:val="73"/>
        </w:trPr>
        <w:tc>
          <w:tcPr>
            <w:shd w:val="clear" w:color="000000" w:fill="ffffff"/>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widowControl/>
              <w:rPr>
                <w:rFonts w:ascii="宋体" w:hAnsi="宋体" w:cs="宋体"/>
                <w:b/>
                <w:bCs/>
                <w:sz w:val="24"/>
              </w:rPr>
            </w:pPr>
            <w:r>
              <w:rPr>
                <w:rFonts w:hint="eastAsia" w:ascii="宋体" w:hAnsi="宋体" w:cs="宋体"/>
                <w:b/>
                <w:bCs/>
                <w:sz w:val="24"/>
              </w:rPr>
              <w:t xml:space="preserve">投标人针对本项目提供售后服务方案，包括售后服务内容、售后服务人员安排、售后服务响应、巡检制度、备品备件。</w:t>
            </w:r>
            <w:r/>
          </w:p>
          <w:p>
            <w:pPr>
              <w:jc w:val="left"/>
              <w:widowControl/>
              <w:rPr>
                <w:rFonts w:ascii="宋体" w:hAnsi="宋体" w:cs="宋体"/>
                <w:sz w:val="24"/>
              </w:rPr>
            </w:pPr>
            <w:r>
              <w:rPr>
                <w:rFonts w:hint="eastAsia" w:ascii="宋体" w:hAnsi="宋体" w:cs="宋体"/>
                <w:sz w:val="24"/>
              </w:rPr>
              <w:t xml:space="preserve">①方案详细完整、响应及时、人员安排齐全、服务体系完整、措施可靠，有健全的巡检制度、备品备件齐全，切实可行的得2分；</w:t>
            </w:r>
            <w:r/>
          </w:p>
          <w:p>
            <w:pPr>
              <w:jc w:val="left"/>
              <w:widowControl/>
              <w:rPr>
                <w:rFonts w:ascii="宋体" w:hAnsi="宋体" w:cs="宋体"/>
                <w:sz w:val="24"/>
              </w:rPr>
            </w:pPr>
            <w:r>
              <w:rPr>
                <w:rFonts w:hint="eastAsia" w:ascii="宋体" w:hAnsi="宋体" w:cs="宋体"/>
                <w:sz w:val="24"/>
              </w:rPr>
              <w:t xml:space="preserve">②方案合理、响应虽有滞后服务体系尚算完整，人员安排合理，能确保业务稳定运行，有充分的备品备件，得1分；</w:t>
            </w:r>
            <w:r/>
          </w:p>
          <w:p>
            <w:pPr>
              <w:jc w:val="left"/>
              <w:widowControl/>
              <w:rPr>
                <w:rFonts w:ascii="宋体" w:hAnsi="宋体" w:cs="宋体"/>
                <w:sz w:val="24"/>
              </w:rPr>
            </w:pPr>
            <w:r>
              <w:rPr>
                <w:rFonts w:hint="eastAsia" w:ascii="宋体" w:hAnsi="宋体" w:cs="宋体"/>
                <w:sz w:val="24"/>
              </w:rPr>
              <w:t xml:space="preserve">③方案笼统、响应滞后，服务体系虽完整，但缺乏有效保障业务稳定运行的措施，备品备件不充分得0.5分；未提供不得分。</w:t>
            </w:r>
            <w:r/>
          </w:p>
        </w:tc>
      </w:tr>
      <w:tr>
        <w:trPr>
          <w:jc w:val="center"/>
          <w:trHeight w:val="348"/>
        </w:trPr>
        <w:tc>
          <w:tcPr>
            <w:shd w:val="clear" w:color="000000" w:fill="ffffff"/>
            <w:tcBorders>
              <w:top w:val="single" w:color="auto" w:sz="4" w:space="0"/>
              <w:left w:val="single" w:color="auto" w:sz="4" w:space="0"/>
              <w:right w:val="single" w:color="000000" w:sz="4" w:space="0"/>
            </w:tcBorders>
            <w:tcW w:w="802" w:type="dxa"/>
            <w:vAlign w:val="center"/>
            <w:vMerge w:val="continue"/>
            <w:textDirection w:val="lrTb"/>
            <w:noWrap/>
          </w:tcPr>
          <w:p>
            <w:pPr>
              <w:pStyle w:val="963"/>
              <w:ind w:firstLine="0"/>
              <w:jc w:val="center"/>
              <w:spacing w:line="240" w:lineRule="auto"/>
              <w:rPr>
                <w:rFonts w:ascii="宋体" w:hAnsi="宋体" w:cs="宋体"/>
              </w:rPr>
            </w:pPr>
            <w:r>
              <w:rPr>
                <w:rFonts w:ascii="宋体" w:hAnsi="宋体" w:cs="宋体"/>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ascii="宋体" w:hAnsi="宋体" w:cs="宋体"/>
                <w:sz w:val="24"/>
              </w:rPr>
            </w:pPr>
            <w:r>
              <w:rPr>
                <w:rFonts w:hint="eastAsia" w:ascii="宋体" w:hAnsi="宋体" w:cs="宋体"/>
                <w:sz w:val="24"/>
              </w:rPr>
              <w:t xml:space="preserve">本次采购设备整体质保期要求为2年，投标人承诺在此基础上增加1年得1分，最多得2分。</w:t>
            </w:r>
            <w:r>
              <w:rPr>
                <w:rFonts w:hint="eastAsia" w:ascii="宋体" w:hAnsi="宋体" w:cs="宋体"/>
                <w:b/>
                <w:bCs/>
                <w:sz w:val="24"/>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963"/>
              <w:ind w:firstLine="0"/>
              <w:jc w:val="center"/>
              <w:spacing w:line="240" w:lineRule="auto"/>
              <w:rPr>
                <w:rFonts w:ascii="宋体" w:hAnsi="宋体" w:cs="宋体"/>
              </w:rPr>
            </w:pPr>
            <w:r>
              <w:rPr>
                <w:rFonts w:hint="eastAsia" w:ascii="宋体" w:hAnsi="宋体" w:cs="宋体"/>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963"/>
              <w:ind w:firstLine="0"/>
              <w:jc w:val="center"/>
              <w:spacing w:line="240" w:lineRule="auto"/>
              <w:rPr>
                <w:rFonts w:ascii="宋体" w:hAnsi="宋体" w:cs="宋体"/>
              </w:rPr>
            </w:pPr>
            <w:r>
              <w:rPr>
                <w:rFonts w:hint="eastAsia" w:ascii="宋体" w:hAnsi="宋体" w:cs="宋体"/>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ascii="宋体" w:hAnsi="宋体" w:cs="宋体"/>
                <w:sz w:val="24"/>
              </w:rPr>
            </w:pPr>
            <w:r>
              <w:rPr>
                <w:rFonts w:hint="eastAsia" w:ascii="宋体" w:hAnsi="宋体" w:cs="宋体"/>
                <w:sz w:val="24"/>
              </w:rPr>
              <w:t xml:space="preserve">投标人（或制造商）具有近三年以来（</w:t>
            </w:r>
            <w:r>
              <w:rPr>
                <w:rFonts w:hint="eastAsia" w:ascii="宋体" w:hAnsi="宋体"/>
                <w:sz w:val="24"/>
              </w:rPr>
              <w:t xml:space="preserve">投标截止日前推三</w:t>
            </w:r>
            <w:r>
              <w:rPr>
                <w:rFonts w:hint="eastAsia" w:ascii="宋体" w:hAnsi="宋体"/>
                <w:sz w:val="24"/>
              </w:rPr>
              <w:t xml:space="preserve">年，</w:t>
            </w:r>
            <w:r>
              <w:rPr>
                <w:rFonts w:hint="eastAsia" w:ascii="宋体" w:hAnsi="宋体" w:cs="宋体"/>
                <w:sz w:val="24"/>
              </w:rPr>
              <w:t xml:space="preserve">以合同签订时间为准）完成的，与本项目类似</w:t>
            </w:r>
            <w:r>
              <w:rPr>
                <w:rFonts w:hint="eastAsia" w:ascii="宋体" w:hAnsi="宋体" w:cs="宋体"/>
                <w:b/>
                <w:bCs/>
                <w:sz w:val="24"/>
              </w:rPr>
              <w:t xml:space="preserve">（每份业绩至少包含核心产品）</w:t>
            </w:r>
            <w:r>
              <w:rPr>
                <w:rFonts w:hint="eastAsia" w:ascii="宋体" w:hAnsi="宋体" w:cs="宋体"/>
                <w:sz w:val="24"/>
              </w:rPr>
              <w:t xml:space="preserve">的业绩，有一份得1.5分，满分3分。</w:t>
            </w:r>
            <w:r/>
          </w:p>
          <w:p>
            <w:pPr>
              <w:pStyle w:val="963"/>
              <w:ind w:firstLine="0"/>
              <w:spacing w:line="240" w:lineRule="auto"/>
              <w:rPr>
                <w:rFonts w:ascii="宋体" w:hAnsi="宋体" w:cs="宋体"/>
              </w:rPr>
            </w:pPr>
            <w:r>
              <w:rPr>
                <w:rFonts w:hint="eastAsia" w:ascii="宋体" w:hAnsi="宋体" w:cs="宋体"/>
                <w:b/>
                <w:bCs/>
              </w:rPr>
              <w:t xml:space="preserve">注：提供合同（须提供合同双方签署页及合同签署双方的完整信息）。</w:t>
            </w:r>
            <w:r/>
          </w:p>
        </w:tc>
      </w:tr>
      <w:tr>
        <w:trPr>
          <w:jc w:val="cente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963"/>
              <w:ind w:firstLine="0"/>
              <w:jc w:val="center"/>
              <w:spacing w:line="240" w:lineRule="auto"/>
              <w:rPr>
                <w:rFonts w:ascii="宋体" w:hAnsi="宋体" w:cs="宋体"/>
              </w:rPr>
            </w:pPr>
            <w:r>
              <w:rPr>
                <w:rFonts w:hint="eastAsia" w:ascii="宋体" w:hAnsi="宋体" w:cs="宋体"/>
              </w:rPr>
              <w:t xml:space="preserve">7</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节能</w:t>
            </w:r>
            <w:r/>
          </w:p>
          <w:p>
            <w:pPr>
              <w:jc w:val="center"/>
              <w:rPr>
                <w:rFonts w:ascii="宋体" w:hAnsi="宋体" w:cs="宋体"/>
                <w:sz w:val="24"/>
              </w:rPr>
            </w:pPr>
            <w:r>
              <w:rPr>
                <w:rFonts w:hint="eastAsia" w:ascii="宋体" w:hAnsi="宋体" w:cs="宋体"/>
                <w:sz w:val="24"/>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spacing w:line="320" w:lineRule="exact"/>
              <w:rPr>
                <w:rFonts w:ascii="宋体" w:hAnsi="宋体" w:cs="宋体"/>
                <w:sz w:val="24"/>
              </w:rPr>
            </w:pPr>
            <w:r>
              <w:rPr>
                <w:rFonts w:hint="eastAsia" w:ascii="宋体" w:hAnsi="宋体" w:cs="宋体"/>
                <w:sz w:val="24"/>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320" w:lineRule="exact"/>
              <w:rPr>
                <w:rFonts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3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914"/>
        <w:ind w:left="0" w:right="0" w:firstLine="560"/>
        <w:jc w:val="both"/>
        <w:spacing w:before="0" w:after="0"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备注：所涉及的相关证明材料均需上传原件的扫描件加盖投标人公章。如发现有弄虚作假的，作无效标处理，并报相关主管部门记不良行为一次；中标后，采购人有权对中标供应商提供的相关证明材料进行原件核实，发现有弄虚作假的，则取消其中标资格。</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w:t>
      </w:r>
      <w:r>
        <w:rPr>
          <w:rFonts w:eastAsia="方正仿宋_GBK"/>
          <w:bCs/>
          <w:sz w:val="28"/>
          <w:szCs w:val="28"/>
        </w:rPr>
        <w:t xml:space="preserve">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w:t>
      </w:r>
      <w:r>
        <w:rPr>
          <w:rFonts w:eastAsia="方正仿宋_GBK"/>
          <w:bCs/>
          <w:sz w:val="28"/>
          <w:szCs w:val="28"/>
        </w:rPr>
        <w:t xml:space="preserve">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32" w:name="_Hlk220575971"/>
      <w:r/>
      <w:r/>
    </w:p>
    <w:p>
      <w:pPr>
        <w:ind w:firstLine="570"/>
        <w:spacing w:line="500" w:lineRule="exact"/>
        <w:rPr>
          <w:rFonts w:eastAsia="方正仿宋_GBK"/>
          <w:b/>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eastAsia="方正仿宋_GBK"/>
          <w:b/>
          <w:sz w:val="28"/>
          <w:szCs w:val="28"/>
        </w:rPr>
        <w:t xml:space="preserve">本项目共四个标段，投标人可同时参与全部标段投标，但不得兼中。评标按一、二、三、四标段顺序依次开展，若投标人在前一标段被确定为第一中标候选人，则不再参与后续标段的中标候选人推荐。</w:t>
      </w:r>
      <w:r/>
    </w:p>
    <w:p>
      <w:pPr>
        <w:ind w:firstLine="570"/>
        <w:spacing w:line="500" w:lineRule="exact"/>
        <w:rPr>
          <w:rFonts w:eastAsia="方正仿宋_GBK"/>
          <w:bCs/>
          <w:sz w:val="28"/>
          <w:szCs w:val="28"/>
        </w:rPr>
      </w:pPr>
      <w:r>
        <w:rPr>
          <w:rFonts w:hint="eastAsia" w:eastAsia="方正仿宋_GBK"/>
          <w:b/>
          <w:sz w:val="28"/>
          <w:szCs w:val="28"/>
        </w:rPr>
        <w:t xml:space="preserve">若前一个标段因质疑、投诉等原因发生中标结果变更、取消的，不影响后续标段已完成的中标候选人推荐结果。</w:t>
      </w:r>
      <w:bookmarkEnd w:id="132"/>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一</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8"/>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三标段分项报价明细表（货物类）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1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690"/>
        <w:gridCol w:w="1350"/>
        <w:gridCol w:w="1170"/>
        <w:gridCol w:w="885"/>
        <w:gridCol w:w="930"/>
        <w:gridCol w:w="767"/>
        <w:gridCol w:w="886"/>
        <w:gridCol w:w="914"/>
        <w:gridCol w:w="1677"/>
        <w:gridCol w:w="980"/>
      </w:tblGrid>
      <w:tr>
        <w:trPr>
          <w:cantSplit/>
          <w:jc w:val="center"/>
          <w:trHeight w:val="812" w:hRule="exact"/>
        </w:trPr>
        <w:tc>
          <w:tcPr>
            <w:tcW w:w="112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w:t>
            </w:r>
            <w:r/>
          </w:p>
        </w:tc>
        <w:tc>
          <w:tcPr>
            <w:tcW w:w="69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3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仪器名称</w:t>
            </w:r>
            <w:r/>
          </w:p>
        </w:tc>
        <w:tc>
          <w:tcPr>
            <w:tcW w:w="117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设备参数</w:t>
            </w:r>
            <w:r/>
          </w:p>
        </w:tc>
        <w:tc>
          <w:tcPr>
            <w:tcW w:w="88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3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76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122" w:type="dxa"/>
            <w:vAlign w:val="center"/>
            <w:vMerge w:val="restart"/>
            <w:textDirection w:val="lrTb"/>
            <w:noWrap w:val="false"/>
          </w:tcPr>
          <w:p>
            <w:pPr>
              <w:jc w:val="center"/>
              <w:spacing w:line="300" w:lineRule="exact"/>
              <w:rPr>
                <w:rFonts w:eastAsia="仿宋_GB2312"/>
                <w:color w:val="000000"/>
                <w:szCs w:val="21"/>
                <w:highlight w:val="yellow"/>
              </w:rPr>
            </w:pPr>
            <w:r>
              <w:rPr>
                <w:rFonts w:hint="eastAsia" w:ascii="宋体" w:hAnsi="宋体" w:cs="宋体"/>
                <w:color w:val="000000"/>
                <w:sz w:val="20"/>
                <w:szCs w:val="20"/>
              </w:rPr>
              <w:t xml:space="preserve">纳米药物冻干（小试）设备</w:t>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医药级0.2平米研发冻干机</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冻干机真空置换成核控制器</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restart"/>
            <w:textDirection w:val="lrTb"/>
            <w:noWrap w:val="false"/>
          </w:tcPr>
          <w:p>
            <w:pPr>
              <w:jc w:val="center"/>
              <w:spacing w:line="360" w:lineRule="auto"/>
              <w:rPr>
                <w:rFonts w:eastAsia="仿宋_GB2312"/>
                <w:color w:val="000000"/>
                <w:szCs w:val="21"/>
                <w:highlight w:val="yellow"/>
              </w:rPr>
            </w:pPr>
            <w:r>
              <w:rPr>
                <w:rFonts w:hint="eastAsia" w:ascii="宋体" w:hAnsi="宋体" w:cs="宋体"/>
                <w:color w:val="000000"/>
                <w:sz w:val="20"/>
                <w:szCs w:val="20"/>
              </w:rPr>
              <w:t xml:space="preserve">纳米粒子检测</w:t>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纳米粒度与Zeta 电位仪</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多通道不溶性微粒仪</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高精度检测设备</w:t>
            </w:r>
            <w:r/>
          </w:p>
        </w:tc>
        <w:tc>
          <w:tcPr>
            <w:tcW w:w="69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库仑法水分仪</w:t>
            </w:r>
            <w:r/>
          </w:p>
        </w:tc>
        <w:tc>
          <w:tcPr>
            <w:tcW w:w="117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69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低温DSC（差示热量扫描仪）</w:t>
            </w:r>
            <w:r/>
          </w:p>
        </w:tc>
        <w:tc>
          <w:tcPr>
            <w:tcW w:w="117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69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高效液相色谱仪</w:t>
            </w:r>
            <w:r/>
          </w:p>
        </w:tc>
        <w:tc>
          <w:tcPr>
            <w:tcW w:w="117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69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350"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液相色谱-质谱-联用仪</w:t>
            </w:r>
            <w:r/>
          </w:p>
        </w:tc>
        <w:tc>
          <w:tcPr>
            <w:tcW w:w="117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gridSpan w:val="2"/>
            <w:tcW w:w="1812"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6902"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1"/>
            <w:tcW w:w="11371" w:type="dxa"/>
            <w:vAlign w:val="center"/>
            <w:textDirection w:val="lrTb"/>
            <w:noWrap w:val="false"/>
          </w:tcPr>
          <w:p>
            <w:pPr>
              <w:jc w:val="left"/>
              <w:spacing w:line="360" w:lineRule="auto"/>
              <w:rPr>
                <w:rFonts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w:t>
      </w:r>
      <w:r>
        <w:rPr>
          <w:rFonts w:hint="eastAsia" w:ascii="仿宋" w:hAnsi="仿宋" w:eastAsia="仿宋" w:cs="仿宋"/>
          <w:b/>
          <w:sz w:val="24"/>
        </w:rPr>
        <w:t xml:space="preserve">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四标段分项报价明细表（货物类）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1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690"/>
        <w:gridCol w:w="1350"/>
        <w:gridCol w:w="1170"/>
        <w:gridCol w:w="885"/>
        <w:gridCol w:w="930"/>
        <w:gridCol w:w="767"/>
        <w:gridCol w:w="886"/>
        <w:gridCol w:w="914"/>
        <w:gridCol w:w="1677"/>
        <w:gridCol w:w="980"/>
      </w:tblGrid>
      <w:tr>
        <w:trPr>
          <w:cantSplit/>
          <w:jc w:val="center"/>
          <w:trHeight w:val="657" w:hRule="exact"/>
        </w:trPr>
        <w:tc>
          <w:tcPr>
            <w:tcW w:w="112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w:t>
            </w:r>
            <w:r/>
          </w:p>
        </w:tc>
        <w:tc>
          <w:tcPr>
            <w:tcW w:w="69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3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仪器名称</w:t>
            </w:r>
            <w:r/>
          </w:p>
        </w:tc>
        <w:tc>
          <w:tcPr>
            <w:tcW w:w="117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设备参数</w:t>
            </w:r>
            <w:r/>
          </w:p>
        </w:tc>
        <w:tc>
          <w:tcPr>
            <w:tcW w:w="88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30" w:type="dxa"/>
            <w:vAlign w:val="center"/>
            <w:textDirection w:val="lrTb"/>
            <w:noWrap w:val="false"/>
          </w:tcPr>
          <w:p>
            <w:pPr>
              <w:jc w:val="center"/>
              <w:spacing w:line="300" w:lineRule="exact"/>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76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122" w:type="dxa"/>
            <w:vAlign w:val="center"/>
            <w:vMerge w:val="restart"/>
            <w:textDirection w:val="lrTb"/>
            <w:noWrap w:val="false"/>
          </w:tcPr>
          <w:p>
            <w:pPr>
              <w:jc w:val="center"/>
              <w:spacing w:line="300" w:lineRule="exact"/>
              <w:rPr>
                <w:rFonts w:eastAsia="仿宋_GB2312"/>
                <w:color w:val="000000"/>
                <w:szCs w:val="21"/>
                <w:highlight w:val="yellow"/>
              </w:rPr>
            </w:pPr>
            <w:r>
              <w:rPr>
                <w:rFonts w:hint="eastAsia" w:ascii="宋体" w:hAnsi="宋体" w:cs="宋体"/>
                <w:color w:val="000000"/>
                <w:sz w:val="20"/>
                <w:szCs w:val="20"/>
              </w:rPr>
              <w:t xml:space="preserve">发酵（中试）配套设备</w:t>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50 L一次性微生物反应系统</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 L微生物台式反应器</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30 L桌面式配液系统</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50 L储液系统（2-8℃保持）</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温度控制单元TCU</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sz w:val="20"/>
                <w:szCs w:val="20"/>
              </w:rPr>
              <w:t xml:space="preserve">碟片式离心机</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sz w:val="20"/>
                <w:szCs w:val="20"/>
              </w:rPr>
              <w:t xml:space="preserve">制药级无菌封管机</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3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sz w:val="20"/>
                <w:szCs w:val="20"/>
              </w:rPr>
              <w:t xml:space="preserve">制药级无菌接管机</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restart"/>
            <w:textDirection w:val="lrTb"/>
            <w:noWrap w:val="false"/>
          </w:tcPr>
          <w:p>
            <w:pPr>
              <w:jc w:val="center"/>
              <w:spacing w:line="360" w:lineRule="auto"/>
              <w:rPr>
                <w:rFonts w:eastAsia="仿宋_GB2312"/>
                <w:color w:val="000000"/>
                <w:szCs w:val="21"/>
                <w:highlight w:val="yellow"/>
              </w:rPr>
            </w:pPr>
            <w:r>
              <w:rPr>
                <w:rFonts w:hint="eastAsia" w:ascii="宋体" w:hAnsi="宋体" w:cs="宋体"/>
                <w:color w:val="000000"/>
                <w:sz w:val="20"/>
                <w:szCs w:val="20"/>
              </w:rPr>
              <w:t xml:space="preserve">纳米粒子检测</w:t>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W w:w="1350"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蛋白纯化系统</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69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1350"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超滤系统</w:t>
            </w:r>
            <w:r/>
          </w:p>
        </w:tc>
        <w:tc>
          <w:tcPr>
            <w:tcW w:w="1170" w:type="dxa"/>
            <w:vAlign w:val="center"/>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88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3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67"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886" w:type="dxa"/>
            <w:vAlign w:val="center"/>
            <w:textDirection w:val="lrTb"/>
            <w:noWrap w:val="false"/>
          </w:tcPr>
          <w:p>
            <w:pPr>
              <w:jc w:val="center"/>
              <w:spacing w:line="3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122"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专业制剂灌装冻干（中试）集成系统</w:t>
            </w:r>
            <w:r/>
          </w:p>
        </w:tc>
        <w:tc>
          <w:tcPr>
            <w:tcW w:w="690"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11</w:t>
            </w:r>
            <w:r/>
          </w:p>
        </w:tc>
        <w:tc>
          <w:tcPr>
            <w:tcW w:w="1350"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制剂灌装冻干集成系统</w:t>
            </w:r>
            <w:r/>
          </w:p>
        </w:tc>
        <w:tc>
          <w:tcPr>
            <w:tcW w:w="1170"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885"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930"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767"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套</w:t>
            </w:r>
            <w:r/>
          </w:p>
        </w:tc>
        <w:tc>
          <w:tcPr>
            <w:tcW w:w="886" w:type="dxa"/>
            <w:vAlign w:val="center"/>
            <w:textDirection w:val="lrTb"/>
            <w:noWrap w:val="false"/>
          </w:tcPr>
          <w:p>
            <w:pPr>
              <w:jc w:val="center"/>
              <w:spacing w:line="240" w:lineRule="exact"/>
              <w:rPr>
                <w:rFonts w:ascii="宋体" w:hAnsi="宋体" w:cs="宋体"/>
                <w:sz w:val="20"/>
                <w:szCs w:val="20"/>
              </w:rPr>
            </w:pPr>
            <w:r>
              <w:rPr>
                <w:rFonts w:hint="eastAsia" w:ascii="宋体" w:hAnsi="宋体" w:cs="宋体"/>
                <w:sz w:val="20"/>
                <w:szCs w:val="20"/>
              </w:rPr>
              <w:t xml:space="preserve">1</w:t>
            </w:r>
            <w:r/>
          </w:p>
        </w:tc>
        <w:tc>
          <w:tcPr>
            <w:tcW w:w="914"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1677" w:type="dxa"/>
            <w:vAlign w:val="center"/>
            <w:textDirection w:val="lrTb"/>
            <w:noWrap w:val="false"/>
          </w:tcPr>
          <w:p>
            <w:pPr>
              <w:jc w:val="center"/>
              <w:spacing w:line="240" w:lineRule="exact"/>
              <w:rPr>
                <w:rFonts w:ascii="宋体" w:hAnsi="宋体" w:cs="宋体"/>
                <w:sz w:val="20"/>
                <w:szCs w:val="20"/>
              </w:rPr>
            </w:pPr>
            <w:r>
              <w:rPr>
                <w:rFonts w:ascii="宋体" w:hAnsi="宋体" w:cs="宋体"/>
                <w:sz w:val="20"/>
                <w:szCs w:val="20"/>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gridSpan w:val="2"/>
            <w:tcW w:w="1812"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6902"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1"/>
            <w:tcW w:w="11371" w:type="dxa"/>
            <w:vAlign w:val="center"/>
            <w:textDirection w:val="lrTb"/>
            <w:noWrap w:val="false"/>
          </w:tcPr>
          <w:p>
            <w:pPr>
              <w:jc w:val="left"/>
              <w:spacing w:line="360" w:lineRule="auto"/>
              <w:rPr>
                <w:rFonts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将随中标（中标）结果公告进行公示。内容不实的，属于提供虚</w:t>
      </w:r>
      <w:r>
        <w:rPr>
          <w:rFonts w:hint="eastAsia" w:ascii="仿宋" w:hAnsi="仿宋" w:eastAsia="仿宋" w:cs="仿宋"/>
          <w:bCs/>
          <w:sz w:val="24"/>
          <w:lang w:val="zh-CN"/>
        </w:rPr>
        <w:t xml:space="preserve">假材料谋取中标、中标，依照《中华人民共和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ind w:firstLine="480"/>
        <w:spacing w:line="400" w:lineRule="exact"/>
        <w:rPr>
          <w:rFonts w:eastAsia="方正仿宋_GBK"/>
          <w:color w:val="000000"/>
          <w:sz w:val="24"/>
        </w:rPr>
      </w:pPr>
      <w:r>
        <w:rPr>
          <w:rFonts w:hint="eastAsia"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eastAsia="方正仿宋_GBK"/>
          <w:color w:val="000000"/>
          <w:sz w:val="24"/>
        </w:rPr>
        <w:t xml:space="preserve">（一）农、林、牧、渔业。营业收入</w:t>
      </w:r>
      <w:r>
        <w:rPr>
          <w:rFonts w:hint="eastAsia" w:eastAsia="方正仿宋_GBK"/>
          <w:color w:val="000000"/>
          <w:sz w:val="24"/>
        </w:rPr>
        <w:t xml:space="preserve">20000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500</w:t>
      </w:r>
      <w:r>
        <w:rPr>
          <w:rFonts w:hint="eastAsia" w:eastAsia="方正仿宋_GBK"/>
          <w:color w:val="000000"/>
          <w:sz w:val="24"/>
        </w:rPr>
        <w:t xml:space="preserve">万元及以上的为中型企业，营业收入</w:t>
      </w:r>
      <w:r>
        <w:rPr>
          <w:rFonts w:hint="eastAsia" w:eastAsia="方正仿宋_GBK"/>
          <w:color w:val="000000"/>
          <w:sz w:val="24"/>
        </w:rPr>
        <w:t xml:space="preserve">50</w:t>
      </w:r>
      <w:r>
        <w:rPr>
          <w:rFonts w:hint="eastAsia" w:eastAsia="方正仿宋_GBK"/>
          <w:color w:val="000000"/>
          <w:sz w:val="24"/>
        </w:rPr>
        <w:t xml:space="preserve">万元及以上的为小型企业，营业收入</w:t>
      </w:r>
      <w:r>
        <w:rPr>
          <w:rFonts w:hint="eastAsia" w:eastAsia="方正仿宋_GBK"/>
          <w:color w:val="000000"/>
          <w:sz w:val="24"/>
        </w:rPr>
        <w:t xml:space="preserve">50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（二）工业。从业人员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40000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300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300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（三）建筑业。营业收入</w:t>
      </w:r>
      <w:r>
        <w:rPr>
          <w:rFonts w:hint="eastAsia" w:eastAsia="方正仿宋_GBK"/>
          <w:color w:val="000000"/>
          <w:sz w:val="24"/>
        </w:rPr>
        <w:t xml:space="preserve">80000</w:t>
      </w:r>
      <w:r>
        <w:rPr>
          <w:rFonts w:hint="eastAsia" w:eastAsia="方正仿宋_GBK"/>
          <w:color w:val="000000"/>
          <w:sz w:val="24"/>
        </w:rPr>
        <w:t xml:space="preserve">万元以下或资产总额</w:t>
      </w:r>
      <w:r>
        <w:rPr>
          <w:rFonts w:hint="eastAsia" w:eastAsia="方正仿宋_GBK"/>
          <w:color w:val="000000"/>
          <w:sz w:val="24"/>
        </w:rPr>
        <w:t xml:space="preserve">80000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6000</w:t>
      </w:r>
      <w:r>
        <w:rPr>
          <w:rFonts w:hint="eastAsia" w:eastAsia="方正仿宋_GBK"/>
          <w:color w:val="000000"/>
          <w:sz w:val="24"/>
        </w:rPr>
        <w:t xml:space="preserve">万元及以上，且资产总额</w:t>
      </w:r>
      <w:r>
        <w:rPr>
          <w:rFonts w:hint="eastAsia" w:eastAsia="方正仿宋_GBK"/>
          <w:color w:val="000000"/>
          <w:sz w:val="24"/>
        </w:rPr>
        <w:t xml:space="preserve">5000</w:t>
      </w:r>
      <w:r>
        <w:rPr>
          <w:rFonts w:hint="eastAsia" w:eastAsia="方正仿宋_GBK"/>
          <w:color w:val="000000"/>
          <w:sz w:val="24"/>
        </w:rPr>
        <w:t xml:space="preserve">万元及以上的为中型企业；营业收入</w:t>
      </w:r>
      <w:r>
        <w:rPr>
          <w:rFonts w:hint="eastAsia" w:eastAsia="方正仿宋_GBK"/>
          <w:color w:val="000000"/>
          <w:sz w:val="24"/>
        </w:rPr>
        <w:t xml:space="preserve">300</w:t>
      </w:r>
      <w:r>
        <w:rPr>
          <w:rFonts w:hint="eastAsia" w:eastAsia="方正仿宋_GBK"/>
          <w:color w:val="000000"/>
          <w:sz w:val="24"/>
        </w:rPr>
        <w:t xml:space="preserve">万元及以上，且资产总额</w:t>
      </w:r>
      <w:r>
        <w:rPr>
          <w:rFonts w:hint="eastAsia" w:eastAsia="方正仿宋_GBK"/>
          <w:color w:val="000000"/>
          <w:sz w:val="24"/>
        </w:rPr>
        <w:t xml:space="preserve">300</w:t>
      </w:r>
      <w:r>
        <w:rPr>
          <w:rFonts w:hint="eastAsia" w:eastAsia="方正仿宋_GBK"/>
          <w:color w:val="000000"/>
          <w:sz w:val="24"/>
        </w:rPr>
        <w:t xml:space="preserve">万元及以上的为小型企业；营业收入</w:t>
      </w:r>
      <w:r>
        <w:rPr>
          <w:rFonts w:hint="eastAsia" w:eastAsia="方正仿宋_GBK"/>
          <w:color w:val="000000"/>
          <w:sz w:val="24"/>
        </w:rPr>
        <w:t xml:space="preserve">300</w:t>
      </w:r>
      <w:r>
        <w:rPr>
          <w:rFonts w:hint="eastAsia" w:eastAsia="方正仿宋_GBK"/>
          <w:color w:val="000000"/>
          <w:sz w:val="24"/>
        </w:rPr>
        <w:t xml:space="preserve">万元以下或资产总额</w:t>
      </w:r>
      <w:r>
        <w:rPr>
          <w:rFonts w:hint="eastAsia" w:eastAsia="方正仿宋_GBK"/>
          <w:color w:val="000000"/>
          <w:sz w:val="24"/>
        </w:rPr>
        <w:t xml:space="preserve">300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（四）批发业。从业人员</w:t>
      </w:r>
      <w:r>
        <w:rPr>
          <w:rFonts w:hint="eastAsia" w:eastAsia="方正仿宋_GBK"/>
          <w:color w:val="000000"/>
          <w:sz w:val="24"/>
        </w:rPr>
        <w:t xml:space="preserve">200</w:t>
      </w:r>
      <w:r>
        <w:rPr>
          <w:rFonts w:hint="eastAsia" w:eastAsia="方正仿宋_GBK"/>
          <w:color w:val="000000"/>
          <w:sz w:val="24"/>
        </w:rPr>
        <w:t xml:space="preserve">人以下或营业收入</w:t>
      </w:r>
      <w:r>
        <w:rPr>
          <w:rFonts w:hint="eastAsia" w:eastAsia="方正仿宋_GBK"/>
          <w:color w:val="000000"/>
          <w:sz w:val="24"/>
        </w:rPr>
        <w:t xml:space="preserve">40000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5000</w:t>
      </w:r>
      <w:r>
        <w:rPr>
          <w:rFonts w:hint="eastAsia" w:eastAsia="方正仿宋_GBK"/>
          <w:color w:val="000000"/>
          <w:sz w:val="24"/>
        </w:rPr>
        <w:t xml:space="preserve">万元及以上的为中型企业；从业人员</w:t>
      </w:r>
      <w:r>
        <w:rPr>
          <w:rFonts w:hint="eastAsia" w:eastAsia="方正仿宋_GBK"/>
          <w:color w:val="000000"/>
          <w:sz w:val="24"/>
        </w:rPr>
        <w:t xml:space="preserve">5</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万元及以上的为小型企业；从业人员</w:t>
      </w:r>
      <w:r>
        <w:rPr>
          <w:rFonts w:hint="eastAsia" w:eastAsia="方正仿宋_GBK"/>
          <w:color w:val="000000"/>
          <w:sz w:val="24"/>
        </w:rPr>
        <w:t xml:space="preserve">5</w:t>
      </w:r>
      <w:r>
        <w:rPr>
          <w:rFonts w:hint="eastAsia" w:eastAsia="方正仿宋_GBK"/>
          <w:color w:val="000000"/>
          <w:sz w:val="24"/>
        </w:rPr>
        <w:t xml:space="preserve">人以下或营业收入</w:t>
      </w:r>
      <w:r>
        <w:rPr>
          <w:rFonts w:hint="eastAsia" w:eastAsia="方正仿宋_GBK"/>
          <w:color w:val="000000"/>
          <w:sz w:val="24"/>
        </w:rPr>
        <w:t xml:space="preserve">1000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（五）零售业。从业人员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20000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50</w:t>
      </w:r>
      <w:r>
        <w:rPr>
          <w:rFonts w:hint="eastAsia" w:eastAsia="方正仿宋_GBK"/>
          <w:color w:val="000000"/>
          <w:sz w:val="24"/>
        </w:rPr>
        <w:t xml:space="preserve">人及以上，且营业收入</w:t>
      </w:r>
      <w:r>
        <w:rPr>
          <w:rFonts w:hint="eastAsia" w:eastAsia="方正仿宋_GBK"/>
          <w:color w:val="000000"/>
          <w:sz w:val="24"/>
        </w:rPr>
        <w:t xml:space="preserve">500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（六）交通运输业。从业人员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3000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200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200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（七）仓储业。从业人员</w:t>
      </w:r>
      <w:r>
        <w:rPr>
          <w:rFonts w:hint="eastAsia" w:eastAsia="方正仿宋_GBK"/>
          <w:color w:val="000000"/>
          <w:sz w:val="24"/>
        </w:rPr>
        <w:t xml:space="preserve">200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（八）邮政业。从业人员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w:t>
      </w:r>
      <w:r>
        <w:rPr>
          <w:rFonts w:hint="eastAsia" w:eastAsia="方正仿宋_GBK"/>
          <w:color w:val="000000"/>
          <w:sz w:val="24"/>
        </w:rPr>
        <w:t xml:space="preserve">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（九）住宿业。从业人员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（十）餐饮业。从业人员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（十一）信息传输业。从业人员</w:t>
      </w:r>
      <w:r>
        <w:rPr>
          <w:rFonts w:hint="eastAsia" w:eastAsia="方正仿宋_GBK"/>
          <w:color w:val="000000"/>
          <w:sz w:val="24"/>
        </w:rPr>
        <w:t xml:space="preserve">2000</w:t>
      </w:r>
      <w:r>
        <w:rPr>
          <w:rFonts w:hint="eastAsia" w:eastAsia="方正仿宋_GBK"/>
          <w:color w:val="000000"/>
          <w:sz w:val="24"/>
        </w:rPr>
        <w:t xml:space="preserve">人以下或营业收入</w:t>
      </w:r>
      <w:r>
        <w:rPr>
          <w:rFonts w:hint="eastAsia" w:eastAsia="方正仿宋_GBK"/>
          <w:color w:val="000000"/>
          <w:sz w:val="24"/>
        </w:rPr>
        <w:t xml:space="preserve">100000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（十二）软件和信息技术服务业。从业人员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50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50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（十三）房地产开发经营。营业收入</w:t>
      </w:r>
      <w:r>
        <w:rPr>
          <w:rFonts w:hint="eastAsia" w:eastAsia="方正仿宋_GBK"/>
          <w:color w:val="000000"/>
          <w:sz w:val="24"/>
        </w:rPr>
        <w:t xml:space="preserve">200000</w:t>
      </w:r>
      <w:r>
        <w:rPr>
          <w:rFonts w:hint="eastAsia" w:eastAsia="方正仿宋_GBK"/>
          <w:color w:val="000000"/>
          <w:sz w:val="24"/>
        </w:rPr>
        <w:t xml:space="preserve">万元以下或资产总额</w:t>
      </w:r>
      <w:r>
        <w:rPr>
          <w:rFonts w:hint="eastAsia" w:eastAsia="方正仿宋_GBK"/>
          <w:color w:val="000000"/>
          <w:sz w:val="24"/>
        </w:rPr>
        <w:t xml:space="preserve">10000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1000</w:t>
      </w:r>
      <w:r>
        <w:rPr>
          <w:rFonts w:hint="eastAsia" w:eastAsia="方正仿宋_GBK"/>
          <w:color w:val="000000"/>
          <w:sz w:val="24"/>
        </w:rPr>
        <w:t xml:space="preserve">万元及以上，且资产总额</w:t>
      </w:r>
      <w:r>
        <w:rPr>
          <w:rFonts w:hint="eastAsia" w:eastAsia="方正仿宋_GBK"/>
          <w:color w:val="000000"/>
          <w:sz w:val="24"/>
        </w:rPr>
        <w:t xml:space="preserve">5000</w:t>
      </w:r>
      <w:r>
        <w:rPr>
          <w:rFonts w:hint="eastAsia" w:eastAsia="方正仿宋_GBK"/>
          <w:color w:val="000000"/>
          <w:sz w:val="24"/>
        </w:rPr>
        <w:t xml:space="preserve">万元及以上的为中型企业；营业收入</w:t>
      </w:r>
      <w:r>
        <w:rPr>
          <w:rFonts w:hint="eastAsia" w:eastAsia="方正仿宋_GBK"/>
          <w:color w:val="000000"/>
          <w:sz w:val="24"/>
        </w:rPr>
        <w:t xml:space="preserve">100</w:t>
      </w:r>
      <w:r>
        <w:rPr>
          <w:rFonts w:hint="eastAsia" w:eastAsia="方正仿宋_GBK"/>
          <w:color w:val="000000"/>
          <w:sz w:val="24"/>
        </w:rPr>
        <w:t xml:space="preserve">万元及以上，且资产总额</w:t>
      </w:r>
      <w:r>
        <w:rPr>
          <w:rFonts w:hint="eastAsia" w:eastAsia="方正仿宋_GBK"/>
          <w:color w:val="000000"/>
          <w:sz w:val="24"/>
        </w:rPr>
        <w:t xml:space="preserve">2000</w:t>
      </w:r>
      <w:r>
        <w:rPr>
          <w:rFonts w:hint="eastAsia" w:eastAsia="方正仿宋_GBK"/>
          <w:color w:val="000000"/>
          <w:sz w:val="24"/>
        </w:rPr>
        <w:t xml:space="preserve">万元及以上的为小型企业；营业收入</w:t>
      </w:r>
      <w:r>
        <w:rPr>
          <w:rFonts w:hint="eastAsia" w:eastAsia="方正仿宋_GBK"/>
          <w:color w:val="000000"/>
          <w:sz w:val="24"/>
        </w:rPr>
        <w:t xml:space="preserve">100</w:t>
      </w:r>
      <w:r>
        <w:rPr>
          <w:rFonts w:hint="eastAsia" w:eastAsia="方正仿宋_GBK"/>
          <w:color w:val="000000"/>
          <w:sz w:val="24"/>
        </w:rPr>
        <w:t xml:space="preserve">万元以下或资产总额</w:t>
      </w:r>
      <w:r>
        <w:rPr>
          <w:rFonts w:hint="eastAsia" w:eastAsia="方正仿宋_GBK"/>
          <w:color w:val="000000"/>
          <w:sz w:val="24"/>
        </w:rPr>
        <w:t xml:space="preserve">2000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（十四）物业管理。从业人员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5000</w:t>
      </w:r>
      <w:r>
        <w:rPr>
          <w:rFonts w:hint="eastAsia" w:eastAsia="方正仿宋_GBK"/>
          <w:color w:val="000000"/>
          <w:sz w:val="24"/>
        </w:rPr>
        <w:t xml:space="preserve">万元以下的为中小微型企业。其中，从业人员</w:t>
      </w:r>
      <w:r/>
    </w:p>
    <w:p>
      <w:pPr>
        <w:ind w:firstLine="480"/>
        <w:spacing w:line="400" w:lineRule="exact"/>
        <w:rPr>
          <w:rFonts w:eastAsia="方正仿宋_GBK"/>
          <w:color w:val="000000"/>
          <w:sz w:val="24"/>
        </w:rPr>
      </w:pP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500</w:t>
      </w:r>
      <w:r>
        <w:rPr>
          <w:rFonts w:hint="eastAsia" w:eastAsia="方正仿宋_GBK"/>
          <w:color w:val="000000"/>
          <w:sz w:val="24"/>
        </w:rPr>
        <w:t xml:space="preserve">万元及以上的为小型企业；从业人员</w:t>
      </w:r>
      <w:r>
        <w:rPr>
          <w:rFonts w:hint="eastAsia" w:eastAsia="方正仿宋_GBK"/>
          <w:color w:val="000000"/>
          <w:sz w:val="24"/>
        </w:rPr>
        <w:t xml:space="preserve">100</w:t>
      </w:r>
      <w:r>
        <w:rPr>
          <w:rFonts w:hint="eastAsia" w:eastAsia="方正仿宋_GBK"/>
          <w:color w:val="000000"/>
          <w:sz w:val="24"/>
        </w:rPr>
        <w:t xml:space="preserve">人以下或营业收入</w:t>
      </w:r>
      <w:r>
        <w:rPr>
          <w:rFonts w:hint="eastAsia" w:eastAsia="方正仿宋_GBK"/>
          <w:color w:val="000000"/>
          <w:sz w:val="24"/>
        </w:rPr>
        <w:t xml:space="preserve">500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（十五）租赁和商务服务业。从业人员</w:t>
      </w:r>
      <w:r>
        <w:rPr>
          <w:rFonts w:hint="eastAsia" w:eastAsia="方正仿宋_GBK"/>
          <w:color w:val="000000"/>
          <w:sz w:val="24"/>
        </w:rPr>
        <w:t xml:space="preserve">300</w:t>
      </w:r>
      <w:r>
        <w:rPr>
          <w:rFonts w:hint="eastAsia" w:eastAsia="方正仿宋_GBK"/>
          <w:color w:val="000000"/>
          <w:sz w:val="24"/>
        </w:rPr>
        <w:t xml:space="preserve">人以下或资产总额</w:t>
      </w:r>
      <w:r>
        <w:rPr>
          <w:rFonts w:hint="eastAsia" w:eastAsia="方正仿宋_GBK"/>
          <w:color w:val="000000"/>
          <w:sz w:val="24"/>
        </w:rPr>
        <w:t xml:space="preserve">120000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人及以上，且资产总额</w:t>
      </w:r>
      <w:r>
        <w:rPr>
          <w:rFonts w:hint="eastAsia" w:eastAsia="方正仿宋_GBK"/>
          <w:color w:val="000000"/>
          <w:sz w:val="24"/>
        </w:rPr>
        <w:t xml:space="preserve">8000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人及以上，且资产总额</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人以下或资产总额</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eastAsia="方正仿宋_GBK"/>
          <w:color w:val="000000"/>
          <w:sz w:val="24"/>
        </w:rPr>
        <w:t xml:space="preserve">（十六）其他未列明行业。从业人员</w:t>
      </w:r>
      <w:r>
        <w:rPr>
          <w:rFonts w:hint="eastAsia" w:eastAsia="方正仿宋_GBK"/>
          <w:color w:val="000000"/>
          <w:sz w:val="24"/>
        </w:rPr>
        <w:t xml:space="preserve">300</w:t>
      </w:r>
      <w:r>
        <w:rPr>
          <w:rFonts w:hint="eastAsia" w:eastAsia="方正仿宋_GBK"/>
          <w:color w:val="000000"/>
          <w:sz w:val="24"/>
        </w:rPr>
        <w:t xml:space="preserve">人以下的为中小微型企业。其中，从业</w:t>
      </w:r>
      <w:r>
        <w:rPr>
          <w:rFonts w:hint="eastAsia" w:eastAsia="方正仿宋_GBK"/>
          <w:color w:val="000000"/>
          <w:sz w:val="24"/>
        </w:rPr>
        <w:t xml:space="preserve">人员</w:t>
      </w:r>
      <w:r>
        <w:rPr>
          <w:rFonts w:hint="eastAsia" w:eastAsia="方正仿宋_GBK"/>
          <w:color w:val="000000"/>
          <w:sz w:val="24"/>
        </w:rPr>
        <w:t xml:space="preserve">100</w:t>
      </w:r>
      <w:r>
        <w:rPr>
          <w:rFonts w:hint="eastAsia" w:eastAsia="方正仿宋_GBK"/>
          <w:color w:val="000000"/>
          <w:sz w:val="24"/>
        </w:rPr>
        <w:t xml:space="preserve">人及以上的为中型企业；从业人员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人以下的为微型企业。</w:t>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仿宋" w:hAnsi="仿宋" w:eastAsia="仿宋" w:cs="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）的规定，本单位为符合条件的残疾人福利性单位，且本单位参加（单位名称）采购编号为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8"/>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1</w:t>
      </w:r>
      <w:r>
        <w:rPr>
          <w:rFonts w:ascii="Times New Roman" w:hAnsi="Times New Roman" w:eastAsia="仿宋"/>
          <w:sz w:val="28"/>
          <w:szCs w:val="28"/>
        </w:rPr>
        <w:t xml:space="preserve">.</w:t>
      </w:r>
      <w:r>
        <w:rPr>
          <w:rFonts w:hint="eastAsia" w:ascii="Times New Roman" w:hAnsi="Times New Roman" w:eastAsia="仿宋"/>
          <w:sz w:val="28"/>
          <w:szCs w:val="28"/>
        </w:rPr>
        <w:t xml:space="preserve">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，供应商为残疾人福利性单位并提供本单位制造的货物，或者提供其他残疾人福利性单位制造的货物，必须提供此</w:t>
      </w:r>
      <w:r>
        <w:rPr>
          <w:rFonts w:ascii="Times New Roman" w:hAnsi="Times New Roman" w:eastAsia="仿宋"/>
          <w:sz w:val="28"/>
          <w:szCs w:val="28"/>
        </w:rPr>
        <w:t xml:space="preserve">声明函</w:t>
      </w:r>
      <w:r>
        <w:rPr>
          <w:rFonts w:hint="eastAsia" w:ascii="Times New Roman" w:hAnsi="Times New Roman" w:eastAsia="仿宋"/>
          <w:sz w:val="28"/>
          <w:szCs w:val="28"/>
        </w:rPr>
        <w:t xml:space="preserve">，</w:t>
      </w:r>
      <w:r>
        <w:rPr>
          <w:rFonts w:ascii="Times New Roman" w:hAnsi="Times New Roman" w:eastAsia="仿宋"/>
          <w:sz w:val="28"/>
          <w:szCs w:val="28"/>
        </w:rPr>
        <w:t xml:space="preserve">否则将</w:t>
      </w:r>
      <w:r>
        <w:rPr>
          <w:rFonts w:hint="eastAsia" w:ascii="Times New Roman" w:hAnsi="Times New Roman" w:eastAsia="仿宋"/>
          <w:sz w:val="28"/>
          <w:szCs w:val="28"/>
        </w:rPr>
        <w:t xml:space="preserve">不能</w:t>
      </w:r>
      <w:r>
        <w:rPr>
          <w:rFonts w:ascii="Times New Roman" w:hAnsi="Times New Roman" w:eastAsia="仿宋"/>
          <w:sz w:val="28"/>
          <w:szCs w:val="28"/>
        </w:rPr>
        <w:t xml:space="preserve">通过资格审查</w:t>
      </w:r>
      <w:r>
        <w:rPr>
          <w:rFonts w:hint="eastAsia" w:ascii="Times New Roman" w:hAnsi="Times New Roman" w:eastAsia="仿宋"/>
          <w:sz w:val="28"/>
          <w:szCs w:val="28"/>
        </w:rPr>
        <w:t xml:space="preserve">。</w:t>
      </w:r>
      <w:r/>
    </w:p>
    <w:p>
      <w:pPr>
        <w:pStyle w:val="878"/>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2. </w:t>
      </w:r>
      <w:r>
        <w:rPr>
          <w:rFonts w:hint="eastAsia" w:ascii="Times New Roman" w:hAnsi="Times New Roman" w:eastAsia="仿宋"/>
          <w:sz w:val="28"/>
          <w:szCs w:val="28"/>
        </w:rPr>
        <w:t xml:space="preserve">非专门面向中小微型企业采购的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，供应商如不提供此声明函，价格将不做相应扣除。</w:t>
      </w:r>
      <w:r/>
    </w:p>
    <w:p>
      <w:pPr>
        <w:pStyle w:val="878"/>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成交供应商为残疾人福利性单位的，此声明函将随中标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成交结果同时公告，接受社会监督。</w:t>
      </w:r>
      <w:r/>
    </w:p>
    <w:p>
      <w:pPr>
        <w:pStyle w:val="878"/>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供应商全称（加盖</w:t>
      </w:r>
      <w:r>
        <w:rPr>
          <w:rFonts w:hint="eastAsia" w:ascii="Times New Roman" w:hAnsi="Times New Roman" w:eastAsia="仿宋"/>
          <w:sz w:val="28"/>
          <w:szCs w:val="28"/>
        </w:rPr>
        <w:t xml:space="preserve">CA</w:t>
      </w:r>
      <w:r>
        <w:rPr>
          <w:rFonts w:hint="eastAsia" w:ascii="Times New Roman" w:hAnsi="Times New Roman" w:eastAsia="仿宋"/>
          <w:sz w:val="28"/>
          <w:szCs w:val="28"/>
        </w:rPr>
        <w:t xml:space="preserve">电子公章）：</w:t>
      </w:r>
      <w:r/>
    </w:p>
    <w:p>
      <w:pPr>
        <w:pStyle w:val="878"/>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日</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5"/>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1"/>
    <w:link w:val="852"/>
    <w:uiPriority w:val="9"/>
    <w:rPr>
      <w:rFonts w:ascii="Arial" w:hAnsi="Arial" w:eastAsia="Arial" w:cs="Arial"/>
      <w:sz w:val="40"/>
      <w:szCs w:val="40"/>
    </w:rPr>
  </w:style>
  <w:style w:type="character" w:styleId="688">
    <w:name w:val="Heading 2 Char"/>
    <w:basedOn w:val="861"/>
    <w:link w:val="853"/>
    <w:uiPriority w:val="9"/>
    <w:rPr>
      <w:rFonts w:ascii="Arial" w:hAnsi="Arial" w:eastAsia="Arial" w:cs="Arial"/>
      <w:sz w:val="34"/>
    </w:rPr>
  </w:style>
  <w:style w:type="character" w:styleId="689">
    <w:name w:val="Heading 3 Char"/>
    <w:basedOn w:val="861"/>
    <w:link w:val="854"/>
    <w:uiPriority w:val="9"/>
    <w:rPr>
      <w:rFonts w:ascii="Arial" w:hAnsi="Arial" w:eastAsia="Arial" w:cs="Arial"/>
      <w:sz w:val="30"/>
      <w:szCs w:val="30"/>
    </w:rPr>
  </w:style>
  <w:style w:type="character" w:styleId="690">
    <w:name w:val="Heading 4 Char"/>
    <w:basedOn w:val="861"/>
    <w:link w:val="855"/>
    <w:uiPriority w:val="9"/>
    <w:rPr>
      <w:rFonts w:ascii="Arial" w:hAnsi="Arial" w:eastAsia="Arial" w:cs="Arial"/>
      <w:b/>
      <w:bCs/>
      <w:sz w:val="26"/>
      <w:szCs w:val="26"/>
    </w:rPr>
  </w:style>
  <w:style w:type="character" w:styleId="691">
    <w:name w:val="Heading 5 Char"/>
    <w:basedOn w:val="861"/>
    <w:link w:val="856"/>
    <w:uiPriority w:val="9"/>
    <w:rPr>
      <w:rFonts w:ascii="Arial" w:hAnsi="Arial" w:eastAsia="Arial" w:cs="Arial"/>
      <w:b/>
      <w:bCs/>
      <w:sz w:val="24"/>
      <w:szCs w:val="24"/>
    </w:rPr>
  </w:style>
  <w:style w:type="character" w:styleId="692">
    <w:name w:val="Heading 6 Char"/>
    <w:basedOn w:val="861"/>
    <w:link w:val="857"/>
    <w:uiPriority w:val="9"/>
    <w:rPr>
      <w:rFonts w:ascii="Arial" w:hAnsi="Arial" w:eastAsia="Arial" w:cs="Arial"/>
      <w:b/>
      <w:bCs/>
      <w:sz w:val="22"/>
      <w:szCs w:val="22"/>
    </w:rPr>
  </w:style>
  <w:style w:type="character" w:styleId="693">
    <w:name w:val="Heading 7 Char"/>
    <w:basedOn w:val="861"/>
    <w:link w:val="858"/>
    <w:uiPriority w:val="9"/>
    <w:rPr>
      <w:rFonts w:ascii="Arial" w:hAnsi="Arial" w:eastAsia="Arial" w:cs="Arial"/>
      <w:b/>
      <w:bCs/>
      <w:i/>
      <w:iCs/>
      <w:sz w:val="22"/>
      <w:szCs w:val="22"/>
    </w:rPr>
  </w:style>
  <w:style w:type="character" w:styleId="694">
    <w:name w:val="Heading 8 Char"/>
    <w:basedOn w:val="861"/>
    <w:link w:val="859"/>
    <w:uiPriority w:val="9"/>
    <w:rPr>
      <w:rFonts w:ascii="Arial" w:hAnsi="Arial" w:eastAsia="Arial" w:cs="Arial"/>
      <w:i/>
      <w:iCs/>
      <w:sz w:val="22"/>
      <w:szCs w:val="22"/>
    </w:rPr>
  </w:style>
  <w:style w:type="character" w:styleId="695">
    <w:name w:val="Heading 9 Char"/>
    <w:basedOn w:val="861"/>
    <w:link w:val="860"/>
    <w:uiPriority w:val="9"/>
    <w:rPr>
      <w:rFonts w:ascii="Arial" w:hAnsi="Arial" w:eastAsia="Arial" w:cs="Arial"/>
      <w:i/>
      <w:iCs/>
      <w:sz w:val="21"/>
      <w:szCs w:val="21"/>
    </w:rPr>
  </w:style>
  <w:style w:type="paragraph" w:styleId="696">
    <w:name w:val="No Spacing"/>
    <w:uiPriority w:val="1"/>
    <w:qFormat/>
    <w:pPr>
      <w:spacing w:before="0" w:after="0" w:line="240" w:lineRule="auto"/>
    </w:pPr>
  </w:style>
  <w:style w:type="paragraph" w:styleId="697">
    <w:name w:val="Title"/>
    <w:basedOn w:val="851"/>
    <w:next w:val="851"/>
    <w:link w:val="698"/>
    <w:uiPriority w:val="10"/>
    <w:qFormat/>
    <w:pPr>
      <w:contextualSpacing/>
      <w:spacing w:before="300" w:after="200"/>
    </w:pPr>
    <w:rPr>
      <w:sz w:val="48"/>
      <w:szCs w:val="48"/>
    </w:rPr>
  </w:style>
  <w:style w:type="character" w:styleId="698">
    <w:name w:val="Title Char"/>
    <w:basedOn w:val="861"/>
    <w:link w:val="697"/>
    <w:uiPriority w:val="10"/>
    <w:rPr>
      <w:sz w:val="48"/>
      <w:szCs w:val="48"/>
    </w:rPr>
  </w:style>
  <w:style w:type="paragraph" w:styleId="699">
    <w:name w:val="Subtitle"/>
    <w:basedOn w:val="851"/>
    <w:next w:val="851"/>
    <w:link w:val="700"/>
    <w:uiPriority w:val="11"/>
    <w:qFormat/>
    <w:pPr>
      <w:spacing w:before="200" w:after="200"/>
    </w:pPr>
    <w:rPr>
      <w:sz w:val="24"/>
      <w:szCs w:val="24"/>
    </w:rPr>
  </w:style>
  <w:style w:type="character" w:styleId="700">
    <w:name w:val="Subtitle Char"/>
    <w:basedOn w:val="861"/>
    <w:link w:val="699"/>
    <w:uiPriority w:val="11"/>
    <w:rPr>
      <w:sz w:val="24"/>
      <w:szCs w:val="24"/>
    </w:rPr>
  </w:style>
  <w:style w:type="paragraph" w:styleId="701">
    <w:name w:val="Quote"/>
    <w:basedOn w:val="851"/>
    <w:next w:val="851"/>
    <w:link w:val="702"/>
    <w:uiPriority w:val="29"/>
    <w:qFormat/>
    <w:pPr>
      <w:ind w:left="720" w:right="720"/>
    </w:pPr>
    <w:rPr>
      <w:i/>
    </w:rPr>
  </w:style>
  <w:style w:type="character" w:styleId="702">
    <w:name w:val="Quote Char"/>
    <w:link w:val="701"/>
    <w:uiPriority w:val="29"/>
    <w:rPr>
      <w:i/>
    </w:rPr>
  </w:style>
  <w:style w:type="paragraph" w:styleId="703">
    <w:name w:val="Intense Quote"/>
    <w:basedOn w:val="851"/>
    <w:next w:val="85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61"/>
    <w:link w:val="874"/>
    <w:uiPriority w:val="99"/>
  </w:style>
  <w:style w:type="character" w:styleId="706">
    <w:name w:val="Footer Char"/>
    <w:basedOn w:val="861"/>
    <w:link w:val="873"/>
    <w:uiPriority w:val="99"/>
  </w:style>
  <w:style w:type="paragraph" w:styleId="707">
    <w:name w:val="Caption"/>
    <w:basedOn w:val="851"/>
    <w:next w:val="851"/>
    <w:uiPriority w:val="35"/>
    <w:semiHidden/>
    <w:unhideWhenUsed/>
    <w:qFormat/>
    <w:pPr>
      <w:spacing w:line="276" w:lineRule="auto"/>
    </w:pPr>
    <w:rPr>
      <w:b/>
      <w:bCs/>
      <w:color w:val="4f81bd" w:themeColor="accent1"/>
      <w:sz w:val="18"/>
      <w:szCs w:val="18"/>
    </w:rPr>
  </w:style>
  <w:style w:type="character" w:styleId="708">
    <w:name w:val="Caption Char"/>
    <w:basedOn w:val="707"/>
    <w:link w:val="873"/>
    <w:uiPriority w:val="99"/>
  </w:style>
  <w:style w:type="table" w:styleId="709">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5">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9">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7">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0">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4">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7">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1">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1">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5">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8">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2">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5">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9">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2">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6">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61"/>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61"/>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rPr>
      <w:sz w:val="21"/>
      <w:szCs w:val="24"/>
    </w:rPr>
  </w:style>
  <w:style w:type="paragraph" w:styleId="852">
    <w:name w:val="Heading 1"/>
    <w:basedOn w:val="851"/>
    <w:next w:val="851"/>
    <w:link w:val="885"/>
    <w:qFormat/>
    <w:pPr>
      <w:keepLines/>
      <w:keepNext/>
      <w:spacing w:before="340" w:after="330" w:line="578" w:lineRule="auto"/>
      <w:outlineLvl w:val="0"/>
    </w:pPr>
    <w:rPr>
      <w:b/>
      <w:bCs/>
      <w:sz w:val="44"/>
      <w:szCs w:val="44"/>
    </w:rPr>
  </w:style>
  <w:style w:type="paragraph" w:styleId="853">
    <w:name w:val="Heading 2"/>
    <w:basedOn w:val="851"/>
    <w:next w:val="851"/>
    <w:link w:val="886"/>
    <w:qFormat/>
    <w:pPr>
      <w:keepLines/>
      <w:keepNext/>
      <w:spacing w:before="260" w:after="260" w:line="416" w:lineRule="auto"/>
      <w:outlineLvl w:val="1"/>
    </w:pPr>
    <w:rPr>
      <w:rFonts w:ascii="Arial" w:hAnsi="Arial" w:eastAsia="黑体"/>
      <w:b/>
      <w:bCs/>
      <w:sz w:val="32"/>
      <w:szCs w:val="32"/>
    </w:rPr>
  </w:style>
  <w:style w:type="paragraph" w:styleId="854">
    <w:name w:val="Heading 3"/>
    <w:basedOn w:val="851"/>
    <w:next w:val="851"/>
    <w:link w:val="887"/>
    <w:qFormat/>
    <w:pPr>
      <w:keepLines/>
      <w:keepNext/>
      <w:spacing w:before="260" w:after="260" w:line="416" w:lineRule="auto"/>
      <w:outlineLvl w:val="2"/>
    </w:pPr>
    <w:rPr>
      <w:b/>
      <w:bCs/>
      <w:sz w:val="32"/>
      <w:szCs w:val="32"/>
    </w:rPr>
  </w:style>
  <w:style w:type="paragraph" w:styleId="855">
    <w:name w:val="Heading 4"/>
    <w:basedOn w:val="851"/>
    <w:next w:val="851"/>
    <w:link w:val="888"/>
    <w:qFormat/>
    <w:pPr>
      <w:jc w:val="center"/>
      <w:keepNext/>
      <w:outlineLvl w:val="3"/>
    </w:pPr>
    <w:rPr>
      <w:rFonts w:eastAsia="新宋体"/>
      <w:sz w:val="30"/>
      <w:szCs w:val="21"/>
    </w:rPr>
  </w:style>
  <w:style w:type="paragraph" w:styleId="856">
    <w:name w:val="Heading 5"/>
    <w:basedOn w:val="851"/>
    <w:next w:val="851"/>
    <w:link w:val="889"/>
    <w:qFormat/>
    <w:pPr>
      <w:keepLines/>
      <w:keepNext/>
      <w:spacing w:before="280" w:after="290" w:line="376" w:lineRule="auto"/>
      <w:outlineLvl w:val="4"/>
    </w:pPr>
    <w:rPr>
      <w:b/>
      <w:bCs/>
      <w:sz w:val="28"/>
      <w:szCs w:val="28"/>
    </w:rPr>
  </w:style>
  <w:style w:type="paragraph" w:styleId="857">
    <w:name w:val="Heading 6"/>
    <w:basedOn w:val="851"/>
    <w:next w:val="864"/>
    <w:link w:val="890"/>
    <w:qFormat/>
    <w:pPr>
      <w:jc w:val="center"/>
      <w:keepNext/>
      <w:outlineLvl w:val="5"/>
    </w:pPr>
    <w:rPr>
      <w:b/>
      <w:sz w:val="44"/>
      <w:szCs w:val="20"/>
    </w:rPr>
  </w:style>
  <w:style w:type="paragraph" w:styleId="858">
    <w:name w:val="Heading 7"/>
    <w:basedOn w:val="851"/>
    <w:next w:val="851"/>
    <w:link w:val="892"/>
    <w:qFormat/>
    <w:pPr>
      <w:keepLines/>
      <w:keepNext/>
      <w:spacing w:before="240" w:after="64" w:line="320" w:lineRule="auto"/>
      <w:outlineLvl w:val="6"/>
    </w:pPr>
    <w:rPr>
      <w:b/>
      <w:bCs/>
      <w:sz w:val="24"/>
    </w:rPr>
  </w:style>
  <w:style w:type="paragraph" w:styleId="859">
    <w:name w:val="Heading 8"/>
    <w:basedOn w:val="851"/>
    <w:next w:val="851"/>
    <w:link w:val="893"/>
    <w:qFormat/>
    <w:pPr>
      <w:keepLines/>
      <w:keepNext/>
      <w:spacing w:before="240" w:after="64" w:line="320" w:lineRule="auto"/>
      <w:outlineLvl w:val="7"/>
    </w:pPr>
    <w:rPr>
      <w:rFonts w:ascii="Arial" w:hAnsi="Arial" w:eastAsia="黑体"/>
      <w:sz w:val="24"/>
    </w:rPr>
  </w:style>
  <w:style w:type="paragraph" w:styleId="860">
    <w:name w:val="Heading 9"/>
    <w:basedOn w:val="851"/>
    <w:next w:val="851"/>
    <w:link w:val="894"/>
    <w:qFormat/>
    <w:pPr>
      <w:keepLines/>
      <w:keepNext/>
      <w:spacing w:before="240" w:after="64" w:line="320" w:lineRule="auto"/>
      <w:outlineLvl w:val="8"/>
    </w:pPr>
    <w:rPr>
      <w:rFonts w:ascii="Arial" w:hAnsi="Arial" w:eastAsia="黑体"/>
      <w:sz w:val="24"/>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Normal Indent"/>
    <w:basedOn w:val="851"/>
    <w:link w:val="891"/>
    <w:qFormat/>
    <w:pPr>
      <w:ind w:firstLine="420"/>
    </w:pPr>
    <w:rPr>
      <w:sz w:val="20"/>
      <w:szCs w:val="20"/>
    </w:rPr>
  </w:style>
  <w:style w:type="paragraph" w:styleId="865">
    <w:name w:val="Document Map"/>
    <w:basedOn w:val="851"/>
    <w:link w:val="895"/>
    <w:semiHidden/>
    <w:qFormat/>
    <w:pPr>
      <w:shd w:val="clear" w:color="auto" w:fill="000080"/>
    </w:pPr>
    <w:rPr>
      <w:sz w:val="20"/>
    </w:rPr>
  </w:style>
  <w:style w:type="paragraph" w:styleId="866">
    <w:name w:val="Body Text 3"/>
    <w:basedOn w:val="851"/>
    <w:link w:val="896"/>
    <w:qFormat/>
    <w:pPr>
      <w:spacing w:after="120"/>
    </w:pPr>
    <w:rPr>
      <w:sz w:val="16"/>
      <w:szCs w:val="16"/>
    </w:rPr>
  </w:style>
  <w:style w:type="paragraph" w:styleId="867">
    <w:name w:val="Body Text"/>
    <w:basedOn w:val="851"/>
    <w:link w:val="897"/>
    <w:qFormat/>
    <w:rPr>
      <w:rFonts w:ascii="仿宋_GB2312" w:eastAsia="仿宋_GB2312"/>
      <w:sz w:val="24"/>
      <w:szCs w:val="20"/>
    </w:rPr>
  </w:style>
  <w:style w:type="paragraph" w:styleId="868">
    <w:name w:val="Body Text Indent"/>
    <w:basedOn w:val="851"/>
    <w:link w:val="898"/>
    <w:qFormat/>
    <w:pPr>
      <w:ind w:left="765"/>
    </w:pPr>
    <w:rPr>
      <w:rFonts w:ascii="仿宋_GB2312" w:eastAsia="仿宋_GB2312"/>
      <w:sz w:val="28"/>
      <w:szCs w:val="20"/>
    </w:rPr>
  </w:style>
  <w:style w:type="paragraph" w:styleId="869">
    <w:name w:val="Plain Text"/>
    <w:basedOn w:val="851"/>
    <w:link w:val="899"/>
    <w:qFormat/>
    <w:rPr>
      <w:rFonts w:ascii="宋体" w:hAnsi="Courier New"/>
      <w:sz w:val="20"/>
      <w:szCs w:val="21"/>
    </w:rPr>
  </w:style>
  <w:style w:type="paragraph" w:styleId="870">
    <w:name w:val="Date"/>
    <w:basedOn w:val="851"/>
    <w:next w:val="851"/>
    <w:link w:val="900"/>
    <w:qFormat/>
    <w:rPr>
      <w:sz w:val="24"/>
      <w:szCs w:val="20"/>
    </w:rPr>
  </w:style>
  <w:style w:type="paragraph" w:styleId="871">
    <w:name w:val="Body Text Indent 2"/>
    <w:basedOn w:val="851"/>
    <w:link w:val="901"/>
    <w:qFormat/>
    <w:pPr>
      <w:ind w:firstLine="560"/>
      <w:spacing w:line="500" w:lineRule="exact"/>
    </w:pPr>
    <w:rPr>
      <w:rFonts w:eastAsia="仿宋_GB2312"/>
      <w:sz w:val="28"/>
      <w:szCs w:val="20"/>
    </w:rPr>
  </w:style>
  <w:style w:type="paragraph" w:styleId="872">
    <w:name w:val="Balloon Text"/>
    <w:basedOn w:val="851"/>
    <w:link w:val="902"/>
    <w:semiHidden/>
    <w:qFormat/>
    <w:rPr>
      <w:sz w:val="18"/>
      <w:szCs w:val="18"/>
    </w:rPr>
  </w:style>
  <w:style w:type="paragraph" w:styleId="873">
    <w:name w:val="Footer"/>
    <w:basedOn w:val="851"/>
    <w:link w:val="903"/>
    <w:uiPriority w:val="99"/>
    <w:qFormat/>
    <w:pPr>
      <w:jc w:val="left"/>
      <w:tabs>
        <w:tab w:val="center" w:pos="4153" w:leader="none"/>
        <w:tab w:val="right" w:pos="8306" w:leader="none"/>
      </w:tabs>
    </w:pPr>
    <w:rPr>
      <w:sz w:val="18"/>
      <w:szCs w:val="20"/>
    </w:rPr>
  </w:style>
  <w:style w:type="paragraph" w:styleId="874">
    <w:name w:val="Header"/>
    <w:basedOn w:val="851"/>
    <w:link w:val="904"/>
    <w:qFormat/>
    <w:pPr>
      <w:jc w:val="center"/>
      <w:tabs>
        <w:tab w:val="center" w:pos="4153" w:leader="none"/>
        <w:tab w:val="right" w:pos="8306" w:leader="none"/>
      </w:tabs>
      <w:pBdr>
        <w:bottom w:val="single" w:color="auto" w:sz="6" w:space="1"/>
      </w:pBdr>
    </w:pPr>
    <w:rPr>
      <w:sz w:val="18"/>
      <w:szCs w:val="18"/>
    </w:rPr>
  </w:style>
  <w:style w:type="paragraph" w:styleId="875">
    <w:name w:val="List"/>
    <w:basedOn w:val="851"/>
    <w:qFormat/>
    <w:pPr>
      <w:ind w:left="200" w:hanging="200"/>
    </w:pPr>
  </w:style>
  <w:style w:type="paragraph" w:styleId="876">
    <w:name w:val="Body Text Indent 3"/>
    <w:basedOn w:val="851"/>
    <w:link w:val="906"/>
    <w:qFormat/>
    <w:pPr>
      <w:ind w:left="420"/>
      <w:spacing w:after="120"/>
    </w:pPr>
    <w:rPr>
      <w:sz w:val="16"/>
      <w:szCs w:val="16"/>
    </w:rPr>
  </w:style>
  <w:style w:type="paragraph" w:styleId="877">
    <w:name w:val="Body Text 2"/>
    <w:basedOn w:val="851"/>
    <w:link w:val="907"/>
    <w:qFormat/>
    <w:rPr>
      <w:b/>
      <w:bCs/>
      <w:sz w:val="18"/>
    </w:rPr>
  </w:style>
  <w:style w:type="paragraph" w:styleId="878">
    <w:name w:val="Normal (Web)"/>
    <w:basedOn w:val="851"/>
    <w:qFormat/>
    <w:pPr>
      <w:jc w:val="left"/>
      <w:spacing w:before="100" w:beforeAutospacing="1" w:after="100" w:afterAutospacing="1"/>
      <w:widowControl/>
    </w:pPr>
    <w:rPr>
      <w:rFonts w:ascii="宋体" w:hAnsi="宋体"/>
      <w:color w:val="000000"/>
      <w:sz w:val="24"/>
    </w:rPr>
  </w:style>
  <w:style w:type="table" w:styleId="879">
    <w:name w:val="Table Grid"/>
    <w:basedOn w:val="8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qFormat/>
    <w:rPr>
      <w:b/>
      <w:bCs/>
    </w:rPr>
  </w:style>
  <w:style w:type="character" w:styleId="881">
    <w:name w:val="page number"/>
    <w:qFormat/>
  </w:style>
  <w:style w:type="character" w:styleId="882">
    <w:name w:val="FollowedHyperlink"/>
    <w:qFormat/>
    <w:rPr>
      <w:color w:val="800080"/>
      <w:u w:val="single"/>
    </w:rPr>
  </w:style>
  <w:style w:type="character" w:styleId="883">
    <w:name w:val="Emphasis"/>
    <w:qFormat/>
    <w:rPr>
      <w:i/>
    </w:rPr>
  </w:style>
  <w:style w:type="character" w:styleId="884">
    <w:name w:val="Hyperlink"/>
    <w:qFormat/>
    <w:rPr>
      <w:color w:val="0000ff"/>
      <w:u w:val="single"/>
    </w:rPr>
  </w:style>
  <w:style w:type="character" w:styleId="885" w:customStyle="1">
    <w:name w:val="标题 1 字符"/>
    <w:link w:val="852"/>
    <w:qFormat/>
    <w:rPr>
      <w:rFonts w:ascii="Times New Roman" w:hAnsi="Times New Roman" w:eastAsia="宋体" w:cs="Times New Roman"/>
      <w:b/>
      <w:bCs/>
      <w:sz w:val="44"/>
      <w:szCs w:val="44"/>
    </w:rPr>
  </w:style>
  <w:style w:type="character" w:styleId="886" w:customStyle="1">
    <w:name w:val="标题 2 字符"/>
    <w:link w:val="853"/>
    <w:qFormat/>
    <w:rPr>
      <w:rFonts w:ascii="Arial" w:hAnsi="Arial" w:eastAsia="黑体" w:cs="Times New Roman"/>
      <w:b/>
      <w:bCs/>
      <w:sz w:val="32"/>
      <w:szCs w:val="32"/>
    </w:rPr>
  </w:style>
  <w:style w:type="character" w:styleId="887" w:customStyle="1">
    <w:name w:val="标题 3 字符"/>
    <w:link w:val="854"/>
    <w:qFormat/>
    <w:rPr>
      <w:rFonts w:ascii="Times New Roman" w:hAnsi="Times New Roman" w:eastAsia="宋体" w:cs="Times New Roman"/>
      <w:b/>
      <w:bCs/>
      <w:sz w:val="32"/>
      <w:szCs w:val="32"/>
    </w:rPr>
  </w:style>
  <w:style w:type="character" w:styleId="888" w:customStyle="1">
    <w:name w:val="标题 4 字符"/>
    <w:link w:val="855"/>
    <w:qFormat/>
    <w:rPr>
      <w:rFonts w:ascii="Times New Roman" w:hAnsi="Times New Roman" w:eastAsia="新宋体" w:cs="Times New Roman"/>
      <w:sz w:val="30"/>
      <w:szCs w:val="21"/>
    </w:rPr>
  </w:style>
  <w:style w:type="character" w:styleId="889" w:customStyle="1">
    <w:name w:val="标题 5 字符"/>
    <w:link w:val="856"/>
    <w:qFormat/>
    <w:rPr>
      <w:rFonts w:ascii="Times New Roman" w:hAnsi="Times New Roman" w:eastAsia="宋体" w:cs="Times New Roman"/>
      <w:b/>
      <w:bCs/>
      <w:sz w:val="28"/>
      <w:szCs w:val="28"/>
    </w:rPr>
  </w:style>
  <w:style w:type="character" w:styleId="890" w:customStyle="1">
    <w:name w:val="标题 6 字符"/>
    <w:link w:val="857"/>
    <w:qFormat/>
    <w:rPr>
      <w:rFonts w:ascii="Times New Roman" w:hAnsi="Times New Roman" w:eastAsia="宋体" w:cs="Times New Roman"/>
      <w:b/>
      <w:sz w:val="44"/>
      <w:szCs w:val="20"/>
    </w:rPr>
  </w:style>
  <w:style w:type="character" w:styleId="891" w:customStyle="1">
    <w:name w:val="正文缩进 字符"/>
    <w:link w:val="864"/>
    <w:qFormat/>
    <w:rPr>
      <w:rFonts w:ascii="Times New Roman" w:hAnsi="Times New Roman" w:eastAsia="宋体" w:cs="Times New Roman"/>
      <w:sz w:val="20"/>
      <w:szCs w:val="20"/>
    </w:rPr>
  </w:style>
  <w:style w:type="character" w:styleId="892" w:customStyle="1">
    <w:name w:val="标题 7 字符"/>
    <w:link w:val="858"/>
    <w:qFormat/>
    <w:rPr>
      <w:rFonts w:ascii="Times New Roman" w:hAnsi="Times New Roman" w:eastAsia="宋体" w:cs="Times New Roman"/>
      <w:b/>
      <w:bCs/>
      <w:sz w:val="24"/>
      <w:szCs w:val="24"/>
    </w:rPr>
  </w:style>
  <w:style w:type="character" w:styleId="893" w:customStyle="1">
    <w:name w:val="标题 8 字符"/>
    <w:link w:val="859"/>
    <w:qFormat/>
    <w:rPr>
      <w:rFonts w:ascii="Arial" w:hAnsi="Arial" w:eastAsia="黑体" w:cs="Times New Roman"/>
      <w:sz w:val="24"/>
      <w:szCs w:val="24"/>
    </w:rPr>
  </w:style>
  <w:style w:type="character" w:styleId="894" w:customStyle="1">
    <w:name w:val="标题 9 字符"/>
    <w:link w:val="860"/>
    <w:qFormat/>
    <w:rPr>
      <w:rFonts w:ascii="Arial" w:hAnsi="Arial" w:eastAsia="黑体" w:cs="Times New Roman"/>
      <w:sz w:val="24"/>
      <w:szCs w:val="21"/>
    </w:rPr>
  </w:style>
  <w:style w:type="character" w:styleId="895" w:customStyle="1">
    <w:name w:val="文档结构图 字符"/>
    <w:link w:val="865"/>
    <w:semiHidden/>
    <w:qFormat/>
    <w:rPr>
      <w:szCs w:val="24"/>
      <w:shd w:val="clear" w:color="auto" w:fill="000080"/>
    </w:rPr>
  </w:style>
  <w:style w:type="character" w:styleId="896" w:customStyle="1">
    <w:name w:val="正文文本 3 字符"/>
    <w:link w:val="866"/>
    <w:qFormat/>
    <w:rPr>
      <w:rFonts w:ascii="Times New Roman" w:hAnsi="Times New Roman" w:eastAsia="宋体" w:cs="Times New Roman"/>
      <w:sz w:val="16"/>
      <w:szCs w:val="16"/>
    </w:rPr>
  </w:style>
  <w:style w:type="character" w:styleId="897" w:customStyle="1">
    <w:name w:val="正文文本 字符"/>
    <w:link w:val="867"/>
    <w:qFormat/>
    <w:rPr>
      <w:rFonts w:ascii="仿宋_GB2312" w:hAnsi="Times New Roman" w:eastAsia="仿宋_GB2312" w:cs="Times New Roman"/>
      <w:sz w:val="24"/>
      <w:szCs w:val="20"/>
    </w:rPr>
  </w:style>
  <w:style w:type="character" w:styleId="898" w:customStyle="1">
    <w:name w:val="正文文本缩进 字符"/>
    <w:link w:val="868"/>
    <w:qFormat/>
    <w:rPr>
      <w:rFonts w:ascii="仿宋_GB2312" w:hAnsi="Times New Roman" w:eastAsia="仿宋_GB2312" w:cs="Times New Roman"/>
      <w:sz w:val="28"/>
      <w:szCs w:val="20"/>
    </w:rPr>
  </w:style>
  <w:style w:type="character" w:styleId="899" w:customStyle="1">
    <w:name w:val="纯文本 字符"/>
    <w:link w:val="869"/>
    <w:qFormat/>
    <w:rPr>
      <w:rFonts w:ascii="宋体" w:hAnsi="Courier New" w:eastAsia="宋体" w:cs="Courier New"/>
      <w:szCs w:val="21"/>
    </w:rPr>
  </w:style>
  <w:style w:type="character" w:styleId="900" w:customStyle="1">
    <w:name w:val="日期 字符"/>
    <w:link w:val="870"/>
    <w:qFormat/>
    <w:rPr>
      <w:rFonts w:ascii="Times New Roman" w:hAnsi="Times New Roman" w:eastAsia="宋体" w:cs="Times New Roman"/>
      <w:sz w:val="24"/>
      <w:szCs w:val="20"/>
    </w:rPr>
  </w:style>
  <w:style w:type="character" w:styleId="901" w:customStyle="1">
    <w:name w:val="正文文本缩进 2 字符"/>
    <w:link w:val="871"/>
    <w:qFormat/>
    <w:rPr>
      <w:rFonts w:ascii="Times New Roman" w:hAnsi="Times New Roman" w:eastAsia="仿宋_GB2312" w:cs="Times New Roman"/>
      <w:sz w:val="28"/>
      <w:szCs w:val="20"/>
    </w:rPr>
  </w:style>
  <w:style w:type="character" w:styleId="902" w:customStyle="1">
    <w:name w:val="批注框文本 字符"/>
    <w:link w:val="872"/>
    <w:semiHidden/>
    <w:qFormat/>
    <w:rPr>
      <w:sz w:val="18"/>
      <w:szCs w:val="18"/>
    </w:rPr>
  </w:style>
  <w:style w:type="character" w:styleId="903" w:customStyle="1">
    <w:name w:val="页脚 字符"/>
    <w:link w:val="873"/>
    <w:uiPriority w:val="99"/>
    <w:qFormat/>
    <w:rPr>
      <w:rFonts w:ascii="Times New Roman" w:hAnsi="Times New Roman" w:eastAsia="宋体" w:cs="Times New Roman"/>
      <w:sz w:val="18"/>
      <w:szCs w:val="20"/>
    </w:rPr>
  </w:style>
  <w:style w:type="character" w:styleId="904" w:customStyle="1">
    <w:name w:val="页眉 字符"/>
    <w:link w:val="874"/>
    <w:qFormat/>
    <w:rPr>
      <w:rFonts w:ascii="Times New Roman" w:hAnsi="Times New Roman" w:eastAsia="宋体" w:cs="Times New Roman"/>
      <w:sz w:val="18"/>
      <w:szCs w:val="18"/>
    </w:rPr>
  </w:style>
  <w:style w:type="paragraph" w:styleId="905" w:customStyle="1">
    <w:name w:val="目录 11"/>
    <w:basedOn w:val="851"/>
    <w:next w:val="851"/>
    <w:semiHidden/>
    <w:qFormat/>
    <w:rPr>
      <w:sz w:val="24"/>
    </w:rPr>
  </w:style>
  <w:style w:type="character" w:styleId="906" w:customStyle="1">
    <w:name w:val="正文文本缩进 3 字符"/>
    <w:link w:val="876"/>
    <w:qFormat/>
    <w:rPr>
      <w:rFonts w:ascii="Times New Roman" w:hAnsi="Times New Roman" w:eastAsia="宋体" w:cs="Times New Roman"/>
      <w:sz w:val="16"/>
      <w:szCs w:val="16"/>
    </w:rPr>
  </w:style>
  <w:style w:type="character" w:styleId="907" w:customStyle="1">
    <w:name w:val="正文文本 2 字符"/>
    <w:link w:val="877"/>
    <w:qFormat/>
    <w:rPr>
      <w:rFonts w:ascii="Times New Roman" w:hAnsi="Times New Roman" w:eastAsia="宋体" w:cs="Times New Roman"/>
      <w:b/>
      <w:bCs/>
      <w:sz w:val="18"/>
      <w:szCs w:val="24"/>
    </w:rPr>
  </w:style>
  <w:style w:type="paragraph" w:styleId="908" w:customStyle="1">
    <w:name w:val="正文首行缩进1"/>
    <w:basedOn w:val="867"/>
    <w:link w:val="909"/>
    <w:qFormat/>
    <w:pPr>
      <w:ind w:firstLine="420"/>
      <w:spacing w:after="120"/>
    </w:pPr>
    <w:rPr>
      <w:rFonts w:ascii="Times New Roman" w:eastAsia="宋体"/>
      <w:szCs w:val="24"/>
    </w:rPr>
  </w:style>
  <w:style w:type="character" w:styleId="909" w:customStyle="1">
    <w:name w:val="正文首行缩进 Char"/>
    <w:link w:val="908"/>
    <w:qFormat/>
    <w:rPr>
      <w:rFonts w:ascii="Times New Roman" w:hAnsi="Times New Roman" w:eastAsia="宋体" w:cs="Times New Roman"/>
      <w:sz w:val="24"/>
      <w:szCs w:val="24"/>
    </w:rPr>
  </w:style>
  <w:style w:type="character" w:styleId="910" w:customStyle="1">
    <w:name w:val="列出段落 Char"/>
    <w:link w:val="911"/>
    <w:uiPriority w:val="99"/>
    <w:qFormat/>
  </w:style>
  <w:style w:type="paragraph" w:styleId="911" w:customStyle="1">
    <w:name w:val="列出段落"/>
    <w:basedOn w:val="851"/>
    <w:link w:val="910"/>
    <w:uiPriority w:val="99"/>
    <w:qFormat/>
    <w:pPr>
      <w:ind w:firstLine="420"/>
    </w:pPr>
    <w:rPr>
      <w:sz w:val="20"/>
      <w:szCs w:val="20"/>
    </w:rPr>
  </w:style>
  <w:style w:type="character" w:styleId="912" w:customStyle="1">
    <w:name w:val="文档结构图 Char1"/>
    <w:uiPriority w:val="99"/>
    <w:semiHidden/>
    <w:qFormat/>
    <w:rPr>
      <w:rFonts w:ascii="宋体" w:hAnsi="Times New Roman" w:eastAsia="宋体" w:cs="Times New Roman"/>
      <w:sz w:val="18"/>
      <w:szCs w:val="18"/>
    </w:rPr>
  </w:style>
  <w:style w:type="character" w:styleId="913" w:customStyle="1">
    <w:name w:val="普通正文 Char"/>
    <w:link w:val="914"/>
    <w:qFormat/>
    <w:rPr>
      <w:rFonts w:ascii="Arial" w:hAnsi="Arial"/>
      <w:sz w:val="24"/>
      <w:szCs w:val="24"/>
    </w:rPr>
  </w:style>
  <w:style w:type="paragraph" w:styleId="914" w:customStyle="1">
    <w:name w:val="普通正文"/>
    <w:basedOn w:val="851"/>
    <w:link w:val="913"/>
    <w:qFormat/>
    <w:pPr>
      <w:ind w:left="-2" w:right="120" w:firstLine="480"/>
      <w:jc w:val="center"/>
      <w:spacing w:before="120" w:after="120" w:line="360" w:lineRule="auto"/>
    </w:pPr>
    <w:rPr>
      <w:rFonts w:ascii="Arial" w:hAnsi="Arial"/>
      <w:sz w:val="24"/>
    </w:rPr>
  </w:style>
  <w:style w:type="character" w:styleId="915" w:customStyle="1">
    <w:name w:val="FA正文 Char"/>
    <w:link w:val="916"/>
    <w:qFormat/>
    <w:rPr>
      <w:rFonts w:ascii="宋体" w:hAnsi="宋体" w:eastAsia="宋体" w:cs="Times New Roman"/>
      <w:sz w:val="28"/>
      <w:szCs w:val="28"/>
    </w:rPr>
  </w:style>
  <w:style w:type="paragraph" w:styleId="916" w:customStyle="1">
    <w:name w:val="FA正文"/>
    <w:basedOn w:val="851"/>
    <w:link w:val="915"/>
    <w:qFormat/>
    <w:pPr>
      <w:ind w:firstLine="538"/>
      <w:spacing w:line="440" w:lineRule="atLeast"/>
      <w:tabs>
        <w:tab w:val="left" w:pos="3375" w:leader="none"/>
      </w:tabs>
    </w:pPr>
    <w:rPr>
      <w:rFonts w:ascii="宋体" w:hAnsi="宋体"/>
      <w:sz w:val="28"/>
      <w:szCs w:val="28"/>
    </w:rPr>
  </w:style>
  <w:style w:type="character" w:styleId="917" w:customStyle="1">
    <w:name w:val="正文缩进2格 Char"/>
    <w:link w:val="918"/>
    <w:qFormat/>
    <w:rPr>
      <w:rFonts w:ascii="仿宋_GB2312" w:hAnsi="宋体" w:eastAsia="仿宋_GB2312" w:cs="Times New Roman"/>
      <w:sz w:val="31"/>
      <w:szCs w:val="28"/>
    </w:rPr>
  </w:style>
  <w:style w:type="paragraph" w:styleId="918" w:customStyle="1">
    <w:name w:val="正文缩进2格"/>
    <w:basedOn w:val="851"/>
    <w:link w:val="917"/>
    <w:qFormat/>
    <w:pPr>
      <w:ind w:firstLine="639"/>
      <w:spacing w:line="600" w:lineRule="exact"/>
    </w:pPr>
    <w:rPr>
      <w:rFonts w:ascii="仿宋_GB2312" w:hAnsi="宋体" w:eastAsia="仿宋_GB2312"/>
      <w:sz w:val="31"/>
      <w:szCs w:val="28"/>
    </w:rPr>
  </w:style>
  <w:style w:type="character" w:styleId="919" w:customStyle="1">
    <w:name w:val="cn_text1"/>
    <w:qFormat/>
    <w:rPr>
      <w:rFonts w:hint="default" w:ascii="ˎ̥" w:hAnsi="ˎ̥"/>
      <w:color w:val="003399"/>
      <w:spacing w:val="15"/>
      <w:sz w:val="18"/>
      <w:szCs w:val="18"/>
    </w:rPr>
  </w:style>
  <w:style w:type="character" w:styleId="920" w:customStyle="1">
    <w:name w:val="ssss Char"/>
    <w:qFormat/>
    <w:rPr>
      <w:rFonts w:eastAsia="宋体"/>
      <w:sz w:val="24"/>
      <w:szCs w:val="24"/>
      <w:lang w:val="en-US" w:eastAsia="zh-CN" w:bidi="ar-SA"/>
    </w:rPr>
  </w:style>
  <w:style w:type="character" w:styleId="921" w:customStyle="1">
    <w:name w:val="ssss Char1"/>
    <w:link w:val="922"/>
    <w:qFormat/>
    <w:rPr>
      <w:rFonts w:ascii="Times New Roman" w:hAnsi="Times New Roman" w:eastAsia="宋体" w:cs="Times New Roman"/>
      <w:sz w:val="24"/>
      <w:szCs w:val="24"/>
    </w:rPr>
  </w:style>
  <w:style w:type="paragraph" w:styleId="922" w:customStyle="1">
    <w:name w:val="ssss"/>
    <w:basedOn w:val="851"/>
    <w:link w:val="921"/>
    <w:qFormat/>
    <w:pPr>
      <w:ind w:firstLine="480"/>
      <w:spacing w:line="360" w:lineRule="auto"/>
    </w:pPr>
    <w:rPr>
      <w:sz w:val="24"/>
    </w:rPr>
  </w:style>
  <w:style w:type="character" w:styleId="923" w:customStyle="1">
    <w:name w:val="标题 4 Char1"/>
    <w:qFormat/>
    <w:rPr>
      <w:rFonts w:ascii="Arial" w:hAnsi="Arial" w:eastAsia="黑体"/>
      <w:b/>
      <w:bCs/>
      <w:sz w:val="28"/>
      <w:szCs w:val="28"/>
      <w:lang w:val="en-US" w:eastAsia="zh-CN" w:bidi="ar-SA"/>
    </w:rPr>
  </w:style>
  <w:style w:type="character" w:styleId="924" w:customStyle="1">
    <w:name w:val="列表段落 字符"/>
    <w:uiPriority w:val="34"/>
    <w:qFormat/>
    <w:rPr>
      <w:rFonts w:ascii="Calibri" w:hAnsi="Calibri"/>
      <w:sz w:val="21"/>
      <w:szCs w:val="22"/>
    </w:rPr>
  </w:style>
  <w:style w:type="character" w:styleId="925" w:customStyle="1">
    <w:name w:val="批注框文本 Char1"/>
    <w:uiPriority w:val="99"/>
    <w:semiHidden/>
    <w:qFormat/>
    <w:rPr>
      <w:rFonts w:ascii="Times New Roman" w:hAnsi="Times New Roman" w:eastAsia="宋体" w:cs="Times New Roman"/>
      <w:sz w:val="18"/>
      <w:szCs w:val="18"/>
    </w:rPr>
  </w:style>
  <w:style w:type="character" w:styleId="926" w:customStyle="1">
    <w:name w:val="样式 ssss + 宋体 五号1 Char"/>
    <w:link w:val="927"/>
    <w:qFormat/>
    <w:rPr>
      <w:rFonts w:ascii="宋体" w:hAnsi="宋体" w:eastAsia="宋体" w:cs="Times New Roman"/>
      <w:sz w:val="24"/>
      <w:szCs w:val="24"/>
    </w:rPr>
  </w:style>
  <w:style w:type="paragraph" w:styleId="927" w:customStyle="1">
    <w:name w:val="样式 ssss + 宋体 五号1"/>
    <w:basedOn w:val="922"/>
    <w:link w:val="926"/>
    <w:qFormat/>
    <w:rPr>
      <w:rFonts w:ascii="宋体" w:hAnsi="宋体"/>
    </w:rPr>
  </w:style>
  <w:style w:type="character" w:styleId="928" w:customStyle="1">
    <w:name w:val="point_normal1"/>
    <w:qFormat/>
    <w:rPr>
      <w:rFonts w:hint="default" w:ascii="Arial" w:hAnsi="Arial" w:cs="Arial"/>
      <w:sz w:val="16"/>
      <w:szCs w:val="16"/>
    </w:rPr>
  </w:style>
  <w:style w:type="paragraph" w:styleId="929" w:customStyle="1">
    <w:name w:val="样式 正文文本缩进 3 + 四号"/>
    <w:basedOn w:val="876"/>
    <w:qFormat/>
    <w:pPr>
      <w:ind w:left="0" w:firstLine="437"/>
      <w:spacing w:after="0" w:line="360" w:lineRule="auto"/>
    </w:pPr>
    <w:rPr>
      <w:sz w:val="24"/>
      <w:szCs w:val="21"/>
    </w:rPr>
  </w:style>
  <w:style w:type="paragraph" w:styleId="930" w:customStyle="1">
    <w:name w:val="2cxsplast"/>
    <w:basedOn w:val="851"/>
    <w:qFormat/>
    <w:pPr>
      <w:jc w:val="left"/>
      <w:spacing w:before="100" w:beforeAutospacing="1" w:after="100" w:afterAutospacing="1"/>
      <w:widowControl/>
    </w:pPr>
    <w:rPr>
      <w:rFonts w:ascii="宋体" w:hAnsi="宋体" w:cs="宋体"/>
      <w:sz w:val="24"/>
    </w:rPr>
  </w:style>
  <w:style w:type="paragraph" w:styleId="931" w:customStyle="1">
    <w:name w:val="ec_msonormal"/>
    <w:basedOn w:val="851"/>
    <w:qFormat/>
    <w:pPr>
      <w:jc w:val="left"/>
      <w:spacing w:before="100" w:beforeAutospacing="1" w:after="100" w:afterAutospacing="1"/>
      <w:widowControl/>
    </w:pPr>
    <w:rPr>
      <w:rFonts w:ascii="宋体" w:hAnsi="宋体"/>
      <w:sz w:val="24"/>
    </w:rPr>
  </w:style>
  <w:style w:type="paragraph" w:styleId="932" w:customStyle="1">
    <w:name w:val="Char Char Char Char"/>
    <w:basedOn w:val="851"/>
    <w:qFormat/>
    <w:rPr>
      <w:rFonts w:ascii="Tahoma" w:hAnsi="Tahoma"/>
      <w:sz w:val="24"/>
      <w:szCs w:val="20"/>
    </w:rPr>
  </w:style>
  <w:style w:type="paragraph" w:styleId="933" w:customStyle="1">
    <w:name w:val="Char Char Char Char Char Char Char Char Char Char Char Char Char"/>
    <w:basedOn w:val="851"/>
    <w:qFormat/>
  </w:style>
  <w:style w:type="paragraph" w:styleId="934" w:customStyle="1">
    <w:name w:val="表格正文"/>
    <w:basedOn w:val="851"/>
    <w:qFormat/>
    <w:pPr>
      <w:jc w:val="left"/>
      <w:spacing w:line="360" w:lineRule="auto"/>
    </w:pPr>
    <w:rPr>
      <w:rFonts w:ascii="Calibri" w:hAnsi="Calibri"/>
      <w:color w:val="000000"/>
      <w:szCs w:val="28"/>
    </w:rPr>
  </w:style>
  <w:style w:type="paragraph" w:styleId="935" w:customStyle="1">
    <w:name w:val="正文1"/>
    <w:qFormat/>
    <w:pPr>
      <w:jc w:val="both"/>
      <w:spacing w:line="315" w:lineRule="atLeast"/>
      <w:widowControl w:val="off"/>
    </w:pPr>
    <w:rPr>
      <w:rFonts w:ascii="宋体"/>
      <w:sz w:val="24"/>
    </w:rPr>
  </w:style>
  <w:style w:type="paragraph" w:styleId="936" w:customStyle="1">
    <w:name w:val="Char Char Char Char1"/>
    <w:basedOn w:val="851"/>
    <w:qFormat/>
    <w:rPr>
      <w:rFonts w:ascii="Tahoma" w:hAnsi="Tahoma"/>
      <w:sz w:val="24"/>
      <w:szCs w:val="20"/>
    </w:rPr>
  </w:style>
  <w:style w:type="paragraph" w:styleId="937" w:customStyle="1">
    <w:name w:val="Char Char Char"/>
    <w:basedOn w:val="851"/>
    <w:qFormat/>
    <w:rPr>
      <w:rFonts w:ascii="Tahoma" w:hAnsi="Tahoma"/>
      <w:sz w:val="24"/>
      <w:szCs w:val="20"/>
    </w:rPr>
  </w:style>
  <w:style w:type="paragraph" w:styleId="938" w:customStyle="1">
    <w:name w:val="标题-----3"/>
    <w:basedOn w:val="854"/>
    <w:qFormat/>
    <w:pPr>
      <w:spacing w:before="0" w:after="0" w:line="240" w:lineRule="auto"/>
      <w:outlineLvl w:val="0"/>
    </w:pPr>
    <w:rPr>
      <w:rFonts w:ascii="宋体" w:hAnsi="宋体"/>
      <w:b w:val="0"/>
      <w:bCs w:val="0"/>
      <w:sz w:val="28"/>
      <w:szCs w:val="28"/>
    </w:rPr>
  </w:style>
  <w:style w:type="paragraph" w:styleId="939" w:customStyle="1">
    <w:name w:val="样式 ssss + 居中"/>
    <w:basedOn w:val="922"/>
    <w:qFormat/>
    <w:pPr>
      <w:jc w:val="center"/>
    </w:pPr>
    <w:rPr>
      <w:rFonts w:cs="宋体"/>
      <w:szCs w:val="20"/>
    </w:rPr>
  </w:style>
  <w:style w:type="paragraph" w:styleId="940" w:customStyle="1">
    <w:name w:val="样式 宋体 四号 黑色 左侧:  0.74 厘米 首行缩进:  0.74 厘米 行距: 1.5 倍行距"/>
    <w:basedOn w:val="851"/>
    <w:qFormat/>
    <w:pPr>
      <w:ind w:firstLine="420"/>
      <w:spacing w:line="360" w:lineRule="auto"/>
    </w:pPr>
    <w:rPr>
      <w:rFonts w:ascii="宋体"/>
      <w:color w:val="000000"/>
      <w:sz w:val="24"/>
      <w:szCs w:val="21"/>
    </w:rPr>
  </w:style>
  <w:style w:type="paragraph" w:styleId="941" w:customStyle="1">
    <w:name w:val="样式 样式 ssss + 宋体 五号 + 首行缩进:  2 字符"/>
    <w:basedOn w:val="942"/>
    <w:qFormat/>
    <w:pPr>
      <w:ind w:firstLine="480"/>
    </w:pPr>
  </w:style>
  <w:style w:type="paragraph" w:styleId="942" w:customStyle="1">
    <w:name w:val="样式 ssss + 宋体 五号"/>
    <w:basedOn w:val="922"/>
    <w:qFormat/>
    <w:pPr>
      <w:ind w:firstLine="420"/>
    </w:pPr>
    <w:rPr>
      <w:rFonts w:ascii="宋体" w:hAnsi="宋体" w:cs="宋体"/>
      <w:szCs w:val="20"/>
    </w:rPr>
  </w:style>
  <w:style w:type="paragraph" w:styleId="943" w:customStyle="1">
    <w:name w:val="msonormalcxsplast"/>
    <w:basedOn w:val="851"/>
    <w:qFormat/>
    <w:pPr>
      <w:jc w:val="left"/>
      <w:spacing w:before="100" w:beforeAutospacing="1" w:after="100" w:afterAutospacing="1"/>
      <w:widowControl/>
    </w:pPr>
    <w:rPr>
      <w:rFonts w:ascii="宋体" w:hAnsi="宋体" w:cs="宋体"/>
      <w:sz w:val="24"/>
    </w:rPr>
  </w:style>
  <w:style w:type="paragraph" w:styleId="944" w:customStyle="1">
    <w:name w:val="Char"/>
    <w:basedOn w:val="851"/>
    <w:qFormat/>
    <w:rPr>
      <w:rFonts w:ascii="Tahoma" w:hAnsi="Tahoma"/>
      <w:sz w:val="24"/>
      <w:szCs w:val="20"/>
    </w:rPr>
  </w:style>
  <w:style w:type="paragraph" w:styleId="945" w:customStyle="1">
    <w:name w:val="xl25"/>
    <w:basedOn w:val="851"/>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6" w:customStyle="1">
    <w:name w:val="标题------4"/>
    <w:basedOn w:val="855"/>
    <w:qFormat/>
    <w:pPr>
      <w:ind w:left="960" w:hanging="420"/>
      <w:jc w:val="both"/>
      <w:keepLines/>
      <w:spacing w:line="360" w:lineRule="auto"/>
    </w:pPr>
    <w:rPr>
      <w:rFonts w:ascii="仿宋_GB2312" w:hAnsi="宋体" w:eastAsia="仿宋_GB2312" w:cs="仿宋_GB2312"/>
      <w:b/>
      <w:sz w:val="28"/>
      <w:szCs w:val="28"/>
      <w:lang w:val="zh-CN"/>
    </w:rPr>
  </w:style>
  <w:style w:type="paragraph" w:styleId="947" w:customStyle="1">
    <w:name w:val="msonormalcxspmiddle"/>
    <w:basedOn w:val="851"/>
    <w:qFormat/>
    <w:pPr>
      <w:jc w:val="left"/>
      <w:spacing w:before="100" w:beforeAutospacing="1" w:after="100" w:afterAutospacing="1"/>
      <w:widowControl/>
    </w:pPr>
    <w:rPr>
      <w:rFonts w:ascii="宋体" w:hAnsi="宋体" w:cs="宋体"/>
      <w:sz w:val="24"/>
    </w:rPr>
  </w:style>
  <w:style w:type="paragraph" w:styleId="948" w:customStyle="1">
    <w:name w:val="Char Char Char Char Char Char Char Char Char Char Char Char Char1"/>
    <w:basedOn w:val="851"/>
    <w:qFormat/>
    <w:rPr>
      <w:sz w:val="24"/>
    </w:rPr>
  </w:style>
  <w:style w:type="paragraph" w:styleId="949" w:customStyle="1">
    <w:name w:val="表格"/>
    <w:basedOn w:val="851"/>
    <w:qFormat/>
    <w:rPr>
      <w:rFonts w:ascii="Arial" w:hAnsi="Arial"/>
      <w:sz w:val="24"/>
    </w:rPr>
  </w:style>
  <w:style w:type="paragraph" w:styleId="950" w:customStyle="1">
    <w:name w:val="正文样式1"/>
    <w:basedOn w:val="851"/>
    <w:qFormat/>
    <w:pPr>
      <w:ind w:firstLine="480"/>
      <w:spacing w:before="120" w:after="120" w:line="360" w:lineRule="auto"/>
    </w:pPr>
    <w:rPr>
      <w:sz w:val="24"/>
      <w:szCs w:val="20"/>
    </w:rPr>
  </w:style>
  <w:style w:type="paragraph" w:styleId="951" w:customStyle="1">
    <w:name w:val="Char Char1 Char Char Char Char Char Char"/>
    <w:basedOn w:val="851"/>
    <w:qFormat/>
    <w:pPr>
      <w:jc w:val="left"/>
      <w:spacing w:after="160" w:line="240" w:lineRule="exact"/>
      <w:widowControl/>
    </w:pPr>
    <w:rPr>
      <w:rFonts w:ascii="Verdana" w:hAnsi="Verdana" w:eastAsia="仿宋_GB2312"/>
      <w:sz w:val="24"/>
      <w:szCs w:val="20"/>
      <w:lang w:eastAsia="en-US"/>
    </w:rPr>
  </w:style>
  <w:style w:type="paragraph" w:styleId="952" w:customStyle="1">
    <w:name w:val="Char Char Char Char Char Char Char Char Char Char"/>
    <w:basedOn w:val="851"/>
    <w:qFormat/>
    <w:rPr>
      <w:rFonts w:ascii="Tahoma" w:hAnsi="Tahoma"/>
      <w:sz w:val="24"/>
      <w:szCs w:val="20"/>
    </w:rPr>
  </w:style>
  <w:style w:type="paragraph" w:styleId="953" w:customStyle="1">
    <w:name w:val="Char1"/>
    <w:basedOn w:val="851"/>
    <w:qFormat/>
    <w:pPr>
      <w:tabs>
        <w:tab w:val="left" w:pos="360" w:leader="none"/>
      </w:tabs>
    </w:pPr>
    <w:rPr>
      <w:sz w:val="24"/>
    </w:rPr>
  </w:style>
  <w:style w:type="paragraph" w:styleId="954" w:customStyle="1">
    <w:name w:val="标题1"/>
    <w:basedOn w:val="851"/>
    <w:next w:val="85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Header2"/>
    <w:basedOn w:val="851"/>
    <w:qFormat/>
    <w:pPr>
      <w:numPr>
        <w:numId w:val="1"/>
      </w:numPr>
    </w:pPr>
  </w:style>
  <w:style w:type="paragraph" w:styleId="956" w:customStyle="1">
    <w:name w:val="Char Char 字元 字元 字元 Char Char Char Char"/>
    <w:basedOn w:val="851"/>
    <w:qFormat/>
    <w:pPr>
      <w:spacing w:line="360" w:lineRule="auto"/>
    </w:pPr>
    <w:rPr>
      <w:sz w:val="24"/>
      <w:szCs w:val="20"/>
    </w:rPr>
  </w:style>
  <w:style w:type="paragraph" w:styleId="957" w:customStyle="1">
    <w:name w:val="2cxspmiddle"/>
    <w:basedOn w:val="851"/>
    <w:qFormat/>
    <w:pPr>
      <w:jc w:val="left"/>
      <w:spacing w:before="100" w:beforeAutospacing="1" w:after="100" w:afterAutospacing="1"/>
      <w:widowControl/>
    </w:pPr>
    <w:rPr>
      <w:rFonts w:ascii="宋体" w:hAnsi="宋体" w:cs="宋体"/>
      <w:sz w:val="24"/>
    </w:rPr>
  </w:style>
  <w:style w:type="paragraph" w:styleId="958" w:customStyle="1">
    <w:name w:val="正文_0_0"/>
    <w:qFormat/>
    <w:pPr>
      <w:jc w:val="both"/>
      <w:widowControl w:val="off"/>
    </w:pPr>
    <w:rPr>
      <w:sz w:val="21"/>
      <w:szCs w:val="24"/>
    </w:rPr>
  </w:style>
  <w:style w:type="paragraph" w:styleId="959" w:customStyle="1">
    <w:name w:val="正文_1_0"/>
    <w:qFormat/>
    <w:pPr>
      <w:jc w:val="both"/>
      <w:widowControl w:val="off"/>
    </w:pPr>
    <w:rPr>
      <w:sz w:val="21"/>
      <w:szCs w:val="24"/>
    </w:rPr>
  </w:style>
  <w:style w:type="table" w:styleId="960" w:customStyle="1">
    <w:name w:val="网格型1"/>
    <w:basedOn w:val="86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1" w:customStyle="1">
    <w:name w:val="列出段落1"/>
    <w:basedOn w:val="851"/>
    <w:qFormat/>
    <w:pPr>
      <w:ind w:firstLine="420"/>
    </w:pPr>
    <w:rPr>
      <w:rFonts w:cs="黑体"/>
      <w:szCs w:val="22"/>
    </w:rPr>
  </w:style>
  <w:style w:type="paragraph" w:styleId="962" w:customStyle="1">
    <w:name w:val="纯文本1"/>
    <w:basedOn w:val="851"/>
    <w:qFormat/>
    <w:rPr>
      <w:rFonts w:ascii="宋体" w:hAnsi="Courier New" w:cs="Courier New"/>
    </w:rPr>
  </w:style>
  <w:style w:type="paragraph" w:styleId="963" w:customStyle="1">
    <w:name w:val="段"/>
    <w:next w:val="851"/>
    <w:uiPriority w:val="99"/>
    <w:qFormat/>
    <w:pPr>
      <w:ind w:firstLine="360"/>
      <w:jc w:val="both"/>
      <w:spacing w:line="360" w:lineRule="auto"/>
    </w:pPr>
    <w:rPr>
      <w:rFonts w:ascii="Calibri" w:hAnsi="Calibri"/>
      <w:sz w:val="24"/>
      <w:szCs w:val="24"/>
    </w:rPr>
  </w:style>
  <w:style w:type="paragraph" w:styleId="964" w:customStyle="1">
    <w:name w:val="正文文本1"/>
    <w:basedOn w:val="851"/>
    <w:qFormat/>
    <w:rPr>
      <w:rFonts w:ascii="楷体_GB2312" w:hAnsi="Arial" w:eastAsia="楷体_GB2312"/>
      <w:sz w:val="28"/>
      <w:szCs w:val="28"/>
    </w:rPr>
  </w:style>
  <w:style w:type="paragraph" w:styleId="965">
    <w:name w:val="List Paragraph"/>
    <w:basedOn w:val="851"/>
    <w:uiPriority w:val="34"/>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2.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67</cp:revision>
  <dcterms:created xsi:type="dcterms:W3CDTF">2026-01-12T06:58:00Z</dcterms:created>
  <dcterms:modified xsi:type="dcterms:W3CDTF">2026-10-12T03:04:26Z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eyJoZGlkIjoiMjE0YTZjZTEwMTQ0OWY1ZjdmZmQ4YzcwOWYzNGZkYmYiLCJ1c2VySWQiOiIyODk1MjQyOTUifQ==</vt:lpwstr>
  </property>
</Properties>
</file>