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rPr>
          <w:rFonts w:hint="eastAsia"/>
          <w:color w:val="auto"/>
        </w:rPr>
      </w:pPr>
      <w:r>
        <w:rPr>
          <w:rFonts w:hint="eastAsia"/>
          <w:color w:val="auto"/>
        </w:rPr>
      </w:r>
      <w:r/>
    </w:p>
    <w:p>
      <w:pPr>
        <w:ind w:left="-210" w:right="-210"/>
        <w:jc w:val="center"/>
        <w:spacing w:line="360" w:lineRule="auto"/>
        <w:rPr>
          <w:rFonts w:ascii="宋体" w:hAnsi="宋体"/>
          <w:b/>
          <w:color w:val="auto"/>
          <w:sz w:val="24"/>
        </w:rPr>
      </w:pPr>
      <w:r>
        <w:rPr>
          <w:rFonts w:ascii="宋体" w:hAnsi="宋体"/>
          <w:b/>
          <w:color w:val="auto"/>
          <w:sz w:val="24"/>
        </w:rPr>
      </w:r>
      <w:r/>
    </w:p>
    <w:p>
      <w:pPr>
        <w:ind w:left="-210" w:right="-210"/>
        <w:jc w:val="center"/>
        <w:spacing w:line="360" w:lineRule="auto"/>
        <w:rPr>
          <w:rFonts w:ascii="宋体" w:hAnsi="宋体"/>
          <w:b/>
          <w:color w:val="auto"/>
          <w:sz w:val="24"/>
        </w:rPr>
      </w:pPr>
      <w:r>
        <w:rPr>
          <w:rFonts w:ascii="宋体" w:hAnsi="宋体"/>
          <w:b/>
          <w:color w:val="auto"/>
          <w:sz w:val="24"/>
        </w:rPr>
      </w:r>
      <w:r/>
    </w:p>
    <w:p>
      <w:pPr>
        <w:ind w:left="-210" w:right="-210"/>
        <w:jc w:val="center"/>
        <w:spacing w:line="360" w:lineRule="auto"/>
        <w:rPr>
          <w:rFonts w:ascii="宋体" w:hAnsi="宋体"/>
          <w:b/>
          <w:color w:val="auto"/>
          <w:sz w:val="24"/>
        </w:rPr>
      </w:pPr>
      <w:r>
        <w:rPr>
          <w:rFonts w:ascii="宋体" w:hAnsi="宋体"/>
          <w:b/>
          <w:color w:val="auto"/>
          <w:sz w:val="24"/>
        </w:rPr>
      </w:r>
      <w:r/>
    </w:p>
    <w:p>
      <w:pPr>
        <w:ind w:left="-210" w:right="-210"/>
        <w:jc w:val="left"/>
        <w:spacing w:line="360" w:lineRule="auto"/>
        <w:rPr>
          <w:rFonts w:ascii="宋体" w:hAnsi="宋体"/>
          <w:b/>
          <w:color w:val="auto"/>
          <w:sz w:val="24"/>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7" o:title=""/>
              </v:shape>
            </w:pict>
          </mc:Fallback>
        </mc:AlternateContent>
      </w:r>
      <w:r/>
    </w:p>
    <w:p>
      <w:pPr>
        <w:ind w:left="-210" w:right="-210"/>
        <w:jc w:val="left"/>
        <w:spacing w:line="360" w:lineRule="auto"/>
        <w:rPr>
          <w:rFonts w:ascii="宋体" w:hAnsi="宋体"/>
          <w:b/>
          <w:color w:val="auto"/>
          <w:sz w:val="24"/>
        </w:rPr>
      </w:pPr>
      <w:r>
        <w:rPr>
          <w:rFonts w:ascii="宋体" w:hAnsi="宋体"/>
          <w:b/>
          <w:color w:val="auto"/>
          <w:sz w:val="24"/>
        </w:rPr>
      </w:r>
      <w:r/>
    </w:p>
    <w:p>
      <w:pPr>
        <w:ind w:left="-210" w:right="-210"/>
        <w:jc w:val="center"/>
        <w:spacing w:line="360" w:lineRule="auto"/>
        <w:rPr>
          <w:rFonts w:ascii="宋体" w:hAnsi="宋体"/>
          <w:b/>
          <w:color w:val="auto"/>
          <w:sz w:val="24"/>
        </w:rPr>
      </w:pPr>
      <w:r>
        <w:rPr>
          <w:rFonts w:ascii="宋体" w:hAnsi="宋体"/>
          <w:b/>
          <w:color w:val="auto"/>
          <w:sz w:val="24"/>
        </w:rPr>
      </w:r>
      <w:r/>
    </w:p>
    <w:p>
      <w:pPr>
        <w:ind w:left="-210" w:right="-210"/>
        <w:jc w:val="center"/>
        <w:spacing w:line="360" w:lineRule="auto"/>
        <w:rPr>
          <w:rFonts w:ascii="宋体" w:hAnsi="宋体"/>
          <w:b/>
          <w:color w:val="auto"/>
          <w:sz w:val="24"/>
        </w:rPr>
      </w:pPr>
      <w:r>
        <w:rPr>
          <w:rFonts w:ascii="宋体" w:hAnsi="宋体"/>
          <w:b/>
          <w:color w:val="auto"/>
          <w:sz w:val="24"/>
        </w:rPr>
      </w:r>
      <w:r/>
    </w:p>
    <w:p>
      <w:pPr>
        <w:ind w:left="-210" w:right="-210"/>
        <w:jc w:val="center"/>
        <w:spacing w:line="360" w:lineRule="auto"/>
        <w:rPr>
          <w:rFonts w:ascii="宋体" w:hAnsi="宋体"/>
          <w:b/>
          <w:color w:val="auto"/>
          <w:sz w:val="24"/>
        </w:rPr>
      </w:pPr>
      <w:r>
        <w:rPr>
          <w:rFonts w:ascii="宋体" w:hAnsi="宋体"/>
          <w:b/>
          <w:color w:val="auto"/>
          <w:sz w:val="24"/>
        </w:rPr>
      </w:r>
      <w:r/>
    </w:p>
    <w:p>
      <w:pPr>
        <w:jc w:val="center"/>
        <w:spacing w:line="480" w:lineRule="auto"/>
        <w:rPr>
          <w:rFonts w:ascii="宋体" w:hAnsi="宋体" w:cs="Arial"/>
          <w:b/>
          <w:bCs/>
          <w:color w:val="auto"/>
          <w:sz w:val="52"/>
          <w:szCs w:val="52"/>
        </w:rPr>
      </w:pPr>
      <w:r>
        <w:rPr>
          <w:rFonts w:hint="eastAsia" w:ascii="宋体" w:hAnsi="宋体" w:cs="Arial"/>
          <w:b/>
          <w:bCs/>
          <w:color w:val="auto"/>
          <w:sz w:val="52"/>
          <w:szCs w:val="52"/>
        </w:rPr>
        <w:t xml:space="preserve">昆 山 市 政 府 采 购</w:t>
      </w:r>
      <w:r/>
    </w:p>
    <w:p>
      <w:pPr>
        <w:jc w:val="center"/>
        <w:spacing w:line="480" w:lineRule="auto"/>
        <w:rPr>
          <w:rFonts w:ascii="宋体" w:hAnsi="宋体" w:cs="Arial"/>
          <w:b/>
          <w:bCs/>
          <w:color w:val="auto"/>
          <w:sz w:val="52"/>
          <w:szCs w:val="52"/>
        </w:rPr>
      </w:pPr>
      <w:r>
        <w:rPr>
          <w:rFonts w:hint="eastAsia" w:ascii="宋体" w:hAnsi="宋体" w:cs="Arial"/>
          <w:b/>
          <w:bCs/>
          <w:color w:val="auto"/>
          <w:sz w:val="52"/>
          <w:szCs w:val="52"/>
        </w:rPr>
        <w:t xml:space="preserve">竞争性谈判采购文件</w:t>
      </w:r>
      <w:r/>
    </w:p>
    <w:p>
      <w:pPr>
        <w:ind w:right="-210"/>
        <w:spacing w:line="360" w:lineRule="auto"/>
        <w:rPr>
          <w:rFonts w:ascii="宋体" w:hAnsi="宋体"/>
          <w:color w:val="auto"/>
        </w:rPr>
      </w:pPr>
      <w:r>
        <w:rPr>
          <w:rFonts w:ascii="宋体" w:hAnsi="宋体"/>
          <w:color w:val="auto"/>
        </w:rPr>
      </w:r>
      <w:r/>
    </w:p>
    <w:tbl>
      <w:tblPr>
        <w:tblStyle w:val="828"/>
        <w:tblW w:w="0" w:type="auto"/>
        <w:jc w:val="center"/>
        <w:tblLayout w:type="fixed"/>
        <w:tblCellMar>
          <w:left w:w="10" w:type="dxa"/>
          <w:top w:w="0" w:type="dxa"/>
          <w:right w:w="10" w:type="dxa"/>
          <w:bottom w:w="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auto"/>
              </w:rPr>
            </w:pPr>
            <w:r>
              <w:rPr>
                <w:rFonts w:hint="eastAsia" w:ascii="宋体" w:hAnsi="宋体" w:cs="Arial"/>
                <w:color w:val="auto"/>
                <w:sz w:val="32"/>
              </w:rPr>
              <w:t xml:space="preserve">采购编号：</w:t>
            </w:r>
            <w:r/>
          </w:p>
        </w:tc>
        <w:tc>
          <w:tcPr>
            <w:tcBorders>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eastAsia="宋体" w:cs="Arial"/>
                <w:color w:val="auto"/>
                <w:lang w:eastAsia="zh-CN"/>
              </w:rPr>
            </w:pPr>
            <w:r>
              <w:rPr>
                <w:rFonts w:hint="eastAsia" w:ascii="宋体" w:hAnsi="宋体" w:cs="Arial"/>
                <w:color w:val="auto"/>
                <w:sz w:val="32"/>
                <w:lang w:eastAsia="zh-CN"/>
              </w:rPr>
              <w:t xml:space="preserve">JSZC-320583-SZGZ-T2026-0066</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auto"/>
              </w:rPr>
            </w:pPr>
            <w:r>
              <w:rPr>
                <w:rFonts w:hint="eastAsia" w:ascii="宋体" w:hAnsi="宋体" w:cs="Arial"/>
                <w:color w:val="auto"/>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ascii="宋体" w:hAnsi="宋体" w:cs="Arial"/>
                <w:color w:val="auto"/>
                <w:sz w:val="30"/>
                <w:szCs w:val="30"/>
              </w:rPr>
            </w:pPr>
            <w:r>
              <w:rPr>
                <w:rFonts w:hint="eastAsia" w:ascii="宋体" w:hAnsi="宋体" w:cs="Arial"/>
                <w:color w:val="auto"/>
                <w:sz w:val="30"/>
                <w:szCs w:val="30"/>
              </w:rPr>
              <w:t xml:space="preserve">昆山市淀山湖镇人民政府</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auto"/>
              </w:rPr>
            </w:pPr>
            <w:r>
              <w:rPr>
                <w:rFonts w:hint="eastAsia" w:ascii="宋体" w:hAnsi="宋体" w:cs="Arial"/>
                <w:color w:val="auto"/>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ascii="宋体" w:hAnsi="宋体" w:cs="Arial"/>
                <w:color w:val="auto"/>
                <w:sz w:val="30"/>
                <w:szCs w:val="30"/>
              </w:rPr>
            </w:pPr>
            <w:r>
              <w:rPr>
                <w:rFonts w:hint="eastAsia" w:ascii="宋体" w:hAnsi="宋体" w:cs="Arial"/>
                <w:color w:val="auto"/>
                <w:sz w:val="30"/>
                <w:szCs w:val="30"/>
              </w:rPr>
              <w:t xml:space="preserve">2026年度淀山湖镇水利设施维养管护一体化项目</w:t>
            </w:r>
            <w:r/>
          </w:p>
        </w:tc>
      </w:tr>
    </w:tbl>
    <w:p>
      <w:pPr>
        <w:spacing w:line="360" w:lineRule="auto"/>
        <w:rPr>
          <w:rFonts w:cs="宋体"/>
          <w:color w:val="auto"/>
        </w:rPr>
      </w:pPr>
      <w:r>
        <w:rPr>
          <w:rFonts w:cs="宋体"/>
          <w:color w:val="auto"/>
        </w:rPr>
      </w:r>
      <w:r/>
    </w:p>
    <w:p>
      <w:pPr>
        <w:spacing w:line="360" w:lineRule="auto"/>
        <w:rPr>
          <w:rFonts w:cs="宋体"/>
          <w:color w:val="auto"/>
        </w:rPr>
      </w:pPr>
      <w:r>
        <w:rPr>
          <w:rFonts w:cs="宋体"/>
          <w:color w:val="auto"/>
        </w:rPr>
      </w:r>
      <w:r/>
    </w:p>
    <w:p>
      <w:pPr>
        <w:spacing w:line="360" w:lineRule="auto"/>
        <w:rPr>
          <w:rFonts w:cs="宋体"/>
          <w:color w:val="auto"/>
        </w:rPr>
      </w:pPr>
      <w:r>
        <w:rPr>
          <w:rFonts w:hint="eastAsia" w:cs="宋体"/>
          <w:color w:val="auto"/>
        </w:rPr>
        <w:t xml:space="preserve"> </w:t>
      </w:r>
      <w:r/>
    </w:p>
    <w:p>
      <w:pPr>
        <w:spacing w:line="360" w:lineRule="auto"/>
        <w:rPr>
          <w:rFonts w:cs="宋体"/>
          <w:color w:val="auto"/>
        </w:rPr>
      </w:pPr>
      <w:r>
        <w:rPr>
          <w:rFonts w:cs="宋体"/>
          <w:color w:val="auto"/>
        </w:rPr>
      </w:r>
      <w:r/>
    </w:p>
    <w:p>
      <w:pPr>
        <w:jc w:val="center"/>
        <w:spacing w:line="360" w:lineRule="auto"/>
        <w:rPr>
          <w:rFonts w:ascii="宋体" w:hAnsi="宋体" w:cs="Arial"/>
          <w:color w:val="auto"/>
          <w:sz w:val="32"/>
          <w:szCs w:val="32"/>
        </w:rPr>
      </w:pPr>
      <w:r>
        <w:rPr>
          <w:rFonts w:hint="eastAsia" w:ascii="宋体" w:hAnsi="宋体" w:cs="Arial"/>
          <w:color w:val="auto"/>
          <w:sz w:val="32"/>
          <w:szCs w:val="32"/>
        </w:rPr>
        <w:t xml:space="preserve">苏州公正建设咨询房地产评估有限公司</w:t>
      </w:r>
      <w:r/>
    </w:p>
    <w:p>
      <w:pPr>
        <w:jc w:val="center"/>
        <w:rPr>
          <w:rFonts w:ascii="宋体" w:hAnsi="宋体"/>
          <w:color w:val="auto"/>
          <w:sz w:val="28"/>
        </w:rPr>
      </w:pPr>
      <w:r>
        <w:rPr>
          <w:rFonts w:ascii="宋体" w:hAnsi="宋体" w:cs="Arial"/>
          <w:color w:val="auto"/>
          <w:sz w:val="32"/>
          <w:szCs w:val="32"/>
        </w:rPr>
        <w:t xml:space="preserve">二〇二</w:t>
      </w:r>
      <w:r>
        <w:rPr>
          <w:rFonts w:hint="eastAsia" w:ascii="宋体" w:hAnsi="宋体" w:cs="Arial"/>
          <w:color w:val="auto"/>
          <w:sz w:val="32"/>
          <w:szCs w:val="32"/>
        </w:rPr>
        <w:t xml:space="preserve">六年</w:t>
      </w:r>
      <w:r>
        <w:rPr>
          <w:rFonts w:ascii="宋体" w:hAnsi="宋体"/>
          <w:color w:val="auto"/>
          <w:sz w:val="28"/>
        </w:rPr>
        <w:br w:type="page" w:clear="all"/>
      </w:r>
      <w:r/>
    </w:p>
    <w:p>
      <w:pPr>
        <w:jc w:val="center"/>
        <w:spacing w:line="360" w:lineRule="auto"/>
        <w:rPr>
          <w:rFonts w:ascii="宋体" w:hAnsi="宋体"/>
          <w:b/>
          <w:color w:val="auto"/>
          <w:sz w:val="24"/>
          <w:szCs w:val="24"/>
        </w:rPr>
      </w:pPr>
      <w:r>
        <w:rPr>
          <w:rFonts w:hint="eastAsia" w:ascii="宋体" w:hAnsi="宋体"/>
          <w:b/>
          <w:color w:val="auto"/>
          <w:sz w:val="24"/>
          <w:szCs w:val="24"/>
        </w:rPr>
        <w:t xml:space="preserve">目   录</w:t>
      </w:r>
      <w:r/>
    </w:p>
    <w:p>
      <w:pPr>
        <w:pStyle w:val="853"/>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rFonts w:ascii="宋体" w:hAnsi="宋体"/>
          <w:b/>
          <w:bCs/>
          <w:caps/>
          <w:color w:val="auto"/>
          <w:szCs w:val="21"/>
        </w:rPr>
        <w:fldChar w:fldCharType="begin"/>
      </w:r>
      <w:r>
        <w:rPr>
          <w:rFonts w:ascii="宋体" w:hAnsi="宋体"/>
          <w:color w:val="auto"/>
          <w:szCs w:val="21"/>
        </w:rPr>
        <w:instrText xml:space="preserve"> </w:instrText>
      </w:r>
      <w:r>
        <w:rPr>
          <w:rFonts w:hint="eastAsia" w:ascii="宋体" w:hAnsi="宋体"/>
          <w:color w:val="auto"/>
          <w:szCs w:val="21"/>
        </w:rPr>
        <w:instrText xml:space="preserve">TOC \o "1-4" \h \z \u</w:instrText>
      </w:r>
      <w:r>
        <w:rPr>
          <w:rFonts w:ascii="宋体" w:hAnsi="宋体"/>
          <w:color w:val="auto"/>
          <w:szCs w:val="21"/>
        </w:rPr>
        <w:instrText xml:space="preserve"> </w:instrText>
      </w:r>
      <w:r>
        <w:rPr>
          <w:rFonts w:ascii="宋体" w:hAnsi="宋体"/>
          <w:b/>
          <w:bCs/>
          <w:caps/>
          <w:color w:val="auto"/>
          <w:szCs w:val="21"/>
        </w:rPr>
        <w:fldChar w:fldCharType="separate"/>
      </w:r>
      <w:r>
        <w:rPr>
          <w:color w:val="auto"/>
        </w:rPr>
        <w:fldChar w:fldCharType="begin"/>
      </w:r>
      <w:r>
        <w:rPr>
          <w:color w:val="auto"/>
        </w:rPr>
        <w:instrText xml:space="preserve"> HYPERLINK \l "_Toc204332794" </w:instrText>
      </w:r>
      <w:r>
        <w:rPr>
          <w:color w:val="auto"/>
        </w:rPr>
        <w:fldChar w:fldCharType="separate"/>
      </w:r>
      <w:r>
        <w:rPr>
          <w:rStyle w:val="873"/>
          <w:rFonts w:hint="eastAsia"/>
          <w:b/>
          <w:color w:val="auto"/>
        </w:rPr>
        <w:t xml:space="preserve">第一章、谈判邀请函</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_Toc204332794 \h</w:instrText>
      </w:r>
      <w:r>
        <w:rPr>
          <w:rFonts w:hint="eastAsia"/>
          <w:color w:val="auto"/>
        </w:rPr>
        <w:instrText xml:space="preserve"> </w:instrText>
      </w:r>
      <w:r>
        <w:rPr>
          <w:rFonts w:hint="eastAsia"/>
          <w:color w:val="auto"/>
        </w:rPr>
        <w:fldChar w:fldCharType="separate"/>
      </w:r>
      <w:r>
        <w:rPr>
          <w:color w:val="auto"/>
        </w:rPr>
        <w:t xml:space="preserve">3</w:t>
      </w:r>
      <w:r>
        <w:rPr>
          <w:rFonts w:hint="eastAsia"/>
          <w:color w:val="auto"/>
        </w:rPr>
        <w:fldChar w:fldCharType="end"/>
      </w:r>
      <w:r>
        <w:rPr>
          <w:rFonts w:hint="eastAsia"/>
          <w:color w:val="auto"/>
        </w:rPr>
        <w:fldChar w:fldCharType="end"/>
      </w:r>
      <w:r/>
    </w:p>
    <w:p>
      <w:pPr>
        <w:pStyle w:val="853"/>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"_Toc204332795" </w:instrText>
      </w:r>
      <w:r>
        <w:rPr>
          <w:color w:val="auto"/>
        </w:rPr>
        <w:fldChar w:fldCharType="separate"/>
      </w:r>
      <w:r>
        <w:rPr>
          <w:rStyle w:val="873"/>
          <w:rFonts w:hint="eastAsia"/>
          <w:b/>
          <w:color w:val="auto"/>
        </w:rPr>
        <w:t xml:space="preserve">第二章、供应商须知</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_Toc204332795 \h</w:instrText>
      </w:r>
      <w:r>
        <w:rPr>
          <w:rFonts w:hint="eastAsia"/>
          <w:color w:val="auto"/>
        </w:rPr>
        <w:instrText xml:space="preserve"> </w:instrText>
      </w:r>
      <w:r>
        <w:rPr>
          <w:rFonts w:hint="eastAsia"/>
          <w:color w:val="auto"/>
        </w:rPr>
        <w:fldChar w:fldCharType="separate"/>
      </w:r>
      <w:r>
        <w:rPr>
          <w:color w:val="auto"/>
        </w:rPr>
        <w:t xml:space="preserve">6</w:t>
      </w:r>
      <w:r>
        <w:rPr>
          <w:rFonts w:hint="eastAsia"/>
          <w:color w:val="auto"/>
        </w:rPr>
        <w:fldChar w:fldCharType="end"/>
      </w:r>
      <w:r>
        <w:rPr>
          <w:rFonts w:hint="eastAsia"/>
          <w:color w:val="auto"/>
        </w:rPr>
        <w:fldChar w:fldCharType="end"/>
      </w:r>
      <w:r/>
    </w:p>
    <w:p>
      <w:pPr>
        <w:pStyle w:val="853"/>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"_Toc204332796" </w:instrText>
      </w:r>
      <w:r>
        <w:rPr>
          <w:color w:val="auto"/>
        </w:rPr>
        <w:fldChar w:fldCharType="separate"/>
      </w:r>
      <w:r>
        <w:rPr>
          <w:rStyle w:val="873"/>
          <w:rFonts w:hint="eastAsia"/>
          <w:b/>
          <w:bCs/>
          <w:color w:val="auto"/>
        </w:rPr>
        <w:t xml:space="preserve">第三章、谈判响应文件格式</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_Toc204332796 \h</w:instrText>
      </w:r>
      <w:r>
        <w:rPr>
          <w:rFonts w:hint="eastAsia"/>
          <w:color w:val="auto"/>
        </w:rPr>
        <w:instrText xml:space="preserve"> </w:instrText>
      </w:r>
      <w:r>
        <w:rPr>
          <w:rFonts w:hint="eastAsia"/>
          <w:color w:val="auto"/>
        </w:rPr>
        <w:fldChar w:fldCharType="separate"/>
      </w:r>
      <w:r>
        <w:rPr>
          <w:color w:val="auto"/>
        </w:rPr>
        <w:t xml:space="preserve">15</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"_Toc204332797" </w:instrText>
      </w:r>
      <w:r>
        <w:rPr>
          <w:color w:val="auto"/>
        </w:rPr>
        <w:fldChar w:fldCharType="separate"/>
      </w:r>
      <w:r>
        <w:rPr>
          <w:rStyle w:val="873"/>
          <w:rFonts w:hint="eastAsia"/>
          <w:color w:val="auto"/>
        </w:rPr>
        <w:t xml:space="preserve">1、（供应方）法定代表人授权委托书</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_Toc204332797 \h</w:instrText>
      </w:r>
      <w:r>
        <w:rPr>
          <w:rFonts w:hint="eastAsia"/>
          <w:color w:val="auto"/>
        </w:rPr>
        <w:instrText xml:space="preserve"> </w:instrText>
      </w:r>
      <w:r>
        <w:rPr>
          <w:rFonts w:hint="eastAsia"/>
          <w:color w:val="auto"/>
        </w:rPr>
        <w:fldChar w:fldCharType="separate"/>
      </w:r>
      <w:r>
        <w:rPr>
          <w:color w:val="auto"/>
        </w:rPr>
        <w:t xml:space="preserve">15</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"_Toc204332798" </w:instrText>
      </w:r>
      <w:r>
        <w:rPr>
          <w:color w:val="auto"/>
        </w:rPr>
        <w:fldChar w:fldCharType="separate"/>
      </w:r>
      <w:r>
        <w:rPr>
          <w:rStyle w:val="873"/>
          <w:rFonts w:hint="eastAsia"/>
          <w:bCs/>
          <w:color w:val="auto"/>
        </w:rPr>
        <w:t xml:space="preserve">2、谈判响应函</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_Toc204332798 \h</w:instrText>
      </w:r>
      <w:r>
        <w:rPr>
          <w:rFonts w:hint="eastAsia"/>
          <w:color w:val="auto"/>
        </w:rPr>
        <w:instrText xml:space="preserve"> </w:instrText>
      </w:r>
      <w:r>
        <w:rPr>
          <w:rFonts w:hint="eastAsia"/>
          <w:color w:val="auto"/>
        </w:rPr>
        <w:fldChar w:fldCharType="separate"/>
      </w:r>
      <w:r>
        <w:rPr>
          <w:color w:val="auto"/>
        </w:rPr>
        <w:t xml:space="preserve">16</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"_Toc204332799" </w:instrText>
      </w:r>
      <w:r>
        <w:rPr>
          <w:color w:val="auto"/>
        </w:rPr>
        <w:fldChar w:fldCharType="separate"/>
      </w:r>
      <w:r>
        <w:rPr>
          <w:rStyle w:val="873"/>
          <w:rFonts w:hint="eastAsia"/>
          <w:bCs/>
          <w:color w:val="auto"/>
        </w:rPr>
        <w:t xml:space="preserve">3、投标承诺函</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_Toc204332799 \h</w:instrText>
      </w:r>
      <w:r>
        <w:rPr>
          <w:rFonts w:hint="eastAsia"/>
          <w:color w:val="auto"/>
        </w:rPr>
        <w:instrText xml:space="preserve"> </w:instrText>
      </w:r>
      <w:r>
        <w:rPr>
          <w:rFonts w:hint="eastAsia"/>
          <w:color w:val="auto"/>
        </w:rPr>
        <w:fldChar w:fldCharType="separate"/>
      </w:r>
      <w:r>
        <w:rPr>
          <w:color w:val="auto"/>
        </w:rPr>
        <w:t xml:space="preserve">17</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"_Toc204332800" </w:instrText>
      </w:r>
      <w:r>
        <w:rPr>
          <w:color w:val="auto"/>
        </w:rPr>
        <w:fldChar w:fldCharType="separate"/>
      </w:r>
      <w:r>
        <w:rPr>
          <w:rStyle w:val="873"/>
          <w:rFonts w:hint="eastAsia"/>
          <w:color w:val="auto"/>
        </w:rPr>
        <w:t xml:space="preserve">4、谈判报价表</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_Toc204332800 \h</w:instrText>
      </w:r>
      <w:r>
        <w:rPr>
          <w:rFonts w:hint="eastAsia"/>
          <w:color w:val="auto"/>
        </w:rPr>
        <w:instrText xml:space="preserve"> </w:instrText>
      </w:r>
      <w:r>
        <w:rPr>
          <w:rFonts w:hint="eastAsia"/>
          <w:color w:val="auto"/>
        </w:rPr>
        <w:fldChar w:fldCharType="separate"/>
      </w:r>
      <w:r>
        <w:rPr>
          <w:color w:val="auto"/>
        </w:rPr>
        <w:t xml:space="preserve">18</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"_Toc204332801" </w:instrText>
      </w:r>
      <w:r>
        <w:rPr>
          <w:color w:val="auto"/>
        </w:rPr>
        <w:fldChar w:fldCharType="separate"/>
      </w:r>
      <w:r>
        <w:rPr>
          <w:rStyle w:val="873"/>
          <w:rFonts w:hint="eastAsia"/>
          <w:color w:val="auto"/>
        </w:rPr>
        <w:t xml:space="preserve">5、</w:t>
      </w:r>
      <w:r>
        <w:rPr>
          <w:rStyle w:val="873"/>
          <w:rFonts w:hint="eastAsia" w:asciiTheme="minorEastAsia" w:hAnsiTheme="minorEastAsia"/>
          <w:color w:val="auto"/>
        </w:rPr>
        <w:t xml:space="preserve">分项</w:t>
      </w:r>
      <w:r>
        <w:rPr>
          <w:rStyle w:val="873"/>
          <w:rFonts w:hint="eastAsia"/>
          <w:color w:val="auto"/>
        </w:rPr>
        <w:t xml:space="preserve">报价表</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_Toc204332801 \h</w:instrText>
      </w:r>
      <w:r>
        <w:rPr>
          <w:rFonts w:hint="eastAsia"/>
          <w:color w:val="auto"/>
        </w:rPr>
        <w:instrText xml:space="preserve"> </w:instrText>
      </w:r>
      <w:r>
        <w:rPr>
          <w:rFonts w:hint="eastAsia"/>
          <w:color w:val="auto"/>
        </w:rPr>
        <w:fldChar w:fldCharType="separate"/>
      </w:r>
      <w:r>
        <w:rPr>
          <w:color w:val="auto"/>
        </w:rPr>
        <w:t xml:space="preserve">19</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"_Toc204332802" </w:instrText>
      </w:r>
      <w:r>
        <w:rPr>
          <w:color w:val="auto"/>
        </w:rPr>
        <w:fldChar w:fldCharType="separate"/>
      </w:r>
      <w:r>
        <w:rPr>
          <w:rStyle w:val="873"/>
          <w:rFonts w:hint="eastAsia"/>
          <w:color w:val="auto"/>
        </w:rPr>
        <w:t xml:space="preserve">6、中小企业声明函</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_Toc204332802 \h</w:instrText>
      </w:r>
      <w:r>
        <w:rPr>
          <w:rFonts w:hint="eastAsia"/>
          <w:color w:val="auto"/>
        </w:rPr>
        <w:instrText xml:space="preserve"> </w:instrText>
      </w:r>
      <w:r>
        <w:rPr>
          <w:rFonts w:hint="eastAsia"/>
          <w:color w:val="auto"/>
        </w:rPr>
        <w:fldChar w:fldCharType="separate"/>
      </w:r>
      <w:r>
        <w:rPr>
          <w:color w:val="auto"/>
        </w:rPr>
        <w:t xml:space="preserve">20</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"_Toc204332803" </w:instrText>
      </w:r>
      <w:r>
        <w:rPr>
          <w:color w:val="auto"/>
        </w:rPr>
        <w:fldChar w:fldCharType="separate"/>
      </w:r>
      <w:r>
        <w:rPr>
          <w:rStyle w:val="873"/>
          <w:rFonts w:hint="eastAsia"/>
          <w:color w:val="auto"/>
        </w:rPr>
        <w:t xml:space="preserve">7、附件残疾人福利性单位声明函</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_Toc204332803 \h</w:instrText>
      </w:r>
      <w:r>
        <w:rPr>
          <w:rFonts w:hint="eastAsia"/>
          <w:color w:val="auto"/>
        </w:rPr>
        <w:instrText xml:space="preserve"> </w:instrText>
      </w:r>
      <w:r>
        <w:rPr>
          <w:rFonts w:hint="eastAsia"/>
          <w:color w:val="auto"/>
        </w:rPr>
        <w:fldChar w:fldCharType="separate"/>
      </w:r>
      <w:r>
        <w:rPr>
          <w:color w:val="auto"/>
        </w:rPr>
        <w:t xml:space="preserve">24</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"_Toc204332804" </w:instrText>
      </w:r>
      <w:r>
        <w:rPr>
          <w:color w:val="auto"/>
        </w:rPr>
        <w:fldChar w:fldCharType="separate"/>
      </w:r>
      <w:r>
        <w:rPr>
          <w:rStyle w:val="873"/>
          <w:rFonts w:hint="eastAsia"/>
          <w:color w:val="auto"/>
        </w:rPr>
        <w:t xml:space="preserve">8、技术要求偏离表</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_Toc204332804 \h</w:instrText>
      </w:r>
      <w:r>
        <w:rPr>
          <w:rFonts w:hint="eastAsia"/>
          <w:color w:val="auto"/>
        </w:rPr>
        <w:instrText xml:space="preserve"> </w:instrText>
      </w:r>
      <w:r>
        <w:rPr>
          <w:rFonts w:hint="eastAsia"/>
          <w:color w:val="auto"/>
        </w:rPr>
        <w:fldChar w:fldCharType="separate"/>
      </w:r>
      <w:r>
        <w:rPr>
          <w:color w:val="auto"/>
        </w:rPr>
        <w:t xml:space="preserve">27</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"_Toc204332805" </w:instrText>
      </w:r>
      <w:r>
        <w:rPr>
          <w:color w:val="auto"/>
        </w:rPr>
        <w:fldChar w:fldCharType="separate"/>
      </w:r>
      <w:r>
        <w:rPr>
          <w:rStyle w:val="873"/>
          <w:rFonts w:hint="eastAsia"/>
          <w:color w:val="auto"/>
        </w:rPr>
        <w:t xml:space="preserve">9、商务条款偏离表</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_Toc204332805 \h</w:instrText>
      </w:r>
      <w:r>
        <w:rPr>
          <w:rFonts w:hint="eastAsia"/>
          <w:color w:val="auto"/>
        </w:rPr>
        <w:instrText xml:space="preserve"> </w:instrText>
      </w:r>
      <w:r>
        <w:rPr>
          <w:rFonts w:hint="eastAsia"/>
          <w:color w:val="auto"/>
        </w:rPr>
        <w:fldChar w:fldCharType="separate"/>
      </w:r>
      <w:r>
        <w:rPr>
          <w:color w:val="auto"/>
        </w:rPr>
        <w:t xml:space="preserve">27</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"_Toc204332806" </w:instrText>
      </w:r>
      <w:r>
        <w:rPr>
          <w:color w:val="auto"/>
        </w:rPr>
        <w:fldChar w:fldCharType="separate"/>
      </w:r>
      <w:r>
        <w:rPr>
          <w:rStyle w:val="873"/>
          <w:rFonts w:hint="eastAsia"/>
          <w:color w:val="auto"/>
        </w:rPr>
        <w:t xml:space="preserve">10、投标单位情况表</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_Toc204332806 \h</w:instrText>
      </w:r>
      <w:r>
        <w:rPr>
          <w:rFonts w:hint="eastAsia"/>
          <w:color w:val="auto"/>
        </w:rPr>
        <w:instrText xml:space="preserve"> </w:instrText>
      </w:r>
      <w:r>
        <w:rPr>
          <w:rFonts w:hint="eastAsia"/>
          <w:color w:val="auto"/>
        </w:rPr>
        <w:fldChar w:fldCharType="separate"/>
      </w:r>
      <w:r>
        <w:rPr>
          <w:color w:val="auto"/>
        </w:rPr>
        <w:t xml:space="preserve">28</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"_Toc204332807" </w:instrText>
      </w:r>
      <w:r>
        <w:rPr>
          <w:color w:val="auto"/>
        </w:rPr>
        <w:fldChar w:fldCharType="separate"/>
      </w:r>
      <w:r>
        <w:rPr>
          <w:rStyle w:val="873"/>
          <w:rFonts w:hint="eastAsia"/>
          <w:color w:val="auto"/>
        </w:rPr>
        <w:t xml:space="preserve">11、</w:t>
      </w:r>
      <w:r>
        <w:rPr>
          <w:rStyle w:val="873"/>
          <w:rFonts w:hint="eastAsia" w:asciiTheme="minorEastAsia" w:hAnsiTheme="minorEastAsia"/>
          <w:color w:val="auto"/>
        </w:rPr>
        <w:t xml:space="preserve">项目人员配置</w:t>
      </w:r>
      <w:r>
        <w:rPr>
          <w:rStyle w:val="873"/>
          <w:rFonts w:hint="eastAsia"/>
          <w:color w:val="auto"/>
        </w:rPr>
        <w:t xml:space="preserve">表</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_Toc204332807 \h</w:instrText>
      </w:r>
      <w:r>
        <w:rPr>
          <w:rFonts w:hint="eastAsia"/>
          <w:color w:val="auto"/>
        </w:rPr>
        <w:instrText xml:space="preserve"> </w:instrText>
      </w:r>
      <w:r>
        <w:rPr>
          <w:rFonts w:hint="eastAsia"/>
          <w:color w:val="auto"/>
        </w:rPr>
        <w:fldChar w:fldCharType="separate"/>
      </w:r>
      <w:r>
        <w:rPr>
          <w:color w:val="auto"/>
        </w:rPr>
        <w:t xml:space="preserve">29</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"_Toc204332808" </w:instrText>
      </w:r>
      <w:r>
        <w:rPr>
          <w:color w:val="auto"/>
        </w:rPr>
        <w:fldChar w:fldCharType="separate"/>
      </w:r>
      <w:r>
        <w:rPr>
          <w:rStyle w:val="873"/>
          <w:rFonts w:hint="eastAsia"/>
          <w:color w:val="auto"/>
        </w:rPr>
        <w:t xml:space="preserve">12</w:t>
      </w:r>
      <w:r>
        <w:rPr>
          <w:rStyle w:val="873"/>
          <w:rFonts w:hint="eastAsia" w:asciiTheme="minorEastAsia" w:hAnsiTheme="minorEastAsia"/>
          <w:color w:val="auto"/>
        </w:rPr>
        <w:t xml:space="preserve">、</w:t>
      </w:r>
      <w:r>
        <w:rPr>
          <w:rStyle w:val="873"/>
          <w:rFonts w:hint="eastAsia"/>
          <w:color w:val="auto"/>
        </w:rPr>
        <w:t xml:space="preserve">类似业绩证明材料</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_Toc204332808 \h</w:instrText>
      </w:r>
      <w:r>
        <w:rPr>
          <w:rFonts w:hint="eastAsia"/>
          <w:color w:val="auto"/>
        </w:rPr>
        <w:instrText xml:space="preserve"> </w:instrText>
      </w:r>
      <w:r>
        <w:rPr>
          <w:rFonts w:hint="eastAsia"/>
          <w:color w:val="auto"/>
        </w:rPr>
        <w:fldChar w:fldCharType="separate"/>
      </w:r>
      <w:r>
        <w:rPr>
          <w:color w:val="auto"/>
        </w:rPr>
        <w:t xml:space="preserve">29</w:t>
      </w:r>
      <w:r>
        <w:rPr>
          <w:rFonts w:hint="eastAsia"/>
          <w:color w:val="auto"/>
        </w:rPr>
        <w:fldChar w:fldCharType="end"/>
      </w:r>
      <w:r>
        <w:rPr>
          <w:rFonts w:hint="eastAsia"/>
          <w:color w:val="auto"/>
        </w:rPr>
        <w:fldChar w:fldCharType="end"/>
      </w:r>
      <w:r/>
    </w:p>
    <w:p>
      <w:pPr>
        <w:pStyle w:val="861"/>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"_Toc204332809" </w:instrText>
      </w:r>
      <w:r>
        <w:rPr>
          <w:color w:val="auto"/>
        </w:rPr>
        <w:fldChar w:fldCharType="separate"/>
      </w:r>
      <w:r>
        <w:rPr>
          <w:rStyle w:val="873"/>
          <w:rFonts w:hint="eastAsia"/>
          <w:color w:val="auto"/>
        </w:rPr>
        <w:t xml:space="preserve">13、安全责任承诺书</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_Toc204332809 \h</w:instrText>
      </w:r>
      <w:r>
        <w:rPr>
          <w:rFonts w:hint="eastAsia"/>
          <w:color w:val="auto"/>
        </w:rPr>
        <w:instrText xml:space="preserve"> </w:instrText>
      </w:r>
      <w:r>
        <w:rPr>
          <w:rFonts w:hint="eastAsia"/>
          <w:color w:val="auto"/>
        </w:rPr>
        <w:fldChar w:fldCharType="separate"/>
      </w:r>
      <w:r>
        <w:rPr>
          <w:color w:val="auto"/>
        </w:rPr>
        <w:t xml:space="preserve">30</w:t>
      </w:r>
      <w:r>
        <w:rPr>
          <w:rFonts w:hint="eastAsia"/>
          <w:color w:val="auto"/>
        </w:rPr>
        <w:fldChar w:fldCharType="end"/>
      </w:r>
      <w:r>
        <w:rPr>
          <w:rFonts w:hint="eastAsia"/>
          <w:color w:val="auto"/>
        </w:rPr>
        <w:fldChar w:fldCharType="end"/>
      </w:r>
      <w:r/>
    </w:p>
    <w:p>
      <w:pPr>
        <w:pStyle w:val="853"/>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"_Toc204332810" </w:instrText>
      </w:r>
      <w:r>
        <w:rPr>
          <w:color w:val="auto"/>
        </w:rPr>
        <w:fldChar w:fldCharType="separate"/>
      </w:r>
      <w:r>
        <w:rPr>
          <w:rStyle w:val="873"/>
          <w:rFonts w:hint="eastAsia"/>
          <w:b/>
          <w:bCs/>
          <w:color w:val="auto"/>
        </w:rPr>
        <w:t xml:space="preserve">第四章 采购需求</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_Toc204332810 \h</w:instrText>
      </w:r>
      <w:r>
        <w:rPr>
          <w:rFonts w:hint="eastAsia"/>
          <w:color w:val="auto"/>
        </w:rPr>
        <w:instrText xml:space="preserve"> </w:instrText>
      </w:r>
      <w:r>
        <w:rPr>
          <w:rFonts w:hint="eastAsia"/>
          <w:color w:val="auto"/>
        </w:rPr>
        <w:fldChar w:fldCharType="separate"/>
      </w:r>
      <w:r>
        <w:rPr>
          <w:color w:val="auto"/>
        </w:rPr>
        <w:t xml:space="preserve">31</w:t>
      </w:r>
      <w:r>
        <w:rPr>
          <w:rFonts w:hint="eastAsia"/>
          <w:color w:val="auto"/>
        </w:rPr>
        <w:fldChar w:fldCharType="end"/>
      </w:r>
      <w:r>
        <w:rPr>
          <w:rFonts w:hint="eastAsia"/>
          <w:color w:val="auto"/>
        </w:rPr>
        <w:fldChar w:fldCharType="end"/>
      </w:r>
      <w:r/>
    </w:p>
    <w:p>
      <w:pPr>
        <w:pStyle w:val="853"/>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"_Toc204332811" </w:instrText>
      </w:r>
      <w:r>
        <w:rPr>
          <w:color w:val="auto"/>
        </w:rPr>
        <w:fldChar w:fldCharType="separate"/>
      </w:r>
      <w:r>
        <w:rPr>
          <w:rStyle w:val="873"/>
          <w:rFonts w:hint="eastAsia"/>
          <w:b/>
          <w:bCs/>
          <w:color w:val="auto"/>
        </w:rPr>
        <w:t xml:space="preserve">第五章 合同主要内容</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_Toc204332811 \h</w:instrText>
      </w:r>
      <w:r>
        <w:rPr>
          <w:rFonts w:hint="eastAsia"/>
          <w:color w:val="auto"/>
        </w:rPr>
        <w:instrText xml:space="preserve"> </w:instrText>
      </w:r>
      <w:r>
        <w:rPr>
          <w:rFonts w:hint="eastAsia"/>
          <w:color w:val="auto"/>
        </w:rPr>
        <w:fldChar w:fldCharType="separate"/>
      </w:r>
      <w:r>
        <w:rPr>
          <w:color w:val="auto"/>
        </w:rPr>
        <w:t xml:space="preserve">38</w:t>
      </w:r>
      <w:r>
        <w:rPr>
          <w:rFonts w:hint="eastAsia"/>
          <w:color w:val="auto"/>
        </w:rPr>
        <w:fldChar w:fldCharType="end"/>
      </w:r>
      <w:r>
        <w:rPr>
          <w:rFonts w:hint="eastAsia"/>
          <w:color w:val="auto"/>
        </w:rPr>
        <w:fldChar w:fldCharType="end"/>
      </w:r>
      <w:r/>
    </w:p>
    <w:p>
      <w:pPr>
        <w:pStyle w:val="853"/>
        <w:spacing w:line="360" w:lineRule="auto"/>
        <w:tabs>
          <w:tab w:val="right" w:pos="8777" w:leader="dot"/>
        </w:tabs>
        <w:rPr>
          <w:rFonts w:asciiTheme="minorHAnsi" w:hAnsiTheme="minorHAnsi" w:eastAsiaTheme="minorEastAsia" w:cstheme="minorBidi"/>
          <w:color w:val="auto"/>
          <w:sz w:val="22"/>
          <w:szCs w:val="24"/>
          <w14:ligatures w14:val="standardContextual"/>
        </w:rPr>
      </w:pPr>
      <w:r>
        <w:rPr>
          <w:color w:val="auto"/>
        </w:rPr>
        <w:fldChar w:fldCharType="begin"/>
      </w:r>
      <w:r>
        <w:rPr>
          <w:color w:val="auto"/>
        </w:rPr>
        <w:instrText xml:space="preserve"> HYPERLINK \l "_Toc204332812" </w:instrText>
      </w:r>
      <w:r>
        <w:rPr>
          <w:color w:val="auto"/>
        </w:rPr>
        <w:fldChar w:fldCharType="separate"/>
      </w:r>
      <w:r>
        <w:rPr>
          <w:rStyle w:val="873"/>
          <w:rFonts w:hint="eastAsia"/>
          <w:b/>
          <w:bCs/>
          <w:color w:val="auto"/>
        </w:rPr>
        <w:t xml:space="preserve">第六章 合格性评审办法</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_Toc204332812 \h</w:instrText>
      </w:r>
      <w:r>
        <w:rPr>
          <w:rFonts w:hint="eastAsia"/>
          <w:color w:val="auto"/>
        </w:rPr>
        <w:instrText xml:space="preserve"> </w:instrText>
      </w:r>
      <w:r>
        <w:rPr>
          <w:rFonts w:hint="eastAsia"/>
          <w:color w:val="auto"/>
        </w:rPr>
        <w:fldChar w:fldCharType="separate"/>
      </w:r>
      <w:r>
        <w:rPr>
          <w:color w:val="auto"/>
        </w:rPr>
        <w:t xml:space="preserve">44</w:t>
      </w:r>
      <w:r>
        <w:rPr>
          <w:rFonts w:hint="eastAsia"/>
          <w:color w:val="auto"/>
        </w:rPr>
        <w:fldChar w:fldCharType="end"/>
      </w:r>
      <w:r>
        <w:rPr>
          <w:rFonts w:hint="eastAsia"/>
          <w:color w:val="auto"/>
        </w:rPr>
        <w:fldChar w:fldCharType="end"/>
      </w:r>
      <w:r/>
    </w:p>
    <w:p>
      <w:pPr>
        <w:spacing w:line="360" w:lineRule="auto"/>
        <w:rPr>
          <w:rFonts w:ascii="宋体" w:hAnsi="宋体"/>
          <w:color w:val="auto"/>
          <w:sz w:val="24"/>
          <w:szCs w:val="24"/>
        </w:rPr>
      </w:pPr>
      <w:r>
        <w:rPr>
          <w:rFonts w:ascii="宋体" w:hAnsi="宋体"/>
          <w:color w:val="auto"/>
          <w:szCs w:val="21"/>
        </w:rPr>
        <w:fldChar w:fldCharType="end"/>
      </w:r>
      <w:r/>
    </w:p>
    <w:p>
      <w:pPr>
        <w:pStyle w:val="818"/>
        <w:ind w:firstLine="600"/>
        <w:jc w:val="center"/>
        <w:keepNext w:val="0"/>
        <w:spacing w:line="360" w:lineRule="auto"/>
        <w:rPr>
          <w:b/>
          <w:color w:val="auto"/>
        </w:rPr>
      </w:pPr>
      <w:r>
        <w:rPr>
          <w:color w:val="auto"/>
          <w:sz w:val="30"/>
        </w:rPr>
        <w:br w:type="page" w:clear="all"/>
      </w:r>
      <w:bookmarkStart w:id="0" w:name="_Toc204332794"/>
      <w:r>
        <w:rPr>
          <w:rFonts w:hint="eastAsia"/>
          <w:b/>
          <w:color w:val="auto"/>
        </w:rPr>
        <w:t xml:space="preserve">第一章、谈判邀请函</w:t>
      </w:r>
      <w:bookmarkEnd w:id="0"/>
      <w:r/>
      <w:r/>
    </w:p>
    <w:p>
      <w:pPr>
        <w:ind w:firstLine="420"/>
        <w:spacing w:line="360" w:lineRule="auto"/>
        <w:rPr>
          <w:rFonts w:ascii="宋体" w:hAnsi="宋体"/>
          <w:color w:val="auto"/>
          <w:szCs w:val="21"/>
        </w:rPr>
      </w:pPr>
      <w:r/>
      <w:bookmarkStart w:id="1" w:name="_Toc28359002"/>
      <w:r>
        <w:rPr>
          <w:rFonts w:hint="eastAsia" w:ascii="宋体" w:hAnsi="宋体"/>
          <w:color w:val="auto"/>
          <w:szCs w:val="21"/>
        </w:rPr>
        <w:t xml:space="preserve">苏州公正建设咨询房地产评估有限公司受昆山市淀山湖镇人民政府委托，为其拟采购的2026年度淀山湖镇水利设施维养管护一体化项目组织竞争性谈判，欢迎符合条件的供应商前来参与。</w:t>
      </w:r>
      <w:r/>
    </w:p>
    <w:p>
      <w:pPr>
        <w:ind w:firstLine="420"/>
        <w:spacing w:line="360" w:lineRule="auto"/>
        <w:rPr>
          <w:rFonts w:ascii="宋体" w:hAnsi="宋体"/>
          <w:color w:val="auto"/>
          <w:szCs w:val="21"/>
        </w:rPr>
      </w:pPr>
      <w:r>
        <w:rPr>
          <w:rFonts w:hint="eastAsia" w:ascii="宋体" w:hAnsi="宋体"/>
          <w:color w:val="auto"/>
          <w:szCs w:val="21"/>
        </w:rPr>
        <w:t xml:space="preserve">一、项目基本情况</w:t>
      </w:r>
      <w:r/>
    </w:p>
    <w:p>
      <w:pPr>
        <w:ind w:firstLine="420"/>
        <w:spacing w:line="360" w:lineRule="auto"/>
        <w:rPr>
          <w:rFonts w:ascii="宋体" w:hAnsi="宋体"/>
          <w:color w:val="auto"/>
          <w:szCs w:val="21"/>
        </w:rPr>
      </w:pPr>
      <w:r>
        <w:rPr>
          <w:rFonts w:hint="eastAsia" w:ascii="宋体" w:hAnsi="宋体"/>
          <w:color w:val="auto"/>
          <w:szCs w:val="21"/>
        </w:rPr>
        <w:t xml:space="preserve">1.项目编号：</w:t>
      </w:r>
      <w:r>
        <w:rPr>
          <w:rFonts w:hint="eastAsia" w:ascii="宋体" w:hAnsi="宋体"/>
          <w:color w:val="auto"/>
          <w:szCs w:val="21"/>
          <w:lang w:eastAsia="zh-CN"/>
        </w:rPr>
        <w:t xml:space="preserve">JSZC-320583-SZGZ-T2026-0066</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2.项目名称：2026年度淀山湖镇水利设施维养管护一体化项目；</w:t>
      </w:r>
      <w:r/>
    </w:p>
    <w:p>
      <w:pPr>
        <w:ind w:firstLine="420"/>
        <w:spacing w:line="360" w:lineRule="auto"/>
        <w:rPr>
          <w:rFonts w:ascii="宋体" w:hAnsi="宋体"/>
          <w:color w:val="auto"/>
          <w:szCs w:val="21"/>
        </w:rPr>
      </w:pPr>
      <w:r>
        <w:rPr>
          <w:rFonts w:hint="eastAsia" w:ascii="宋体" w:hAnsi="宋体"/>
          <w:color w:val="auto"/>
          <w:szCs w:val="21"/>
        </w:rPr>
        <w:t xml:space="preserve">3.服务期：1年；</w:t>
      </w:r>
      <w:r/>
    </w:p>
    <w:p>
      <w:pPr>
        <w:ind w:firstLine="420"/>
        <w:spacing w:line="360" w:lineRule="auto"/>
        <w:rPr>
          <w:rFonts w:ascii="宋体" w:hAnsi="宋体"/>
          <w:color w:val="auto"/>
          <w:szCs w:val="21"/>
        </w:rPr>
      </w:pPr>
      <w:r>
        <w:rPr>
          <w:rFonts w:hint="eastAsia" w:ascii="宋体" w:hAnsi="宋体"/>
          <w:color w:val="auto"/>
          <w:szCs w:val="21"/>
        </w:rPr>
        <w:t xml:space="preserve">4.预算金额：人民币壹佰叁拾万零肆仟壹佰元整（¥1304100.00）；</w:t>
      </w:r>
      <w:r/>
    </w:p>
    <w:p>
      <w:pPr>
        <w:ind w:firstLine="420"/>
        <w:spacing w:line="360" w:lineRule="auto"/>
        <w:rPr>
          <w:rFonts w:ascii="宋体" w:hAnsi="宋体"/>
          <w:color w:val="auto"/>
          <w:szCs w:val="21"/>
        </w:rPr>
      </w:pPr>
      <w:r>
        <w:rPr>
          <w:rFonts w:hint="eastAsia" w:ascii="宋体" w:hAnsi="宋体"/>
          <w:color w:val="auto"/>
          <w:szCs w:val="21"/>
        </w:rPr>
        <w:t xml:space="preserve">5.采购需求：开展昆山市淀山湖镇10个圩区管理（包含28座排涝站闸、50座防洪闸门等）的水利设施运行管理养护巡查，以及特殊天气辅助防汛。详见第四章采购需求；</w:t>
      </w:r>
      <w:r/>
    </w:p>
    <w:p>
      <w:pPr>
        <w:ind w:firstLine="420"/>
        <w:spacing w:line="360" w:lineRule="auto"/>
        <w:rPr>
          <w:rFonts w:ascii="宋体" w:hAnsi="宋体"/>
          <w:color w:val="auto"/>
          <w:szCs w:val="21"/>
        </w:rPr>
      </w:pPr>
      <w:r>
        <w:rPr>
          <w:rFonts w:hint="eastAsia" w:ascii="宋体" w:hAnsi="宋体"/>
          <w:color w:val="auto"/>
          <w:szCs w:val="21"/>
        </w:rPr>
        <w:t xml:space="preserve">6.本项目不接受联合体响应。</w:t>
      </w:r>
      <w:r/>
    </w:p>
    <w:p>
      <w:pPr>
        <w:ind w:firstLine="420"/>
        <w:spacing w:line="360" w:lineRule="auto"/>
        <w:rPr>
          <w:rFonts w:ascii="宋体" w:hAnsi="宋体"/>
          <w:color w:val="auto"/>
          <w:szCs w:val="21"/>
        </w:rPr>
      </w:pPr>
      <w:r>
        <w:rPr>
          <w:rFonts w:hint="eastAsia" w:ascii="宋体" w:hAnsi="宋体"/>
          <w:color w:val="auto"/>
          <w:szCs w:val="21"/>
        </w:rPr>
        <w:t xml:space="preserve">二、申请人的资格要求</w:t>
      </w:r>
      <w:r/>
    </w:p>
    <w:p>
      <w:pPr>
        <w:ind w:firstLine="420"/>
        <w:spacing w:line="360" w:lineRule="auto"/>
        <w:rPr>
          <w:rFonts w:ascii="宋体" w:hAnsi="宋体"/>
          <w:color w:val="auto"/>
          <w:szCs w:val="21"/>
        </w:rPr>
      </w:pPr>
      <w:r>
        <w:rPr>
          <w:rFonts w:hint="eastAsia" w:ascii="宋体" w:hAnsi="宋体"/>
          <w:color w:val="auto"/>
          <w:szCs w:val="21"/>
        </w:rPr>
        <w:t xml:space="preserve">（一）满足《中华人民共和国政府采购法》第二十二条规定：</w:t>
      </w:r>
      <w:r/>
    </w:p>
    <w:p>
      <w:pPr>
        <w:ind w:firstLine="420"/>
        <w:spacing w:line="360" w:lineRule="auto"/>
        <w:rPr>
          <w:rFonts w:ascii="宋体" w:hAnsi="宋体"/>
          <w:color w:val="auto"/>
          <w:szCs w:val="21"/>
        </w:rPr>
      </w:pPr>
      <w:r>
        <w:rPr>
          <w:rFonts w:hint="eastAsia" w:ascii="宋体" w:hAnsi="宋体"/>
          <w:color w:val="auto"/>
          <w:szCs w:val="21"/>
        </w:rPr>
        <w:t xml:space="preserve">提供营业执照及满足《中华人民共和国政府采购法》第二十二条规定的承诺函（格式自拟）。</w:t>
      </w:r>
      <w:r/>
    </w:p>
    <w:p>
      <w:pPr>
        <w:ind w:firstLine="420"/>
        <w:spacing w:line="360" w:lineRule="auto"/>
        <w:rPr>
          <w:rFonts w:ascii="宋体" w:hAnsi="宋体"/>
          <w:color w:val="auto"/>
          <w:szCs w:val="21"/>
        </w:rPr>
      </w:pPr>
      <w:r>
        <w:rPr>
          <w:color w:val="auto"/>
        </w:rPr>
        <w:fldChar w:fldCharType="begin"/>
      </w:r>
      <w:r>
        <w:rPr>
          <w:color w:val="auto"/>
        </w:rPr>
        <w:instrText xml:space="preserve"> HYPERLINK "file:///F:\\wechat\\WeChat%20Files\\chf0220\\FileStorage\\File\\2023-03\\关于印发《苏州市政府采购促进中小企业发展实施意见》的通知（苏财购%5b2022%5d16号）.pdf" </w:instrText>
      </w:r>
      <w:r>
        <w:rPr>
          <w:color w:val="auto"/>
        </w:rPr>
        <w:fldChar w:fldCharType="separate"/>
      </w:r>
      <w:r>
        <w:rPr>
          <w:rFonts w:hint="eastAsia" w:ascii="宋体" w:hAnsi="宋体"/>
          <w:color w:val="auto"/>
          <w:szCs w:val="21"/>
        </w:rPr>
        <w:t xml:space="preserve">（二）落实政府采购政策需满足的资格要求：</w:t>
      </w:r>
      <w:r>
        <w:rPr>
          <w:rFonts w:hint="eastAsia" w:ascii="宋体" w:hAnsi="宋体"/>
          <w:color w:val="auto"/>
          <w:szCs w:val="21"/>
        </w:rPr>
        <w:fldChar w:fldCharType="end"/>
      </w:r>
      <w:r/>
    </w:p>
    <w:p>
      <w:pPr>
        <w:ind w:firstLine="420"/>
        <w:spacing w:line="360" w:lineRule="auto"/>
        <w:rPr>
          <w:rFonts w:ascii="宋体" w:hAnsi="宋体"/>
          <w:color w:val="auto"/>
          <w:szCs w:val="21"/>
        </w:rPr>
      </w:pPr>
      <w:r>
        <w:rPr>
          <w:rFonts w:hint="eastAsia" w:ascii="宋体" w:hAnsi="宋体"/>
          <w:color w:val="auto"/>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ind w:firstLine="420"/>
        <w:spacing w:line="360" w:lineRule="auto"/>
        <w:rPr>
          <w:rFonts w:ascii="宋体" w:hAnsi="宋体"/>
          <w:color w:val="auto"/>
          <w:szCs w:val="21"/>
        </w:rPr>
      </w:pPr>
      <w:r>
        <w:rPr>
          <w:rFonts w:hint="eastAsia" w:ascii="宋体" w:hAnsi="宋体"/>
          <w:color w:val="auto"/>
          <w:szCs w:val="21"/>
        </w:rPr>
        <w:t xml:space="preserve">（三）本项目的特定资格要求：投标人具有有效期内的三级（含）及以上水利水电工程施工总承包企业资质和安全生产许可证；</w:t>
      </w:r>
      <w:r/>
    </w:p>
    <w:p>
      <w:pPr>
        <w:ind w:firstLine="420"/>
        <w:spacing w:line="360" w:lineRule="auto"/>
        <w:rPr>
          <w:rFonts w:ascii="宋体" w:hAnsi="宋体"/>
          <w:color w:val="auto"/>
          <w:szCs w:val="21"/>
        </w:rPr>
      </w:pPr>
      <w:r>
        <w:rPr>
          <w:rFonts w:hint="eastAsia" w:ascii="宋体" w:hAnsi="宋体"/>
          <w:color w:val="auto"/>
          <w:szCs w:val="21"/>
        </w:rPr>
        <w:t xml:space="preserve">未被“信用中国”网站（www.creditchina.gov.cn）列入失信被执行人、重大税收违法失信主体名单、政府采购严重违法失信行为记录名单。</w:t>
      </w:r>
      <w:r>
        <w:rPr>
          <w:rFonts w:hint="eastAsia" w:ascii="宋体" w:hAnsi="宋体"/>
          <w:b/>
          <w:bCs/>
          <w:color w:val="auto"/>
          <w:szCs w:val="21"/>
        </w:rPr>
        <w:t xml:space="preserve">提供网站对应查询截图（查询方式：“信用中国”首页→“专项查询”版块→根据要求分别查询）</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三、获取谈判文件</w:t>
      </w:r>
      <w:r/>
    </w:p>
    <w:p>
      <w:pPr>
        <w:ind w:firstLine="420"/>
        <w:spacing w:line="360" w:lineRule="auto"/>
        <w:rPr>
          <w:rFonts w:ascii="宋体" w:hAnsi="宋体"/>
          <w:color w:val="auto"/>
          <w:szCs w:val="21"/>
        </w:rPr>
      </w:pPr>
      <w:r>
        <w:rPr>
          <w:rFonts w:hint="eastAsia" w:ascii="宋体" w:hAnsi="宋体"/>
          <w:color w:val="auto"/>
          <w:szCs w:val="21"/>
        </w:rPr>
        <w:t xml:space="preserve">1.获取谈判文件时间：自谈判文件公告发布之日起3个工作日；</w:t>
      </w:r>
      <w:r/>
    </w:p>
    <w:p>
      <w:pPr>
        <w:ind w:firstLine="420"/>
        <w:spacing w:line="360" w:lineRule="auto"/>
        <w:rPr>
          <w:rFonts w:ascii="宋体" w:hAnsi="宋体"/>
          <w:color w:val="auto"/>
          <w:szCs w:val="21"/>
        </w:rPr>
      </w:pPr>
      <w:r>
        <w:rPr>
          <w:rFonts w:hint="eastAsia" w:ascii="宋体" w:hAnsi="宋体"/>
          <w:color w:val="auto"/>
          <w:szCs w:val="21"/>
        </w:rPr>
        <w:t xml:space="preserve">2.获取谈判文件方式：“苏采云”系统；</w:t>
      </w:r>
      <w:r/>
    </w:p>
    <w:p>
      <w:pPr>
        <w:ind w:firstLine="420"/>
        <w:spacing w:line="360" w:lineRule="auto"/>
        <w:rPr>
          <w:rFonts w:ascii="宋体" w:hAnsi="宋体"/>
          <w:color w:val="auto"/>
          <w:szCs w:val="21"/>
        </w:rPr>
      </w:pPr>
      <w:r>
        <w:rPr>
          <w:rFonts w:hint="eastAsia" w:ascii="宋体" w:hAnsi="宋体"/>
          <w:color w:val="auto"/>
          <w:szCs w:val="21"/>
        </w:rPr>
        <w:t xml:space="preserve">3.谈判文件售价：0元。</w:t>
      </w:r>
      <w:r/>
    </w:p>
    <w:p>
      <w:pPr>
        <w:ind w:firstLine="420"/>
        <w:spacing w:line="360" w:lineRule="auto"/>
        <w:rPr>
          <w:rFonts w:ascii="宋体" w:hAnsi="宋体"/>
          <w:color w:val="auto"/>
          <w:szCs w:val="21"/>
        </w:rPr>
      </w:pPr>
      <w:r>
        <w:rPr>
          <w:rFonts w:hint="eastAsia" w:ascii="宋体" w:hAnsi="宋体"/>
          <w:color w:val="auto"/>
          <w:szCs w:val="21"/>
        </w:rPr>
        <w:t xml:space="preserve">四、提交响应文件截止时间、开标时间和地点</w:t>
      </w:r>
      <w:r/>
    </w:p>
    <w:p>
      <w:pPr>
        <w:ind w:firstLine="420"/>
        <w:spacing w:line="360" w:lineRule="auto"/>
        <w:rPr>
          <w:rFonts w:ascii="宋体" w:hAnsi="宋体"/>
          <w:color w:val="auto"/>
          <w:szCs w:val="21"/>
        </w:rPr>
      </w:pPr>
      <w:r>
        <w:rPr>
          <w:rFonts w:hint="eastAsia" w:ascii="宋体" w:hAnsi="宋体"/>
          <w:color w:val="auto"/>
          <w:szCs w:val="21"/>
        </w:rPr>
        <w:t xml:space="preserve">1.提交响应文件截止时间：</w:t>
      </w:r>
      <w:r>
        <w:rPr>
          <w:rStyle w:val="873"/>
          <w:rFonts w:hint="eastAsia" w:ascii="宋体" w:hAnsi="宋体"/>
          <w:color w:val="auto"/>
          <w:szCs w:val="21"/>
          <w:u w:val="none"/>
        </w:rPr>
        <w:t xml:space="preserve">2026年</w:t>
      </w:r>
      <w:r>
        <w:rPr>
          <w:rStyle w:val="873"/>
          <w:rFonts w:hint="eastAsia" w:ascii="宋体" w:hAnsi="宋体"/>
          <w:color w:val="auto"/>
          <w:szCs w:val="21"/>
          <w:u w:val="none"/>
          <w:lang w:val="en-US" w:eastAsia="zh-CN"/>
        </w:rPr>
        <w:t xml:space="preserve">11</w:t>
      </w:r>
      <w:r>
        <w:rPr>
          <w:rStyle w:val="873"/>
          <w:rFonts w:hint="eastAsia" w:ascii="宋体" w:hAnsi="宋体"/>
          <w:color w:val="auto"/>
          <w:szCs w:val="21"/>
          <w:u w:val="none"/>
        </w:rPr>
        <w:t xml:space="preserve">月</w:t>
      </w:r>
      <w:r>
        <w:rPr>
          <w:rStyle w:val="873"/>
          <w:rFonts w:hint="eastAsia" w:ascii="宋体" w:hAnsi="宋体"/>
          <w:color w:val="auto"/>
          <w:szCs w:val="21"/>
          <w:u w:val="none"/>
          <w:lang w:val="en-US" w:eastAsia="zh-CN"/>
        </w:rPr>
        <w:t xml:space="preserve">09</w:t>
      </w:r>
      <w:r>
        <w:rPr>
          <w:rStyle w:val="873"/>
          <w:rFonts w:hint="eastAsia" w:ascii="宋体" w:hAnsi="宋体"/>
          <w:color w:val="auto"/>
          <w:szCs w:val="21"/>
          <w:u w:val="none"/>
        </w:rPr>
        <w:t xml:space="preserve">日14:30</w:t>
      </w:r>
      <w:r>
        <w:rPr>
          <w:rFonts w:hint="eastAsia" w:ascii="宋体" w:hAnsi="宋体"/>
          <w:color w:val="auto"/>
          <w:szCs w:val="21"/>
        </w:rPr>
        <w:t xml:space="preserve">（北京时间）；</w:t>
      </w:r>
      <w:r/>
    </w:p>
    <w:p>
      <w:pPr>
        <w:ind w:firstLine="420"/>
        <w:spacing w:line="360" w:lineRule="auto"/>
        <w:rPr>
          <w:rFonts w:ascii="宋体" w:hAnsi="宋体"/>
          <w:color w:val="auto"/>
          <w:szCs w:val="21"/>
        </w:rPr>
      </w:pPr>
      <w:r>
        <w:rPr>
          <w:rFonts w:hint="eastAsia" w:ascii="宋体" w:hAnsi="宋体"/>
          <w:color w:val="auto"/>
          <w:szCs w:val="21"/>
        </w:rPr>
        <w:t xml:space="preserve">2.开标时间：</w:t>
      </w:r>
      <w:r>
        <w:rPr>
          <w:rStyle w:val="873"/>
          <w:rFonts w:hint="eastAsia" w:ascii="宋体" w:hAnsi="宋体"/>
          <w:color w:val="auto"/>
          <w:szCs w:val="21"/>
          <w:u w:val="none"/>
        </w:rPr>
        <w:t xml:space="preserve">2026年</w:t>
      </w:r>
      <w:r>
        <w:rPr>
          <w:rStyle w:val="873"/>
          <w:rFonts w:hint="eastAsia" w:ascii="宋体" w:hAnsi="宋体"/>
          <w:color w:val="auto"/>
          <w:szCs w:val="21"/>
          <w:u w:val="none"/>
          <w:lang w:val="en-US" w:eastAsia="zh-CN"/>
        </w:rPr>
        <w:t xml:space="preserve">11</w:t>
      </w:r>
      <w:r>
        <w:rPr>
          <w:rStyle w:val="873"/>
          <w:rFonts w:hint="eastAsia" w:ascii="宋体" w:hAnsi="宋体"/>
          <w:color w:val="auto"/>
          <w:szCs w:val="21"/>
          <w:u w:val="none"/>
        </w:rPr>
        <w:t xml:space="preserve">月</w:t>
      </w:r>
      <w:r>
        <w:rPr>
          <w:rStyle w:val="873"/>
          <w:rFonts w:hint="eastAsia" w:ascii="宋体" w:hAnsi="宋体"/>
          <w:color w:val="auto"/>
          <w:szCs w:val="21"/>
          <w:u w:val="none"/>
          <w:lang w:val="en-US" w:eastAsia="zh-CN"/>
        </w:rPr>
        <w:t xml:space="preserve">09</w:t>
      </w:r>
      <w:r>
        <w:rPr>
          <w:rStyle w:val="873"/>
          <w:rFonts w:hint="eastAsia" w:ascii="宋体" w:hAnsi="宋体"/>
          <w:color w:val="auto"/>
          <w:szCs w:val="21"/>
          <w:u w:val="none"/>
        </w:rPr>
        <w:t xml:space="preserve">日14:30</w:t>
      </w:r>
      <w:r>
        <w:rPr>
          <w:rFonts w:hint="eastAsia" w:ascii="宋体" w:hAnsi="宋体"/>
          <w:color w:val="auto"/>
          <w:szCs w:val="21"/>
        </w:rPr>
        <w:t xml:space="preserve">（北京时间）；</w:t>
      </w:r>
      <w:r/>
    </w:p>
    <w:p>
      <w:pPr>
        <w:ind w:firstLine="420"/>
        <w:spacing w:line="360" w:lineRule="auto"/>
        <w:rPr>
          <w:rFonts w:ascii="宋体" w:hAnsi="宋体"/>
          <w:color w:val="auto"/>
          <w:szCs w:val="21"/>
        </w:rPr>
      </w:pPr>
      <w:r>
        <w:rPr>
          <w:rFonts w:hint="eastAsia" w:ascii="宋体" w:hAnsi="宋体"/>
          <w:color w:val="auto"/>
          <w:szCs w:val="21"/>
        </w:rPr>
        <w:t xml:space="preserve">3.开标地点：“苏采云”系统（网址：</w:t>
      </w:r>
      <w:r>
        <w:rPr>
          <w:color w:val="auto"/>
        </w:rPr>
        <w:fldChar w:fldCharType="begin"/>
      </w:r>
      <w:r>
        <w:rPr>
          <w:color w:val="auto"/>
        </w:rPr>
        <w:instrText xml:space="preserve"> HYPERLINK "http://jszfcg.jsczt.cn/" </w:instrText>
      </w:r>
      <w:r>
        <w:rPr>
          <w:color w:val="auto"/>
        </w:rPr>
        <w:fldChar w:fldCharType="separate"/>
      </w:r>
      <w:r>
        <w:rPr>
          <w:rStyle w:val="873"/>
          <w:rFonts w:hint="eastAsia" w:ascii="宋体" w:hAnsi="宋体"/>
          <w:color w:val="auto"/>
          <w:szCs w:val="21"/>
        </w:rPr>
        <w:t xml:space="preserve">http://jszfcg.jsczt.cn/</w:t>
      </w:r>
      <w:r>
        <w:rPr>
          <w:rStyle w:val="873"/>
          <w:rFonts w:hint="eastAsia" w:ascii="宋体" w:hAnsi="宋体"/>
          <w:color w:val="auto"/>
          <w:szCs w:val="21"/>
        </w:rPr>
        <w:fldChar w:fldCharType="end"/>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4.远程CA预解密时间：以开标时“苏采云”系统为准；</w:t>
      </w:r>
      <w:r/>
    </w:p>
    <w:p>
      <w:pPr>
        <w:ind w:firstLine="420"/>
        <w:spacing w:line="360" w:lineRule="auto"/>
        <w:rPr>
          <w:rFonts w:ascii="宋体" w:hAnsi="宋体"/>
          <w:color w:val="auto"/>
          <w:szCs w:val="21"/>
        </w:rPr>
      </w:pPr>
      <w:r>
        <w:rPr>
          <w:rFonts w:hint="eastAsia" w:ascii="宋体" w:hAnsi="宋体"/>
          <w:color w:val="auto"/>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olor w:val="auto"/>
          <w:szCs w:val="21"/>
        </w:rPr>
      </w:pPr>
      <w:r>
        <w:rPr>
          <w:rFonts w:hint="eastAsia" w:ascii="宋体" w:hAnsi="宋体"/>
          <w:color w:val="auto"/>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olor w:val="auto"/>
          <w:szCs w:val="21"/>
        </w:rPr>
      </w:pPr>
      <w:r>
        <w:rPr>
          <w:rFonts w:hint="eastAsia" w:ascii="宋体" w:hAnsi="宋体"/>
          <w:color w:val="auto"/>
          <w:szCs w:val="21"/>
        </w:rPr>
        <w:t xml:space="preserve">请供应商确保电脑、系统及其他设备（视频输入输出设备等）无误，且开标直至项目结束始终保持系统在线状态。</w:t>
      </w:r>
      <w:r/>
    </w:p>
    <w:p>
      <w:pPr>
        <w:ind w:firstLine="420"/>
        <w:spacing w:line="360" w:lineRule="auto"/>
        <w:rPr>
          <w:rFonts w:ascii="宋体" w:hAnsi="宋体"/>
          <w:color w:val="auto"/>
          <w:szCs w:val="21"/>
        </w:rPr>
      </w:pPr>
      <w:r>
        <w:rPr>
          <w:rFonts w:hint="eastAsia" w:ascii="宋体" w:hAnsi="宋体"/>
          <w:color w:val="auto"/>
          <w:szCs w:val="21"/>
        </w:rPr>
        <w:t xml:space="preserve">五、公告信息</w:t>
      </w:r>
      <w:r/>
    </w:p>
    <w:p>
      <w:pPr>
        <w:ind w:firstLine="420"/>
        <w:spacing w:line="360" w:lineRule="auto"/>
        <w:rPr>
          <w:rFonts w:ascii="宋体" w:hAnsi="宋体"/>
          <w:color w:val="auto"/>
          <w:szCs w:val="21"/>
        </w:rPr>
      </w:pPr>
      <w:r>
        <w:rPr>
          <w:rFonts w:hint="eastAsia" w:ascii="宋体" w:hAnsi="宋体"/>
          <w:color w:val="auto"/>
          <w:szCs w:val="21"/>
        </w:rPr>
        <w:t xml:space="preserve">1.公告期限：自本公告发布之日起3个工作日。</w:t>
      </w:r>
      <w:r/>
    </w:p>
    <w:p>
      <w:pPr>
        <w:ind w:firstLine="420"/>
        <w:spacing w:line="360" w:lineRule="auto"/>
        <w:rPr>
          <w:rFonts w:ascii="宋体" w:hAnsi="宋体"/>
          <w:color w:val="auto"/>
          <w:szCs w:val="21"/>
        </w:rPr>
      </w:pPr>
      <w:r>
        <w:rPr>
          <w:rFonts w:hint="eastAsia" w:ascii="宋体" w:hAnsi="宋体"/>
          <w:color w:val="auto"/>
          <w:szCs w:val="21"/>
        </w:rPr>
        <w:t xml:space="preserve">六、其它补充事宜</w:t>
      </w:r>
      <w:r/>
    </w:p>
    <w:p>
      <w:pPr>
        <w:ind w:firstLine="420"/>
        <w:spacing w:line="360" w:lineRule="auto"/>
        <w:rPr>
          <w:rFonts w:ascii="宋体" w:hAnsi="宋体"/>
          <w:color w:val="auto"/>
          <w:szCs w:val="21"/>
        </w:rPr>
      </w:pPr>
      <w:r>
        <w:rPr>
          <w:rFonts w:hint="eastAsia" w:ascii="宋体" w:hAnsi="宋体"/>
          <w:color w:val="auto"/>
          <w:szCs w:val="21"/>
        </w:rPr>
        <w:t xml:space="preserve">1.CA证书办理</w:t>
      </w:r>
      <w:r/>
    </w:p>
    <w:p>
      <w:pPr>
        <w:ind w:firstLine="420"/>
        <w:spacing w:line="360" w:lineRule="auto"/>
        <w:rPr>
          <w:rFonts w:ascii="宋体" w:hAnsi="宋体"/>
          <w:color w:val="auto"/>
          <w:szCs w:val="21"/>
        </w:rPr>
      </w:pPr>
      <w:r>
        <w:rPr>
          <w:rFonts w:hint="eastAsia" w:ascii="宋体" w:hAnsi="宋体"/>
          <w:color w:val="auto"/>
          <w:szCs w:val="21"/>
        </w:rPr>
        <w:t xml:space="preserve">供应商参</w:t>
      </w:r>
      <w:r>
        <w:rPr>
          <w:rFonts w:hint="eastAsia" w:ascii="宋体" w:hAnsi="宋体"/>
          <w:color w:val="auto"/>
          <w:szCs w:val="21"/>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olor w:val="auto"/>
          <w:szCs w:val="21"/>
        </w:rPr>
      </w:pPr>
      <w:r>
        <w:rPr>
          <w:rFonts w:hint="eastAsia" w:ascii="宋体" w:hAnsi="宋体"/>
          <w:color w:val="auto"/>
          <w:szCs w:val="21"/>
        </w:rPr>
        <w:t xml:space="preserve">2.参与采购活动</w:t>
      </w:r>
      <w:r/>
    </w:p>
    <w:p>
      <w:pPr>
        <w:ind w:firstLine="420"/>
        <w:spacing w:line="360" w:lineRule="auto"/>
        <w:rPr>
          <w:rFonts w:ascii="宋体" w:hAnsi="宋体"/>
          <w:color w:val="auto"/>
          <w:szCs w:val="21"/>
        </w:rPr>
      </w:pPr>
      <w:r>
        <w:rPr>
          <w:rFonts w:hint="eastAsia" w:ascii="宋体" w:hAnsi="宋体"/>
          <w:color w:val="auto"/>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olor w:val="auto"/>
          <w:szCs w:val="21"/>
        </w:rPr>
      </w:pPr>
      <w:r>
        <w:rPr>
          <w:rFonts w:hint="eastAsia" w:ascii="宋体" w:hAnsi="宋体"/>
          <w:color w:val="auto"/>
          <w:szCs w:val="21"/>
        </w:rPr>
        <w:t xml:space="preserve">3.电子投标准备</w:t>
      </w:r>
      <w:r/>
    </w:p>
    <w:p>
      <w:pPr>
        <w:ind w:firstLine="420"/>
        <w:spacing w:line="360" w:lineRule="auto"/>
        <w:rPr>
          <w:rFonts w:ascii="宋体" w:hAnsi="宋体"/>
          <w:color w:val="auto"/>
          <w:szCs w:val="21"/>
        </w:rPr>
      </w:pPr>
      <w:r>
        <w:rPr>
          <w:rFonts w:hint="eastAsia" w:ascii="宋体" w:hAnsi="宋体"/>
          <w:color w:val="auto"/>
          <w:szCs w:val="21"/>
        </w:rPr>
        <w:t xml:space="preserve">供应商在“苏采云”系统中操作成功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olor w:val="auto"/>
          <w:szCs w:val="21"/>
        </w:rPr>
      </w:pPr>
      <w:r>
        <w:rPr>
          <w:rFonts w:hint="eastAsia" w:ascii="宋体" w:hAnsi="宋体"/>
          <w:color w:val="auto"/>
          <w:szCs w:val="21"/>
        </w:rPr>
        <w:t xml:space="preserve">在系统操作过程中如有疑问，请按以下方式联系：</w:t>
      </w:r>
      <w:r/>
    </w:p>
    <w:p>
      <w:pPr>
        <w:ind w:firstLine="420"/>
        <w:spacing w:line="360" w:lineRule="auto"/>
        <w:rPr>
          <w:rFonts w:ascii="宋体" w:hAnsi="宋体"/>
          <w:color w:val="auto"/>
          <w:szCs w:val="21"/>
        </w:rPr>
      </w:pPr>
      <w:r>
        <w:rPr>
          <w:rFonts w:hint="eastAsia" w:ascii="宋体" w:hAnsi="宋体"/>
          <w:color w:val="auto"/>
          <w:szCs w:val="21"/>
        </w:rPr>
        <w:t xml:space="preserve">注册咨询：18261002950；</w:t>
      </w:r>
      <w:r/>
    </w:p>
    <w:p>
      <w:pPr>
        <w:ind w:firstLine="420"/>
        <w:spacing w:line="360" w:lineRule="auto"/>
        <w:rPr>
          <w:rFonts w:ascii="宋体" w:hAnsi="宋体"/>
          <w:color w:val="auto"/>
          <w:szCs w:val="21"/>
        </w:rPr>
      </w:pPr>
      <w:r>
        <w:rPr>
          <w:rFonts w:hint="eastAsia" w:ascii="宋体" w:hAnsi="宋体"/>
          <w:color w:val="auto"/>
          <w:szCs w:val="21"/>
        </w:rPr>
        <w:t xml:space="preserve">CA技术咨询电话：400-608-6099；</w:t>
      </w:r>
      <w:r/>
    </w:p>
    <w:p>
      <w:pPr>
        <w:ind w:firstLine="420"/>
        <w:spacing w:line="360" w:lineRule="auto"/>
        <w:rPr>
          <w:rFonts w:ascii="宋体" w:hAnsi="宋体"/>
          <w:color w:val="auto"/>
          <w:szCs w:val="21"/>
        </w:rPr>
      </w:pPr>
      <w:r>
        <w:rPr>
          <w:rFonts w:hint="eastAsia" w:ascii="宋体" w:hAnsi="宋体"/>
          <w:color w:val="auto"/>
          <w:szCs w:val="21"/>
        </w:rPr>
        <w:t xml:space="preserve">签章使用问题：025-83633811、025-83633812、15380932027、15371015030；</w:t>
      </w:r>
      <w:r/>
    </w:p>
    <w:p>
      <w:pPr>
        <w:ind w:firstLine="420"/>
        <w:spacing w:line="360" w:lineRule="auto"/>
        <w:rPr>
          <w:rFonts w:ascii="宋体" w:hAnsi="宋体"/>
          <w:color w:val="auto"/>
          <w:szCs w:val="21"/>
        </w:rPr>
      </w:pPr>
      <w:r>
        <w:rPr>
          <w:rFonts w:hint="eastAsia" w:ascii="宋体" w:hAnsi="宋体"/>
          <w:color w:val="auto"/>
          <w:szCs w:val="21"/>
        </w:rPr>
        <w:t xml:space="preserve">系统使用指导与咨询：联系电话：18261002950；QQ：3048755361、1315179389、895706745。</w:t>
      </w:r>
      <w:r/>
    </w:p>
    <w:p>
      <w:pPr>
        <w:ind w:firstLine="420"/>
        <w:spacing w:line="360" w:lineRule="auto"/>
        <w:rPr>
          <w:rFonts w:ascii="宋体" w:hAnsi="宋体"/>
          <w:color w:val="auto"/>
          <w:szCs w:val="21"/>
        </w:rPr>
      </w:pPr>
      <w:r>
        <w:rPr>
          <w:rFonts w:hint="eastAsia" w:ascii="宋体" w:hAnsi="宋体"/>
          <w:color w:val="auto"/>
          <w:szCs w:val="21"/>
        </w:rPr>
        <w:t xml:space="preserve">七、凡对本次采购提出询问，请按以下方式联系</w:t>
      </w:r>
      <w:bookmarkEnd w:id="1"/>
      <w:r/>
      <w:r/>
    </w:p>
    <w:p>
      <w:pPr>
        <w:ind w:firstLine="420"/>
        <w:spacing w:line="360" w:lineRule="auto"/>
        <w:rPr>
          <w:rFonts w:ascii="宋体" w:hAnsi="宋体"/>
          <w:color w:val="auto"/>
          <w:szCs w:val="21"/>
        </w:rPr>
      </w:pPr>
      <w:r>
        <w:rPr>
          <w:rFonts w:hint="eastAsia" w:ascii="宋体" w:hAnsi="宋体"/>
          <w:color w:val="auto"/>
          <w:szCs w:val="21"/>
        </w:rPr>
        <w:t xml:space="preserve">（一）采购人信息</w:t>
      </w:r>
      <w:r/>
    </w:p>
    <w:p>
      <w:pPr>
        <w:ind w:firstLine="420"/>
        <w:spacing w:line="360" w:lineRule="auto"/>
        <w:rPr>
          <w:rFonts w:ascii="宋体" w:hAnsi="宋体"/>
          <w:color w:val="auto"/>
          <w:szCs w:val="21"/>
        </w:rPr>
      </w:pPr>
      <w:r>
        <w:rPr>
          <w:rFonts w:hint="eastAsia" w:ascii="宋体" w:hAnsi="宋体"/>
          <w:color w:val="auto"/>
          <w:szCs w:val="21"/>
        </w:rPr>
        <w:t xml:space="preserve">1.名称：昆山市淀山湖镇人民政府；</w:t>
      </w:r>
      <w:r/>
    </w:p>
    <w:p>
      <w:pPr>
        <w:ind w:firstLine="420"/>
        <w:spacing w:line="360" w:lineRule="auto"/>
        <w:rPr>
          <w:rFonts w:ascii="宋体" w:hAnsi="宋体"/>
          <w:color w:val="auto"/>
          <w:szCs w:val="21"/>
        </w:rPr>
      </w:pPr>
      <w:r>
        <w:rPr>
          <w:rFonts w:hint="eastAsia" w:ascii="宋体" w:hAnsi="宋体"/>
          <w:color w:val="auto"/>
          <w:szCs w:val="21"/>
        </w:rPr>
        <w:t xml:space="preserve">2.地址：</w:t>
      </w:r>
      <w:r>
        <w:rPr>
          <w:rFonts w:hint="eastAsia"/>
          <w:color w:val="auto"/>
        </w:rPr>
        <w:t xml:space="preserve">昆山市淀山湖镇府前路78号；</w:t>
      </w:r>
      <w:r/>
    </w:p>
    <w:p>
      <w:pPr>
        <w:ind w:firstLine="420"/>
        <w:spacing w:line="360" w:lineRule="auto"/>
        <w:rPr>
          <w:rFonts w:ascii="宋体" w:hAnsi="宋体"/>
          <w:color w:val="auto"/>
          <w:szCs w:val="21"/>
        </w:rPr>
      </w:pPr>
      <w:r>
        <w:rPr>
          <w:rFonts w:hint="eastAsia" w:ascii="宋体" w:hAnsi="宋体"/>
          <w:color w:val="auto"/>
          <w:szCs w:val="21"/>
        </w:rPr>
        <w:t xml:space="preserve">3.联系人：</w:t>
      </w:r>
      <w:r>
        <w:rPr>
          <w:rStyle w:val="873"/>
          <w:rFonts w:hint="eastAsia" w:ascii="宋体" w:hAnsi="宋体"/>
          <w:color w:val="auto"/>
          <w:szCs w:val="21"/>
          <w:u w:val="none"/>
        </w:rPr>
        <w:t xml:space="preserve">王彬</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4.联系方式：</w:t>
      </w:r>
      <w:r>
        <w:rPr>
          <w:rStyle w:val="873"/>
          <w:rFonts w:hint="eastAsia" w:ascii="宋体" w:hAnsi="宋体"/>
          <w:color w:val="auto"/>
          <w:szCs w:val="21"/>
          <w:u w:val="none"/>
        </w:rPr>
        <w:t xml:space="preserve">0512-57481578</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（二）采购代理机构信息</w:t>
      </w:r>
      <w:r/>
    </w:p>
    <w:p>
      <w:pPr>
        <w:ind w:firstLine="420"/>
        <w:spacing w:line="360" w:lineRule="auto"/>
        <w:rPr>
          <w:rFonts w:ascii="宋体" w:hAnsi="宋体"/>
          <w:color w:val="auto"/>
          <w:szCs w:val="21"/>
        </w:rPr>
      </w:pPr>
      <w:r>
        <w:rPr>
          <w:rFonts w:hint="eastAsia" w:ascii="宋体" w:hAnsi="宋体"/>
          <w:color w:val="auto"/>
          <w:szCs w:val="21"/>
        </w:rPr>
        <w:t xml:space="preserve">1.名称：苏州公正建设咨询房地产评估有限公司；</w:t>
      </w:r>
      <w:r/>
    </w:p>
    <w:p>
      <w:pPr>
        <w:ind w:firstLine="420"/>
        <w:spacing w:line="360" w:lineRule="auto"/>
        <w:rPr>
          <w:rFonts w:ascii="宋体" w:hAnsi="宋体"/>
          <w:color w:val="auto"/>
          <w:szCs w:val="21"/>
        </w:rPr>
      </w:pPr>
      <w:r>
        <w:rPr>
          <w:rFonts w:hint="eastAsia" w:ascii="宋体" w:hAnsi="宋体"/>
          <w:color w:val="auto"/>
          <w:szCs w:val="21"/>
        </w:rPr>
        <w:t xml:space="preserve">2.地址：昆山市萧林路189号光大广场401、501室；</w:t>
      </w:r>
      <w:r/>
    </w:p>
    <w:p>
      <w:pPr>
        <w:ind w:firstLine="420"/>
        <w:spacing w:line="360" w:lineRule="auto"/>
        <w:rPr>
          <w:rFonts w:ascii="宋体" w:hAnsi="宋体"/>
          <w:color w:val="auto"/>
          <w:szCs w:val="21"/>
        </w:rPr>
      </w:pPr>
      <w:r>
        <w:rPr>
          <w:rFonts w:hint="eastAsia" w:ascii="宋体" w:hAnsi="宋体"/>
          <w:color w:val="auto"/>
          <w:szCs w:val="21"/>
        </w:rPr>
        <w:t xml:space="preserve">3.联系人：林茂东、胡廷象；</w:t>
      </w:r>
      <w:r/>
    </w:p>
    <w:p>
      <w:pPr>
        <w:ind w:firstLine="420"/>
        <w:spacing w:line="360" w:lineRule="auto"/>
        <w:rPr>
          <w:rFonts w:ascii="宋体" w:hAnsi="宋体"/>
          <w:color w:val="auto"/>
          <w:szCs w:val="21"/>
        </w:rPr>
      </w:pPr>
      <w:r>
        <w:rPr>
          <w:rFonts w:hint="eastAsia" w:ascii="宋体" w:hAnsi="宋体"/>
          <w:color w:val="auto"/>
          <w:szCs w:val="21"/>
        </w:rPr>
        <w:t xml:space="preserve">4.联系方式：0512-57176037。</w:t>
      </w:r>
      <w:r/>
    </w:p>
    <w:p>
      <w:pPr>
        <w:ind w:firstLine="420"/>
        <w:spacing w:line="360" w:lineRule="auto"/>
        <w:rPr>
          <w:rFonts w:ascii="宋体" w:hAnsi="宋体"/>
          <w:color w:val="auto"/>
          <w:szCs w:val="21"/>
        </w:rPr>
      </w:pPr>
      <w:r>
        <w:rPr>
          <w:rFonts w:hint="eastAsia" w:ascii="宋体" w:hAnsi="宋体"/>
          <w:color w:val="auto"/>
          <w:szCs w:val="21"/>
        </w:rPr>
        <w:br w:type="page" w:clear="all"/>
      </w:r>
      <w:r/>
    </w:p>
    <w:p>
      <w:pPr>
        <w:pStyle w:val="818"/>
        <w:ind w:firstLine="562"/>
        <w:jc w:val="center"/>
        <w:keepNext w:val="0"/>
        <w:spacing w:line="360" w:lineRule="auto"/>
        <w:rPr>
          <w:b/>
          <w:color w:val="auto"/>
        </w:rPr>
      </w:pPr>
      <w:r/>
      <w:bookmarkStart w:id="2" w:name="_Toc204332795"/>
      <w:r/>
      <w:bookmarkStart w:id="3" w:name="_Toc159596555"/>
      <w:r>
        <w:rPr>
          <w:rFonts w:hint="eastAsia"/>
          <w:b/>
          <w:color w:val="auto"/>
        </w:rPr>
        <w:t xml:space="preserve">第二章、供应商须知</w:t>
      </w:r>
      <w:bookmarkEnd w:id="2"/>
      <w:r/>
      <w:bookmarkEnd w:id="3"/>
      <w:r/>
      <w:r/>
    </w:p>
    <w:p>
      <w:pPr>
        <w:numPr>
          <w:ilvl w:val="0"/>
          <w:numId w:val="1"/>
        </w:numPr>
        <w:ind w:left="850" w:hanging="424"/>
        <w:spacing w:line="360" w:lineRule="auto"/>
        <w:rPr>
          <w:rFonts w:ascii="宋体" w:hAnsi="宋体" w:cs="Arial"/>
          <w:b/>
          <w:color w:val="auto"/>
          <w:szCs w:val="21"/>
        </w:rPr>
      </w:pPr>
      <w:r>
        <w:rPr>
          <w:rFonts w:hint="eastAsia" w:ascii="宋体" w:hAnsi="宋体" w:cs="Arial"/>
          <w:b/>
          <w:color w:val="auto"/>
          <w:szCs w:val="21"/>
        </w:rPr>
        <w:t xml:space="preserve">说明和释义</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说明</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本谈判文件仅适用于苏州公正建设咨询房地产评估有限公司组织的谈判活动。</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本次谈判活动及因本次谈判产生的合同受中国法律制约和保护。</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本谈判文件的解释权属于苏州公正建设咨询房地产评估有限公司。</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词语释义</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供应商：经认定有资格响应的法人或其他组织和自然人。</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响应：供应商根据采购人发布的谈判文件，编制响应文件并按规定投标的行为。</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合同：</w:t>
      </w:r>
      <w:r>
        <w:rPr>
          <w:rFonts w:hint="eastAsia" w:ascii="宋体" w:hAnsi="宋体"/>
          <w:color w:val="auto"/>
          <w:szCs w:val="21"/>
        </w:rPr>
        <w:t xml:space="preserve">采供双方根据谈判文件和成交的响应文件及成交通知书规定的内容签署的以书面形式所达成的协议，包括所有的附件、附录和构成协议的所有文件。</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甲方（采购方）：合同中明确规定的实际购买货物和服务的行政机关、事业单位或团体组织。</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乙方（供应商）：合同中规定的向采购方提供货物和服务的法人或其他组织和自然人。</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知识产权：指专利权、商标权、著作权等无形资产专有权的统称。</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天：日历日。</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交货地点：合同中明确约定的乙方提交的货物和服务最终到达地点。</w:t>
      </w:r>
      <w:r/>
    </w:p>
    <w:p>
      <w:pPr>
        <w:numPr>
          <w:ilvl w:val="1"/>
          <w:numId w:val="3"/>
        </w:numPr>
        <w:jc w:val="left"/>
        <w:spacing w:line="360" w:lineRule="auto"/>
        <w:rPr>
          <w:rFonts w:ascii="宋体" w:hAnsi="宋体" w:cs="Arial"/>
          <w:color w:val="auto"/>
          <w:szCs w:val="21"/>
        </w:rPr>
      </w:pPr>
      <w:r>
        <w:rPr>
          <w:rFonts w:hint="eastAsia" w:ascii="宋体" w:hAnsi="宋体" w:cs="Arial"/>
          <w:color w:val="auto"/>
          <w:szCs w:val="21"/>
        </w:rPr>
        <w:t xml:space="preserve">合同价款：根据合同规定，乙方在正确地履行合同义务后甲方应支付给乙方的价款。</w:t>
      </w:r>
      <w:r/>
    </w:p>
    <w:p>
      <w:pPr>
        <w:numPr>
          <w:ilvl w:val="1"/>
          <w:numId w:val="3"/>
        </w:numPr>
        <w:jc w:val="left"/>
        <w:spacing w:line="360" w:lineRule="auto"/>
        <w:rPr>
          <w:rFonts w:ascii="宋体" w:hAnsi="宋体" w:cs="Arial"/>
          <w:color w:val="auto"/>
          <w:szCs w:val="21"/>
        </w:rPr>
      </w:pPr>
      <w:r>
        <w:rPr>
          <w:rFonts w:hint="eastAsia" w:ascii="宋体" w:hAnsi="宋体" w:cs="Arial"/>
          <w:color w:val="auto"/>
          <w:szCs w:val="21"/>
        </w:rPr>
        <w:t xml:space="preserve">产地：货物开采、生长、生产、最终制造、加工或提供服务的来源地。</w:t>
      </w:r>
      <w:r/>
    </w:p>
    <w:p>
      <w:pPr>
        <w:numPr>
          <w:ilvl w:val="1"/>
          <w:numId w:val="3"/>
        </w:numPr>
        <w:jc w:val="left"/>
        <w:spacing w:line="360" w:lineRule="auto"/>
        <w:rPr>
          <w:rFonts w:ascii="宋体" w:hAnsi="宋体" w:cs="Arial"/>
          <w:color w:val="auto"/>
          <w:szCs w:val="21"/>
        </w:rPr>
      </w:pPr>
      <w:r>
        <w:rPr>
          <w:rFonts w:hint="eastAsia" w:ascii="宋体" w:hAnsi="宋体" w:cs="Arial"/>
          <w:color w:val="auto"/>
          <w:szCs w:val="21"/>
        </w:rPr>
        <w:t xml:space="preserve">不可抗力：不能预见、不能避免并且不能克服的客观情况。</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政策功能</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政府采购促进中小企业发展，小微企业（含小型、微型企业）提供的产品和服务在评标时将获得优势，具体详见本采购文件内容。</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★残疾人福利性单位及监狱企业视同小型企业（需提供</w:t>
      </w:r>
      <w:r>
        <w:rPr>
          <w:rFonts w:hint="eastAsia" w:ascii="宋体" w:hAnsi="宋体"/>
          <w:color w:val="auto"/>
          <w:spacing w:val="6"/>
          <w:szCs w:val="21"/>
        </w:rPr>
        <w:t xml:space="preserve">残疾人福利性单位声明函，详见本采购文件</w:t>
      </w:r>
      <w:r>
        <w:rPr>
          <w:rFonts w:hint="eastAsia" w:ascii="宋体" w:hAnsi="宋体" w:cs="Arial"/>
          <w:color w:val="auto"/>
          <w:szCs w:val="21"/>
        </w:rPr>
        <w:t xml:space="preserve">），享受评审中价格扣除等促进中小企业发展的政府采购政策。</w:t>
      </w:r>
      <w:r/>
    </w:p>
    <w:p>
      <w:pPr>
        <w:numPr>
          <w:ilvl w:val="0"/>
          <w:numId w:val="1"/>
        </w:numPr>
        <w:ind w:left="850" w:hanging="424"/>
        <w:spacing w:line="360" w:lineRule="auto"/>
        <w:rPr>
          <w:rFonts w:ascii="宋体" w:hAnsi="宋体" w:cs="Arial"/>
          <w:b/>
          <w:color w:val="auto"/>
          <w:szCs w:val="21"/>
        </w:rPr>
      </w:pPr>
      <w:r>
        <w:rPr>
          <w:rFonts w:hint="eastAsia" w:ascii="宋体" w:hAnsi="宋体" w:cs="Arial"/>
          <w:b/>
          <w:color w:val="auto"/>
          <w:szCs w:val="21"/>
        </w:rPr>
        <w:t xml:space="preserve">供应商</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合格供应商的范围</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详见“第一章”中供应商要求。</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投标委托</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如供应商代表不是法定代表人，须持有《法定代表人授权委托书》（格式见附件）。</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投标费用 </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无论投标过程中的做法和结果如何，供应商自行承担所有与参加投标有关的全部费用。</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联合投标</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详见“第一章”中供应商要求。</w:t>
      </w:r>
      <w:r/>
    </w:p>
    <w:p>
      <w:pPr>
        <w:numPr>
          <w:ilvl w:val="0"/>
          <w:numId w:val="1"/>
        </w:numPr>
        <w:ind w:left="850" w:hanging="424"/>
        <w:spacing w:line="360" w:lineRule="auto"/>
        <w:rPr>
          <w:rFonts w:ascii="宋体" w:hAnsi="宋体" w:cs="Arial"/>
          <w:b/>
          <w:color w:val="auto"/>
          <w:szCs w:val="21"/>
        </w:rPr>
      </w:pPr>
      <w:r>
        <w:rPr>
          <w:rFonts w:hint="eastAsia" w:ascii="宋体" w:hAnsi="宋体" w:cs="Arial"/>
          <w:b/>
          <w:color w:val="auto"/>
          <w:szCs w:val="21"/>
        </w:rPr>
        <w:t xml:space="preserve">谈判文件的说明</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谈判文件</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color w:val="auto"/>
          <w:szCs w:val="21"/>
        </w:rPr>
        <w:t xml:space="preserve">。</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文件的澄清</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供应商在获取谈判文件后，若有疑问，应于答疑问题提交截止时间之前，在苏采云系统上向采购代理人提出，采购代理人将在项目交易系统上予以解答。</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谈判文件的修改</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在网上投标截止时间前，采购代理人有权在出于实际需要或澄清供应商问题的情况下，以补充文件的形式对谈判文件进行修改。</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采购代理人对谈判文件的修改，将以更正公告形式发布于政府采购信息发布媒体上，敬请供应商及时查询。更正内容作为谈判文件的组成部分，对所有供应商具有约束力。</w:t>
      </w:r>
      <w:r/>
    </w:p>
    <w:p>
      <w:pPr>
        <w:spacing w:line="360" w:lineRule="auto"/>
        <w:rPr>
          <w:rFonts w:ascii="宋体" w:hAnsi="宋体" w:cs="Arial"/>
          <w:color w:val="auto"/>
          <w:szCs w:val="21"/>
        </w:rPr>
      </w:pPr>
      <w:r>
        <w:rPr>
          <w:rFonts w:hint="eastAsia" w:ascii="宋体" w:hAnsi="宋体" w:cs="Arial"/>
          <w:color w:val="auto"/>
          <w:szCs w:val="21"/>
        </w:rPr>
        <w:t xml:space="preserve">为保证供应商有足够时间按照谈判文件的修改要求考虑修正响应文件，或出于其他合理原因，采购代理人可酌情推迟投标截止时间和开标时间，</w:t>
      </w:r>
      <w:r>
        <w:rPr>
          <w:rFonts w:hint="eastAsia" w:ascii="宋体" w:hAnsi="宋体"/>
          <w:color w:val="auto"/>
          <w:szCs w:val="21"/>
        </w:rPr>
        <w:t xml:space="preserve">并于原网上投标截止时间前将此变更通知在政府采购信息发布媒体上发布变更公告。</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供应商应在投标截止时间前关注原采购信息发布媒体上有关本谈判项目有无变更公告。</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质疑</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color w:val="auto"/>
          <w:szCs w:val="21"/>
        </w:rPr>
        <w:t xml:space="preserve">获取采购文件</w:t>
      </w:r>
      <w:r>
        <w:rPr>
          <w:rFonts w:hint="eastAsia" w:ascii="宋体" w:hAnsi="宋体" w:cs="Arial"/>
          <w:color w:val="auto"/>
          <w:szCs w:val="21"/>
        </w:rPr>
        <w:t xml:space="preserve">的供应商，视为未参与该项政府采购活动，不具备对该政府采购项目提出质疑的法定权利，但因供应商资格条件或</w:t>
      </w:r>
      <w:r>
        <w:rPr>
          <w:rFonts w:hint="eastAsia" w:ascii="宋体" w:hAnsi="宋体"/>
          <w:color w:val="auto"/>
          <w:szCs w:val="21"/>
        </w:rPr>
        <w:t xml:space="preserve">获取采购文件</w:t>
      </w:r>
      <w:r>
        <w:rPr>
          <w:rFonts w:hint="eastAsia" w:ascii="宋体" w:hAnsi="宋体" w:cs="Arial"/>
          <w:color w:val="auto"/>
          <w:szCs w:val="21"/>
        </w:rPr>
        <w:t xml:space="preserve">时间设定不符合有关法律法规规定等原因使供应商权益受损的除外。</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质疑必须以参加投标供应商法定代表人或授权代表（投标文件中所确定的）原件送达的方式提交，否则，招标代理人有权不予受理。</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上述应知其权益受到损害之日是指：</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对采购文件提出质疑的，为投标文件公告期限届满之日起计算；</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对采购过程提出质疑的，自采购程序环节结束之日起计算；</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对成交结果提出质疑的，自成交结果公告期限届满之日起计算。</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供应商的姓名或者名称、地址、邮编、联系人及联系电话；</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质疑项目的名称、编号；</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具体、明确的质疑事项和与质疑事项相关的请求；</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事实依据；</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必要的法律依据；</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提出质疑的日期。</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供应商为自然人的，应当由本人签字；供应商为法人或者其他组织的，应当由法定代表人、主要负责人，或者其授权代表签字或者盖章，并加盖公章。 </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被质疑人在收到供应商的书面质疑后将及时组织调查核实，在七个工作日内作出答复，如对采购文件进行必要的澄清或者修改的，参照本须知“采购文件的修改”条款执行。</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1"/>
        </w:numPr>
        <w:ind w:left="850" w:hanging="424"/>
        <w:spacing w:line="360" w:lineRule="auto"/>
        <w:rPr>
          <w:rFonts w:ascii="宋体" w:hAnsi="宋体" w:cs="Arial"/>
          <w:b/>
          <w:color w:val="auto"/>
          <w:szCs w:val="21"/>
        </w:rPr>
      </w:pPr>
      <w:r>
        <w:rPr>
          <w:rFonts w:hint="eastAsia" w:ascii="宋体" w:hAnsi="宋体" w:cs="Arial"/>
          <w:b/>
          <w:color w:val="auto"/>
          <w:szCs w:val="21"/>
        </w:rPr>
        <w:t xml:space="preserve">响应文件说明</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响应文件计量单位和使用文字</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响应文件中所使用的计量单位，除谈判文件中有特殊要求外，应采用国家法定计量单位。</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电子响应文件的组成</w:t>
      </w:r>
      <w:r/>
    </w:p>
    <w:p>
      <w:pPr>
        <w:numPr>
          <w:ilvl w:val="1"/>
          <w:numId w:val="2"/>
        </w:numPr>
        <w:spacing w:line="360" w:lineRule="auto"/>
        <w:rPr>
          <w:rFonts w:ascii="宋体" w:hAnsi="宋体" w:cs="Arial"/>
          <w:color w:val="auto"/>
          <w:szCs w:val="21"/>
        </w:rPr>
      </w:pPr>
      <w:r>
        <w:rPr>
          <w:rFonts w:hint="eastAsia" w:ascii="宋体" w:hAnsi="宋体" w:cs="Arial"/>
          <w:color w:val="auto"/>
          <w:szCs w:val="21"/>
        </w:rPr>
        <w:t xml:space="preserve">基本目录：</w:t>
      </w:r>
      <w:r/>
    </w:p>
    <w:p>
      <w:pPr>
        <w:numPr>
          <w:ilvl w:val="3"/>
          <w:numId w:val="2"/>
        </w:numPr>
        <w:spacing w:line="360" w:lineRule="auto"/>
        <w:rPr>
          <w:rFonts w:ascii="宋体" w:hAnsi="宋体" w:cs="Arial"/>
          <w:color w:val="auto"/>
          <w:szCs w:val="21"/>
        </w:rPr>
      </w:pPr>
      <w:r>
        <w:rPr>
          <w:rFonts w:hint="eastAsia" w:ascii="宋体" w:hAnsi="宋体" w:cs="Arial"/>
          <w:color w:val="auto"/>
          <w:szCs w:val="21"/>
        </w:rPr>
        <w:t xml:space="preserve">封面；</w:t>
      </w:r>
      <w:r/>
    </w:p>
    <w:p>
      <w:pPr>
        <w:numPr>
          <w:ilvl w:val="3"/>
          <w:numId w:val="2"/>
        </w:numPr>
        <w:spacing w:line="360" w:lineRule="auto"/>
        <w:rPr>
          <w:rFonts w:ascii="宋体" w:hAnsi="宋体" w:cs="Arial"/>
          <w:color w:val="auto"/>
          <w:szCs w:val="21"/>
        </w:rPr>
      </w:pPr>
      <w:r>
        <w:rPr>
          <w:rFonts w:hint="eastAsia" w:ascii="宋体" w:hAnsi="宋体" w:cs="Arial"/>
          <w:color w:val="auto"/>
          <w:szCs w:val="21"/>
        </w:rPr>
        <w:t xml:space="preserve">谈判报价表</w:t>
      </w:r>
      <w:r>
        <w:rPr>
          <w:rFonts w:ascii="宋体" w:hAnsi="宋体" w:cs="Arial"/>
          <w:color w:val="auto"/>
          <w:szCs w:val="21"/>
        </w:rPr>
        <w:t xml:space="preserve">（格式见第三章）；</w:t>
      </w:r>
      <w:r/>
    </w:p>
    <w:p>
      <w:pPr>
        <w:numPr>
          <w:ilvl w:val="3"/>
          <w:numId w:val="2"/>
        </w:numPr>
        <w:spacing w:line="360" w:lineRule="auto"/>
        <w:rPr>
          <w:rFonts w:ascii="宋体" w:hAnsi="宋体" w:cs="Arial"/>
          <w:color w:val="auto"/>
          <w:szCs w:val="21"/>
        </w:rPr>
      </w:pPr>
      <w:r>
        <w:rPr>
          <w:rFonts w:hint="eastAsia" w:ascii="宋体" w:hAnsi="宋体" w:cs="Arial"/>
          <w:color w:val="auto"/>
          <w:szCs w:val="21"/>
        </w:rPr>
        <w:t xml:space="preserve">分项报价</w:t>
      </w:r>
      <w:r>
        <w:rPr>
          <w:rFonts w:ascii="宋体" w:hAnsi="宋体" w:cs="Arial"/>
          <w:color w:val="auto"/>
          <w:szCs w:val="21"/>
        </w:rPr>
        <w:t xml:space="preserve">（格式见第三章）</w:t>
      </w:r>
      <w:r>
        <w:rPr>
          <w:rFonts w:hint="eastAsia" w:ascii="宋体" w:hAnsi="宋体" w:cs="Arial"/>
          <w:color w:val="auto"/>
          <w:szCs w:val="21"/>
        </w:rPr>
        <w:t xml:space="preserve">；</w:t>
      </w:r>
      <w:r/>
    </w:p>
    <w:p>
      <w:pPr>
        <w:numPr>
          <w:ilvl w:val="1"/>
          <w:numId w:val="2"/>
        </w:numPr>
        <w:spacing w:line="360" w:lineRule="auto"/>
        <w:rPr>
          <w:rFonts w:ascii="宋体" w:hAnsi="宋体" w:cs="Arial"/>
          <w:color w:val="auto"/>
          <w:szCs w:val="21"/>
        </w:rPr>
      </w:pPr>
      <w:r>
        <w:rPr>
          <w:rFonts w:hint="eastAsia" w:ascii="宋体" w:hAnsi="宋体" w:cs="Arial"/>
          <w:color w:val="auto"/>
          <w:szCs w:val="21"/>
        </w:rPr>
        <w:t xml:space="preserve">资格条件：</w:t>
      </w:r>
      <w:r/>
    </w:p>
    <w:p>
      <w:pPr>
        <w:numPr>
          <w:ilvl w:val="3"/>
          <w:numId w:val="2"/>
        </w:numPr>
        <w:spacing w:line="360" w:lineRule="auto"/>
        <w:rPr>
          <w:rFonts w:ascii="宋体" w:hAnsi="宋体"/>
          <w:color w:val="auto"/>
        </w:rPr>
      </w:pPr>
      <w:r>
        <w:rPr>
          <w:rFonts w:hint="eastAsia" w:ascii="宋体" w:hAnsi="宋体" w:cs="Arial"/>
          <w:color w:val="auto"/>
          <w:szCs w:val="21"/>
        </w:rPr>
        <w:t xml:space="preserve">满足《中华人民共和国政府采购法》第二十二条规定：</w:t>
      </w:r>
      <w:bookmarkStart w:id="4" w:name="_Hlk166688923"/>
      <w:r>
        <w:rPr>
          <w:rFonts w:hint="eastAsia" w:ascii="宋体" w:hAnsi="宋体"/>
          <w:color w:val="auto"/>
          <w:szCs w:val="21"/>
        </w:rPr>
        <w:t xml:space="preserve">提供营业执照及</w:t>
      </w:r>
      <w:r>
        <w:rPr>
          <w:rFonts w:hint="eastAsia" w:ascii="宋体" w:hAnsi="宋体" w:cs="Arial"/>
          <w:color w:val="auto"/>
          <w:szCs w:val="21"/>
        </w:rPr>
        <w:t xml:space="preserve">满足</w:t>
      </w:r>
      <w:r>
        <w:rPr>
          <w:rFonts w:hint="eastAsia" w:ascii="宋体" w:hAnsi="宋体"/>
          <w:color w:val="auto"/>
          <w:szCs w:val="21"/>
        </w:rPr>
        <w:t xml:space="preserve">《中华人民共和国政府采购法》第二十二条规定的承诺函（格式自拟）；</w:t>
      </w:r>
      <w:bookmarkEnd w:id="4"/>
      <w:r/>
      <w:r/>
    </w:p>
    <w:p>
      <w:pPr>
        <w:numPr>
          <w:ilvl w:val="3"/>
          <w:numId w:val="2"/>
        </w:numPr>
        <w:spacing w:line="360" w:lineRule="auto"/>
        <w:rPr>
          <w:rFonts w:ascii="宋体" w:hAnsi="宋体" w:cs="Arial"/>
          <w:color w:val="auto"/>
          <w:szCs w:val="21"/>
        </w:rPr>
      </w:pPr>
      <w:r>
        <w:rPr>
          <w:rFonts w:hint="eastAsia" w:ascii="宋体" w:hAnsi="宋体" w:cs="Arial"/>
          <w:color w:val="auto"/>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3"/>
          <w:numId w:val="2"/>
        </w:numPr>
        <w:spacing w:line="360" w:lineRule="auto"/>
        <w:rPr>
          <w:rFonts w:ascii="宋体" w:hAnsi="宋体" w:cs="Arial"/>
          <w:color w:val="auto"/>
          <w:szCs w:val="21"/>
        </w:rPr>
      </w:pPr>
      <w:r>
        <w:rPr>
          <w:rFonts w:hint="eastAsia" w:ascii="宋体" w:hAnsi="宋体" w:cs="Arial"/>
          <w:color w:val="auto"/>
          <w:szCs w:val="21"/>
        </w:rPr>
        <w:t xml:space="preserve">未被“信用中国”网站（www.creditchina.gov.cn）</w:t>
      </w:r>
      <w:r>
        <w:rPr>
          <w:rFonts w:hint="eastAsia" w:ascii="宋体" w:hAnsi="宋体"/>
          <w:color w:val="auto"/>
          <w:szCs w:val="21"/>
        </w:rPr>
        <w:t xml:space="preserve">列入失信被执行人、重大税收违法失信主体名单、政府采购严重违法失信行为记录名单。</w:t>
      </w:r>
      <w:r>
        <w:rPr>
          <w:rFonts w:hint="eastAsia" w:ascii="宋体" w:hAnsi="宋体"/>
          <w:b/>
          <w:bCs/>
          <w:color w:val="auto"/>
          <w:szCs w:val="21"/>
        </w:rPr>
        <w:t xml:space="preserve">提供网站对应查询截图（查询方式：“信用中国”首页→“专项查询”版块→根据要求分别查询）</w:t>
      </w:r>
      <w:r>
        <w:rPr>
          <w:rFonts w:hint="eastAsia" w:ascii="宋体" w:hAnsi="宋体" w:cs="Arial"/>
          <w:color w:val="auto"/>
          <w:szCs w:val="21"/>
        </w:rPr>
        <w:t xml:space="preserve">；</w:t>
      </w:r>
      <w:r/>
    </w:p>
    <w:p>
      <w:pPr>
        <w:numPr>
          <w:ilvl w:val="1"/>
          <w:numId w:val="2"/>
        </w:numPr>
        <w:spacing w:line="360" w:lineRule="auto"/>
        <w:rPr>
          <w:rFonts w:ascii="宋体" w:hAnsi="宋体" w:cs="Arial"/>
          <w:color w:val="auto"/>
          <w:szCs w:val="21"/>
        </w:rPr>
      </w:pPr>
      <w:r>
        <w:rPr>
          <w:rFonts w:hint="eastAsia" w:ascii="宋体" w:hAnsi="宋体" w:cs="Arial"/>
          <w:color w:val="auto"/>
          <w:szCs w:val="21"/>
        </w:rPr>
        <w:t xml:space="preserve">符合性条件</w:t>
      </w:r>
      <w:r/>
    </w:p>
    <w:p>
      <w:pPr>
        <w:numPr>
          <w:ilvl w:val="3"/>
          <w:numId w:val="2"/>
        </w:numPr>
        <w:spacing w:line="360" w:lineRule="auto"/>
        <w:rPr>
          <w:rFonts w:ascii="宋体" w:hAnsi="宋体" w:cs="Arial"/>
          <w:color w:val="auto"/>
          <w:szCs w:val="21"/>
        </w:rPr>
      </w:pPr>
      <w:r>
        <w:rPr>
          <w:rFonts w:hint="eastAsia" w:ascii="宋体" w:hAnsi="宋体" w:cs="Arial"/>
          <w:color w:val="auto"/>
          <w:szCs w:val="21"/>
        </w:rPr>
        <w:t xml:space="preserve">偏离表</w:t>
      </w:r>
      <w:r>
        <w:rPr>
          <w:rFonts w:ascii="宋体" w:hAnsi="宋体" w:cs="Arial"/>
          <w:color w:val="auto"/>
          <w:szCs w:val="21"/>
        </w:rPr>
        <w:t xml:space="preserve">（格式见第三章）</w:t>
      </w:r>
      <w:r>
        <w:rPr>
          <w:rFonts w:hint="eastAsia" w:ascii="宋体" w:hAnsi="宋体" w:cs="Arial"/>
          <w:color w:val="auto"/>
          <w:szCs w:val="21"/>
        </w:rPr>
        <w:t xml:space="preserve">；</w:t>
      </w:r>
      <w:r/>
    </w:p>
    <w:p>
      <w:pPr>
        <w:numPr>
          <w:ilvl w:val="3"/>
          <w:numId w:val="2"/>
        </w:numPr>
        <w:spacing w:line="360" w:lineRule="auto"/>
        <w:rPr>
          <w:rFonts w:ascii="宋体" w:hAnsi="宋体" w:cs="Arial"/>
          <w:color w:val="auto"/>
          <w:szCs w:val="21"/>
        </w:rPr>
      </w:pPr>
      <w:r>
        <w:rPr>
          <w:rFonts w:hint="eastAsia" w:ascii="宋体" w:hAnsi="宋体" w:cs="Arial"/>
          <w:color w:val="auto"/>
          <w:szCs w:val="21"/>
        </w:rPr>
        <w:t xml:space="preserve">授权委托书（如有）、谈判响应函、投标承诺函、投标单位情况表</w:t>
      </w:r>
      <w:r>
        <w:rPr>
          <w:rFonts w:ascii="宋体" w:hAnsi="宋体" w:cs="Arial"/>
          <w:color w:val="auto"/>
          <w:szCs w:val="21"/>
        </w:rPr>
        <w:t xml:space="preserve">（格式见第三章）</w:t>
      </w:r>
      <w:r/>
    </w:p>
    <w:p>
      <w:pPr>
        <w:numPr>
          <w:ilvl w:val="3"/>
          <w:numId w:val="2"/>
        </w:numPr>
        <w:spacing w:line="360" w:lineRule="auto"/>
        <w:rPr>
          <w:rFonts w:ascii="宋体" w:hAnsi="宋体" w:cs="Arial"/>
          <w:color w:val="auto"/>
          <w:szCs w:val="21"/>
        </w:rPr>
      </w:pPr>
      <w:r>
        <w:rPr>
          <w:rFonts w:hint="eastAsia" w:ascii="宋体" w:hAnsi="宋体" w:cs="Arial"/>
          <w:color w:val="auto"/>
          <w:szCs w:val="21"/>
        </w:rPr>
        <w:t xml:space="preserve">项目人员配置表</w:t>
      </w:r>
      <w:r>
        <w:rPr>
          <w:rFonts w:ascii="宋体" w:hAnsi="宋体" w:cs="Arial"/>
          <w:color w:val="auto"/>
          <w:szCs w:val="21"/>
        </w:rPr>
        <w:t xml:space="preserve">（格式见第三章）</w:t>
      </w:r>
      <w:r/>
    </w:p>
    <w:p>
      <w:pPr>
        <w:numPr>
          <w:ilvl w:val="3"/>
          <w:numId w:val="2"/>
        </w:numPr>
        <w:spacing w:line="360" w:lineRule="auto"/>
        <w:rPr>
          <w:rFonts w:ascii="宋体" w:hAnsi="宋体" w:cs="Arial"/>
          <w:color w:val="auto"/>
          <w:szCs w:val="21"/>
        </w:rPr>
      </w:pPr>
      <w:r>
        <w:rPr>
          <w:rFonts w:hint="eastAsia" w:ascii="宋体" w:hAnsi="宋体" w:cs="Arial"/>
          <w:color w:val="auto"/>
          <w:szCs w:val="21"/>
        </w:rPr>
        <w:t xml:space="preserve">类似业绩证明材料</w:t>
      </w:r>
      <w:r>
        <w:rPr>
          <w:rFonts w:ascii="宋体" w:hAnsi="宋体" w:cs="Arial"/>
          <w:color w:val="auto"/>
          <w:szCs w:val="21"/>
        </w:rPr>
        <w:t xml:space="preserve">（格式见第三章）</w:t>
      </w:r>
      <w:r>
        <w:rPr>
          <w:rFonts w:hint="eastAsia" w:ascii="宋体" w:hAnsi="宋体" w:cs="Arial"/>
          <w:color w:val="auto"/>
          <w:szCs w:val="21"/>
        </w:rPr>
        <w:t xml:space="preserve">；</w:t>
      </w:r>
      <w:r/>
    </w:p>
    <w:p>
      <w:pPr>
        <w:numPr>
          <w:ilvl w:val="3"/>
          <w:numId w:val="2"/>
        </w:numPr>
        <w:spacing w:line="360" w:lineRule="auto"/>
        <w:rPr>
          <w:rFonts w:ascii="宋体" w:hAnsi="宋体" w:cs="Arial"/>
          <w:color w:val="auto"/>
          <w:szCs w:val="21"/>
        </w:rPr>
      </w:pPr>
      <w:r>
        <w:rPr>
          <w:rFonts w:hint="eastAsia" w:ascii="宋体" w:hAnsi="宋体" w:cs="Arial"/>
          <w:color w:val="auto"/>
          <w:szCs w:val="21"/>
        </w:rPr>
        <w:t xml:space="preserve">其他（如有）；</w:t>
      </w:r>
      <w:r/>
    </w:p>
    <w:p>
      <w:pPr>
        <w:numPr>
          <w:ilvl w:val="1"/>
          <w:numId w:val="2"/>
        </w:numPr>
        <w:spacing w:line="360" w:lineRule="auto"/>
        <w:rPr>
          <w:rFonts w:ascii="宋体" w:hAnsi="宋体" w:cs="Arial"/>
          <w:color w:val="auto"/>
          <w:szCs w:val="21"/>
        </w:rPr>
      </w:pPr>
      <w:r>
        <w:rPr>
          <w:rFonts w:hint="eastAsia" w:ascii="宋体" w:hAnsi="宋体" w:cs="Arial"/>
          <w:color w:val="auto"/>
          <w:szCs w:val="21"/>
        </w:rPr>
        <w:t xml:space="preserve">价格折扣文件格式：</w:t>
      </w:r>
      <w:r/>
    </w:p>
    <w:p>
      <w:pPr>
        <w:numPr>
          <w:ilvl w:val="3"/>
          <w:numId w:val="2"/>
        </w:numPr>
        <w:spacing w:line="360" w:lineRule="auto"/>
        <w:rPr>
          <w:rFonts w:ascii="宋体" w:hAnsi="宋体" w:cs="Arial"/>
          <w:color w:val="auto"/>
          <w:szCs w:val="21"/>
        </w:rPr>
      </w:pPr>
      <w:r>
        <w:rPr>
          <w:rFonts w:hint="eastAsia" w:ascii="宋体" w:hAnsi="宋体" w:cs="Arial"/>
          <w:color w:val="auto"/>
          <w:szCs w:val="21"/>
        </w:rPr>
        <w:t xml:space="preserve">提供《中小企业声明函》（如有）</w:t>
      </w:r>
      <w:r>
        <w:rPr>
          <w:rFonts w:ascii="宋体" w:hAnsi="宋体" w:cs="Arial"/>
          <w:color w:val="auto"/>
          <w:szCs w:val="21"/>
        </w:rPr>
        <w:t xml:space="preserve">（格式见第三章）</w:t>
      </w:r>
      <w:r>
        <w:rPr>
          <w:rFonts w:hint="eastAsia" w:ascii="宋体" w:hAnsi="宋体" w:cs="Arial"/>
          <w:color w:val="auto"/>
          <w:szCs w:val="21"/>
        </w:rPr>
        <w:t xml:space="preserve">；</w:t>
      </w:r>
      <w:r/>
    </w:p>
    <w:p>
      <w:pPr>
        <w:numPr>
          <w:ilvl w:val="3"/>
          <w:numId w:val="2"/>
        </w:numPr>
        <w:spacing w:line="360" w:lineRule="auto"/>
        <w:rPr>
          <w:rFonts w:ascii="宋体" w:hAnsi="宋体" w:cs="Arial"/>
          <w:color w:val="auto"/>
          <w:szCs w:val="21"/>
        </w:rPr>
      </w:pPr>
      <w:r>
        <w:rPr>
          <w:rFonts w:ascii="宋体" w:hAnsi="宋体" w:cs="Arial"/>
          <w:color w:val="auto"/>
          <w:szCs w:val="21"/>
        </w:rPr>
        <w:t xml:space="preserve">残疾人福利性单位声明函</w:t>
      </w:r>
      <w:r>
        <w:rPr>
          <w:rFonts w:hint="eastAsia" w:ascii="宋体" w:hAnsi="宋体" w:cs="Arial"/>
          <w:color w:val="auto"/>
          <w:szCs w:val="21"/>
        </w:rPr>
        <w:t xml:space="preserve">（如有）（</w:t>
      </w:r>
      <w:r>
        <w:rPr>
          <w:rFonts w:ascii="宋体" w:hAnsi="宋体" w:cs="Arial"/>
          <w:color w:val="auto"/>
          <w:szCs w:val="21"/>
        </w:rPr>
        <w:t xml:space="preserve">格式见第三章）</w:t>
      </w:r>
      <w:r>
        <w:rPr>
          <w:rFonts w:hint="eastAsia" w:ascii="宋体" w:hAnsi="宋体" w:cs="Arial"/>
          <w:color w:val="auto"/>
          <w:szCs w:val="21"/>
        </w:rPr>
        <w:t xml:space="preserve">；</w:t>
      </w:r>
      <w:r/>
    </w:p>
    <w:p>
      <w:pPr>
        <w:numPr>
          <w:ilvl w:val="3"/>
          <w:numId w:val="2"/>
        </w:numPr>
        <w:spacing w:line="360" w:lineRule="auto"/>
        <w:rPr>
          <w:rFonts w:ascii="宋体" w:hAnsi="宋体" w:cs="Arial"/>
          <w:color w:val="auto"/>
          <w:szCs w:val="21"/>
        </w:rPr>
      </w:pPr>
      <w:r>
        <w:rPr>
          <w:rFonts w:hint="eastAsia" w:ascii="宋体" w:hAnsi="宋体" w:cs="Arial"/>
          <w:color w:val="auto"/>
          <w:szCs w:val="21"/>
        </w:rPr>
        <w:t xml:space="preserve">监狱企业证明文件（如有）。</w:t>
      </w:r>
      <w:r/>
    </w:p>
    <w:p>
      <w:pPr>
        <w:ind w:firstLine="420"/>
        <w:spacing w:line="360" w:lineRule="auto"/>
        <w:rPr>
          <w:rFonts w:ascii="宋体" w:hAnsi="宋体" w:cs="Arial"/>
          <w:color w:val="auto"/>
          <w:szCs w:val="21"/>
        </w:rPr>
      </w:pPr>
      <w:r>
        <w:rPr>
          <w:rFonts w:hint="eastAsia" w:ascii="宋体" w:hAnsi="宋体" w:cs="Arial"/>
          <w:b/>
          <w:bCs/>
          <w:color w:val="auto"/>
          <w:szCs w:val="21"/>
        </w:rPr>
        <w:t xml:space="preserve">以上“13.2-13.3”为资格性、符合性审查须提供的资料，投标人必须提供并加盖电子公章。否则，投标文件将被认定为未实质性响应。</w:t>
      </w:r>
      <w:r>
        <w:rPr>
          <w:rFonts w:hint="eastAsia" w:ascii="宋体" w:hAnsi="宋体" w:cs="Arial"/>
          <w:color w:val="auto"/>
          <w:szCs w:val="21"/>
        </w:rPr>
        <w:t xml:space="preserve">投标人所提交的投标书（技术及相关文件部分）完整与否，将直接影响投标人的评分；</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响应文件编制说明</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电子投标文件按采购文件规定的格式制作，如果未按要求制作上传，可能导致投标无效</w:t>
      </w:r>
      <w:r>
        <w:rPr>
          <w:rFonts w:hint="eastAsia" w:ascii="宋体" w:hAnsi="宋体"/>
          <w:color w:val="auto"/>
        </w:rPr>
        <w:t xml:space="preserve">。</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开标一览表为在开标仪式上网上唱标的内容，要求按格式填写，统一规范，不得自行增减内容（格式见第三章）</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对本次投标的详细说明的编制</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对本次投标的详细说明由供应商视各自的情况自行编制，附于正文之后，与正文页码统一编目</w:t>
      </w:r>
      <w:r>
        <w:rPr>
          <w:rFonts w:hint="eastAsia" w:ascii="宋体" w:hAnsi="宋体" w:cs="Arial"/>
          <w:color w:val="auto"/>
          <w:szCs w:val="21"/>
        </w:rPr>
        <w:t xml:space="preserve">。</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投标报价</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投标应以总价报价。</w:t>
      </w:r>
      <w:r>
        <w:rPr>
          <w:rFonts w:hint="eastAsia" w:ascii="宋体" w:cs="Arial"/>
          <w:color w:val="auto"/>
          <w:szCs w:val="21"/>
        </w:rPr>
        <w:t xml:space="preserve">除非合同中另有规定，投标人对《投标报价表》中的整个投标项目的报价</w:t>
      </w:r>
      <w:r>
        <w:rPr>
          <w:rFonts w:hint="eastAsia" w:hAnsi="宋体"/>
          <w:color w:val="auto"/>
          <w:szCs w:val="21"/>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color w:val="auto"/>
          <w:szCs w:val="21"/>
        </w:rPr>
        <w:t xml:space="preserve">。</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color w:val="auto"/>
          <w:szCs w:val="21"/>
        </w:rPr>
        <w:t xml:space="preserve">。</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一项谈判内容只允许一个报价，采购代理人不接受任何有选择性的谈判报价。</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响应文件报价中的单价和总价全部采用人民币表示，除非合同的主要条款另有规定</w:t>
      </w:r>
      <w:r>
        <w:rPr>
          <w:rFonts w:hint="eastAsia" w:ascii="宋体" w:hAnsi="宋体" w:cs="Arial"/>
          <w:color w:val="auto"/>
          <w:szCs w:val="21"/>
        </w:rPr>
        <w:t xml:space="preserve">。</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供应商的任何错漏、优惠、竞争性报价不得作为减轻责任、减少服务、增加收费、降低质量的理由</w:t>
      </w:r>
      <w:r>
        <w:rPr>
          <w:rFonts w:hint="eastAsia" w:ascii="宋体" w:hAnsi="宋体" w:cs="Arial"/>
          <w:color w:val="auto"/>
          <w:szCs w:val="21"/>
        </w:rPr>
        <w:t xml:space="preserve">。</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响应文件的有效期</w:t>
      </w:r>
      <w:r/>
    </w:p>
    <w:p>
      <w:pPr>
        <w:numPr>
          <w:ilvl w:val="1"/>
          <w:numId w:val="2"/>
        </w:numPr>
        <w:ind w:left="0" w:firstLine="425"/>
        <w:spacing w:line="360" w:lineRule="auto"/>
        <w:rPr>
          <w:rFonts w:ascii="宋体" w:hAnsi="宋体" w:cs="Arial"/>
          <w:color w:val="auto"/>
          <w:szCs w:val="21"/>
        </w:rPr>
      </w:pPr>
      <w:r>
        <w:rPr>
          <w:rFonts w:hint="eastAsia" w:ascii="宋体" w:hAnsi="宋体" w:cs="Arial"/>
          <w:b/>
          <w:color w:val="auto"/>
          <w:szCs w:val="21"/>
        </w:rPr>
        <w:t xml:space="preserve">自投标截止之日起90天内</w:t>
      </w:r>
      <w:r>
        <w:rPr>
          <w:rFonts w:hint="eastAsia" w:ascii="宋体" w:hAnsi="宋体" w:cs="Arial"/>
          <w:color w:val="auto"/>
          <w:szCs w:val="21"/>
        </w:rPr>
        <w:t xml:space="preserve">，投标书应保持有效。有效期短于这个规定期限的投标，将被拒绝。</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投标截止时间</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电子响应文件必须按《谈判邀请函》规定的网上投标截止时间前提交。</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采购人推迟投标截止时间时，应以网上公布的形式，通知供应商，在这种情况下，采购人和供应商的权利和义务将受到新的截止期的约束。</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响应文件的修改和撤回</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响应文件的修改应在网上投标截止时间前进行。</w:t>
      </w:r>
      <w:r/>
    </w:p>
    <w:p>
      <w:pPr>
        <w:numPr>
          <w:ilvl w:val="0"/>
          <w:numId w:val="1"/>
        </w:numPr>
        <w:ind w:left="850" w:hanging="424"/>
        <w:spacing w:line="360" w:lineRule="auto"/>
        <w:rPr>
          <w:rFonts w:ascii="宋体" w:hAnsi="宋体" w:cs="Arial"/>
          <w:b/>
          <w:color w:val="auto"/>
          <w:szCs w:val="21"/>
        </w:rPr>
      </w:pPr>
      <w:r>
        <w:rPr>
          <w:rFonts w:hint="eastAsia" w:ascii="宋体" w:hAnsi="宋体" w:cs="Arial"/>
          <w:b/>
          <w:color w:val="auto"/>
          <w:szCs w:val="21"/>
        </w:rPr>
        <w:t xml:space="preserve">开标和评标</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开标</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采购代理人按《谈判邀请函》规定的时间、地点进行开标。开标仪式根据委托人授权由采购代理人主持。</w:t>
      </w:r>
      <w:r/>
    </w:p>
    <w:p>
      <w:pPr>
        <w:numPr>
          <w:ilvl w:val="1"/>
          <w:numId w:val="2"/>
        </w:numPr>
        <w:ind w:left="0" w:firstLine="425"/>
        <w:spacing w:line="360" w:lineRule="auto"/>
        <w:rPr>
          <w:rFonts w:ascii="宋体" w:hAnsi="宋体" w:cs="Arial"/>
          <w:color w:val="auto"/>
          <w:szCs w:val="21"/>
        </w:rPr>
      </w:pPr>
      <w:r>
        <w:rPr>
          <w:rFonts w:ascii="宋体" w:hAnsi="宋体" w:cs="Arial"/>
          <w:color w:val="auto"/>
          <w:szCs w:val="21"/>
        </w:rPr>
        <w:t xml:space="preserve">参加开标的投标人的法定代表人或被授权人应</w:t>
      </w:r>
      <w:r>
        <w:rPr>
          <w:rFonts w:hint="eastAsia" w:ascii="宋体" w:hAnsi="宋体" w:cs="Arial"/>
          <w:color w:val="auto"/>
          <w:szCs w:val="21"/>
        </w:rPr>
        <w:t xml:space="preserve">登录苏采云平台</w:t>
      </w:r>
      <w:r>
        <w:rPr>
          <w:rFonts w:ascii="宋体" w:hAnsi="宋体" w:cs="Arial"/>
          <w:color w:val="auto"/>
          <w:szCs w:val="21"/>
        </w:rPr>
        <w:t xml:space="preserve">进行远程</w:t>
      </w:r>
      <w:r>
        <w:rPr>
          <w:rFonts w:hint="eastAsia" w:ascii="宋体" w:hAnsi="宋体" w:cs="Arial"/>
          <w:color w:val="auto"/>
          <w:szCs w:val="21"/>
        </w:rPr>
        <w:t xml:space="preserve">开标</w:t>
      </w:r>
      <w:r>
        <w:rPr>
          <w:rFonts w:ascii="宋体" w:hAnsi="宋体" w:cs="Arial"/>
          <w:color w:val="auto"/>
          <w:szCs w:val="21"/>
        </w:rPr>
        <w:t xml:space="preserve">，</w:t>
      </w:r>
      <w:r>
        <w:rPr>
          <w:rFonts w:hint="eastAsia" w:ascii="宋体" w:hAnsi="宋体" w:cs="Arial"/>
          <w:color w:val="auto"/>
          <w:szCs w:val="21"/>
        </w:rPr>
        <w:t xml:space="preserve">苏采云平台解密时间以开标时“苏采云”系统为准，解密</w:t>
      </w:r>
      <w:r>
        <w:rPr>
          <w:rFonts w:ascii="宋体" w:hAnsi="宋体" w:cs="Arial"/>
          <w:color w:val="auto"/>
          <w:szCs w:val="21"/>
        </w:rPr>
        <w:t xml:space="preserve">时间超过10分钟的</w:t>
      </w:r>
      <w:r>
        <w:rPr>
          <w:rFonts w:hint="eastAsia" w:ascii="宋体" w:hAnsi="宋体" w:cs="Arial"/>
          <w:color w:val="auto"/>
          <w:szCs w:val="21"/>
        </w:rPr>
        <w:t xml:space="preserve">，</w:t>
      </w:r>
      <w:r>
        <w:rPr>
          <w:rFonts w:ascii="宋体" w:hAnsi="宋体" w:cs="Arial"/>
          <w:color w:val="auto"/>
          <w:szCs w:val="21"/>
        </w:rPr>
        <w:t xml:space="preserve">视为无效投标。</w:t>
      </w:r>
      <w:r/>
    </w:p>
    <w:p>
      <w:pPr>
        <w:numPr>
          <w:ilvl w:val="1"/>
          <w:numId w:val="2"/>
        </w:numPr>
        <w:ind w:left="0" w:firstLine="425"/>
        <w:spacing w:line="360" w:lineRule="auto"/>
        <w:rPr>
          <w:rFonts w:ascii="宋体" w:hAnsi="宋体" w:cs="Arial"/>
          <w:color w:val="auto"/>
          <w:szCs w:val="21"/>
        </w:rPr>
      </w:pPr>
      <w:r>
        <w:rPr>
          <w:rFonts w:hint="eastAsia" w:ascii="宋体" w:hAnsi="宋体"/>
          <w:color w:val="auto"/>
        </w:rPr>
        <w:t xml:space="preserve">出现下列情形之一的，将终止竞争性谈判采购活动</w:t>
      </w:r>
      <w:r>
        <w:rPr>
          <w:rFonts w:hint="eastAsia" w:ascii="宋体" w:hAnsi="宋体" w:cs="Arial"/>
          <w:color w:val="auto"/>
          <w:szCs w:val="21"/>
        </w:rPr>
        <w:t xml:space="preserve">：</w:t>
      </w:r>
      <w:r/>
    </w:p>
    <w:p>
      <w:pPr>
        <w:numPr>
          <w:ilvl w:val="2"/>
          <w:numId w:val="2"/>
        </w:numPr>
        <w:ind w:left="426" w:firstLine="0"/>
        <w:spacing w:line="360" w:lineRule="auto"/>
        <w:rPr>
          <w:rFonts w:ascii="宋体" w:hAnsi="宋体" w:cs="Arial"/>
          <w:color w:val="auto"/>
          <w:szCs w:val="21"/>
        </w:rPr>
      </w:pPr>
      <w:r>
        <w:rPr>
          <w:rFonts w:hint="eastAsia" w:ascii="宋体" w:hAnsi="宋体"/>
          <w:color w:val="auto"/>
        </w:rPr>
        <w:t xml:space="preserve">因情况变化，不再符合规定的竞争性谈判采购方式适用情形的；</w:t>
      </w:r>
      <w:r/>
    </w:p>
    <w:p>
      <w:pPr>
        <w:numPr>
          <w:ilvl w:val="2"/>
          <w:numId w:val="2"/>
        </w:numPr>
        <w:ind w:left="426" w:firstLine="0"/>
        <w:spacing w:line="360" w:lineRule="auto"/>
        <w:rPr>
          <w:rFonts w:ascii="宋体" w:hAnsi="宋体" w:cs="Arial"/>
          <w:color w:val="auto"/>
          <w:szCs w:val="21"/>
        </w:rPr>
      </w:pPr>
      <w:r>
        <w:rPr>
          <w:rFonts w:hint="eastAsia" w:ascii="宋体" w:hAnsi="宋体"/>
          <w:color w:val="auto"/>
        </w:rPr>
        <w:t xml:space="preserve">出现影响采购公正的违法、违规行为的；</w:t>
      </w:r>
      <w:r/>
    </w:p>
    <w:p>
      <w:pPr>
        <w:numPr>
          <w:ilvl w:val="2"/>
          <w:numId w:val="2"/>
        </w:numPr>
        <w:ind w:left="426" w:firstLine="0"/>
        <w:spacing w:line="360" w:lineRule="auto"/>
        <w:rPr>
          <w:rFonts w:ascii="宋体" w:hAnsi="宋体"/>
          <w:color w:val="auto"/>
        </w:rPr>
      </w:pPr>
      <w:r>
        <w:rPr>
          <w:rFonts w:hint="eastAsia" w:ascii="宋体" w:hAnsi="宋体"/>
          <w:color w:val="auto"/>
        </w:rPr>
        <w:t xml:space="preserve">在采购过程中符合竞争要求的供应商或者报价未超过采购预算的供应商不足3家的；</w:t>
      </w:r>
      <w:r/>
    </w:p>
    <w:p>
      <w:pPr>
        <w:numPr>
          <w:ilvl w:val="2"/>
          <w:numId w:val="2"/>
        </w:numPr>
        <w:ind w:left="426" w:firstLine="0"/>
        <w:spacing w:line="360" w:lineRule="auto"/>
        <w:rPr>
          <w:rFonts w:ascii="宋体" w:hAnsi="宋体"/>
          <w:color w:val="auto"/>
        </w:rPr>
      </w:pPr>
      <w:r>
        <w:rPr>
          <w:rFonts w:hint="eastAsia" w:ascii="宋体" w:hAnsi="宋体"/>
          <w:color w:val="auto"/>
        </w:rPr>
        <w:t xml:space="preserve">出现影响采购公正的违法、违规行为的；</w:t>
      </w:r>
      <w:r/>
    </w:p>
    <w:p>
      <w:pPr>
        <w:numPr>
          <w:ilvl w:val="2"/>
          <w:numId w:val="2"/>
        </w:numPr>
        <w:ind w:left="426" w:firstLine="0"/>
        <w:spacing w:line="360" w:lineRule="auto"/>
        <w:rPr>
          <w:rFonts w:ascii="宋体" w:hAnsi="宋体"/>
          <w:color w:val="auto"/>
        </w:rPr>
      </w:pPr>
      <w:r>
        <w:rPr>
          <w:rFonts w:hint="eastAsia" w:ascii="宋体" w:hAnsi="宋体"/>
          <w:color w:val="auto"/>
        </w:rPr>
        <w:t xml:space="preserve">供应商的报价均超过了采购预算，采购方不能支付的；</w:t>
      </w:r>
      <w:r/>
    </w:p>
    <w:p>
      <w:pPr>
        <w:numPr>
          <w:ilvl w:val="2"/>
          <w:numId w:val="2"/>
        </w:numPr>
        <w:ind w:left="426" w:firstLine="0"/>
        <w:spacing w:line="360" w:lineRule="auto"/>
        <w:rPr>
          <w:rFonts w:ascii="宋体" w:hAnsi="宋体"/>
          <w:color w:val="auto"/>
        </w:rPr>
      </w:pPr>
      <w:r>
        <w:rPr>
          <w:rFonts w:hint="eastAsia" w:ascii="宋体" w:hAnsi="宋体"/>
          <w:color w:val="auto"/>
        </w:rPr>
        <w:t xml:space="preserve">因重大变故，采购任务取消的。</w:t>
      </w:r>
      <w:r/>
    </w:p>
    <w:p>
      <w:pPr>
        <w:numPr>
          <w:ilvl w:val="1"/>
          <w:numId w:val="2"/>
        </w:numPr>
        <w:ind w:left="0" w:firstLine="425"/>
        <w:spacing w:line="360" w:lineRule="auto"/>
        <w:rPr>
          <w:rFonts w:ascii="宋体" w:hAnsi="宋体"/>
          <w:color w:val="auto"/>
        </w:rPr>
      </w:pPr>
      <w:r>
        <w:rPr>
          <w:rFonts w:hint="eastAsia" w:ascii="宋体" w:hAnsi="宋体"/>
          <w:color w:val="auto"/>
        </w:rPr>
        <w:t xml:space="preserve">废标后，采购人将把废标的理由通知所有供应商。</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谈判小组</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谈判小组的评标工作由采购单位负责组织，具体评标事务由谈判小组负责，并独立履行法律、法规规定的职责</w:t>
      </w:r>
      <w:r>
        <w:rPr>
          <w:rFonts w:hint="eastAsia" w:ascii="宋体" w:hAnsi="宋体" w:cs="Arial"/>
          <w:color w:val="auto"/>
          <w:szCs w:val="21"/>
        </w:rPr>
        <w:t xml:space="preserve">。</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谈判小组负责具体的评标事务，并独立履行以下职责：</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审查响应文件是否符合谈判文件的要求，并作出评价。</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可以要求供应商对响应文件有关事项作出解释或澄清。</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推荐成交候选供应商名单，或者受采购人委托按照事先确定的办法直接确定可以交单位。</w:t>
      </w:r>
      <w:r/>
    </w:p>
    <w:p>
      <w:pPr>
        <w:numPr>
          <w:ilvl w:val="1"/>
          <w:numId w:val="2"/>
        </w:numPr>
        <w:ind w:left="0" w:firstLine="425"/>
        <w:spacing w:line="360" w:lineRule="auto"/>
        <w:rPr>
          <w:rFonts w:ascii="宋体" w:hAnsi="宋体" w:cs="Arial"/>
          <w:b/>
          <w:color w:val="auto"/>
          <w:szCs w:val="21"/>
        </w:rPr>
      </w:pPr>
      <w:r>
        <w:rPr>
          <w:rFonts w:hint="eastAsia" w:ascii="宋体" w:hAnsi="宋体" w:cs="Arial"/>
          <w:b/>
          <w:color w:val="auto"/>
          <w:szCs w:val="21"/>
        </w:rPr>
        <w:t xml:space="preserve">评标内容的保密</w:t>
      </w:r>
      <w:r/>
    </w:p>
    <w:p>
      <w:pPr>
        <w:numPr>
          <w:ilvl w:val="2"/>
          <w:numId w:val="2"/>
        </w:numPr>
        <w:ind w:left="426" w:firstLine="0"/>
        <w:spacing w:line="360" w:lineRule="auto"/>
        <w:rPr>
          <w:rFonts w:ascii="宋体" w:hAnsi="宋体" w:cs="Arial"/>
          <w:color w:val="auto"/>
          <w:szCs w:val="21"/>
        </w:rPr>
      </w:pPr>
      <w:r>
        <w:rPr>
          <w:rFonts w:hint="eastAsia" w:ascii="宋体" w:hAnsi="宋体"/>
          <w:color w:val="auto"/>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color w:val="auto"/>
          <w:szCs w:val="21"/>
        </w:rPr>
        <w:t xml:space="preserve">。</w:t>
      </w:r>
      <w:r/>
    </w:p>
    <w:p>
      <w:pPr>
        <w:numPr>
          <w:ilvl w:val="2"/>
          <w:numId w:val="2"/>
        </w:numPr>
        <w:ind w:left="426" w:firstLine="0"/>
        <w:spacing w:line="360" w:lineRule="auto"/>
        <w:rPr>
          <w:rFonts w:ascii="宋体" w:hAnsi="宋体" w:cs="Arial"/>
          <w:color w:val="auto"/>
          <w:szCs w:val="21"/>
        </w:rPr>
      </w:pPr>
      <w:r>
        <w:rPr>
          <w:rFonts w:hint="eastAsia" w:ascii="宋体" w:hAnsi="宋体"/>
          <w:color w:val="auto"/>
          <w:szCs w:val="21"/>
        </w:rPr>
        <w:t xml:space="preserve">在响应文件的审查、澄清、评价和比较以及授予成交的过程中，供应商对招标代理人和谈判小组成员施加影响的任何行为，都将取消其投标资格</w:t>
      </w:r>
      <w:r>
        <w:rPr>
          <w:rFonts w:hint="eastAsia" w:ascii="宋体" w:hAnsi="宋体" w:cs="Arial"/>
          <w:color w:val="auto"/>
          <w:szCs w:val="21"/>
        </w:rPr>
        <w:t xml:space="preserve">。</w:t>
      </w:r>
      <w:r/>
    </w:p>
    <w:p>
      <w:pPr>
        <w:numPr>
          <w:ilvl w:val="2"/>
          <w:numId w:val="2"/>
        </w:numPr>
        <w:ind w:left="426" w:firstLine="0"/>
        <w:spacing w:line="360" w:lineRule="auto"/>
        <w:rPr>
          <w:rFonts w:ascii="宋体" w:hAnsi="宋体" w:cs="Arial"/>
          <w:color w:val="auto"/>
          <w:szCs w:val="21"/>
        </w:rPr>
      </w:pPr>
      <w:r>
        <w:rPr>
          <w:rFonts w:hint="eastAsia" w:ascii="宋体" w:hAnsi="宋体"/>
          <w:color w:val="auto"/>
          <w:szCs w:val="21"/>
        </w:rPr>
        <w:t xml:space="preserve">在评标期间，招标代理人将通过指定联络人与供应商进行联系</w:t>
      </w:r>
      <w:r>
        <w:rPr>
          <w:rFonts w:hint="eastAsia" w:ascii="宋体" w:hAnsi="宋体" w:cs="Arial"/>
          <w:color w:val="auto"/>
          <w:szCs w:val="21"/>
        </w:rPr>
        <w:t xml:space="preserve">。</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对响应文件的审核</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采购人或者采购代理人资格证明文件要求进行供应商资格审查，如缺少内容，视为无效投标；</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对价格的计算错误按下述原则修正：</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如果单价乘数量不等于总价，应以单价为准修正总价。</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大写金额和小写金额不一致的，以大写金额为准。</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单价金额小数点有明显错位的，应以总价为准，并修改单价。</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如果以文字表示的数据与数字表示的有差别，应以文字为准修正数字。</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对不同文字文本响应文件的解释发生异议的，以中文文本为准。</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供应商不同意以上修正，则其投标为无效投标。</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谈判小组对响应文件的判定，只依据投标内容本身，不依据开标后的任何外来证明。</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下列响应文件为无效投标：</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与谈判文件有重大偏离。</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供应商的报价是选择性的。</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供应商的报价只报了部分内容。</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投标报价超过预算的。</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未按投标邀函请规定的数额和办法交纳投标保证金的。</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不具备谈判文件中规定的资格要求。</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不同供应商的响应文件由同一单位或者个人编制。</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不同供应商委托同一单位或者个人办理投标事宜。</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不同供应商的响应文件载明的项目管理成员为同一人。</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不同供应商的响应文件异常一致。</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不同供应商的响应文件相互混装。</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不同供应商的法定代表人或委托代理人有夫妻、直系血亲关系的。</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不同供应商的负责人为同一人或者存在控股、管理关系的。</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没有逐一说明投标产品名称、品牌、规格型号和技术参数，而是直接拷贝谈判文件技术要求的；</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不同供应商的委托代理人(或法定代表人、项目经理、项目总监、项目负责人等)在谈判文件发布日上月至投标截止日当月在同一单位缴纳社会保险的。</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服务承诺和付款条件未响应招标要求的；</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不符合法律、法规和谈判文件规定的其他实质性要求的。</w:t>
      </w:r>
      <w:r/>
    </w:p>
    <w:p>
      <w:pPr>
        <w:numPr>
          <w:ilvl w:val="2"/>
          <w:numId w:val="2"/>
        </w:numPr>
        <w:ind w:left="426" w:firstLine="0"/>
        <w:spacing w:line="360" w:lineRule="auto"/>
        <w:rPr>
          <w:rFonts w:ascii="宋体" w:hAnsi="宋体" w:cs="Arial"/>
          <w:color w:val="auto"/>
          <w:szCs w:val="21"/>
        </w:rPr>
      </w:pPr>
      <w:r>
        <w:rPr>
          <w:rFonts w:hint="eastAsia" w:ascii="宋体" w:hAnsi="宋体" w:cs="Arial"/>
          <w:color w:val="auto"/>
          <w:szCs w:val="21"/>
        </w:rPr>
        <w:t xml:space="preserve">谈判小组认定的其它为无效投标的事项。</w:t>
      </w:r>
      <w:r/>
    </w:p>
    <w:p>
      <w:pPr>
        <w:numPr>
          <w:ilvl w:val="0"/>
          <w:numId w:val="2"/>
        </w:numPr>
        <w:ind w:left="849" w:hanging="423"/>
        <w:spacing w:line="360" w:lineRule="auto"/>
        <w:rPr>
          <w:rFonts w:ascii="宋体" w:hAnsi="宋体" w:cs="Arial"/>
          <w:b/>
          <w:color w:val="auto"/>
          <w:szCs w:val="21"/>
        </w:rPr>
      </w:pPr>
      <w:r>
        <w:rPr>
          <w:rFonts w:hint="eastAsia" w:ascii="宋体" w:hAnsi="宋体"/>
          <w:b/>
          <w:color w:val="auto"/>
          <w:szCs w:val="21"/>
        </w:rPr>
        <w:t xml:space="preserve">响应文件</w:t>
      </w:r>
      <w:r>
        <w:rPr>
          <w:rFonts w:hint="eastAsia" w:ascii="宋体" w:hAnsi="宋体" w:cs="Arial"/>
          <w:b/>
          <w:color w:val="auto"/>
          <w:szCs w:val="21"/>
        </w:rPr>
        <w:t xml:space="preserve">的澄清</w:t>
      </w:r>
      <w:r/>
    </w:p>
    <w:p>
      <w:pPr>
        <w:numPr>
          <w:ilvl w:val="1"/>
          <w:numId w:val="2"/>
        </w:numPr>
        <w:ind w:left="0" w:firstLine="425"/>
        <w:spacing w:line="360" w:lineRule="auto"/>
        <w:rPr>
          <w:rFonts w:ascii="宋体" w:hAnsi="宋体" w:cs="Arial"/>
          <w:color w:val="auto"/>
          <w:szCs w:val="21"/>
        </w:rPr>
      </w:pPr>
      <w:r>
        <w:rPr>
          <w:rFonts w:hint="eastAsia"/>
          <w:color w:val="auto"/>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color w:val="auto"/>
          <w:szCs w:val="21"/>
        </w:rPr>
        <w:t xml:space="preserve">。</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必要时</w:t>
      </w:r>
      <w:r>
        <w:rPr>
          <w:rFonts w:hint="eastAsia"/>
          <w:color w:val="auto"/>
        </w:rPr>
        <w:t xml:space="preserve">谈判小组可要求供应商澄清、说明或者更正响应文件以书面形式作出，并应当由法定代表人或其授权代表签字或者加盖公章</w:t>
      </w:r>
      <w:r>
        <w:rPr>
          <w:rFonts w:hint="eastAsia" w:ascii="宋体" w:hAnsi="宋体" w:cs="Arial"/>
          <w:color w:val="auto"/>
          <w:szCs w:val="21"/>
        </w:rPr>
        <w:t xml:space="preserve">。</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响应文件的评价</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谈判小组对响应文件是否实质上响应谈判文件要求的响应文件进行评审</w:t>
      </w:r>
      <w:r>
        <w:rPr>
          <w:rFonts w:hint="eastAsia" w:ascii="宋体" w:hAnsi="宋体" w:cs="Arial"/>
          <w:color w:val="auto"/>
          <w:szCs w:val="21"/>
        </w:rPr>
        <w:t xml:space="preserve">。</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评价和比较采用最低评标价法，谈判小组严格按照谈判文件的要求、条件，对供应商所作的实质性响应内容进行评审</w:t>
      </w:r>
      <w:r>
        <w:rPr>
          <w:rFonts w:hint="eastAsia" w:ascii="宋体" w:hAnsi="宋体" w:cs="Arial"/>
          <w:color w:val="auto"/>
          <w:szCs w:val="21"/>
        </w:rPr>
        <w:t xml:space="preserve">。</w:t>
      </w:r>
      <w:r/>
    </w:p>
    <w:p>
      <w:pPr>
        <w:numPr>
          <w:ilvl w:val="0"/>
          <w:numId w:val="1"/>
        </w:numPr>
        <w:ind w:left="850" w:hanging="424"/>
        <w:spacing w:line="360" w:lineRule="auto"/>
        <w:rPr>
          <w:rFonts w:ascii="宋体" w:hAnsi="宋体" w:cs="Arial"/>
          <w:b/>
          <w:color w:val="auto"/>
          <w:szCs w:val="21"/>
        </w:rPr>
      </w:pPr>
      <w:r>
        <w:rPr>
          <w:rFonts w:hint="eastAsia" w:ascii="宋体" w:hAnsi="宋体" w:cs="Arial"/>
          <w:b/>
          <w:color w:val="auto"/>
          <w:szCs w:val="21"/>
        </w:rPr>
        <w:t xml:space="preserve">授予合同</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成交单位的确认</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831"/>
        <w:jc w:val="both"/>
        <w:spacing w:line="360" w:lineRule="auto"/>
        <w:rPr>
          <w:rFonts w:ascii="宋体" w:hAnsi="宋体" w:eastAsia="宋体" w:cs="Arial"/>
          <w:color w:val="auto"/>
          <w:sz w:val="21"/>
          <w:szCs w:val="21"/>
        </w:rPr>
      </w:pPr>
      <w:r>
        <w:rPr>
          <w:rFonts w:hint="eastAsia" w:ascii="宋体" w:hAnsi="宋体" w:eastAsia="宋体" w:cs="Arial"/>
          <w:color w:val="auto"/>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Arial"/>
          <w:b/>
          <w:color w:val="auto"/>
          <w:sz w:val="21"/>
          <w:szCs w:val="21"/>
        </w:rPr>
        <w:t xml:space="preserve">出质疑或质疑未经投标单位法定代表人或参加投标的授权委</w:t>
      </w:r>
      <w:r>
        <w:rPr>
          <w:rFonts w:hint="eastAsia" w:ascii="宋体" w:hAnsi="宋体" w:eastAsia="宋体" w:cs="Arial"/>
          <w:color w:val="auto"/>
          <w:sz w:val="21"/>
          <w:szCs w:val="21"/>
        </w:rPr>
        <w:t xml:space="preserve">托人签署，采购人有权对该质疑不予答复。</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合同授予标准</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确定为成交的供应商必须具有实施本合同的能力和资源。</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成交通知书</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确定出中标人后，采购代理机构在法定时间内向中标人发出成交通知书。请中标人在中标结果公告届满之日起30日内,使用CA证书登录“苏采云”系统及时下载成交通知书。因系统存储空间有限，自中标结果公告届满之日起30日后，“苏采云”系统不再保证提供下载成交通知书服务,因未及时下载而造成的不利后果由中标人自行承担。</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成交通知书将成为合同的组成部分。。</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合同的签订</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成交单位应按成交通知书中规定的期限，与甲方签订合同</w:t>
      </w:r>
      <w:r>
        <w:rPr>
          <w:rFonts w:hint="eastAsia" w:ascii="宋体" w:hAnsi="宋体" w:cs="Arial"/>
          <w:color w:val="auto"/>
          <w:szCs w:val="21"/>
        </w:rPr>
        <w:t xml:space="preserve">。</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color w:val="auto"/>
          <w:szCs w:val="21"/>
        </w:rPr>
        <w:t xml:space="preserve">。</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采购人不得向成交供应商提出任何不合理的要求作为签订合同的条件，不得与成交供应商私下订立背离合同实质性内容的协议</w:t>
      </w:r>
      <w:r>
        <w:rPr>
          <w:rFonts w:hint="eastAsia" w:ascii="宋体" w:hAnsi="宋体" w:cs="Arial"/>
          <w:color w:val="auto"/>
          <w:szCs w:val="21"/>
        </w:rPr>
        <w:t xml:space="preserve">。</w:t>
      </w:r>
      <w:r/>
    </w:p>
    <w:p>
      <w:pPr>
        <w:numPr>
          <w:ilvl w:val="1"/>
          <w:numId w:val="2"/>
        </w:numPr>
        <w:ind w:left="0" w:firstLine="425"/>
        <w:spacing w:line="360" w:lineRule="auto"/>
        <w:rPr>
          <w:rFonts w:ascii="宋体" w:hAnsi="宋体" w:cs="Arial"/>
          <w:color w:val="auto"/>
          <w:szCs w:val="21"/>
        </w:rPr>
      </w:pPr>
      <w:r>
        <w:rPr>
          <w:rFonts w:hint="eastAsia" w:ascii="宋体" w:hAnsi="宋体"/>
          <w:color w:val="auto"/>
          <w:szCs w:val="21"/>
        </w:rPr>
        <w:t xml:space="preserve">采购合同履行中，采购人需追加与合同标的相同货物的，在不改变合同其他条款的前提下，可以与供应商协商签订补充合同，但所有补充合同的采购</w:t>
      </w:r>
      <w:r>
        <w:rPr>
          <w:rFonts w:hint="eastAsia" w:ascii="宋体" w:hAnsi="宋体"/>
          <w:color w:val="auto"/>
          <w:szCs w:val="21"/>
          <w:lang w:val="zh-CN"/>
        </w:rPr>
        <w:t xml:space="preserve">金额不得超过原合同采购金额的百分之十。</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履约保证金（如有）</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成交的供应商应按《谈判邀请函》中的规定提交履约保证金。</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成交的供应商必须在合同备案前按《谈判邀请函》中的规定将履约保证金交至指定帐户（不接受保函形式），未缴纳履约保证金不得备案。</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履约保证金（无息）将在乙方履行完合同并经验收合格后，凭乙方的收款收据在五个工作日内退返乙方。</w:t>
      </w:r>
      <w:r/>
    </w:p>
    <w:p>
      <w:pPr>
        <w:numPr>
          <w:ilvl w:val="0"/>
          <w:numId w:val="1"/>
        </w:numPr>
        <w:ind w:left="850" w:hanging="424"/>
        <w:spacing w:line="360" w:lineRule="auto"/>
        <w:rPr>
          <w:rFonts w:ascii="宋体" w:hAnsi="宋体" w:cs="Arial"/>
          <w:b/>
          <w:color w:val="auto"/>
          <w:szCs w:val="21"/>
        </w:rPr>
      </w:pPr>
      <w:r>
        <w:rPr>
          <w:rFonts w:hint="eastAsia" w:ascii="宋体" w:hAnsi="宋体" w:cs="Arial"/>
          <w:b/>
          <w:color w:val="auto"/>
          <w:szCs w:val="21"/>
        </w:rPr>
        <w:t xml:space="preserve">诚实信用</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诚实信用</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供应商不得虚假承诺，否则，按照提供虚假材料谋取中标处理。</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ascii="宋体" w:hAnsi="宋体"/>
          <w:b/>
          <w:color w:val="auto"/>
          <w:szCs w:val="21"/>
        </w:rPr>
      </w:pPr>
      <w:r>
        <w:rPr>
          <w:rFonts w:hint="eastAsia" w:ascii="宋体" w:hAnsi="宋体"/>
          <w:b/>
          <w:color w:val="auto"/>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ascii="宋体" w:hAnsi="宋体" w:cs="Arial"/>
          <w:b/>
          <w:color w:val="auto"/>
          <w:szCs w:val="21"/>
        </w:rPr>
      </w:pPr>
      <w:r>
        <w:rPr>
          <w:rFonts w:hint="eastAsia" w:ascii="宋体" w:hAnsi="宋体" w:cs="Arial"/>
          <w:b/>
          <w:color w:val="auto"/>
          <w:szCs w:val="21"/>
        </w:rPr>
        <w:t xml:space="preserve">其他事项</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成交服务费</w:t>
      </w:r>
      <w:r/>
    </w:p>
    <w:p>
      <w:pPr>
        <w:numPr>
          <w:ilvl w:val="1"/>
          <w:numId w:val="2"/>
        </w:numPr>
        <w:ind w:left="0" w:firstLine="425"/>
        <w:spacing w:line="360" w:lineRule="auto"/>
        <w:rPr>
          <w:rFonts w:ascii="宋体" w:hAnsi="宋体" w:cs="Arial"/>
          <w:color w:val="auto"/>
          <w:szCs w:val="21"/>
        </w:rPr>
      </w:pPr>
      <w:r>
        <w:rPr>
          <w:rFonts w:hint="eastAsia" w:ascii="宋体" w:hAnsi="宋体" w:cs="Arial"/>
          <w:color w:val="auto"/>
          <w:szCs w:val="21"/>
        </w:rPr>
        <w:t xml:space="preserve">成交单位须按规定支付成交服务费，该费用应在合同签订后三天内付清。</w:t>
      </w:r>
      <w:r/>
    </w:p>
    <w:p>
      <w:pPr>
        <w:numPr>
          <w:ilvl w:val="1"/>
          <w:numId w:val="2"/>
        </w:numPr>
        <w:ind w:left="0" w:firstLine="425"/>
        <w:spacing w:line="360" w:lineRule="auto"/>
        <w:rPr>
          <w:rFonts w:ascii="宋体" w:hAnsi="宋体" w:cs="Arial"/>
          <w:b/>
          <w:color w:val="auto"/>
          <w:szCs w:val="21"/>
        </w:rPr>
      </w:pPr>
      <w:r>
        <w:rPr>
          <w:rFonts w:hint="eastAsia" w:ascii="宋体" w:hAnsi="宋体" w:cs="Arial"/>
          <w:b/>
          <w:color w:val="auto"/>
          <w:szCs w:val="21"/>
        </w:rPr>
        <w:t xml:space="preserve">按差额定率累进法计算收费: 按预算金额100万元以下，收取1.5%；100-500万元，收取1.1%；500-1000万元，收取0.8%；1000-5000万元，收取0.5%；5000-10000万元，收取0.25%；10000-100000万元，收取0.05%，最低不少于3000元；该费用由成交单位另行支付至我司成交服务费专用账户（苏州公正建设咨询房地产评估有限公司  帐  号：3715 0188 0000 00965 开户行：光大银行昆山高新技术产业园区支行）</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监督</w:t>
      </w:r>
      <w:r/>
    </w:p>
    <w:p>
      <w:pPr>
        <w:numPr>
          <w:ilvl w:val="1"/>
          <w:numId w:val="2"/>
        </w:numPr>
        <w:ind w:left="0" w:firstLine="425"/>
        <w:spacing w:line="360" w:lineRule="auto"/>
        <w:rPr>
          <w:rFonts w:ascii="宋体" w:hAnsi="宋体" w:cs="Arial"/>
          <w:b/>
          <w:color w:val="auto"/>
          <w:szCs w:val="21"/>
        </w:rPr>
      </w:pPr>
      <w:r>
        <w:rPr>
          <w:rFonts w:hint="eastAsia" w:ascii="宋体" w:hAnsi="宋体" w:cs="Arial"/>
          <w:b/>
          <w:color w:val="auto"/>
          <w:szCs w:val="21"/>
        </w:rPr>
        <w:t xml:space="preserve">政府有关监督部门将对招投标全过程进行监督。</w:t>
      </w:r>
      <w:r/>
    </w:p>
    <w:p>
      <w:pPr>
        <w:numPr>
          <w:ilvl w:val="0"/>
          <w:numId w:val="2"/>
        </w:numPr>
        <w:ind w:left="849" w:hanging="423"/>
        <w:spacing w:line="360" w:lineRule="auto"/>
        <w:rPr>
          <w:rFonts w:ascii="宋体" w:hAnsi="宋体" w:cs="Arial"/>
          <w:b/>
          <w:color w:val="auto"/>
          <w:szCs w:val="21"/>
        </w:rPr>
      </w:pPr>
      <w:r>
        <w:rPr>
          <w:rFonts w:hint="eastAsia" w:ascii="宋体" w:hAnsi="宋体" w:cs="Arial"/>
          <w:b/>
          <w:color w:val="auto"/>
          <w:szCs w:val="21"/>
        </w:rPr>
        <w:t xml:space="preserve">未尽事宜</w:t>
      </w:r>
      <w:r/>
    </w:p>
    <w:p>
      <w:pPr>
        <w:numPr>
          <w:ilvl w:val="1"/>
          <w:numId w:val="2"/>
        </w:numPr>
        <w:ind w:left="0" w:firstLine="425"/>
        <w:spacing w:line="360" w:lineRule="auto"/>
        <w:rPr>
          <w:rFonts w:ascii="宋体" w:hAnsi="宋体" w:cs="Arial"/>
          <w:b/>
          <w:color w:val="auto"/>
          <w:szCs w:val="21"/>
        </w:rPr>
      </w:pPr>
      <w:r>
        <w:rPr>
          <w:rFonts w:hint="eastAsia" w:ascii="宋体" w:hAnsi="宋体" w:cs="Arial"/>
          <w:b/>
          <w:color w:val="auto"/>
          <w:szCs w:val="21"/>
        </w:rPr>
        <w:t xml:space="preserve">按《中华人民共和国政府采购法》及其他有关政府采购的法律法规的的规定执行。</w:t>
      </w:r>
      <w:r/>
    </w:p>
    <w:p>
      <w:pPr>
        <w:pStyle w:val="818"/>
        <w:jc w:val="center"/>
        <w:rPr>
          <w:b/>
          <w:bCs/>
          <w:color w:val="auto"/>
          <w:szCs w:val="24"/>
        </w:rPr>
      </w:pPr>
      <w:r>
        <w:rPr>
          <w:rFonts w:ascii="宋体" w:hAnsi="宋体"/>
          <w:color w:val="auto"/>
          <w:sz w:val="24"/>
        </w:rPr>
        <w:br w:type="page" w:clear="all"/>
      </w:r>
      <w:bookmarkStart w:id="5" w:name="_Toc204332796"/>
      <w:r>
        <w:rPr>
          <w:rFonts w:hint="eastAsia"/>
          <w:b/>
          <w:bCs/>
          <w:color w:val="auto"/>
        </w:rPr>
        <w:t xml:space="preserve">第三章、谈判响应文件格式</w:t>
      </w:r>
      <w:bookmarkEnd w:id="5"/>
      <w:r/>
      <w:bookmarkStart w:id="6" w:name="gpcItem_SubmitDocStruct"/>
      <w:r/>
      <w:bookmarkEnd w:id="6"/>
      <w:r/>
      <w:r/>
    </w:p>
    <w:p>
      <w:pPr>
        <w:pStyle w:val="831"/>
        <w:ind w:firstLine="0"/>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说明：</w:t>
      </w:r>
      <w:r/>
    </w:p>
    <w:p>
      <w:pPr>
        <w:pStyle w:val="831"/>
        <w:ind w:firstLine="480"/>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对本章所有的格式 ，谈判供应商可根据自身情况进行补充和修改，但补充和修改不得造成与本格式内容有实质性的违背。</w:t>
      </w:r>
      <w:r/>
    </w:p>
    <w:p>
      <w:pPr>
        <w:pStyle w:val="831"/>
        <w:ind w:firstLine="0"/>
        <w:spacing w:line="360" w:lineRule="auto"/>
        <w:rPr>
          <w:rFonts w:ascii="宋体" w:hAnsi="宋体" w:eastAsia="宋体"/>
          <w:b/>
          <w:color w:val="auto"/>
          <w:szCs w:val="24"/>
        </w:rPr>
      </w:pPr>
      <w:r>
        <w:rPr>
          <w:rFonts w:ascii="宋体" w:hAnsi="宋体" w:eastAsia="宋体"/>
          <w:b/>
          <w:color w:val="auto"/>
          <w:szCs w:val="24"/>
        </w:rPr>
      </w:r>
      <w:r/>
    </w:p>
    <w:p>
      <w:pPr>
        <w:pStyle w:val="819"/>
        <w:rPr>
          <w:color w:val="auto"/>
          <w:szCs w:val="21"/>
        </w:rPr>
      </w:pPr>
      <w:r/>
      <w:bookmarkStart w:id="7" w:name="_Ref372102909"/>
      <w:r/>
      <w:bookmarkStart w:id="8" w:name="_Toc511862077"/>
      <w:r/>
      <w:bookmarkStart w:id="9" w:name="_Toc204332797"/>
      <w:r>
        <w:rPr>
          <w:color w:val="auto"/>
          <w:szCs w:val="21"/>
        </w:rPr>
        <w:t xml:space="preserve">1</w:t>
      </w:r>
      <w:r>
        <w:rPr>
          <w:rFonts w:hint="eastAsia"/>
          <w:color w:val="auto"/>
          <w:szCs w:val="21"/>
        </w:rPr>
        <w:t xml:space="preserve">、（供应方）法定代表人授权委托书</w:t>
      </w:r>
      <w:bookmarkEnd w:id="7"/>
      <w:r/>
      <w:bookmarkEnd w:id="8"/>
      <w:r/>
      <w:bookmarkEnd w:id="9"/>
      <w:r/>
      <w:r/>
    </w:p>
    <w:p>
      <w:pPr>
        <w:pStyle w:val="831"/>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p>
      <w:pPr>
        <w:pStyle w:val="831"/>
        <w:jc w:val="both"/>
        <w:spacing w:line="360" w:lineRule="auto"/>
        <w:rPr>
          <w:rFonts w:ascii="宋体" w:hAnsi="宋体" w:eastAsia="宋体"/>
          <w:color w:val="auto"/>
          <w:sz w:val="21"/>
          <w:szCs w:val="21"/>
        </w:rPr>
      </w:pPr>
      <w:r>
        <w:rPr>
          <w:rFonts w:ascii="宋体" w:hAnsi="宋体" w:eastAsia="宋体"/>
          <w:color w:val="auto"/>
          <w:sz w:val="21"/>
          <w:szCs w:val="21"/>
        </w:rPr>
      </w:r>
      <w:r/>
    </w:p>
    <w:p>
      <w:pPr>
        <w:pStyle w:val="831"/>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授权委托书</w:t>
      </w:r>
      <w:r/>
    </w:p>
    <w:p>
      <w:pPr>
        <w:pStyle w:val="831"/>
        <w:jc w:val="both"/>
        <w:spacing w:line="360" w:lineRule="auto"/>
        <w:rPr>
          <w:rFonts w:ascii="宋体" w:hAnsi="宋体" w:eastAsia="宋体"/>
          <w:color w:val="auto"/>
          <w:sz w:val="21"/>
          <w:szCs w:val="21"/>
        </w:rPr>
      </w:pPr>
      <w:r>
        <w:rPr>
          <w:rFonts w:ascii="宋体" w:hAnsi="宋体" w:eastAsia="宋体"/>
          <w:color w:val="auto"/>
          <w:sz w:val="21"/>
          <w:szCs w:val="21"/>
        </w:rPr>
      </w:r>
      <w:r/>
    </w:p>
    <w:p>
      <w:pPr>
        <w:pStyle w:val="831"/>
        <w:jc w:val="both"/>
        <w:spacing w:line="360" w:lineRule="auto"/>
        <w:rPr>
          <w:rFonts w:ascii="宋体" w:hAnsi="宋体" w:eastAsia="宋体"/>
          <w:color w:val="auto"/>
          <w:sz w:val="21"/>
          <w:szCs w:val="21"/>
        </w:rPr>
      </w:pPr>
      <w:r>
        <w:rPr>
          <w:rFonts w:ascii="宋体" w:hAnsi="宋体" w:eastAsia="宋体"/>
          <w:color w:val="auto"/>
          <w:sz w:val="21"/>
          <w:szCs w:val="21"/>
        </w:rPr>
      </w:r>
      <w:r/>
    </w:p>
    <w:p>
      <w:pPr>
        <w:ind w:firstLine="480"/>
        <w:spacing w:line="360" w:lineRule="auto"/>
        <w:rPr>
          <w:rFonts w:ascii="宋体" w:hAnsi="宋体"/>
          <w:color w:val="auto"/>
          <w:szCs w:val="21"/>
        </w:rPr>
      </w:pPr>
      <w:r>
        <w:rPr>
          <w:rFonts w:hint="eastAsia" w:ascii="宋体" w:hAnsi="宋体"/>
          <w:color w:val="auto"/>
          <w:szCs w:val="21"/>
        </w:rPr>
        <w:t xml:space="preserve">本授权委托书声明：</w:t>
      </w:r>
      <w:r>
        <w:rPr>
          <w:rFonts w:ascii="宋体" w:hAnsi="宋体"/>
          <w:color w:val="auto"/>
          <w:szCs w:val="21"/>
        </w:rPr>
        <w:t xml:space="preserve">  </w:t>
      </w:r>
      <w:r>
        <w:rPr>
          <w:rFonts w:hint="eastAsia" w:ascii="宋体" w:hAnsi="宋体"/>
          <w:color w:val="auto"/>
          <w:szCs w:val="21"/>
        </w:rPr>
        <w:t xml:space="preserve">我</w:t>
      </w:r>
      <w:r>
        <w:rPr>
          <w:rFonts w:ascii="宋体" w:hAnsi="宋体"/>
          <w:color w:val="auto"/>
          <w:szCs w:val="21"/>
          <w:u w:val="single"/>
        </w:rPr>
        <w:t xml:space="preserve">           </w:t>
      </w:r>
      <w:r>
        <w:rPr>
          <w:rFonts w:hint="eastAsia" w:ascii="宋体" w:hAnsi="宋体"/>
          <w:color w:val="auto"/>
          <w:szCs w:val="21"/>
        </w:rPr>
        <w:t xml:space="preserve">（姓名）系</w:t>
      </w:r>
      <w:r>
        <w:rPr>
          <w:rFonts w:ascii="宋体" w:hAnsi="宋体"/>
          <w:color w:val="auto"/>
          <w:szCs w:val="21"/>
          <w:u w:val="single"/>
        </w:rPr>
        <w:t xml:space="preserve">             </w:t>
      </w:r>
      <w:r>
        <w:rPr>
          <w:rFonts w:hint="eastAsia" w:ascii="宋体" w:hAnsi="宋体"/>
          <w:color w:val="auto"/>
          <w:szCs w:val="21"/>
        </w:rPr>
        <w:t xml:space="preserve">（供应单位名称）的法定代表人，现授权委托</w:t>
      </w:r>
      <w:r>
        <w:rPr>
          <w:rFonts w:ascii="宋体" w:hAnsi="宋体"/>
          <w:color w:val="auto"/>
          <w:szCs w:val="21"/>
          <w:u w:val="single"/>
        </w:rPr>
        <w:t xml:space="preserve">              </w:t>
      </w:r>
      <w:r>
        <w:rPr>
          <w:rFonts w:hint="eastAsia" w:ascii="宋体" w:hAnsi="宋体"/>
          <w:color w:val="auto"/>
          <w:szCs w:val="21"/>
        </w:rPr>
        <w:t xml:space="preserve">（单位名称）的</w:t>
      </w:r>
      <w:r>
        <w:rPr>
          <w:rFonts w:ascii="宋体" w:hAnsi="宋体"/>
          <w:color w:val="auto"/>
          <w:szCs w:val="21"/>
          <w:u w:val="single"/>
        </w:rPr>
        <w:t xml:space="preserve">         </w:t>
      </w:r>
      <w:r>
        <w:rPr>
          <w:rFonts w:hint="eastAsia" w:ascii="宋体" w:hAnsi="宋体"/>
          <w:color w:val="auto"/>
          <w:szCs w:val="21"/>
        </w:rPr>
        <w:t xml:space="preserve">（姓名）为我公司代理人，以本公司的名义参加苏州公正建设咨询房地产评估有限公司组织实施的编号为</w:t>
      </w:r>
      <w:r>
        <w:rPr>
          <w:rFonts w:ascii="宋体" w:hAnsi="宋体"/>
          <w:color w:val="auto"/>
          <w:szCs w:val="21"/>
          <w:u w:val="single"/>
        </w:rPr>
        <w:t xml:space="preserve">           </w:t>
      </w:r>
      <w:r>
        <w:rPr>
          <w:rFonts w:hint="eastAsia" w:ascii="宋体" w:hAnsi="宋体"/>
          <w:color w:val="auto"/>
          <w:szCs w:val="21"/>
        </w:rPr>
        <w:t xml:space="preserve">号的谈判邀请活动。代理人在谈判活动过程中所签署的一切文件和处理与这有关的一切事务，我均予以承认。</w:t>
      </w:r>
      <w:r/>
    </w:p>
    <w:p>
      <w:pPr>
        <w:ind w:firstLine="480"/>
        <w:spacing w:line="360" w:lineRule="auto"/>
        <w:rPr>
          <w:rFonts w:ascii="宋体" w:hAnsi="宋体"/>
          <w:color w:val="auto"/>
          <w:szCs w:val="21"/>
        </w:rPr>
      </w:pPr>
      <w:r>
        <w:rPr>
          <w:rFonts w:hint="eastAsia" w:ascii="宋体" w:hAnsi="宋体"/>
          <w:color w:val="auto"/>
          <w:szCs w:val="21"/>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ascii="宋体" w:hAnsi="宋体"/>
          <w:color w:val="auto"/>
          <w:szCs w:val="21"/>
        </w:rPr>
      </w:pPr>
      <w:r>
        <w:rPr>
          <w:rFonts w:hint="eastAsia" w:ascii="宋体" w:hAnsi="宋体"/>
          <w:color w:val="auto"/>
          <w:szCs w:val="21"/>
        </w:rPr>
        <w:t xml:space="preserve">代理人无转委托权。特此委托。</w:t>
      </w:r>
      <w:r/>
    </w:p>
    <w:p>
      <w:pPr>
        <w:ind w:firstLine="480"/>
        <w:spacing w:line="360" w:lineRule="auto"/>
        <w:rPr>
          <w:rFonts w:ascii="宋体" w:hAnsi="宋体"/>
          <w:color w:val="auto"/>
          <w:szCs w:val="21"/>
        </w:rPr>
      </w:pPr>
      <w:r>
        <w:rPr>
          <w:rFonts w:ascii="宋体" w:hAnsi="宋体"/>
          <w:color w:val="auto"/>
          <w:szCs w:val="21"/>
        </w:rPr>
        <w:t xml:space="preserve">    </w:t>
      </w:r>
      <w:r/>
    </w:p>
    <w:p>
      <w:pPr>
        <w:ind w:firstLine="480"/>
        <w:spacing w:line="360" w:lineRule="auto"/>
        <w:rPr>
          <w:rFonts w:ascii="宋体" w:hAnsi="宋体"/>
          <w:color w:val="auto"/>
          <w:szCs w:val="21"/>
        </w:rPr>
      </w:pPr>
      <w:r>
        <w:rPr>
          <w:rFonts w:hint="eastAsia" w:ascii="宋体" w:hAnsi="宋体"/>
          <w:color w:val="auto"/>
          <w:szCs w:val="21"/>
        </w:rPr>
        <w:t xml:space="preserve">供应商：（盖章）</w:t>
      </w:r>
      <w:r/>
    </w:p>
    <w:p>
      <w:pPr>
        <w:ind w:firstLine="480"/>
        <w:spacing w:line="360" w:lineRule="auto"/>
        <w:rPr>
          <w:rFonts w:ascii="宋体" w:hAnsi="宋体"/>
          <w:color w:val="auto"/>
          <w:szCs w:val="21"/>
        </w:rPr>
      </w:pPr>
      <w:r>
        <w:rPr>
          <w:rFonts w:hint="eastAsia" w:ascii="宋体" w:hAnsi="宋体"/>
          <w:color w:val="auto"/>
          <w:szCs w:val="21"/>
        </w:rPr>
        <w:t xml:space="preserve">法定代表人：（签字或盖章）</w:t>
      </w:r>
      <w:r/>
    </w:p>
    <w:p>
      <w:pPr>
        <w:ind w:firstLine="480"/>
        <w:spacing w:line="360" w:lineRule="auto"/>
        <w:rPr>
          <w:rFonts w:ascii="宋体" w:hAnsi="宋体"/>
          <w:color w:val="auto"/>
          <w:szCs w:val="21"/>
        </w:rPr>
      </w:pPr>
      <w:r>
        <w:rPr>
          <w:rFonts w:hint="eastAsia" w:ascii="宋体" w:hAnsi="宋体"/>
          <w:color w:val="auto"/>
          <w:szCs w:val="21"/>
        </w:rPr>
        <w:t xml:space="preserve">代理人：（签字或盖章）</w:t>
      </w:r>
      <w:r/>
    </w:p>
    <w:p>
      <w:pPr>
        <w:ind w:firstLine="480"/>
        <w:spacing w:line="360" w:lineRule="auto"/>
        <w:rPr>
          <w:rFonts w:ascii="宋体" w:hAnsi="宋体"/>
          <w:color w:val="auto"/>
          <w:szCs w:val="21"/>
        </w:rPr>
      </w:pPr>
      <w:r>
        <w:rPr>
          <w:rFonts w:hint="eastAsia" w:ascii="宋体" w:hAnsi="宋体"/>
          <w:color w:val="auto"/>
          <w:szCs w:val="21"/>
        </w:rPr>
        <w:t xml:space="preserve">日期：    年</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日</w:t>
      </w:r>
      <w:r/>
    </w:p>
    <w:p>
      <w:pPr>
        <w:pStyle w:val="819"/>
        <w:spacing w:line="360" w:lineRule="auto"/>
        <w:rPr>
          <w:bCs/>
          <w:color w:val="auto"/>
          <w:szCs w:val="21"/>
        </w:rPr>
      </w:pPr>
      <w:r/>
      <w:bookmarkStart w:id="10" w:name="_Ref372102910"/>
      <w:r/>
      <w:bookmarkStart w:id="11" w:name="_Toc511862078"/>
      <w:r>
        <w:rPr>
          <w:color w:val="auto"/>
          <w:szCs w:val="21"/>
        </w:rPr>
        <w:br w:type="page" w:clear="all"/>
      </w:r>
      <w:bookmarkStart w:id="12" w:name="_Toc204332798"/>
      <w:r>
        <w:rPr>
          <w:rFonts w:hint="eastAsia"/>
          <w:bCs/>
          <w:color w:val="auto"/>
          <w:szCs w:val="21"/>
        </w:rPr>
        <w:t xml:space="preserve">2、谈判响应函</w:t>
      </w:r>
      <w:bookmarkEnd w:id="10"/>
      <w:r/>
      <w:bookmarkEnd w:id="11"/>
      <w:r/>
      <w:bookmarkEnd w:id="12"/>
      <w:r/>
      <w:r/>
    </w:p>
    <w:p>
      <w:pPr>
        <w:pStyle w:val="845"/>
        <w:jc w:val="center"/>
        <w:spacing w:line="360" w:lineRule="auto"/>
        <w:rPr>
          <w:rFonts w:hAnsi="宋体" w:eastAsia="宋体"/>
          <w:b/>
          <w:color w:val="auto"/>
          <w:sz w:val="21"/>
          <w:szCs w:val="21"/>
        </w:rPr>
      </w:pPr>
      <w:r>
        <w:rPr>
          <w:rFonts w:hint="eastAsia" w:hAnsi="宋体" w:eastAsia="宋体"/>
          <w:b/>
          <w:color w:val="auto"/>
          <w:sz w:val="21"/>
          <w:szCs w:val="21"/>
        </w:rPr>
        <w:t xml:space="preserve">谈判响应函</w:t>
      </w:r>
      <w:r/>
    </w:p>
    <w:p>
      <w:pPr>
        <w:pStyle w:val="845"/>
        <w:spacing w:line="360" w:lineRule="auto"/>
        <w:rPr>
          <w:rFonts w:hAnsi="宋体" w:eastAsia="宋体"/>
          <w:color w:val="auto"/>
          <w:sz w:val="21"/>
          <w:szCs w:val="21"/>
        </w:rPr>
      </w:pPr>
      <w:r>
        <w:rPr>
          <w:rFonts w:hint="eastAsia" w:hAnsi="宋体" w:eastAsia="宋体"/>
          <w:color w:val="auto"/>
          <w:sz w:val="21"/>
          <w:szCs w:val="21"/>
          <w:u w:val="single"/>
        </w:rPr>
        <w:t xml:space="preserve">                             </w:t>
      </w:r>
      <w:r>
        <w:rPr>
          <w:rFonts w:hint="eastAsia" w:hAnsi="宋体" w:eastAsia="宋体"/>
          <w:color w:val="auto"/>
          <w:sz w:val="21"/>
          <w:szCs w:val="21"/>
        </w:rPr>
        <w:t xml:space="preserve">：</w:t>
      </w:r>
      <w:r/>
    </w:p>
    <w:p>
      <w:pPr>
        <w:pStyle w:val="845"/>
        <w:spacing w:line="360" w:lineRule="auto"/>
        <w:rPr>
          <w:rFonts w:hAnsi="宋体" w:eastAsia="宋体"/>
          <w:color w:val="auto"/>
          <w:sz w:val="21"/>
          <w:szCs w:val="21"/>
        </w:rPr>
      </w:pPr>
      <w:r>
        <w:rPr>
          <w:rFonts w:hAnsi="宋体" w:eastAsia="宋体"/>
          <w:color w:val="auto"/>
          <w:sz w:val="21"/>
          <w:szCs w:val="21"/>
        </w:rPr>
        <w:t xml:space="preserve">    </w:t>
      </w:r>
      <w:r>
        <w:rPr>
          <w:rFonts w:hint="eastAsia" w:hAnsi="宋体" w:eastAsia="宋体"/>
          <w:color w:val="auto"/>
          <w:sz w:val="21"/>
          <w:szCs w:val="21"/>
        </w:rPr>
        <w:t xml:space="preserve">我们收到贵公司 </w:t>
      </w:r>
      <w:r>
        <w:rPr>
          <w:rFonts w:hint="eastAsia" w:hAnsi="宋体" w:eastAsia="宋体"/>
          <w:color w:val="auto"/>
          <w:sz w:val="21"/>
          <w:szCs w:val="21"/>
          <w:u w:val="single"/>
        </w:rPr>
        <w:t xml:space="preserve">           </w:t>
      </w:r>
      <w:r>
        <w:rPr>
          <w:rFonts w:hint="eastAsia" w:hAnsi="宋体" w:eastAsia="宋体"/>
          <w:color w:val="auto"/>
          <w:sz w:val="21"/>
          <w:szCs w:val="21"/>
        </w:rPr>
        <w:t xml:space="preserve">号采购文件，经仔细阅读和研究，我们决定参加谈判活动。</w:t>
      </w:r>
      <w:r/>
    </w:p>
    <w:p>
      <w:pPr>
        <w:pStyle w:val="845"/>
        <w:ind w:firstLine="420"/>
        <w:spacing w:line="360" w:lineRule="exact"/>
        <w:rPr>
          <w:rFonts w:hAnsi="宋体" w:eastAsia="宋体"/>
          <w:color w:val="auto"/>
          <w:sz w:val="21"/>
          <w:szCs w:val="21"/>
        </w:rPr>
      </w:pPr>
      <w:r>
        <w:rPr>
          <w:rFonts w:hAnsi="宋体" w:eastAsia="宋体"/>
          <w:color w:val="auto"/>
          <w:sz w:val="21"/>
          <w:szCs w:val="21"/>
        </w:rPr>
        <w:t xml:space="preserve">1</w:t>
      </w:r>
      <w:r>
        <w:rPr>
          <w:rFonts w:hint="eastAsia" w:hAnsi="宋体" w:eastAsia="宋体"/>
          <w:color w:val="auto"/>
          <w:sz w:val="21"/>
          <w:szCs w:val="21"/>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845"/>
        <w:ind w:firstLine="420"/>
        <w:spacing w:line="360" w:lineRule="exact"/>
        <w:rPr>
          <w:rFonts w:hAnsi="宋体" w:eastAsia="宋体"/>
          <w:color w:val="auto"/>
          <w:sz w:val="21"/>
          <w:szCs w:val="21"/>
        </w:rPr>
      </w:pPr>
      <w:r>
        <w:rPr>
          <w:rFonts w:hAnsi="宋体" w:eastAsia="宋体"/>
          <w:color w:val="auto"/>
          <w:sz w:val="21"/>
          <w:szCs w:val="21"/>
        </w:rPr>
        <w:t xml:space="preserve">2</w:t>
      </w:r>
      <w:r>
        <w:rPr>
          <w:rFonts w:hint="eastAsia" w:hAnsi="宋体" w:eastAsia="宋体"/>
          <w:color w:val="auto"/>
          <w:sz w:val="21"/>
          <w:szCs w:val="21"/>
        </w:rPr>
        <w:t xml:space="preserve">、如果我们的谈判响应文件被接受，我们将严格履行采购文件中规定的每一项要求，按期、按质、按量履行合同的义务。</w:t>
      </w:r>
      <w:r/>
    </w:p>
    <w:p>
      <w:pPr>
        <w:pStyle w:val="845"/>
        <w:ind w:firstLine="420"/>
        <w:spacing w:line="360" w:lineRule="exact"/>
        <w:rPr>
          <w:rFonts w:hAnsi="宋体" w:eastAsia="宋体"/>
          <w:color w:val="auto"/>
          <w:sz w:val="21"/>
          <w:szCs w:val="21"/>
        </w:rPr>
      </w:pPr>
      <w:r>
        <w:rPr>
          <w:rFonts w:hAnsi="宋体" w:eastAsia="宋体"/>
          <w:color w:val="auto"/>
          <w:sz w:val="21"/>
          <w:szCs w:val="21"/>
        </w:rPr>
        <w:t xml:space="preserve">3</w:t>
      </w:r>
      <w:r>
        <w:rPr>
          <w:rFonts w:hint="eastAsia" w:hAnsi="宋体" w:eastAsia="宋体"/>
          <w:color w:val="auto"/>
          <w:sz w:val="21"/>
          <w:szCs w:val="21"/>
        </w:rPr>
        <w:t xml:space="preserve">、我们已</w:t>
      </w:r>
      <w:r>
        <w:rPr>
          <w:rFonts w:hAnsi="宋体" w:eastAsia="宋体"/>
          <w:color w:val="auto"/>
          <w:sz w:val="21"/>
          <w:szCs w:val="21"/>
        </w:rPr>
        <w:t xml:space="preserve">详细审查全部</w:t>
      </w:r>
      <w:r>
        <w:rPr>
          <w:rFonts w:hint="eastAsia" w:hAnsi="宋体" w:eastAsia="宋体"/>
          <w:color w:val="auto"/>
          <w:sz w:val="21"/>
          <w:szCs w:val="21"/>
        </w:rPr>
        <w:t xml:space="preserve">采购</w:t>
      </w:r>
      <w:r>
        <w:rPr>
          <w:rFonts w:hAnsi="宋体" w:eastAsia="宋体"/>
          <w:color w:val="auto"/>
          <w:sz w:val="21"/>
          <w:szCs w:val="21"/>
        </w:rPr>
        <w:t xml:space="preserve">文件，包括</w:t>
      </w:r>
      <w:r>
        <w:rPr>
          <w:rFonts w:hint="eastAsia" w:hAnsi="宋体" w:eastAsia="宋体"/>
          <w:color w:val="auto"/>
          <w:sz w:val="21"/>
          <w:szCs w:val="21"/>
        </w:rPr>
        <w:t xml:space="preserve">补充文件</w:t>
      </w:r>
      <w:r>
        <w:rPr>
          <w:rFonts w:hAnsi="宋体" w:eastAsia="宋体"/>
          <w:color w:val="auto"/>
          <w:sz w:val="21"/>
          <w:szCs w:val="21"/>
        </w:rPr>
        <w:t xml:space="preserve">(如果有的话)。我们完全理解并同意放弃对这方面有不明及误解的权力。</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4、我们响应采购文件中要求的投标有效期.</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5、我们愿意提供谈判采购单位在采购文件中要求的所有资料。</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6、我们认为你们有权决定成交单位，还认为你们有权接受或拒绝所有的谈判供应商。</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7、我们愿意遵守采购文件中所列的收费标准。</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8、我们承诺该谈判响应文件在谈判开始后的全过程中保持有效，不作任何更改和变动。</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9、我们愿意按采购文件的规定交纳谈判保证金，并</w:t>
      </w:r>
      <w:r>
        <w:rPr>
          <w:rFonts w:hAnsi="宋体" w:eastAsia="宋体"/>
          <w:color w:val="auto"/>
          <w:sz w:val="21"/>
          <w:szCs w:val="21"/>
        </w:rPr>
        <w:t xml:space="preserve">同意</w:t>
      </w:r>
      <w:r>
        <w:rPr>
          <w:rFonts w:hint="eastAsia" w:hAnsi="宋体" w:eastAsia="宋体"/>
          <w:color w:val="auto"/>
          <w:sz w:val="21"/>
          <w:szCs w:val="21"/>
        </w:rPr>
        <w:t xml:space="preserve">谈判供应商</w:t>
      </w:r>
      <w:r>
        <w:rPr>
          <w:rFonts w:hAnsi="宋体" w:eastAsia="宋体"/>
          <w:color w:val="auto"/>
          <w:sz w:val="21"/>
          <w:szCs w:val="21"/>
        </w:rPr>
        <w:t xml:space="preserve">须知中关于没收</w:t>
      </w:r>
      <w:r>
        <w:rPr>
          <w:rFonts w:hint="eastAsia" w:hAnsi="宋体" w:eastAsia="宋体"/>
          <w:color w:val="auto"/>
          <w:sz w:val="21"/>
          <w:szCs w:val="21"/>
        </w:rPr>
        <w:t xml:space="preserve">谈判</w:t>
      </w:r>
      <w:r>
        <w:rPr>
          <w:rFonts w:hAnsi="宋体" w:eastAsia="宋体"/>
          <w:color w:val="auto"/>
          <w:sz w:val="21"/>
          <w:szCs w:val="21"/>
        </w:rPr>
        <w:t xml:space="preserve">保证金的规定。</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10、如果我们成交，我们愿意按采购文件的规定支付成交服务费，并提供一正一副书面投标文件供项目归档使用。</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11、我们承诺本公司所提交的谈判响应文件中所有关于谈判响应资格的文件、证明和陈述均是真实的、准确的。若与真实情况不符，本公司愿意承担由此而产生的一切后果。</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12、综合说明：</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w:t>
      </w:r>
      <w:r>
        <w:rPr>
          <w:rFonts w:hAnsi="宋体" w:eastAsia="宋体"/>
          <w:color w:val="auto"/>
          <w:sz w:val="21"/>
          <w:szCs w:val="21"/>
        </w:rPr>
        <w:t xml:space="preserve">1</w:t>
      </w:r>
      <w:r>
        <w:rPr>
          <w:rFonts w:hint="eastAsia" w:hAnsi="宋体" w:eastAsia="宋体"/>
          <w:color w:val="auto"/>
          <w:sz w:val="21"/>
          <w:szCs w:val="21"/>
        </w:rPr>
        <w:t xml:space="preserve">）伴随服务及配合措施；</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w:t>
      </w:r>
      <w:r>
        <w:rPr>
          <w:rFonts w:hAnsi="宋体" w:eastAsia="宋体"/>
          <w:color w:val="auto"/>
          <w:sz w:val="21"/>
          <w:szCs w:val="21"/>
        </w:rPr>
        <w:t xml:space="preserve">2</w:t>
      </w:r>
      <w:r>
        <w:rPr>
          <w:rFonts w:hint="eastAsia" w:hAnsi="宋体" w:eastAsia="宋体"/>
          <w:color w:val="auto"/>
          <w:sz w:val="21"/>
          <w:szCs w:val="21"/>
        </w:rPr>
        <w:t xml:space="preserve">）要求甲方提供的配合；</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w:t>
      </w:r>
      <w:r>
        <w:rPr>
          <w:rFonts w:hAnsi="宋体" w:eastAsia="宋体"/>
          <w:color w:val="auto"/>
          <w:sz w:val="21"/>
          <w:szCs w:val="21"/>
        </w:rPr>
        <w:t xml:space="preserve">3</w:t>
      </w:r>
      <w:r>
        <w:rPr>
          <w:rFonts w:hint="eastAsia" w:hAnsi="宋体" w:eastAsia="宋体"/>
          <w:color w:val="auto"/>
          <w:sz w:val="21"/>
          <w:szCs w:val="21"/>
        </w:rPr>
        <w:t xml:space="preserve">）对采购文件有不同意见的偏离说明；</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w:t>
      </w:r>
      <w:r>
        <w:rPr>
          <w:rFonts w:hAnsi="宋体" w:eastAsia="宋体"/>
          <w:color w:val="auto"/>
          <w:sz w:val="21"/>
          <w:szCs w:val="21"/>
        </w:rPr>
        <w:t xml:space="preserve">4</w:t>
      </w:r>
      <w:r>
        <w:rPr>
          <w:rFonts w:hint="eastAsia" w:hAnsi="宋体" w:eastAsia="宋体"/>
          <w:color w:val="auto"/>
          <w:sz w:val="21"/>
          <w:szCs w:val="21"/>
        </w:rPr>
        <w:t xml:space="preserve">）其它说明。</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所有有关谈判文件的函电，请按下列地址联系：</w:t>
      </w:r>
      <w:r/>
    </w:p>
    <w:p>
      <w:pPr>
        <w:pStyle w:val="845"/>
        <w:ind w:firstLine="420"/>
        <w:spacing w:line="360" w:lineRule="exact"/>
        <w:rPr>
          <w:rFonts w:hAnsi="宋体" w:eastAsia="宋体"/>
          <w:color w:val="auto"/>
          <w:sz w:val="21"/>
          <w:szCs w:val="21"/>
        </w:rPr>
      </w:pPr>
      <w:r>
        <w:rPr>
          <w:rFonts w:hAnsi="宋体" w:eastAsia="宋体"/>
          <w:color w:val="auto"/>
          <w:sz w:val="21"/>
          <w:szCs w:val="21"/>
        </w:rPr>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供应商：（单位盖章）</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地址：       </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法定代表人或代理人：（签字或盖章）</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联系人：              联系电话：           </w:t>
      </w:r>
      <w:r/>
    </w:p>
    <w:p>
      <w:pPr>
        <w:pStyle w:val="845"/>
        <w:ind w:firstLine="420"/>
        <w:spacing w:line="360" w:lineRule="exact"/>
        <w:rPr>
          <w:rFonts w:hAnsi="宋体" w:eastAsia="宋体"/>
          <w:color w:val="auto"/>
          <w:sz w:val="21"/>
          <w:szCs w:val="21"/>
        </w:rPr>
      </w:pPr>
      <w:r>
        <w:rPr>
          <w:rFonts w:hint="eastAsia" w:hAnsi="宋体" w:eastAsia="宋体"/>
          <w:color w:val="auto"/>
          <w:sz w:val="21"/>
          <w:szCs w:val="21"/>
        </w:rPr>
        <w:t xml:space="preserve">日期：      年</w:t>
      </w:r>
      <w:r>
        <w:rPr>
          <w:rFonts w:hAnsi="宋体" w:eastAsia="宋体"/>
          <w:color w:val="auto"/>
          <w:sz w:val="21"/>
          <w:szCs w:val="21"/>
        </w:rPr>
        <w:t xml:space="preserve">     </w:t>
      </w:r>
      <w:r>
        <w:rPr>
          <w:rFonts w:hint="eastAsia" w:hAnsi="宋体" w:eastAsia="宋体"/>
          <w:color w:val="auto"/>
          <w:sz w:val="21"/>
          <w:szCs w:val="21"/>
        </w:rPr>
        <w:t xml:space="preserve">月</w:t>
      </w:r>
      <w:r>
        <w:rPr>
          <w:rFonts w:hAnsi="宋体" w:eastAsia="宋体"/>
          <w:color w:val="auto"/>
          <w:sz w:val="21"/>
          <w:szCs w:val="21"/>
        </w:rPr>
        <w:t xml:space="preserve">     </w:t>
      </w:r>
      <w:r>
        <w:rPr>
          <w:rFonts w:hint="eastAsia" w:hAnsi="宋体" w:eastAsia="宋体"/>
          <w:color w:val="auto"/>
          <w:sz w:val="21"/>
          <w:szCs w:val="21"/>
        </w:rPr>
        <w:t xml:space="preserve">日</w:t>
      </w:r>
      <w:r/>
    </w:p>
    <w:p>
      <w:pPr>
        <w:pStyle w:val="819"/>
        <w:spacing w:line="360" w:lineRule="auto"/>
        <w:rPr>
          <w:color w:val="auto"/>
          <w:szCs w:val="21"/>
        </w:rPr>
      </w:pPr>
      <w:r/>
      <w:bookmarkStart w:id="13" w:name="_Ref372102911"/>
      <w:r/>
      <w:bookmarkStart w:id="14" w:name="_Toc511862079"/>
      <w:r>
        <w:rPr>
          <w:color w:val="auto"/>
          <w:szCs w:val="21"/>
        </w:rPr>
        <w:br w:type="page" w:clear="all"/>
      </w:r>
      <w:bookmarkStart w:id="15" w:name="_Ref36468910"/>
      <w:r/>
      <w:bookmarkStart w:id="16" w:name="_Toc204332799"/>
      <w:r>
        <w:rPr>
          <w:rFonts w:hint="eastAsia"/>
          <w:bCs/>
          <w:color w:val="auto"/>
          <w:szCs w:val="21"/>
        </w:rPr>
        <w:t xml:space="preserve">3、投标承诺函</w:t>
      </w:r>
      <w:bookmarkEnd w:id="15"/>
      <w:r/>
      <w:bookmarkEnd w:id="16"/>
      <w:r/>
      <w:r/>
    </w:p>
    <w:p>
      <w:pPr>
        <w:ind w:firstLine="420"/>
        <w:jc w:val="center"/>
        <w:spacing w:line="360" w:lineRule="auto"/>
        <w:rPr>
          <w:rFonts w:ascii="宋体" w:hAnsi="宋体"/>
          <w:color w:val="auto"/>
          <w:szCs w:val="21"/>
        </w:rPr>
      </w:pPr>
      <w:r>
        <w:rPr>
          <w:rFonts w:hint="eastAsia" w:ascii="宋体" w:hAnsi="宋体"/>
          <w:color w:val="auto"/>
          <w:szCs w:val="21"/>
        </w:rPr>
        <w:t xml:space="preserve">投标承诺函</w:t>
      </w:r>
      <w:r/>
    </w:p>
    <w:p>
      <w:pPr>
        <w:ind w:firstLine="420"/>
        <w:jc w:val="center"/>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hint="eastAsia" w:ascii="宋体" w:hAnsi="宋体"/>
          <w:color w:val="auto"/>
          <w:szCs w:val="21"/>
        </w:rPr>
        <w:t xml:space="preserve">致：___________________________(采购人名称）</w:t>
      </w:r>
      <w:r/>
    </w:p>
    <w:p>
      <w:pPr>
        <w:ind w:firstLine="420"/>
        <w:spacing w:line="360" w:lineRule="auto"/>
        <w:rPr>
          <w:rFonts w:ascii="宋体" w:hAnsi="宋体"/>
          <w:color w:val="auto"/>
          <w:szCs w:val="21"/>
        </w:rPr>
      </w:pPr>
      <w:r>
        <w:rPr>
          <w:rFonts w:hint="eastAsia" w:ascii="宋体" w:hAnsi="宋体"/>
          <w:color w:val="auto"/>
          <w:szCs w:val="21"/>
        </w:rPr>
        <w:t xml:space="preserve">我单位自愿参加___________________（项目名称）的投标，并做出如下承诺：</w:t>
      </w:r>
      <w:r/>
    </w:p>
    <w:p>
      <w:pPr>
        <w:ind w:firstLine="420"/>
        <w:spacing w:line="360" w:lineRule="auto"/>
        <w:rPr>
          <w:rFonts w:ascii="宋体" w:hAnsi="宋体"/>
          <w:color w:val="auto"/>
          <w:szCs w:val="21"/>
        </w:rPr>
      </w:pPr>
      <w:r>
        <w:rPr>
          <w:rFonts w:hint="eastAsia" w:ascii="宋体" w:hAnsi="宋体"/>
          <w:color w:val="auto"/>
          <w:szCs w:val="21"/>
        </w:rPr>
        <w:t xml:space="preserve">一、除不可抗力外，我单位如果发生以下行为，将在行为发生的10个工作日内，向贵方支付本采购文件公布的预算价的2%作为违约赔偿金。</w:t>
      </w:r>
      <w:r/>
    </w:p>
    <w:p>
      <w:pPr>
        <w:ind w:firstLine="420"/>
        <w:spacing w:line="360" w:lineRule="auto"/>
        <w:rPr>
          <w:rFonts w:ascii="宋体" w:hAnsi="宋体"/>
          <w:color w:val="auto"/>
          <w:szCs w:val="21"/>
        </w:rPr>
      </w:pPr>
      <w:r>
        <w:rPr>
          <w:rFonts w:hint="eastAsia" w:ascii="宋体" w:hAnsi="宋体"/>
          <w:color w:val="auto"/>
          <w:szCs w:val="21"/>
        </w:rPr>
        <w:t xml:space="preserve">1、在采购文件规定的投标(响应)有效期内实质上修改或撤回投标；</w:t>
      </w:r>
      <w:r/>
    </w:p>
    <w:p>
      <w:pPr>
        <w:ind w:firstLine="420"/>
        <w:spacing w:line="360" w:lineRule="auto"/>
        <w:rPr>
          <w:rFonts w:ascii="宋体" w:hAnsi="宋体"/>
          <w:color w:val="auto"/>
          <w:szCs w:val="21"/>
        </w:rPr>
      </w:pPr>
      <w:r>
        <w:rPr>
          <w:rFonts w:hint="eastAsia" w:ascii="宋体" w:hAnsi="宋体"/>
          <w:color w:val="auto"/>
          <w:szCs w:val="21"/>
        </w:rPr>
        <w:t xml:space="preserve">2、中标(成交)后不依法与采购人签订合同；</w:t>
      </w:r>
      <w:r/>
    </w:p>
    <w:p>
      <w:pPr>
        <w:ind w:firstLine="420"/>
        <w:spacing w:line="360" w:lineRule="auto"/>
        <w:rPr>
          <w:rFonts w:ascii="宋体" w:hAnsi="宋体"/>
          <w:color w:val="auto"/>
          <w:szCs w:val="21"/>
        </w:rPr>
      </w:pPr>
      <w:r>
        <w:rPr>
          <w:rFonts w:hint="eastAsia" w:ascii="宋体" w:hAnsi="宋体"/>
          <w:color w:val="auto"/>
          <w:szCs w:val="21"/>
        </w:rPr>
        <w:t xml:space="preserve">3、在投标（响应）文件中提供虚假材料；</w:t>
      </w:r>
      <w:r/>
    </w:p>
    <w:p>
      <w:pPr>
        <w:ind w:firstLine="420"/>
        <w:spacing w:line="360" w:lineRule="auto"/>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恶意串通；</w:t>
      </w:r>
      <w:r/>
    </w:p>
    <w:p>
      <w:pPr>
        <w:ind w:firstLine="420"/>
        <w:spacing w:line="360" w:lineRule="auto"/>
        <w:rPr>
          <w:rFonts w:ascii="宋体" w:hAnsi="宋体"/>
          <w:color w:val="auto"/>
          <w:szCs w:val="21"/>
        </w:rPr>
      </w:pPr>
      <w:r>
        <w:rPr>
          <w:rFonts w:ascii="宋体" w:hAnsi="宋体"/>
          <w:color w:val="auto"/>
          <w:szCs w:val="21"/>
        </w:rPr>
        <w:t xml:space="preserve">5、其他违法违规情形。</w:t>
      </w:r>
      <w:r/>
    </w:p>
    <w:p>
      <w:pPr>
        <w:ind w:firstLine="420"/>
        <w:spacing w:line="360" w:lineRule="auto"/>
        <w:rPr>
          <w:rFonts w:ascii="宋体" w:hAnsi="宋体"/>
          <w:color w:val="auto"/>
          <w:szCs w:val="21"/>
        </w:rPr>
      </w:pPr>
      <w:r>
        <w:rPr>
          <w:rFonts w:hint="eastAsia" w:ascii="宋体" w:hAnsi="宋体"/>
          <w:color w:val="auto"/>
          <w:szCs w:val="21"/>
        </w:rPr>
        <w:t xml:space="preserve">二、我单位知晓上述行为的法律后果，承认本承诺书作为贵方要求我单位履行违约赔偿义务的依据作用。</w:t>
      </w:r>
      <w:r/>
    </w:p>
    <w:p>
      <w:pPr>
        <w:ind w:firstLine="420"/>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hint="eastAsia" w:ascii="宋体" w:hAnsi="宋体"/>
          <w:color w:val="auto"/>
          <w:szCs w:val="21"/>
        </w:rPr>
        <w:t xml:space="preserve">投标人（公章）：</w:t>
      </w:r>
      <w:r/>
    </w:p>
    <w:p>
      <w:pPr>
        <w:ind w:firstLine="420"/>
        <w:spacing w:line="360" w:lineRule="auto"/>
        <w:rPr>
          <w:rFonts w:ascii="宋体" w:hAnsi="宋体"/>
          <w:color w:val="auto"/>
          <w:szCs w:val="21"/>
        </w:rPr>
      </w:pPr>
      <w:r>
        <w:rPr>
          <w:rFonts w:hint="eastAsia" w:ascii="宋体" w:hAnsi="宋体"/>
          <w:color w:val="auto"/>
          <w:szCs w:val="21"/>
        </w:rPr>
        <w:t xml:space="preserve">法定代表人（法人章或签字）：</w:t>
      </w:r>
      <w:r/>
    </w:p>
    <w:p>
      <w:pPr>
        <w:ind w:firstLine="420"/>
        <w:spacing w:line="360" w:lineRule="auto"/>
        <w:rPr>
          <w:rFonts w:ascii="宋体" w:hAnsi="宋体"/>
          <w:color w:val="auto"/>
          <w:szCs w:val="21"/>
        </w:rPr>
      </w:pPr>
      <w:r>
        <w:rPr>
          <w:rFonts w:hint="eastAsia" w:ascii="宋体" w:hAnsi="宋体"/>
          <w:color w:val="auto"/>
          <w:szCs w:val="21"/>
        </w:rPr>
        <w:t xml:space="preserve">日期：      年     月     日</w:t>
      </w:r>
      <w:r/>
    </w:p>
    <w:p>
      <w:pPr>
        <w:pStyle w:val="819"/>
        <w:rPr>
          <w:color w:val="auto"/>
          <w:szCs w:val="21"/>
        </w:rPr>
      </w:pPr>
      <w:r>
        <w:rPr>
          <w:color w:val="auto"/>
          <w:szCs w:val="21"/>
        </w:rPr>
        <w:br w:type="page" w:clear="all"/>
      </w:r>
      <w:bookmarkStart w:id="17" w:name="_Ref36468927"/>
      <w:r/>
      <w:bookmarkStart w:id="18" w:name="_Toc204332800"/>
      <w:r>
        <w:rPr>
          <w:rFonts w:hint="eastAsia"/>
          <w:color w:val="auto"/>
          <w:szCs w:val="21"/>
        </w:rPr>
        <w:t xml:space="preserve">4、谈判报价表</w:t>
      </w:r>
      <w:bookmarkEnd w:id="13"/>
      <w:r/>
      <w:bookmarkEnd w:id="14"/>
      <w:r/>
      <w:bookmarkEnd w:id="17"/>
      <w:r/>
      <w:bookmarkEnd w:id="18"/>
      <w:r/>
      <w:r/>
    </w:p>
    <w:p>
      <w:pPr>
        <w:jc w:val="left"/>
        <w:spacing w:before="100" w:beforeAutospacing="1" w:after="100" w:afterAutospacing="1"/>
        <w:widowControl/>
        <w:rPr>
          <w:rFonts w:ascii="宋体" w:hAnsi="宋体" w:cs="宋体"/>
          <w:b/>
          <w:bCs/>
          <w:color w:val="auto"/>
          <w:sz w:val="24"/>
          <w:szCs w:val="24"/>
        </w:rPr>
      </w:pPr>
      <w:r>
        <w:rPr>
          <w:rFonts w:hint="eastAsia" w:ascii="宋体" w:hAnsi="宋体" w:cs="宋体"/>
          <w:b/>
          <w:bCs/>
          <w:color w:val="auto"/>
          <w:sz w:val="24"/>
          <w:szCs w:val="24"/>
        </w:rPr>
        <w:t xml:space="preserve">以苏采云系统为准</w:t>
      </w:r>
      <w:r>
        <w:rPr>
          <w:rFonts w:ascii="宋体" w:hAnsi="宋体" w:cs="宋体"/>
          <w:b/>
          <w:bCs/>
          <w:color w:val="auto"/>
          <w:sz w:val="24"/>
          <w:szCs w:val="24"/>
        </w:rPr>
        <w:t xml:space="preserve">。</w:t>
      </w:r>
      <w:r/>
    </w:p>
    <w:p>
      <w:pPr>
        <w:pStyle w:val="1110"/>
        <w:jc w:val="center"/>
        <w:spacing w:line="360" w:lineRule="auto"/>
        <w:rPr>
          <w:rFonts w:hAnsi="宋体" w:cs="宋体"/>
          <w:b/>
          <w:bCs/>
          <w:color w:val="auto"/>
          <w:sz w:val="24"/>
          <w:szCs w:val="24"/>
          <w:highlight w:val="yellow"/>
        </w:rPr>
      </w:pPr>
      <w:r>
        <w:rPr>
          <w:rFonts w:hAnsi="宋体" w:cs="宋体"/>
          <w:b/>
          <w:bCs/>
          <w:color w:val="auto"/>
          <w:sz w:val="24"/>
          <w:szCs w:val="24"/>
          <w:highlight w:val="yellow"/>
        </w:rPr>
      </w:r>
      <w:r/>
    </w:p>
    <w:p>
      <w:pPr>
        <w:pStyle w:val="1110"/>
        <w:jc w:val="center"/>
        <w:spacing w:line="360" w:lineRule="auto"/>
        <w:rPr>
          <w:rFonts w:hAnsi="宋体" w:eastAsia="宋体" w:cs="宋体"/>
          <w:color w:val="auto"/>
          <w:sz w:val="24"/>
          <w:szCs w:val="24"/>
        </w:rPr>
      </w:pPr>
      <w:r>
        <w:rPr>
          <w:rFonts w:hint="eastAsia" w:hAnsi="宋体" w:eastAsia="宋体" w:cs="宋体"/>
          <w:b/>
          <w:bCs/>
          <w:color w:val="auto"/>
          <w:sz w:val="24"/>
          <w:szCs w:val="24"/>
        </w:rPr>
        <w:t xml:space="preserve">开标一览</w:t>
      </w:r>
      <w:r>
        <w:rPr>
          <w:rFonts w:hAnsi="宋体" w:eastAsia="宋体" w:cs="宋体"/>
          <w:b/>
          <w:bCs/>
          <w:color w:val="auto"/>
          <w:sz w:val="24"/>
          <w:szCs w:val="24"/>
        </w:rPr>
        <w:t xml:space="preserve">表</w:t>
      </w:r>
      <w:r>
        <w:rPr>
          <w:rFonts w:hint="eastAsia" w:hAnsi="宋体" w:eastAsia="宋体" w:cs="宋体"/>
          <w:b/>
          <w:bCs/>
          <w:color w:val="auto"/>
          <w:sz w:val="24"/>
          <w:szCs w:val="24"/>
        </w:rPr>
        <w:t xml:space="preserve">（总报价）</w:t>
      </w:r>
      <w:r/>
    </w:p>
    <w:p>
      <w:pPr>
        <w:jc w:val="left"/>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t xml:space="preserve">投标人全称（加盖公章）：</w:t>
      </w:r>
      <w:r/>
    </w:p>
    <w:p>
      <w:pPr>
        <w:jc w:val="left"/>
        <w:spacing w:before="100" w:beforeAutospacing="1" w:after="100" w:afterAutospacing="1"/>
        <w:widowControl/>
        <w:rPr>
          <w:rFonts w:hint="eastAsia" w:ascii="宋体" w:hAnsi="宋体" w:eastAsia="宋体" w:cs="宋体"/>
          <w:color w:val="auto"/>
          <w:sz w:val="24"/>
          <w:szCs w:val="24"/>
          <w:lang w:eastAsia="zh-CN"/>
        </w:rPr>
      </w:pPr>
      <w:r>
        <w:rPr>
          <w:rFonts w:ascii="宋体" w:hAnsi="宋体" w:cs="宋体"/>
          <w:color w:val="auto"/>
          <w:sz w:val="24"/>
          <w:szCs w:val="24"/>
        </w:rPr>
        <w:t xml:space="preserve">项目编号：</w:t>
      </w:r>
      <w:r>
        <w:rPr>
          <w:rFonts w:hint="eastAsia" w:ascii="宋体" w:hAnsi="宋体" w:cs="宋体"/>
          <w:color w:val="auto"/>
          <w:sz w:val="24"/>
          <w:szCs w:val="24"/>
          <w:lang w:eastAsia="zh-CN"/>
        </w:rPr>
        <w:t xml:space="preserve">JSZC-320583-SZGZ-T2026-0066</w:t>
      </w:r>
      <w:r/>
    </w:p>
    <w:p>
      <w:pPr>
        <w:jc w:val="left"/>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t xml:space="preserve">分包号：</w:t>
      </w:r>
      <w:r>
        <w:rPr>
          <w:rFonts w:hint="eastAsia" w:ascii="宋体" w:hAnsi="宋体" w:cs="宋体"/>
          <w:color w:val="auto"/>
          <w:sz w:val="24"/>
          <w:szCs w:val="24"/>
        </w:rPr>
        <w:t xml:space="preserve">采购包1</w:t>
      </w:r>
      <w:r/>
    </w:p>
    <w:tbl>
      <w:tblPr>
        <w:tblStyle w:val="828"/>
        <w:tblW w:w="4991"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942"/>
        <w:gridCol w:w="4815"/>
      </w:tblGrid>
      <w:tr>
        <w:trPr>
          <w:trHeight w:val="56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t xml:space="preserve">投标总报价</w:t>
            </w:r>
            <w:r/>
          </w:p>
        </w:tc>
      </w:tr>
      <w:tr>
        <w:trPr>
          <w:trHeight w:val="56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auto"/>
                <w:sz w:val="24"/>
                <w:szCs w:val="24"/>
              </w:rPr>
            </w:pPr>
            <w:r>
              <w:rPr>
                <w:rFonts w:hint="eastAsia" w:hAnsi="宋体" w:cs="宋体"/>
                <w:color w:val="auto"/>
                <w:sz w:val="24"/>
                <w:szCs w:val="24"/>
              </w:rPr>
              <w:t xml:space="preserve">2026年度淀山湖镇水利设施维养管护一体化项目</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t xml:space="preserve">小写：</w:t>
            </w:r>
            <w:r>
              <w:rPr>
                <w:rFonts w:hint="eastAsia" w:ascii="宋体" w:hAnsi="宋体" w:cs="宋体"/>
                <w:color w:val="auto"/>
                <w:sz w:val="24"/>
                <w:szCs w:val="24"/>
              </w:rPr>
              <w:t xml:space="preserve">           </w:t>
            </w:r>
            <w:r>
              <w:rPr>
                <w:rFonts w:ascii="宋体" w:hAnsi="宋体" w:cs="宋体"/>
                <w:color w:val="auto"/>
                <w:sz w:val="24"/>
                <w:szCs w:val="24"/>
              </w:rPr>
              <w:t xml:space="preserve">（元人民币）</w:t>
            </w:r>
            <w:r/>
          </w:p>
        </w:tc>
      </w:tr>
      <w:tr>
        <w:trPr>
          <w:trHeight w:val="56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bl>
    <w:p>
      <w:pPr>
        <w:jc w:val="right"/>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t xml:space="preserve">日期： 年   月   日</w:t>
      </w:r>
      <w:r/>
    </w:p>
    <w:p>
      <w:pPr>
        <w:jc w:val="left"/>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t xml:space="preserve">填写说明：</w:t>
      </w:r>
      <w:r/>
    </w:p>
    <w:p>
      <w:pPr>
        <w:jc w:val="left"/>
        <w:spacing w:before="100" w:beforeAutospacing="1" w:after="100" w:afterAutospacing="1"/>
        <w:widowControl/>
        <w:rPr>
          <w:rFonts w:ascii="宋体" w:hAnsi="宋体" w:cs="宋体"/>
          <w:color w:val="auto"/>
          <w:sz w:val="24"/>
          <w:szCs w:val="24"/>
        </w:rPr>
      </w:pPr>
      <w:r>
        <w:rPr>
          <w:rFonts w:ascii="宋体" w:hAnsi="宋体" w:cs="宋体"/>
          <w:i/>
          <w:iCs/>
          <w:color w:val="auto"/>
          <w:sz w:val="24"/>
          <w:szCs w:val="24"/>
          <w:u w:val="single"/>
        </w:rPr>
        <w:t xml:space="preserve">1、开标一览表必须加盖投标人公章（复印件无效）。</w:t>
      </w:r>
      <w:r/>
    </w:p>
    <w:p>
      <w:pPr>
        <w:jc w:val="left"/>
        <w:spacing w:before="100" w:beforeAutospacing="1" w:after="100" w:afterAutospacing="1"/>
        <w:widowControl/>
        <w:rPr>
          <w:rFonts w:ascii="宋体" w:hAnsi="宋体" w:cs="宋体"/>
          <w:color w:val="auto"/>
          <w:sz w:val="24"/>
          <w:szCs w:val="24"/>
        </w:rPr>
      </w:pPr>
      <w:r>
        <w:rPr>
          <w:rFonts w:ascii="宋体" w:hAnsi="宋体" w:cs="宋体"/>
          <w:i/>
          <w:iCs/>
          <w:color w:val="auto"/>
          <w:sz w:val="24"/>
          <w:szCs w:val="24"/>
          <w:u w:val="single"/>
        </w:rPr>
        <w:t xml:space="preserve">2、如有分包，投标人投任何一个包的标的，都需单独填写开标一览表。</w:t>
      </w:r>
      <w:r/>
    </w:p>
    <w:p>
      <w:pPr>
        <w:pStyle w:val="1110"/>
        <w:spacing w:line="360" w:lineRule="auto"/>
        <w:rPr>
          <w:rFonts w:hAnsi="宋体" w:eastAsia="宋体" w:cs="宋体"/>
          <w:color w:val="auto"/>
          <w:sz w:val="24"/>
          <w:szCs w:val="24"/>
        </w:rPr>
      </w:pPr>
      <w:r>
        <w:rPr>
          <w:rFonts w:hAnsi="宋体" w:eastAsia="宋体" w:cs="宋体"/>
          <w:color w:val="auto"/>
          <w:sz w:val="24"/>
          <w:szCs w:val="24"/>
        </w:rPr>
      </w:r>
      <w:r/>
    </w:p>
    <w:p>
      <w:pPr>
        <w:pStyle w:val="1110"/>
        <w:spacing w:line="360" w:lineRule="auto"/>
        <w:rPr>
          <w:rFonts w:hAnsi="宋体" w:eastAsia="宋体" w:cs="宋体"/>
          <w:color w:val="auto"/>
          <w:sz w:val="24"/>
          <w:szCs w:val="24"/>
        </w:rPr>
      </w:pPr>
      <w:r>
        <w:rPr>
          <w:rFonts w:hAnsi="宋体" w:eastAsia="宋体" w:cs="宋体"/>
          <w:color w:val="auto"/>
          <w:sz w:val="24"/>
          <w:szCs w:val="24"/>
        </w:rPr>
      </w:r>
      <w:r/>
    </w:p>
    <w:p>
      <w:pPr>
        <w:pStyle w:val="1110"/>
        <w:spacing w:line="360" w:lineRule="auto"/>
        <w:rPr>
          <w:rFonts w:hAnsi="宋体" w:eastAsia="宋体" w:cs="宋体"/>
          <w:color w:val="auto"/>
          <w:sz w:val="24"/>
          <w:szCs w:val="24"/>
        </w:rPr>
      </w:pPr>
      <w:r>
        <w:rPr>
          <w:rFonts w:hAnsi="宋体" w:eastAsia="宋体" w:cs="宋体"/>
          <w:color w:val="auto"/>
          <w:sz w:val="24"/>
          <w:szCs w:val="24"/>
        </w:rPr>
        <w:t xml:space="preserve">供应商报价说明：</w:t>
      </w:r>
      <w:r/>
    </w:p>
    <w:p>
      <w:pPr>
        <w:pStyle w:val="1110"/>
        <w:spacing w:line="360" w:lineRule="auto"/>
        <w:rPr>
          <w:rFonts w:hAnsi="宋体" w:eastAsia="宋体" w:cs="宋体"/>
          <w:color w:val="auto"/>
          <w:sz w:val="24"/>
          <w:szCs w:val="24"/>
        </w:rPr>
      </w:pPr>
      <w:r>
        <w:rPr>
          <w:rFonts w:hAnsi="宋体" w:eastAsia="宋体" w:cs="宋体"/>
          <w:color w:val="auto"/>
          <w:sz w:val="24"/>
          <w:szCs w:val="24"/>
        </w:rPr>
        <w:t xml:space="preserve">1、采购人不需再支付报价以外的任何费用。</w:t>
      </w:r>
      <w:r/>
    </w:p>
    <w:p>
      <w:pPr>
        <w:pStyle w:val="1110"/>
        <w:spacing w:line="360" w:lineRule="auto"/>
        <w:rPr>
          <w:rFonts w:hAnsi="宋体" w:eastAsia="宋体" w:cs="宋体"/>
          <w:color w:val="auto"/>
          <w:sz w:val="24"/>
          <w:szCs w:val="24"/>
        </w:rPr>
      </w:pPr>
      <w:r>
        <w:rPr>
          <w:rFonts w:hAnsi="宋体" w:eastAsia="宋体" w:cs="宋体"/>
          <w:color w:val="auto"/>
          <w:sz w:val="24"/>
          <w:szCs w:val="24"/>
        </w:rPr>
        <w:t xml:space="preserve">2、偏离说明：详见《偏离表》。</w:t>
      </w:r>
      <w:r/>
    </w:p>
    <w:p>
      <w:pPr>
        <w:pStyle w:val="1110"/>
        <w:spacing w:line="360" w:lineRule="auto"/>
        <w:rPr>
          <w:rFonts w:hAnsi="宋体" w:eastAsia="宋体" w:cs="宋体"/>
          <w:color w:val="auto"/>
          <w:sz w:val="24"/>
          <w:szCs w:val="24"/>
        </w:rPr>
      </w:pPr>
      <w:r>
        <w:rPr>
          <w:rFonts w:hAnsi="宋体" w:eastAsia="宋体" w:cs="宋体"/>
          <w:color w:val="auto"/>
          <w:sz w:val="24"/>
          <w:szCs w:val="24"/>
        </w:rPr>
        <w:t xml:space="preserve">3、报价大小写不一致以大写为准。</w:t>
      </w:r>
      <w:r/>
    </w:p>
    <w:p>
      <w:pPr>
        <w:pStyle w:val="1110"/>
        <w:spacing w:line="360" w:lineRule="auto"/>
        <w:rPr>
          <w:rFonts w:hAnsi="宋体" w:eastAsia="宋体"/>
          <w:color w:val="auto"/>
          <w:sz w:val="21"/>
          <w:szCs w:val="21"/>
        </w:rPr>
      </w:pPr>
      <w:r>
        <w:rPr>
          <w:rFonts w:hint="eastAsia" w:hAnsi="宋体" w:eastAsia="宋体"/>
          <w:color w:val="auto"/>
          <w:sz w:val="21"/>
          <w:szCs w:val="21"/>
        </w:rPr>
        <w:br w:type="page" w:clear="all"/>
      </w:r>
      <w:r/>
    </w:p>
    <w:p>
      <w:pPr>
        <w:pStyle w:val="819"/>
        <w:ind w:left="567" w:hanging="567"/>
        <w:spacing w:line="416" w:lineRule="auto"/>
        <w:rPr>
          <w:color w:val="auto"/>
          <w:sz w:val="24"/>
          <w:szCs w:val="24"/>
        </w:rPr>
      </w:pPr>
      <w:r/>
      <w:bookmarkStart w:id="19" w:name="_Toc55564425"/>
      <w:r/>
      <w:bookmarkStart w:id="20" w:name="_Toc204332801"/>
      <w:r/>
      <w:bookmarkStart w:id="21" w:name="_Ref378337104"/>
      <w:r/>
      <w:bookmarkStart w:id="22" w:name="_Toc497431310"/>
      <w:r>
        <w:rPr>
          <w:color w:val="auto"/>
          <w:szCs w:val="21"/>
        </w:rPr>
        <w:t xml:space="preserve">5、</w:t>
      </w:r>
      <w:r>
        <w:rPr>
          <w:rFonts w:hint="eastAsia" w:asciiTheme="minorEastAsia" w:hAnsiTheme="minorEastAsia" w:eastAsiaTheme="minorEastAsia"/>
          <w:color w:val="auto"/>
          <w:sz w:val="24"/>
          <w:szCs w:val="24"/>
        </w:rPr>
        <w:t xml:space="preserve">分项</w:t>
      </w:r>
      <w:r>
        <w:rPr>
          <w:rFonts w:hint="eastAsia"/>
          <w:color w:val="auto"/>
          <w:sz w:val="24"/>
          <w:szCs w:val="24"/>
        </w:rPr>
        <w:t xml:space="preserve">报价表</w:t>
      </w:r>
      <w:bookmarkEnd w:id="19"/>
      <w:r/>
      <w:bookmarkEnd w:id="20"/>
      <w:r/>
      <w:bookmarkEnd w:id="21"/>
      <w:r/>
      <w:bookmarkEnd w:id="22"/>
      <w:r/>
      <w:r/>
    </w:p>
    <w:p>
      <w:pPr>
        <w:pStyle w:val="1106"/>
        <w:jc w:val="center"/>
        <w:spacing w:line="360" w:lineRule="auto"/>
        <w:rPr>
          <w:rFonts w:hAnsi="宋体" w:eastAsia="宋体"/>
          <w:color w:val="auto"/>
          <w:sz w:val="24"/>
          <w:szCs w:val="24"/>
        </w:rPr>
      </w:pPr>
      <w:r/>
      <w:bookmarkStart w:id="23" w:name="_Ref501489757"/>
      <w:r/>
      <w:bookmarkStart w:id="24" w:name="_Toc509332886"/>
      <w:r/>
      <w:bookmarkStart w:id="25" w:name="_Ref76718572"/>
      <w:r>
        <w:rPr>
          <w:rFonts w:hint="eastAsia" w:hAnsi="宋体" w:eastAsia="宋体"/>
          <w:color w:val="auto"/>
          <w:sz w:val="24"/>
          <w:szCs w:val="24"/>
          <w:u w:val="single"/>
        </w:rPr>
        <w:t xml:space="preserve">2026年度淀山湖镇水利设施维养管护一体化项目</w:t>
      </w:r>
      <w:r>
        <w:rPr>
          <w:rFonts w:hAnsi="宋体" w:eastAsia="宋体"/>
          <w:color w:val="auto"/>
          <w:sz w:val="24"/>
          <w:szCs w:val="24"/>
        </w:rPr>
        <w:t xml:space="preserve">项目投标报价表</w:t>
      </w:r>
      <w:r/>
    </w:p>
    <w:p>
      <w:pPr>
        <w:rPr>
          <w:vanish/>
          <w:color w:val="auto"/>
          <w:sz w:val="24"/>
        </w:rPr>
      </w:pPr>
      <w:r>
        <w:rPr>
          <w:vanish/>
          <w:color w:val="auto"/>
          <w:sz w:val="24"/>
        </w:rPr>
      </w:r>
      <w:r/>
    </w:p>
    <w:p>
      <w:pPr>
        <w:ind w:firstLine="424"/>
        <w:jc w:val="left"/>
        <w:spacing w:line="400" w:lineRule="exact"/>
        <w:tabs>
          <w:tab w:val="left" w:pos="7020" w:leader="none"/>
        </w:tabs>
        <w:rPr>
          <w:rFonts w:ascii="宋体" w:hAnsi="宋体"/>
          <w:bCs/>
          <w:color w:val="auto"/>
        </w:rPr>
      </w:pPr>
      <w:r>
        <w:rPr>
          <w:rFonts w:hint="eastAsia" w:ascii="宋体" w:hAnsi="宋体" w:cs="宋体"/>
          <w:color w:val="auto"/>
          <w:szCs w:val="21"/>
        </w:rPr>
        <w:t xml:space="preserve">项目名称：</w:t>
      </w:r>
      <w:r>
        <w:rPr>
          <w:rFonts w:hint="eastAsia" w:ascii="宋体" w:hAnsi="宋体"/>
          <w:bCs/>
          <w:color w:val="auto"/>
        </w:rPr>
        <w:t xml:space="preserve">2026年度淀山湖镇水利设施维养管护一体化项目</w:t>
      </w:r>
      <w:r/>
    </w:p>
    <w:p>
      <w:pPr>
        <w:ind w:firstLine="424"/>
        <w:jc w:val="left"/>
        <w:spacing w:line="400" w:lineRule="exact"/>
        <w:tabs>
          <w:tab w:val="left" w:pos="7560" w:leader="none"/>
        </w:tabs>
        <w:rPr>
          <w:rFonts w:hint="eastAsia" w:ascii="宋体" w:hAnsi="宋体" w:eastAsia="宋体" w:cs="宋体"/>
          <w:color w:val="auto"/>
          <w:szCs w:val="21"/>
          <w:lang w:eastAsia="zh-CN"/>
        </w:rPr>
      </w:pPr>
      <w:r>
        <w:rPr>
          <w:rFonts w:hint="eastAsia" w:ascii="宋体" w:hAnsi="宋体" w:cs="宋体"/>
          <w:color w:val="auto"/>
          <w:szCs w:val="21"/>
        </w:rPr>
        <w:t xml:space="preserve">采购编号：</w:t>
      </w:r>
      <w:r>
        <w:rPr>
          <w:rFonts w:hint="eastAsia" w:ascii="宋体" w:hAnsi="宋体" w:cs="宋体"/>
          <w:color w:val="auto"/>
          <w:szCs w:val="21"/>
          <w:lang w:eastAsia="zh-CN"/>
        </w:rPr>
        <w:t xml:space="preserve">JSZC-320583-SZGZ-T2026-0066</w:t>
      </w:r>
      <w:r/>
    </w:p>
    <w:p>
      <w:pPr>
        <w:pStyle w:val="829"/>
        <w:rPr>
          <w:color w:val="auto"/>
          <w:highlight w:val="yellow"/>
        </w:rPr>
      </w:pPr>
      <w:r>
        <w:rPr>
          <w:color w:val="auto"/>
          <w:highlight w:val="yellow"/>
        </w:rPr>
      </w:r>
      <w:r/>
    </w:p>
    <w:tbl>
      <w:tblPr>
        <w:tblStyle w:val="828"/>
        <w:tblW w:w="841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1"/>
        <w:gridCol w:w="2120"/>
        <w:gridCol w:w="1529"/>
        <w:gridCol w:w="714"/>
        <w:gridCol w:w="1686"/>
        <w:gridCol w:w="1258"/>
      </w:tblGrid>
      <w:tr>
        <w:trPr>
          <w:jc w:val="center"/>
        </w:trPr>
        <w:tc>
          <w:tcPr>
            <w:tcBorders>
              <w:top w:val="single" w:color="auto" w:sz="4" w:space="0"/>
              <w:left w:val="single" w:color="auto" w:sz="4" w:space="0"/>
              <w:bottom w:val="single" w:color="auto" w:sz="6" w:space="0"/>
              <w:right w:val="single" w:color="auto" w:sz="6" w:space="0"/>
            </w:tcBorders>
            <w:tcW w:w="1111" w:type="dxa"/>
            <w:vAlign w:val="center"/>
            <w:textDirection w:val="lrTb"/>
            <w:noWrap w:val="false"/>
          </w:tcPr>
          <w:p>
            <w:pPr>
              <w:pStyle w:val="1103"/>
              <w:jc w:val="center"/>
              <w:rPr>
                <w:rFonts w:hAnsi="宋体" w:eastAsia="宋体"/>
                <w:b/>
                <w:color w:val="auto"/>
                <w:sz w:val="21"/>
                <w:szCs w:val="21"/>
              </w:rPr>
            </w:pPr>
            <w:r>
              <w:rPr>
                <w:rFonts w:hAnsi="宋体" w:eastAsia="宋体"/>
                <w:b/>
                <w:color w:val="auto"/>
                <w:sz w:val="21"/>
                <w:szCs w:val="21"/>
              </w:rPr>
              <w:t xml:space="preserve">序号</w:t>
            </w:r>
            <w:r/>
          </w:p>
        </w:tc>
        <w:tc>
          <w:tcPr>
            <w:tcBorders>
              <w:top w:val="single" w:color="auto" w:sz="4" w:space="0"/>
              <w:left w:val="single" w:color="auto" w:sz="6" w:space="0"/>
              <w:bottom w:val="single" w:color="auto" w:sz="6" w:space="0"/>
              <w:right w:val="single" w:color="auto" w:sz="6" w:space="0"/>
            </w:tcBorders>
            <w:tcW w:w="2120" w:type="dxa"/>
            <w:vAlign w:val="center"/>
            <w:textDirection w:val="lrTb"/>
            <w:noWrap w:val="false"/>
          </w:tcPr>
          <w:p>
            <w:pPr>
              <w:pStyle w:val="1103"/>
              <w:jc w:val="center"/>
              <w:rPr>
                <w:rFonts w:hAnsi="宋体" w:eastAsia="宋体"/>
                <w:b/>
                <w:color w:val="auto"/>
                <w:sz w:val="21"/>
                <w:szCs w:val="21"/>
              </w:rPr>
            </w:pPr>
            <w:r>
              <w:rPr>
                <w:rFonts w:hAnsi="宋体" w:eastAsia="宋体"/>
                <w:b/>
                <w:color w:val="auto"/>
                <w:sz w:val="21"/>
                <w:szCs w:val="21"/>
              </w:rPr>
              <w:t xml:space="preserve">名称</w:t>
            </w:r>
            <w:r/>
          </w:p>
        </w:tc>
        <w:tc>
          <w:tcPr>
            <w:tcBorders>
              <w:top w:val="single" w:color="auto" w:sz="4" w:space="0"/>
              <w:left w:val="single" w:color="auto" w:sz="6" w:space="0"/>
              <w:bottom w:val="single" w:color="auto" w:sz="4" w:space="0"/>
              <w:right w:val="single" w:color="auto" w:sz="6" w:space="0"/>
            </w:tcBorders>
            <w:tcW w:w="1529" w:type="dxa"/>
            <w:vAlign w:val="center"/>
            <w:textDirection w:val="lrTb"/>
            <w:noWrap w:val="false"/>
          </w:tcPr>
          <w:p>
            <w:pPr>
              <w:pStyle w:val="1103"/>
              <w:jc w:val="center"/>
              <w:rPr>
                <w:rFonts w:hAnsi="宋体" w:eastAsia="宋体"/>
                <w:b/>
                <w:color w:val="auto"/>
                <w:sz w:val="21"/>
                <w:szCs w:val="21"/>
              </w:rPr>
            </w:pPr>
            <w:r>
              <w:rPr>
                <w:rFonts w:hAnsi="宋体" w:eastAsia="宋体"/>
                <w:b/>
                <w:color w:val="auto"/>
                <w:sz w:val="21"/>
                <w:szCs w:val="21"/>
              </w:rPr>
              <w:t xml:space="preserve">数量</w:t>
            </w:r>
            <w:r/>
          </w:p>
        </w:tc>
        <w:tc>
          <w:tcPr>
            <w:tcBorders>
              <w:top w:val="single" w:color="auto" w:sz="4" w:space="0"/>
              <w:left w:val="single" w:color="auto" w:sz="6" w:space="0"/>
              <w:bottom w:val="single" w:color="auto" w:sz="6" w:space="0"/>
              <w:right w:val="single" w:color="auto" w:sz="4" w:space="0"/>
            </w:tcBorders>
            <w:tcW w:w="714" w:type="dxa"/>
            <w:vAlign w:val="center"/>
            <w:textDirection w:val="lrTb"/>
            <w:noWrap w:val="false"/>
          </w:tcPr>
          <w:p>
            <w:pPr>
              <w:pStyle w:val="1103"/>
              <w:jc w:val="center"/>
              <w:rPr>
                <w:rFonts w:hAnsi="宋体" w:eastAsia="宋体"/>
                <w:b/>
                <w:color w:val="auto"/>
                <w:sz w:val="21"/>
                <w:szCs w:val="21"/>
              </w:rPr>
            </w:pPr>
            <w:r>
              <w:rPr>
                <w:rFonts w:hAnsi="宋体" w:eastAsia="宋体"/>
                <w:b/>
                <w:color w:val="auto"/>
                <w:sz w:val="21"/>
                <w:szCs w:val="21"/>
              </w:rPr>
              <w:t xml:space="preserve">单位</w:t>
            </w:r>
            <w:r/>
          </w:p>
        </w:tc>
        <w:tc>
          <w:tcPr>
            <w:tcBorders>
              <w:top w:val="single" w:color="auto" w:sz="4" w:space="0"/>
              <w:left w:val="single" w:color="auto" w:sz="4" w:space="0"/>
              <w:bottom w:val="single" w:color="auto" w:sz="6" w:space="0"/>
              <w:right w:val="single" w:color="auto" w:sz="6" w:space="0"/>
            </w:tcBorders>
            <w:tcW w:w="1686" w:type="dxa"/>
            <w:vAlign w:val="center"/>
            <w:textDirection w:val="lrTb"/>
            <w:noWrap w:val="false"/>
          </w:tcPr>
          <w:p>
            <w:pPr>
              <w:pStyle w:val="1103"/>
              <w:jc w:val="center"/>
              <w:rPr>
                <w:rFonts w:hAnsi="宋体" w:eastAsia="宋体"/>
                <w:b/>
                <w:color w:val="auto"/>
                <w:sz w:val="21"/>
                <w:szCs w:val="21"/>
              </w:rPr>
            </w:pPr>
            <w:r>
              <w:rPr>
                <w:rFonts w:hAnsi="宋体" w:eastAsia="宋体"/>
                <w:b/>
                <w:color w:val="auto"/>
                <w:sz w:val="21"/>
                <w:szCs w:val="21"/>
              </w:rPr>
              <w:t xml:space="preserve">单价（元）</w:t>
            </w:r>
            <w:r/>
          </w:p>
        </w:tc>
        <w:tc>
          <w:tcPr>
            <w:tcBorders>
              <w:top w:val="single" w:color="auto" w:sz="4" w:space="0"/>
              <w:left w:val="single" w:color="auto" w:sz="6" w:space="0"/>
              <w:bottom w:val="single" w:color="auto" w:sz="6" w:space="0"/>
              <w:right w:val="single" w:color="auto" w:sz="6" w:space="0"/>
            </w:tcBorders>
            <w:tcW w:w="1258" w:type="dxa"/>
            <w:vAlign w:val="center"/>
            <w:textDirection w:val="lrTb"/>
            <w:noWrap w:val="false"/>
          </w:tcPr>
          <w:p>
            <w:pPr>
              <w:pStyle w:val="1103"/>
              <w:jc w:val="center"/>
              <w:rPr>
                <w:rFonts w:hAnsi="宋体" w:eastAsia="宋体"/>
                <w:b/>
                <w:color w:val="auto"/>
                <w:sz w:val="21"/>
                <w:szCs w:val="21"/>
              </w:rPr>
            </w:pPr>
            <w:r>
              <w:rPr>
                <w:rFonts w:hAnsi="宋体" w:eastAsia="宋体"/>
                <w:b/>
                <w:color w:val="auto"/>
                <w:sz w:val="21"/>
                <w:szCs w:val="21"/>
              </w:rPr>
              <w:t xml:space="preserve">总价（元）</w:t>
            </w:r>
            <w:r/>
          </w:p>
        </w:tc>
      </w:tr>
      <w:tr>
        <w:trPr>
          <w:jc w:val="center"/>
          <w:trHeight w:val="533"/>
        </w:trPr>
        <w:tc>
          <w:tcPr>
            <w:tcBorders>
              <w:top w:val="single" w:color="auto" w:sz="6" w:space="0"/>
              <w:left w:val="single" w:color="auto" w:sz="4" w:space="0"/>
              <w:bottom w:val="single" w:color="auto" w:sz="6" w:space="0"/>
              <w:right w:val="single" w:color="auto" w:sz="6" w:space="0"/>
            </w:tcBorders>
            <w:tcW w:w="1111"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w:t>
            </w:r>
            <w:r/>
          </w:p>
        </w:tc>
        <w:tc>
          <w:tcPr>
            <w:tcBorders>
              <w:top w:val="single" w:color="auto" w:sz="6" w:space="0"/>
              <w:left w:val="single" w:color="auto" w:sz="6" w:space="0"/>
              <w:bottom w:val="single" w:color="auto" w:sz="6" w:space="0"/>
              <w:right w:val="single" w:color="auto" w:sz="6" w:space="0"/>
            </w:tcBorders>
            <w:tcW w:w="212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71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1686"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6" w:space="0"/>
            </w:tcBorders>
            <w:tcW w:w="1258" w:type="dxa"/>
            <w:vAlign w:val="center"/>
            <w:textDirection w:val="lrTb"/>
            <w:noWrap w:val="false"/>
          </w:tcPr>
          <w:p>
            <w:pPr>
              <w:pStyle w:val="1103"/>
              <w:jc w:val="center"/>
              <w:rPr>
                <w:rFonts w:hAnsi="宋体" w:eastAsia="宋体"/>
                <w:color w:val="auto"/>
                <w:sz w:val="21"/>
                <w:szCs w:val="21"/>
              </w:rPr>
            </w:pPr>
            <w:r>
              <w:rPr>
                <w:rFonts w:hAnsi="宋体" w:eastAsia="宋体"/>
                <w:color w:val="auto"/>
                <w:sz w:val="21"/>
                <w:szCs w:val="21"/>
              </w:rPr>
            </w:r>
            <w:r/>
          </w:p>
        </w:tc>
      </w:tr>
      <w:tr>
        <w:trPr>
          <w:jc w:val="center"/>
          <w:trHeight w:val="445"/>
        </w:trPr>
        <w:tc>
          <w:tcPr>
            <w:tcBorders>
              <w:top w:val="single" w:color="auto" w:sz="6" w:space="0"/>
              <w:left w:val="single" w:color="auto" w:sz="4" w:space="0"/>
              <w:bottom w:val="single" w:color="auto" w:sz="6" w:space="0"/>
              <w:right w:val="single" w:color="auto" w:sz="6" w:space="0"/>
            </w:tcBorders>
            <w:tcW w:w="1111"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Borders>
              <w:top w:val="single" w:color="auto" w:sz="6" w:space="0"/>
              <w:left w:val="single" w:color="auto" w:sz="6" w:space="0"/>
              <w:bottom w:val="single" w:color="auto" w:sz="6" w:space="0"/>
              <w:right w:val="single" w:color="auto" w:sz="6" w:space="0"/>
            </w:tcBorders>
            <w:tcW w:w="212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71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1686"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6" w:space="0"/>
            </w:tcBorders>
            <w:tcW w:w="1258" w:type="dxa"/>
            <w:vAlign w:val="center"/>
            <w:textDirection w:val="lrTb"/>
            <w:noWrap w:val="false"/>
          </w:tcPr>
          <w:p>
            <w:pPr>
              <w:pStyle w:val="1103"/>
              <w:jc w:val="center"/>
              <w:rPr>
                <w:rFonts w:hAnsi="宋体" w:eastAsia="宋体"/>
                <w:color w:val="auto"/>
                <w:sz w:val="21"/>
                <w:szCs w:val="21"/>
              </w:rPr>
            </w:pPr>
            <w:r>
              <w:rPr>
                <w:rFonts w:hAnsi="宋体" w:eastAsia="宋体"/>
                <w:color w:val="auto"/>
                <w:sz w:val="21"/>
                <w:szCs w:val="21"/>
              </w:rPr>
            </w:r>
            <w:r/>
          </w:p>
        </w:tc>
      </w:tr>
      <w:tr>
        <w:trPr>
          <w:jc w:val="center"/>
          <w:trHeight w:val="445"/>
        </w:trPr>
        <w:tc>
          <w:tcPr>
            <w:tcBorders>
              <w:top w:val="single" w:color="auto" w:sz="6" w:space="0"/>
              <w:left w:val="single" w:color="auto" w:sz="4" w:space="0"/>
              <w:bottom w:val="single" w:color="auto" w:sz="6" w:space="0"/>
              <w:right w:val="single" w:color="auto" w:sz="6" w:space="0"/>
            </w:tcBorders>
            <w:tcW w:w="1111"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Borders>
              <w:top w:val="single" w:color="auto" w:sz="6" w:space="0"/>
              <w:left w:val="single" w:color="auto" w:sz="6" w:space="0"/>
              <w:bottom w:val="single" w:color="auto" w:sz="6" w:space="0"/>
              <w:right w:val="single" w:color="auto" w:sz="6" w:space="0"/>
            </w:tcBorders>
            <w:tcW w:w="212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71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1686"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6" w:space="0"/>
            </w:tcBorders>
            <w:tcW w:w="1258" w:type="dxa"/>
            <w:vAlign w:val="center"/>
            <w:textDirection w:val="lrTb"/>
            <w:noWrap w:val="false"/>
          </w:tcPr>
          <w:p>
            <w:pPr>
              <w:pStyle w:val="1103"/>
              <w:jc w:val="center"/>
              <w:rPr>
                <w:rFonts w:hAnsi="宋体" w:eastAsia="宋体"/>
                <w:color w:val="auto"/>
                <w:sz w:val="21"/>
                <w:szCs w:val="21"/>
              </w:rPr>
            </w:pPr>
            <w:r>
              <w:rPr>
                <w:rFonts w:hAnsi="宋体" w:eastAsia="宋体"/>
                <w:color w:val="auto"/>
                <w:sz w:val="21"/>
                <w:szCs w:val="21"/>
              </w:rPr>
            </w:r>
            <w:r/>
          </w:p>
        </w:tc>
      </w:tr>
      <w:tr>
        <w:trPr>
          <w:jc w:val="center"/>
          <w:trHeight w:val="445"/>
        </w:trPr>
        <w:tc>
          <w:tcPr>
            <w:tcBorders>
              <w:top w:val="single" w:color="auto" w:sz="6" w:space="0"/>
              <w:left w:val="single" w:color="auto" w:sz="4" w:space="0"/>
              <w:bottom w:val="single" w:color="auto" w:sz="6" w:space="0"/>
              <w:right w:val="single" w:color="auto" w:sz="6" w:space="0"/>
            </w:tcBorders>
            <w:tcW w:w="1111"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Borders>
              <w:top w:val="single" w:color="auto" w:sz="6" w:space="0"/>
              <w:left w:val="single" w:color="auto" w:sz="6" w:space="0"/>
              <w:bottom w:val="single" w:color="auto" w:sz="6" w:space="0"/>
              <w:right w:val="single" w:color="auto" w:sz="6" w:space="0"/>
            </w:tcBorders>
            <w:tcW w:w="212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71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1686"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6" w:space="0"/>
            </w:tcBorders>
            <w:tcW w:w="1258" w:type="dxa"/>
            <w:vAlign w:val="center"/>
            <w:textDirection w:val="lrTb"/>
            <w:noWrap w:val="false"/>
          </w:tcPr>
          <w:p>
            <w:pPr>
              <w:pStyle w:val="1103"/>
              <w:jc w:val="center"/>
              <w:rPr>
                <w:rFonts w:hAnsi="宋体" w:eastAsia="宋体"/>
                <w:color w:val="auto"/>
                <w:sz w:val="21"/>
                <w:szCs w:val="21"/>
              </w:rPr>
            </w:pPr>
            <w:r>
              <w:rPr>
                <w:rFonts w:hAnsi="宋体" w:eastAsia="宋体"/>
                <w:color w:val="auto"/>
                <w:sz w:val="21"/>
                <w:szCs w:val="21"/>
              </w:rPr>
            </w:r>
            <w:r/>
          </w:p>
        </w:tc>
      </w:tr>
      <w:tr>
        <w:trPr>
          <w:jc w:val="center"/>
          <w:trHeight w:val="445"/>
        </w:trPr>
        <w:tc>
          <w:tcPr>
            <w:tcBorders>
              <w:top w:val="single" w:color="auto" w:sz="6" w:space="0"/>
              <w:left w:val="single" w:color="auto" w:sz="4" w:space="0"/>
              <w:bottom w:val="single" w:color="auto" w:sz="6" w:space="0"/>
              <w:right w:val="single" w:color="auto" w:sz="6" w:space="0"/>
            </w:tcBorders>
            <w:tcW w:w="1111"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w:t>
            </w:r>
            <w:r/>
          </w:p>
        </w:tc>
        <w:tc>
          <w:tcPr>
            <w:tcBorders>
              <w:top w:val="single" w:color="auto" w:sz="6" w:space="0"/>
              <w:left w:val="single" w:color="auto" w:sz="6" w:space="0"/>
              <w:bottom w:val="single" w:color="auto" w:sz="6" w:space="0"/>
              <w:right w:val="single" w:color="auto" w:sz="6" w:space="0"/>
            </w:tcBorders>
            <w:tcW w:w="212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71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1686"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6" w:space="0"/>
            </w:tcBorders>
            <w:tcW w:w="1258" w:type="dxa"/>
            <w:vAlign w:val="center"/>
            <w:textDirection w:val="lrTb"/>
            <w:noWrap w:val="false"/>
          </w:tcPr>
          <w:p>
            <w:pPr>
              <w:pStyle w:val="1103"/>
              <w:jc w:val="center"/>
              <w:rPr>
                <w:rFonts w:hAnsi="宋体" w:eastAsia="宋体"/>
                <w:color w:val="auto"/>
                <w:sz w:val="21"/>
                <w:szCs w:val="21"/>
              </w:rPr>
            </w:pPr>
            <w:r>
              <w:rPr>
                <w:rFonts w:hAnsi="宋体" w:eastAsia="宋体"/>
                <w:color w:val="auto"/>
                <w:sz w:val="21"/>
                <w:szCs w:val="21"/>
              </w:rPr>
            </w:r>
            <w:r/>
          </w:p>
        </w:tc>
      </w:tr>
      <w:tr>
        <w:trPr>
          <w:jc w:val="center"/>
          <w:trHeight w:val="710"/>
        </w:trPr>
        <w:tc>
          <w:tcPr>
            <w:tcBorders>
              <w:top w:val="single" w:color="auto" w:sz="6" w:space="0"/>
              <w:left w:val="single" w:color="auto" w:sz="4" w:space="0"/>
              <w:bottom w:val="single" w:color="auto" w:sz="6" w:space="0"/>
              <w:right w:val="single" w:color="auto" w:sz="6" w:space="0"/>
            </w:tcBorders>
            <w:tcW w:w="1111" w:type="dxa"/>
            <w:vAlign w:val="center"/>
            <w:textDirection w:val="lrTb"/>
            <w:noWrap w:val="false"/>
          </w:tcPr>
          <w:p>
            <w:pPr>
              <w:jc w:val="center"/>
              <w:rPr>
                <w:rFonts w:ascii="宋体" w:hAnsi="宋体"/>
                <w:color w:val="auto"/>
                <w:szCs w:val="21"/>
              </w:rPr>
            </w:pPr>
            <w:r>
              <w:rPr>
                <w:rFonts w:hAnsi="宋体"/>
                <w:color w:val="auto"/>
                <w:szCs w:val="21"/>
              </w:rPr>
              <w:t xml:space="preserve">最终报价</w:t>
            </w:r>
            <w:r/>
          </w:p>
        </w:tc>
        <w:tc>
          <w:tcPr>
            <w:gridSpan w:val="5"/>
            <w:tcBorders>
              <w:top w:val="single" w:color="auto" w:sz="6" w:space="0"/>
              <w:left w:val="single" w:color="auto" w:sz="6" w:space="0"/>
              <w:bottom w:val="single" w:color="auto" w:sz="6" w:space="0"/>
              <w:right w:val="single" w:color="auto" w:sz="6" w:space="0"/>
            </w:tcBorders>
            <w:tcW w:w="7307" w:type="dxa"/>
            <w:vAlign w:val="center"/>
            <w:textDirection w:val="lrTb"/>
            <w:noWrap w:val="false"/>
          </w:tcPr>
          <w:p>
            <w:pPr>
              <w:pStyle w:val="1103"/>
              <w:jc w:val="center"/>
              <w:rPr>
                <w:rFonts w:hAnsi="宋体" w:eastAsia="宋体"/>
                <w:color w:val="auto"/>
                <w:sz w:val="21"/>
                <w:szCs w:val="21"/>
              </w:rPr>
            </w:pPr>
            <w:r>
              <w:rPr>
                <w:rFonts w:hAnsi="宋体" w:eastAsia="宋体"/>
                <w:color w:val="auto"/>
                <w:sz w:val="21"/>
                <w:szCs w:val="21"/>
              </w:rPr>
              <w:t xml:space="preserve">金额大写                      元      （¥：              元）</w:t>
            </w:r>
            <w:r/>
          </w:p>
        </w:tc>
      </w:tr>
    </w:tbl>
    <w:p>
      <w:pPr>
        <w:pStyle w:val="830"/>
        <w:rPr>
          <w:color w:val="auto"/>
          <w:highlight w:val="yellow"/>
        </w:rPr>
      </w:pPr>
      <w:r>
        <w:rPr>
          <w:color w:val="auto"/>
          <w:highlight w:val="yellow"/>
        </w:rPr>
      </w:r>
      <w:r/>
    </w:p>
    <w:p>
      <w:pPr>
        <w:pStyle w:val="830"/>
        <w:rPr>
          <w:color w:val="auto"/>
          <w:highlight w:val="yellow"/>
        </w:rPr>
      </w:pPr>
      <w:r>
        <w:rPr>
          <w:color w:val="auto"/>
          <w:highlight w:val="yellow"/>
        </w:rPr>
      </w:r>
      <w:r/>
    </w:p>
    <w:p>
      <w:pPr>
        <w:pStyle w:val="830"/>
        <w:rPr>
          <w:color w:val="auto"/>
        </w:rPr>
      </w:pPr>
      <w:r>
        <w:rPr>
          <w:color w:val="auto"/>
        </w:rPr>
      </w:r>
      <w:r/>
    </w:p>
    <w:p>
      <w:pPr>
        <w:ind w:right="210" w:firstLine="425"/>
        <w:jc w:val="right"/>
        <w:spacing w:line="400" w:lineRule="exact"/>
        <w:rPr>
          <w:rFonts w:ascii="Arial" w:hAnsi="Arial" w:cs="Arial"/>
          <w:color w:val="auto"/>
          <w:szCs w:val="21"/>
        </w:rPr>
      </w:pPr>
      <w:r>
        <w:rPr>
          <w:rFonts w:ascii="Arial" w:hAnsi="Arial" w:cs="Arial"/>
          <w:color w:val="auto"/>
          <w:szCs w:val="21"/>
        </w:rPr>
      </w:r>
      <w:r/>
    </w:p>
    <w:p>
      <w:pPr>
        <w:ind w:right="210" w:firstLine="425"/>
        <w:jc w:val="right"/>
        <w:spacing w:line="400" w:lineRule="exact"/>
        <w:rPr>
          <w:rFonts w:ascii="Arial" w:hAnsi="Arial" w:cs="Arial"/>
          <w:color w:val="auto"/>
          <w:szCs w:val="21"/>
        </w:rPr>
      </w:pPr>
      <w:r>
        <w:rPr>
          <w:rFonts w:hint="eastAsia" w:ascii="Arial" w:hAnsi="Arial" w:cs="Arial"/>
          <w:color w:val="auto"/>
          <w:szCs w:val="21"/>
        </w:rPr>
        <w:t xml:space="preserve">响应</w:t>
      </w:r>
      <w:r>
        <w:rPr>
          <w:rFonts w:ascii="Arial" w:hAnsi="Arial" w:cs="Arial"/>
          <w:color w:val="auto"/>
          <w:szCs w:val="21"/>
        </w:rPr>
        <w:t xml:space="preserve">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w:t>
      </w:r>
      <w:r>
        <w:rPr>
          <w:rFonts w:hint="eastAsia" w:ascii="Arial" w:hAnsi="Arial" w:cs="Arial"/>
          <w:color w:val="auto"/>
          <w:szCs w:val="21"/>
        </w:rPr>
        <w:t xml:space="preserve">     </w:t>
      </w:r>
      <w:r>
        <w:rPr>
          <w:rFonts w:ascii="Arial" w:hAnsi="Arial" w:cs="Arial"/>
          <w:color w:val="auto"/>
          <w:szCs w:val="21"/>
        </w:rPr>
        <w:t xml:space="preserve">月</w:t>
      </w:r>
      <w:r>
        <w:rPr>
          <w:rFonts w:hint="eastAsia" w:ascii="Arial" w:hAnsi="Arial" w:cs="Arial"/>
          <w:color w:val="auto"/>
          <w:szCs w:val="21"/>
        </w:rPr>
        <w:t xml:space="preserve">      </w:t>
      </w:r>
      <w:r>
        <w:rPr>
          <w:rFonts w:ascii="Arial" w:hAnsi="Arial" w:cs="Arial"/>
          <w:color w:val="auto"/>
          <w:szCs w:val="21"/>
        </w:rPr>
        <w:t xml:space="preserve">日</w:t>
      </w:r>
      <w:bookmarkStart w:id="26" w:name="_Ref433185082"/>
      <w:r/>
      <w:bookmarkEnd w:id="26"/>
      <w:r/>
      <w:bookmarkStart w:id="27" w:name="_Ref360464503"/>
      <w:r/>
      <w:bookmarkEnd w:id="27"/>
      <w:r/>
      <w:r/>
    </w:p>
    <w:p>
      <w:pPr>
        <w:pStyle w:val="1103"/>
        <w:jc w:val="left"/>
        <w:spacing w:line="360" w:lineRule="exact"/>
        <w:rPr>
          <w:rFonts w:hAnsi="宋体" w:eastAsia="宋体"/>
          <w:color w:val="auto"/>
          <w:sz w:val="21"/>
          <w:szCs w:val="21"/>
        </w:rPr>
        <w:sectPr>
          <w:headerReference w:type="default" r:id="rId9"/>
          <w:headerReference w:type="first" r:id="rId10"/>
          <w:footerReference w:type="default" r:id="rId12"/>
          <w:footerReference w:type="first" r:id="rId13"/>
          <w:footnotePr/>
          <w:endnotePr/>
          <w:type w:val="nextPage"/>
          <w:pgSz w:w="11906" w:h="16838" w:orient="portrait"/>
          <w:pgMar w:top="1247" w:right="1418" w:bottom="1021" w:left="1701" w:header="851" w:footer="992" w:gutter="0"/>
          <w:cols w:num="1" w:sep="0" w:space="720" w:equalWidth="1"/>
          <w:docGrid w:linePitch="360"/>
        </w:sectPr>
      </w:pPr>
      <w:r>
        <w:rPr>
          <w:rFonts w:hAnsi="宋体" w:eastAsia="宋体"/>
          <w:color w:val="auto"/>
          <w:sz w:val="21"/>
          <w:szCs w:val="21"/>
        </w:rPr>
      </w:r>
      <w:r/>
    </w:p>
    <w:p>
      <w:pPr>
        <w:pStyle w:val="819"/>
        <w:ind w:left="567" w:hanging="567"/>
        <w:spacing w:line="416" w:lineRule="auto"/>
        <w:rPr>
          <w:color w:val="auto"/>
          <w:szCs w:val="21"/>
        </w:rPr>
      </w:pPr>
      <w:r/>
      <w:bookmarkStart w:id="28" w:name="_Ref179984529"/>
      <w:r/>
      <w:bookmarkStart w:id="29" w:name="_Toc204332802"/>
      <w:r/>
      <w:bookmarkStart w:id="30" w:name="_Ref179984528"/>
      <w:r>
        <w:rPr>
          <w:rFonts w:hint="eastAsia"/>
          <w:color w:val="auto"/>
          <w:szCs w:val="21"/>
        </w:rPr>
        <w:t xml:space="preserve">6、</w:t>
      </w:r>
      <w:bookmarkEnd w:id="23"/>
      <w:r/>
      <w:bookmarkEnd w:id="24"/>
      <w:r/>
      <w:bookmarkStart w:id="31" w:name="_Ref372102914"/>
      <w:r/>
      <w:bookmarkStart w:id="32" w:name="_Toc511862082"/>
      <w:r/>
      <w:bookmarkStart w:id="33" w:name="_Ref36468949"/>
      <w:r>
        <w:rPr>
          <w:color w:val="auto"/>
          <w:szCs w:val="21"/>
        </w:rPr>
        <w:t xml:space="preserve">中小企业声明函</w:t>
      </w:r>
      <w:bookmarkEnd w:id="25"/>
      <w:r/>
      <w:bookmarkEnd w:id="28"/>
      <w:r/>
      <w:bookmarkEnd w:id="29"/>
      <w:r/>
      <w:bookmarkEnd w:id="30"/>
      <w:r/>
      <w:r/>
    </w:p>
    <w:p>
      <w:pPr>
        <w:ind w:firstLine="420"/>
        <w:jc w:val="center"/>
        <w:spacing w:line="360" w:lineRule="auto"/>
        <w:rPr>
          <w:color w:val="auto"/>
          <w:szCs w:val="21"/>
          <w:lang w:val="zh-CN"/>
        </w:rPr>
      </w:pPr>
      <w:r>
        <w:rPr>
          <w:color w:val="auto"/>
          <w:szCs w:val="21"/>
          <w:lang w:val="zh-CN"/>
        </w:rPr>
        <w:t xml:space="preserve">中小企业声明函（货物）</w:t>
      </w:r>
      <w:r/>
    </w:p>
    <w:p>
      <w:pPr>
        <w:ind w:firstLine="420"/>
        <w:spacing w:line="360" w:lineRule="auto"/>
        <w:rPr>
          <w:color w:val="auto"/>
          <w:szCs w:val="21"/>
          <w:lang w:val="zh-CN"/>
        </w:rPr>
      </w:pPr>
      <w:r>
        <w:rPr>
          <w:rFonts w:ascii="宋体" w:hAnsi="宋体"/>
          <w:color w:val="auto"/>
          <w:szCs w:val="21"/>
          <w:lang w:val="zh-CN"/>
        </w:rPr>
        <w:t xml:space="preserve">本公</w:t>
      </w:r>
      <w:r>
        <w:rPr>
          <w:rFonts w:hint="eastAsia" w:ascii="宋体" w:hAnsi="宋体"/>
          <w:color w:val="auto"/>
          <w:szCs w:val="21"/>
          <w:lang w:val="zh-CN"/>
        </w:rPr>
        <w:t xml:space="preserve">司</w:t>
      </w:r>
      <w:r>
        <w:rPr>
          <w:rFonts w:ascii="宋体" w:hAnsi="宋体"/>
          <w:color w:val="auto"/>
          <w:szCs w:val="21"/>
          <w:lang w:val="zh-CN"/>
        </w:rPr>
        <w:t xml:space="preserve">（联合体）郑重声明，根据《政府采购促进中小企业发展管理办法》（财库</w:t>
      </w:r>
      <w:r>
        <w:rPr>
          <w:rFonts w:hint="eastAsia" w:ascii="宋体" w:hAnsi="宋体"/>
          <w:color w:val="auto"/>
          <w:szCs w:val="21"/>
          <w:lang w:val="zh-CN"/>
        </w:rPr>
        <w:t xml:space="preserve">﹝</w:t>
      </w:r>
      <w:r>
        <w:rPr>
          <w:rFonts w:ascii="宋体" w:hAnsi="宋体"/>
          <w:color w:val="auto"/>
          <w:szCs w:val="21"/>
          <w:lang w:val="zh-CN"/>
        </w:rPr>
        <w:t xml:space="preserve">2020</w:t>
      </w:r>
      <w:r>
        <w:rPr>
          <w:rFonts w:hint="eastAsia" w:ascii="宋体" w:hAnsi="宋体"/>
          <w:color w:val="auto"/>
          <w:szCs w:val="21"/>
          <w:lang w:val="zh-CN"/>
        </w:rPr>
        <w:t xml:space="preserve">﹞</w:t>
      </w:r>
      <w:r>
        <w:rPr>
          <w:rFonts w:ascii="宋体" w:hAnsi="宋体"/>
          <w:color w:val="auto"/>
          <w:szCs w:val="21"/>
          <w:lang w:val="zh-CN"/>
        </w:rPr>
        <w:t xml:space="preserve">46号）的规定，</w:t>
      </w:r>
      <w:r>
        <w:rPr>
          <w:color w:val="auto"/>
          <w:szCs w:val="21"/>
          <w:lang w:val="zh-CN"/>
        </w:rPr>
        <w:t xml:space="preserve">本公司</w:t>
      </w:r>
      <w:r>
        <w:rPr>
          <w:rFonts w:ascii="宋体" w:hAnsi="宋体"/>
          <w:color w:val="auto"/>
          <w:szCs w:val="21"/>
          <w:lang w:val="zh-CN"/>
        </w:rPr>
        <w:t xml:space="preserve">（联合体）</w:t>
      </w:r>
      <w:r>
        <w:rPr>
          <w:color w:val="auto"/>
          <w:szCs w:val="21"/>
          <w:lang w:val="zh-CN"/>
        </w:rPr>
        <w:t xml:space="preserve">参加</w:t>
      </w:r>
      <w:r>
        <w:rPr>
          <w:rFonts w:hint="eastAsia"/>
          <w:color w:val="auto"/>
          <w:szCs w:val="21"/>
          <w:u w:val="single"/>
          <w:lang w:val="zh-CN"/>
        </w:rPr>
        <w:t xml:space="preserve">昆山市淀山湖镇人民政府</w:t>
      </w:r>
      <w:r>
        <w:rPr>
          <w:color w:val="auto"/>
          <w:szCs w:val="21"/>
          <w:lang w:val="zh-CN"/>
        </w:rPr>
        <w:t xml:space="preserve">的</w:t>
      </w:r>
      <w:r>
        <w:rPr>
          <w:rFonts w:hint="eastAsia"/>
          <w:color w:val="auto"/>
          <w:szCs w:val="21"/>
          <w:u w:val="single"/>
          <w:lang w:val="zh-CN"/>
        </w:rPr>
        <w:t xml:space="preserve">2026年度淀山湖镇水利设施维养管护一体化项目</w:t>
      </w:r>
      <w:r>
        <w:rPr>
          <w:color w:val="auto"/>
          <w:szCs w:val="21"/>
          <w:lang w:val="zh-CN"/>
        </w:rPr>
        <w:t xml:space="preserve">采购活动，提供的货物全部由符合政策要求的中小企业制造。相关企业（含联合体中的中小企业、签订分包意向协议的中小企业）的具体情况如下：</w:t>
      </w:r>
      <w:r/>
    </w:p>
    <w:p>
      <w:pPr>
        <w:ind w:firstLine="420"/>
        <w:spacing w:line="360" w:lineRule="auto"/>
        <w:rPr>
          <w:color w:val="auto"/>
          <w:szCs w:val="21"/>
          <w:lang w:val="zh-CN"/>
        </w:rPr>
      </w:pPr>
      <w:r>
        <w:rPr>
          <w:color w:val="auto"/>
          <w:szCs w:val="21"/>
          <w:lang w:val="zh-CN"/>
        </w:rPr>
        <w:t xml:space="preserve">1. </w:t>
      </w:r>
      <w:r>
        <w:rPr>
          <w:color w:val="auto"/>
          <w:szCs w:val="21"/>
          <w:u w:val="single"/>
          <w:lang w:val="zh-CN"/>
        </w:rPr>
        <w:t xml:space="preserve">（标的名称）</w:t>
      </w:r>
      <w:r>
        <w:rPr>
          <w:color w:val="auto"/>
          <w:szCs w:val="21"/>
          <w:lang w:val="zh-CN"/>
        </w:rPr>
        <w:t xml:space="preserve">，属于</w:t>
      </w:r>
      <w:r>
        <w:rPr>
          <w:color w:val="auto"/>
          <w:szCs w:val="21"/>
          <w:u w:val="single"/>
          <w:lang w:val="zh-CN"/>
        </w:rPr>
        <w:t xml:space="preserve">（采购文件中明确的所属行业）</w:t>
      </w:r>
      <w:r>
        <w:rPr>
          <w:color w:val="auto"/>
          <w:szCs w:val="21"/>
          <w:lang w:val="zh-CN"/>
        </w:rPr>
        <w:t xml:space="preserve">行业；制造商为</w:t>
      </w:r>
      <w:r>
        <w:rPr>
          <w:color w:val="auto"/>
          <w:szCs w:val="21"/>
          <w:u w:val="single"/>
          <w:lang w:val="zh-CN"/>
        </w:rPr>
        <w:t xml:space="preserve">（企业名称）</w:t>
      </w:r>
      <w:r>
        <w:rPr>
          <w:color w:val="auto"/>
          <w:szCs w:val="21"/>
          <w:lang w:val="zh-CN"/>
        </w:rPr>
        <w:t xml:space="preserve">，从业人员</w:t>
      </w:r>
      <w:r>
        <w:rPr>
          <w:rFonts w:hint="eastAsia"/>
          <w:color w:val="auto"/>
          <w:szCs w:val="21"/>
          <w:u w:val="single"/>
          <w:lang w:val="zh-CN"/>
        </w:rPr>
        <w:t xml:space="preserve">     </w:t>
      </w:r>
      <w:r>
        <w:rPr>
          <w:color w:val="auto"/>
          <w:szCs w:val="21"/>
          <w:lang w:val="zh-CN"/>
        </w:rPr>
        <w:t xml:space="preserve">人，营业收入为</w:t>
      </w:r>
      <w:r>
        <w:rPr>
          <w:rFonts w:hint="eastAsia"/>
          <w:color w:val="auto"/>
          <w:szCs w:val="21"/>
          <w:u w:val="single"/>
          <w:lang w:val="zh-CN"/>
        </w:rPr>
        <w:t xml:space="preserve">     </w:t>
      </w:r>
      <w:r>
        <w:rPr>
          <w:color w:val="auto"/>
          <w:szCs w:val="21"/>
          <w:lang w:val="zh-CN"/>
        </w:rPr>
        <w:t xml:space="preserve">万元，资产总额为</w:t>
      </w:r>
      <w:r>
        <w:rPr>
          <w:rFonts w:hint="eastAsia"/>
          <w:color w:val="auto"/>
          <w:szCs w:val="21"/>
          <w:u w:val="single"/>
          <w:lang w:val="zh-CN"/>
        </w:rPr>
        <w:t xml:space="preserve">     </w:t>
      </w:r>
      <w:r>
        <w:rPr>
          <w:color w:val="auto"/>
          <w:szCs w:val="21"/>
          <w:lang w:val="zh-CN"/>
        </w:rPr>
        <w:t xml:space="preserve">万元 ，属于</w:t>
      </w:r>
      <w:r>
        <w:rPr>
          <w:rFonts w:hint="eastAsia"/>
          <w:color w:val="auto"/>
          <w:szCs w:val="21"/>
          <w:u w:val="single"/>
          <w:lang w:val="zh-CN"/>
        </w:rPr>
        <w:t xml:space="preserve">    </w:t>
      </w:r>
      <w:r>
        <w:rPr>
          <w:color w:val="auto"/>
          <w:szCs w:val="21"/>
          <w:u w:val="single"/>
          <w:lang w:val="zh-CN"/>
        </w:rPr>
        <w:t xml:space="preserve">（中型企业、小 型企业、微型企业）</w:t>
      </w:r>
      <w:r>
        <w:rPr>
          <w:color w:val="auto"/>
          <w:szCs w:val="21"/>
          <w:lang w:val="zh-CN"/>
        </w:rPr>
        <w:t xml:space="preserve">； </w:t>
      </w:r>
      <w:r/>
    </w:p>
    <w:p>
      <w:pPr>
        <w:pStyle w:val="1167"/>
        <w:ind w:firstLine="420"/>
        <w:spacing w:line="360" w:lineRule="auto"/>
        <w:rPr>
          <w:rFonts w:ascii="宋体" w:hAnsi="宋体" w:eastAsia="宋体" w:cs="宋体"/>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w:t>
      </w:r>
      <w:r/>
    </w:p>
    <w:p>
      <w:pPr>
        <w:pStyle w:val="1167"/>
        <w:ind w:firstLine="420"/>
        <w:spacing w:line="360" w:lineRule="auto"/>
        <w:rPr>
          <w:rFonts w:ascii="宋体" w:hAnsi="宋体" w:eastAsia="宋体" w:cs="宋体"/>
          <w:color w:val="auto"/>
        </w:rPr>
      </w:pPr>
      <w:r>
        <w:rPr>
          <w:rFonts w:ascii="宋体" w:hAnsi="宋体" w:eastAsia="宋体" w:cs="宋体"/>
          <w:color w:val="auto"/>
        </w:rPr>
        <w:t xml:space="preserve">本企业对上述声明内容的真实性负责。如有虚假，将依法承担相应责任。</w:t>
      </w:r>
      <w:r/>
    </w:p>
    <w:p>
      <w:pPr>
        <w:pStyle w:val="1167"/>
        <w:ind w:firstLine="0"/>
        <w:spacing w:line="360" w:lineRule="auto"/>
        <w:rPr>
          <w:rFonts w:ascii="宋体" w:hAnsi="宋体" w:eastAsia="宋体" w:cs="宋体"/>
          <w:color w:val="auto"/>
        </w:rPr>
      </w:pPr>
      <w:r>
        <w:rPr>
          <w:rFonts w:ascii="宋体" w:hAnsi="宋体" w:eastAsia="宋体" w:cs="宋体"/>
          <w:color w:val="auto"/>
        </w:rPr>
      </w:r>
      <w:r/>
    </w:p>
    <w:p>
      <w:pPr>
        <w:pStyle w:val="1167"/>
        <w:ind w:firstLine="0"/>
        <w:spacing w:line="360" w:lineRule="auto"/>
        <w:rPr>
          <w:rFonts w:ascii="宋体" w:hAnsi="宋体" w:eastAsia="宋体" w:cs="宋体"/>
          <w:color w:val="auto"/>
        </w:rPr>
      </w:pPr>
      <w:r>
        <w:rPr>
          <w:rFonts w:hint="eastAsia" w:ascii="宋体" w:hAnsi="宋体" w:eastAsia="宋体" w:cs="宋体"/>
          <w:color w:val="auto"/>
        </w:rPr>
        <w:t xml:space="preserve">注：</w:t>
      </w:r>
      <w:r>
        <w:rPr>
          <w:rFonts w:ascii="宋体" w:hAnsi="宋体" w:eastAsia="宋体" w:cs="宋体"/>
          <w:color w:val="auto"/>
        </w:rPr>
        <w:t xml:space="preserve">1.从业人员、营业收入、资产总额填报上一年度数据，无上一年度数据的新成立企业可不填报。</w:t>
      </w:r>
      <w:r/>
    </w:p>
    <w:p>
      <w:pPr>
        <w:pStyle w:val="1167"/>
        <w:ind w:firstLine="420"/>
        <w:spacing w:line="360" w:lineRule="auto"/>
        <w:rPr>
          <w:rFonts w:hAnsi="宋体" w:cs="宋体"/>
          <w:color w:val="auto"/>
        </w:rPr>
      </w:pPr>
      <w:r>
        <w:rPr>
          <w:rFonts w:ascii="宋体" w:hAnsi="宋体" w:eastAsia="宋体" w:cs="宋体"/>
          <w:color w:val="auto"/>
        </w:rPr>
        <w:t xml:space="preserve">2.本项目所属行业为</w:t>
      </w:r>
      <w:r>
        <w:rPr>
          <w:rFonts w:hint="eastAsia" w:ascii="宋体" w:hAnsi="宋体" w:eastAsia="宋体" w:cs="宋体"/>
          <w:b/>
          <w:color w:val="auto"/>
          <w:u w:val="single"/>
        </w:rPr>
        <w:t xml:space="preserve">其他未列明行业</w:t>
      </w:r>
      <w:r>
        <w:rPr>
          <w:rFonts w:ascii="宋体" w:hAnsi="宋体" w:eastAsia="宋体" w:cs="宋体"/>
          <w:color w:val="auto"/>
        </w:rPr>
        <w:t xml:space="preserve">，</w:t>
      </w:r>
      <w:r>
        <w:rPr>
          <w:rFonts w:hint="eastAsia" w:ascii="宋体" w:hAnsi="宋体" w:eastAsia="宋体" w:cs="宋体"/>
          <w:color w:val="auto"/>
        </w:rPr>
        <w:t xml:space="preserve">中小微企业划型标准请根据《中小企业划型标准规定》（工信部联企业〔2011〕300号）。投标人提供的承诺函须按本项目规定行业填写，否则其声明函不予认可。</w:t>
      </w:r>
      <w:r/>
    </w:p>
    <w:p>
      <w:pPr>
        <w:pStyle w:val="1084"/>
        <w:spacing w:line="360" w:lineRule="auto"/>
        <w:rPr>
          <w:rFonts w:hint="default" w:hAnsi="宋体" w:eastAsia="宋体"/>
          <w:color w:val="auto"/>
          <w:sz w:val="21"/>
          <w:szCs w:val="21"/>
        </w:rPr>
      </w:pPr>
      <w:r>
        <w:rPr>
          <w:rFonts w:hint="default" w:hAnsi="宋体" w:eastAsia="宋体"/>
          <w:color w:val="auto"/>
          <w:sz w:val="21"/>
          <w:szCs w:val="21"/>
        </w:rPr>
      </w:r>
      <w:r/>
    </w:p>
    <w:p>
      <w:pPr>
        <w:ind w:right="420"/>
        <w:jc w:val="right"/>
        <w:spacing w:line="360" w:lineRule="auto"/>
        <w:rPr>
          <w:rFonts w:ascii="宋体" w:hAnsi="宋体"/>
          <w:color w:val="auto"/>
        </w:rPr>
      </w:pPr>
      <w:r>
        <w:rPr>
          <w:rFonts w:ascii="宋体" w:hAnsi="宋体"/>
          <w:color w:val="auto"/>
        </w:rPr>
        <w:t xml:space="preserve">投标人：（公章）</w:t>
      </w:r>
      <w:r/>
    </w:p>
    <w:p>
      <w:pPr>
        <w:jc w:val="right"/>
        <w:spacing w:line="360" w:lineRule="auto"/>
        <w:rPr>
          <w:rFonts w:ascii="宋体" w:hAnsi="宋体"/>
          <w:color w:val="auto"/>
        </w:rPr>
      </w:pPr>
      <w:r>
        <w:rPr>
          <w:rFonts w:ascii="宋体" w:hAnsi="宋体"/>
          <w:color w:val="auto"/>
        </w:rPr>
        <w:t xml:space="preserve">日期：    年  月  日</w:t>
      </w:r>
      <w:r/>
    </w:p>
    <w:p>
      <w:pPr>
        <w:pStyle w:val="1070"/>
        <w:rPr>
          <w:rFonts w:ascii="Times New Roman" w:hAnsi="Times New Roman" w:eastAsia="宋体"/>
          <w:color w:val="auto"/>
          <w:sz w:val="21"/>
          <w:szCs w:val="21"/>
          <w:lang w:val="zh-CN"/>
        </w:rPr>
      </w:pPr>
      <w:r>
        <w:rPr>
          <w:rFonts w:ascii="Times New Roman" w:hAnsi="Times New Roman" w:eastAsia="宋体"/>
          <w:color w:val="auto"/>
          <w:sz w:val="21"/>
          <w:szCs w:val="21"/>
          <w:lang w:val="zh-CN"/>
        </w:rPr>
      </w:r>
      <w:r/>
    </w:p>
    <w:p>
      <w:pPr>
        <w:pStyle w:val="1070"/>
        <w:rPr>
          <w:rFonts w:ascii="Times New Roman" w:hAnsi="Times New Roman" w:eastAsia="宋体"/>
          <w:color w:val="auto"/>
          <w:sz w:val="21"/>
          <w:szCs w:val="21"/>
          <w:lang w:val="zh-CN"/>
        </w:rPr>
      </w:pPr>
      <w:r>
        <w:rPr>
          <w:rFonts w:ascii="Times New Roman" w:hAnsi="Times New Roman" w:eastAsia="宋体"/>
          <w:color w:val="auto"/>
          <w:sz w:val="21"/>
          <w:szCs w:val="21"/>
          <w:lang w:val="zh-CN"/>
        </w:rPr>
      </w:r>
      <w:r/>
    </w:p>
    <w:p>
      <w:pPr>
        <w:ind w:firstLine="482"/>
        <w:spacing w:after="240" w:line="360" w:lineRule="exact"/>
        <w:rPr>
          <w:rFonts w:ascii="宋体" w:hAnsi="宋体" w:cs="宋体"/>
          <w:b/>
          <w:bCs/>
          <w:color w:val="auto"/>
          <w:szCs w:val="21"/>
        </w:rPr>
      </w:pPr>
      <w:r>
        <w:rPr>
          <w:color w:val="auto"/>
        </w:rPr>
        <w:br w:type="page" w:clear="all"/>
      </w:r>
      <w:r>
        <w:rPr>
          <w:rFonts w:hint="eastAsia" w:ascii="宋体" w:hAnsi="宋体" w:cs="宋体"/>
          <w:b/>
          <w:bCs/>
          <w:color w:val="auto"/>
          <w:szCs w:val="21"/>
        </w:rPr>
        <w:t xml:space="preserve">附件</w:t>
      </w:r>
      <w:r/>
    </w:p>
    <w:p>
      <w:pPr>
        <w:spacing w:line="360" w:lineRule="auto"/>
        <w:widowControl/>
        <w:rPr>
          <w:rFonts w:ascii="宋体" w:hAnsi="宋体" w:cs="宋体"/>
          <w:color w:val="auto"/>
          <w:szCs w:val="21"/>
        </w:rPr>
      </w:pPr>
      <w:r>
        <w:rPr>
          <w:rFonts w:hint="eastAsia" w:ascii="宋体" w:hAnsi="宋体" w:cs="宋体"/>
          <w:b/>
          <w:bCs/>
          <w:color w:val="auto"/>
          <w:szCs w:val="21"/>
        </w:rPr>
        <w:t xml:space="preserve">关于印发中小企业划型标准规定的通知</w:t>
      </w:r>
      <w:r/>
    </w:p>
    <w:p>
      <w:pPr>
        <w:spacing w:after="240" w:line="360" w:lineRule="auto"/>
        <w:widowControl/>
        <w:rPr>
          <w:rFonts w:ascii="宋体" w:hAnsi="宋体" w:cs="宋体"/>
          <w:b/>
          <w:bCs/>
          <w:color w:val="auto"/>
          <w:szCs w:val="21"/>
        </w:rPr>
      </w:pPr>
      <w:r>
        <w:rPr>
          <w:rFonts w:hint="eastAsia" w:ascii="宋体" w:hAnsi="宋体" w:cs="宋体"/>
          <w:b/>
          <w:bCs/>
          <w:color w:val="auto"/>
          <w:szCs w:val="21"/>
        </w:rPr>
        <w:t xml:space="preserve">工信部联企业〔2011〕300号</w:t>
      </w:r>
      <w:r/>
    </w:p>
    <w:p>
      <w:pPr>
        <w:spacing w:line="360" w:lineRule="auto"/>
        <w:widowControl/>
        <w:rPr>
          <w:rFonts w:ascii="宋体" w:hAnsi="宋体" w:cs="宋体"/>
          <w:color w:val="auto"/>
          <w:szCs w:val="21"/>
        </w:rPr>
      </w:pPr>
      <w:r>
        <w:rPr>
          <w:rFonts w:hint="eastAsia" w:ascii="宋体" w:hAnsi="宋体" w:cs="宋体"/>
          <w:color w:val="auto"/>
          <w:szCs w:val="21"/>
        </w:rPr>
        <w:t xml:space="preserve">各省、自治区、直辖市人民政府，国务院各部委、各直属机构及有关单位：</w:t>
      </w:r>
      <w:r/>
    </w:p>
    <w:p>
      <w:pPr>
        <w:spacing w:line="360" w:lineRule="auto"/>
        <w:widowControl/>
        <w:rPr>
          <w:rFonts w:ascii="宋体" w:hAnsi="宋体" w:cs="宋体"/>
          <w:color w:val="auto"/>
          <w:szCs w:val="21"/>
        </w:rPr>
      </w:pPr>
      <w:r>
        <w:rPr>
          <w:rFonts w:hint="eastAsia" w:ascii="宋体" w:hAnsi="宋体" w:cs="宋体"/>
          <w:color w:val="auto"/>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ascii="宋体" w:hAnsi="宋体" w:cs="宋体"/>
          <w:color w:val="auto"/>
          <w:szCs w:val="21"/>
        </w:rPr>
      </w:pPr>
      <w:r>
        <w:rPr>
          <w:rFonts w:hint="eastAsia" w:ascii="宋体" w:hAnsi="宋体" w:cs="宋体"/>
          <w:color w:val="auto"/>
          <w:szCs w:val="21"/>
        </w:rPr>
        <w:t xml:space="preserve">　　　　　　　　　　　　　　　　　　　　　　 工业和信息化部　国家统计局</w:t>
      </w:r>
      <w:r/>
    </w:p>
    <w:p>
      <w:pPr>
        <w:spacing w:line="360" w:lineRule="auto"/>
        <w:widowControl/>
        <w:rPr>
          <w:rFonts w:ascii="宋体" w:hAnsi="宋体" w:cs="宋体"/>
          <w:color w:val="auto"/>
          <w:szCs w:val="21"/>
        </w:rPr>
      </w:pPr>
      <w:r>
        <w:rPr>
          <w:rFonts w:hint="eastAsia" w:ascii="宋体" w:hAnsi="宋体" w:cs="宋体"/>
          <w:color w:val="auto"/>
          <w:szCs w:val="21"/>
        </w:rPr>
        <w:t xml:space="preserve">　　　　　　　　　　　　　　　　　　　　　　国家发展和改革委员会　财政部</w:t>
      </w:r>
      <w:r/>
    </w:p>
    <w:p>
      <w:pPr>
        <w:spacing w:line="360" w:lineRule="auto"/>
        <w:widowControl/>
        <w:rPr>
          <w:rFonts w:ascii="宋体" w:hAnsi="宋体" w:cs="宋体"/>
          <w:color w:val="auto"/>
          <w:szCs w:val="21"/>
        </w:rPr>
      </w:pPr>
      <w:r>
        <w:rPr>
          <w:rFonts w:hint="eastAsia" w:ascii="宋体" w:hAnsi="宋体" w:cs="宋体"/>
          <w:color w:val="auto"/>
          <w:szCs w:val="21"/>
        </w:rPr>
        <w:t xml:space="preserve">　　　　　　　　　　　　　　　　　　　　　　　　二○一一年六月十八日</w:t>
      </w:r>
      <w:r/>
    </w:p>
    <w:p>
      <w:pPr>
        <w:spacing w:before="100" w:beforeAutospacing="1" w:after="100" w:afterAutospacing="1" w:line="360" w:lineRule="auto"/>
        <w:widowControl/>
        <w:rPr>
          <w:rFonts w:ascii="宋体" w:hAnsi="宋体" w:cs="宋体"/>
          <w:color w:val="auto"/>
          <w:szCs w:val="21"/>
        </w:rPr>
      </w:pPr>
      <w:r>
        <w:rPr>
          <w:rFonts w:hint="eastAsia" w:ascii="宋体" w:hAnsi="宋体" w:cs="宋体"/>
          <w:b/>
          <w:bCs/>
          <w:color w:val="auto"/>
          <w:szCs w:val="21"/>
        </w:rPr>
        <w:t xml:space="preserve">中小企业划型标准规定</w:t>
      </w:r>
      <w:r/>
    </w:p>
    <w:p>
      <w:pPr>
        <w:ind w:firstLine="420"/>
        <w:spacing w:line="276" w:lineRule="auto"/>
        <w:rPr>
          <w:color w:val="auto"/>
        </w:rPr>
      </w:pPr>
      <w:r>
        <w:rPr>
          <w:rFonts w:hint="eastAsia" w:ascii="宋体" w:hAnsi="宋体" w:cs="宋体"/>
          <w:color w:val="auto"/>
          <w:szCs w:val="21"/>
        </w:rPr>
        <w:t xml:space="preserve">　　一、根据《中华人民共和国中小企业促进法》和《国务院关于进一步促进中小企业发展的若干意见》(国发〔2009〕36号)，制定本规定。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二、中小企业划分为中型、小型、微型三种类型，具体标准根据企业从业人员、营业收入、资产总额等指标，结合行业特点制定。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四、各行业划型标准为：</w:t>
      </w:r>
      <w:r/>
    </w:p>
    <w:p>
      <w:pPr>
        <w:ind w:firstLine="420"/>
        <w:spacing w:line="276" w:lineRule="auto"/>
        <w:rPr>
          <w:rFonts w:ascii="宋体" w:hAnsi="宋体" w:cs="宋体"/>
          <w:color w:val="auto"/>
          <w:szCs w:val="21"/>
        </w:rPr>
      </w:pPr>
      <w:r>
        <w:rPr>
          <w:rFonts w:hint="eastAsia" w:ascii="宋体" w:hAnsi="宋体" w:cs="宋体"/>
          <w:color w:val="auto"/>
          <w:szCs w:val="21"/>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276" w:lineRule="auto"/>
        <w:rPr>
          <w:rFonts w:ascii="宋体" w:hAnsi="宋体" w:cs="宋体"/>
          <w:color w:val="auto"/>
          <w:szCs w:val="21"/>
        </w:rPr>
      </w:pPr>
      <w:r>
        <w:rPr>
          <w:rFonts w:hint="eastAsia" w:ascii="宋体" w:hAnsi="宋体" w:cs="宋体"/>
          <w:color w:val="auto"/>
          <w:szCs w:val="21"/>
        </w:rPr>
        <w:t xml:space="preserve">　　五、企业类型的划分以统计部门的统计数据为依据。</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ascii="宋体" w:hAnsi="宋体" w:cs="宋体"/>
          <w:color w:val="auto"/>
          <w:szCs w:val="21"/>
        </w:rPr>
      </w:pPr>
      <w:r>
        <w:rPr>
          <w:rFonts w:hint="eastAsia" w:ascii="宋体" w:hAnsi="宋体" w:cs="宋体"/>
          <w:color w:val="auto"/>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ascii="宋体" w:hAnsi="宋体" w:cs="宋体"/>
          <w:color w:val="auto"/>
          <w:szCs w:val="21"/>
        </w:rPr>
      </w:pPr>
      <w:r>
        <w:rPr>
          <w:rFonts w:hint="eastAsia" w:ascii="宋体" w:hAnsi="宋体" w:cs="宋体"/>
          <w:color w:val="auto"/>
          <w:szCs w:val="21"/>
        </w:rPr>
        <w:t xml:space="preserve">　　八、本规定由工业和信息化部、国家统计局会同有关部门根据《国民经济行业分类》修订情况和企业发展变化情况适时修订。</w:t>
      </w:r>
      <w:r/>
    </w:p>
    <w:p>
      <w:pPr>
        <w:ind w:firstLine="420"/>
        <w:spacing w:line="276" w:lineRule="auto"/>
        <w:rPr>
          <w:rFonts w:ascii="宋体" w:hAnsi="宋体" w:cs="宋体"/>
          <w:color w:val="auto"/>
          <w:szCs w:val="21"/>
        </w:rPr>
      </w:pPr>
      <w:r>
        <w:rPr>
          <w:rFonts w:hint="eastAsia" w:ascii="宋体" w:hAnsi="宋体" w:cs="宋体"/>
          <w:color w:val="auto"/>
          <w:szCs w:val="21"/>
        </w:rPr>
        <w:t xml:space="preserve">　　九、本规定由工业和信息化部、国家统计局会同有关部门负责解释。</w:t>
      </w:r>
      <w:r/>
    </w:p>
    <w:p>
      <w:pPr>
        <w:ind w:firstLine="420"/>
        <w:spacing w:line="276" w:lineRule="auto"/>
        <w:rPr>
          <w:rFonts w:ascii="宋体" w:hAnsi="宋体"/>
          <w:color w:val="auto"/>
          <w:szCs w:val="21"/>
        </w:rPr>
      </w:pPr>
      <w:r>
        <w:rPr>
          <w:rFonts w:hint="eastAsia" w:ascii="宋体" w:hAnsi="宋体" w:cs="宋体"/>
          <w:color w:val="auto"/>
          <w:szCs w:val="21"/>
        </w:rPr>
        <w:t xml:space="preserve">　　十、本规定自发布之日起执行，原国家经贸委、原国家计委、财政部和国家统计局2003年颁布的《中小企业标准暂行规定》同时废止。</w:t>
      </w:r>
      <w:r>
        <w:rPr>
          <w:rFonts w:ascii="宋体" w:hAnsi="宋体" w:cs="宋体"/>
          <w:color w:val="auto"/>
          <w:szCs w:val="21"/>
        </w:rPr>
        <w:br w:type="page" w:clear="all"/>
      </w:r>
      <w:r/>
    </w:p>
    <w:p>
      <w:pPr>
        <w:pStyle w:val="819"/>
        <w:rPr>
          <w:color w:val="auto"/>
        </w:rPr>
      </w:pPr>
      <w:r/>
      <w:bookmarkStart w:id="34" w:name="_企业从业人员情况表"/>
      <w:r/>
      <w:bookmarkEnd w:id="34"/>
      <w:r/>
      <w:bookmarkStart w:id="35" w:name="_Ref76718583"/>
      <w:r/>
      <w:bookmarkStart w:id="36" w:name="_Toc204332803"/>
      <w:r/>
      <w:bookmarkStart w:id="37" w:name="_Toc43122678"/>
      <w:r/>
      <w:bookmarkStart w:id="38" w:name="_Ref76718593"/>
      <w:r>
        <w:rPr>
          <w:rFonts w:hint="eastAsia"/>
          <w:color w:val="auto"/>
        </w:rPr>
        <w:t xml:space="preserve">7、附件残疾人福利性单位声明函</w:t>
      </w:r>
      <w:bookmarkEnd w:id="35"/>
      <w:r/>
      <w:bookmarkEnd w:id="36"/>
      <w:r/>
      <w:bookmarkEnd w:id="37"/>
      <w:r/>
      <w:bookmarkEnd w:id="38"/>
      <w:r/>
      <w:r/>
    </w:p>
    <w:p>
      <w:pPr>
        <w:spacing w:line="580" w:lineRule="exact"/>
        <w:rPr>
          <w:rFonts w:eastAsia="黑体"/>
          <w:color w:val="auto"/>
          <w:spacing w:val="6"/>
          <w:szCs w:val="32"/>
        </w:rPr>
      </w:pPr>
      <w:r>
        <w:rPr>
          <w:rFonts w:eastAsia="黑体"/>
          <w:color w:val="auto"/>
          <w:spacing w:val="6"/>
          <w:szCs w:val="32"/>
        </w:rPr>
      </w:r>
      <w:r/>
    </w:p>
    <w:p>
      <w:pPr>
        <w:jc w:val="center"/>
        <w:spacing w:line="580" w:lineRule="exact"/>
        <w:rPr>
          <w:rFonts w:ascii="宋体" w:hAnsi="宋体"/>
          <w:color w:val="auto"/>
          <w:spacing w:val="6"/>
          <w:szCs w:val="21"/>
        </w:rPr>
      </w:pPr>
      <w:r>
        <w:rPr>
          <w:rFonts w:hint="eastAsia" w:ascii="宋体" w:hAnsi="宋体"/>
          <w:color w:val="auto"/>
          <w:spacing w:val="6"/>
          <w:szCs w:val="21"/>
        </w:rPr>
        <w:t xml:space="preserve">残疾人福利性单位声明函</w:t>
      </w:r>
      <w:r/>
    </w:p>
    <w:p>
      <w:pPr>
        <w:spacing w:line="360" w:lineRule="auto"/>
        <w:rPr>
          <w:rFonts w:ascii="宋体" w:hAnsi="宋体"/>
          <w:color w:val="auto"/>
          <w:spacing w:val="6"/>
          <w:szCs w:val="21"/>
        </w:rPr>
      </w:pPr>
      <w:r>
        <w:rPr>
          <w:rFonts w:ascii="宋体" w:hAnsi="宋体"/>
          <w:color w:val="auto"/>
          <w:spacing w:val="6"/>
          <w:szCs w:val="21"/>
        </w:rPr>
      </w:r>
      <w:r/>
    </w:p>
    <w:p>
      <w:pPr>
        <w:ind w:firstLine="444"/>
        <w:spacing w:line="360" w:lineRule="auto"/>
        <w:rPr>
          <w:rFonts w:ascii="宋体" w:hAnsi="宋体"/>
          <w:color w:val="auto"/>
          <w:spacing w:val="6"/>
          <w:szCs w:val="21"/>
        </w:rPr>
      </w:pPr>
      <w:r>
        <w:rPr>
          <w:rFonts w:hint="eastAsia" w:ascii="宋体" w:hAnsi="宋体"/>
          <w:color w:val="auto"/>
          <w:spacing w:val="6"/>
          <w:szCs w:val="21"/>
        </w:rPr>
        <w:t xml:space="preserve">本单位郑重声明，根据《财政部  民政部  中国残疾人联合会关于促进残疾人就业政府采购政策的通知》（财库</w:t>
      </w:r>
      <w:r>
        <w:rPr>
          <w:rFonts w:hint="eastAsia" w:ascii="宋体" w:hAnsi="宋体"/>
          <w:color w:val="auto"/>
          <w:szCs w:val="21"/>
        </w:rPr>
        <w:t xml:space="preserve">〔2017〕141</w:t>
      </w:r>
      <w:r>
        <w:rPr>
          <w:rFonts w:hint="eastAsia" w:ascii="宋体" w:hAnsi="宋体"/>
          <w:color w:val="auto"/>
          <w:spacing w:val="6"/>
          <w:szCs w:val="21"/>
        </w:rPr>
        <w:t xml:space="preserve">号）的规定，本单位为符合条件的残疾人福利性单位，且本单位参加</w:t>
      </w:r>
      <w:r>
        <w:rPr>
          <w:rFonts w:hint="eastAsia" w:ascii="宋体" w:hAnsi="宋体"/>
          <w:color w:val="auto"/>
          <w:spacing w:val="6"/>
          <w:szCs w:val="21"/>
          <w:u w:val="single"/>
        </w:rPr>
        <w:t xml:space="preserve">______</w:t>
      </w:r>
      <w:r>
        <w:rPr>
          <w:rFonts w:hint="eastAsia" w:ascii="宋体" w:hAnsi="宋体"/>
          <w:color w:val="auto"/>
          <w:spacing w:val="6"/>
          <w:szCs w:val="21"/>
        </w:rPr>
        <w:t xml:space="preserve">单位的</w:t>
      </w:r>
      <w:r>
        <w:rPr>
          <w:rFonts w:hint="eastAsia" w:ascii="宋体" w:hAnsi="宋体"/>
          <w:color w:val="auto"/>
          <w:spacing w:val="6"/>
          <w:szCs w:val="21"/>
          <w:u w:val="single"/>
        </w:rPr>
        <w:t xml:space="preserve">______</w:t>
      </w:r>
      <w:r>
        <w:rPr>
          <w:rFonts w:hint="eastAsia" w:ascii="宋体" w:hAnsi="宋体"/>
          <w:color w:val="auto"/>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olor w:val="auto"/>
          <w:spacing w:val="6"/>
          <w:szCs w:val="21"/>
        </w:rPr>
      </w:pPr>
      <w:r>
        <w:rPr>
          <w:rFonts w:hint="eastAsia" w:ascii="宋体" w:hAnsi="宋体"/>
          <w:color w:val="auto"/>
          <w:spacing w:val="6"/>
          <w:szCs w:val="21"/>
        </w:rPr>
        <w:t xml:space="preserve">本单位对上述声明的真实性负责。如有虚假，将依法承担相应责任。</w:t>
      </w:r>
      <w:r/>
    </w:p>
    <w:p>
      <w:pPr>
        <w:ind w:firstLine="444"/>
        <w:spacing w:line="360" w:lineRule="auto"/>
        <w:rPr>
          <w:rFonts w:ascii="宋体" w:hAnsi="宋体"/>
          <w:color w:val="auto"/>
          <w:spacing w:val="6"/>
          <w:szCs w:val="21"/>
        </w:rPr>
      </w:pPr>
      <w:r>
        <w:rPr>
          <w:rFonts w:ascii="宋体" w:hAnsi="宋体"/>
          <w:color w:val="auto"/>
          <w:spacing w:val="6"/>
          <w:szCs w:val="21"/>
        </w:rPr>
      </w:r>
      <w:r/>
    </w:p>
    <w:p>
      <w:pPr>
        <w:ind w:firstLine="444"/>
        <w:spacing w:line="360" w:lineRule="auto"/>
        <w:rPr>
          <w:rFonts w:ascii="宋体" w:hAnsi="宋体"/>
          <w:color w:val="auto"/>
          <w:spacing w:val="6"/>
          <w:szCs w:val="21"/>
        </w:rPr>
      </w:pPr>
      <w:r>
        <w:rPr>
          <w:rFonts w:ascii="宋体" w:hAnsi="宋体"/>
          <w:color w:val="auto"/>
          <w:spacing w:val="6"/>
          <w:szCs w:val="21"/>
        </w:rPr>
      </w:r>
      <w:r/>
    </w:p>
    <w:p>
      <w:pPr>
        <w:ind w:right="1560" w:firstLine="444"/>
        <w:jc w:val="right"/>
        <w:spacing w:line="360" w:lineRule="auto"/>
        <w:tabs>
          <w:tab w:val="left" w:pos="4860" w:leader="none"/>
        </w:tabs>
        <w:rPr>
          <w:rFonts w:ascii="宋体" w:hAnsi="宋体"/>
          <w:color w:val="auto"/>
          <w:spacing w:val="6"/>
          <w:szCs w:val="21"/>
        </w:rPr>
      </w:pPr>
      <w:r>
        <w:rPr>
          <w:rFonts w:hint="eastAsia" w:ascii="宋体" w:hAnsi="宋体"/>
          <w:color w:val="auto"/>
          <w:spacing w:val="6"/>
          <w:szCs w:val="21"/>
        </w:rPr>
        <w:t xml:space="preserve">                    单位名称（盖章）：</w:t>
      </w:r>
      <w:r/>
    </w:p>
    <w:p>
      <w:pPr>
        <w:ind w:right="1560" w:firstLine="444"/>
        <w:jc w:val="right"/>
        <w:spacing w:line="360" w:lineRule="auto"/>
        <w:tabs>
          <w:tab w:val="left" w:pos="4860" w:leader="none"/>
        </w:tabs>
        <w:rPr>
          <w:rFonts w:ascii="宋体" w:hAnsi="宋体"/>
          <w:color w:val="auto"/>
          <w:spacing w:val="6"/>
          <w:szCs w:val="21"/>
        </w:rPr>
      </w:pPr>
      <w:r>
        <w:rPr>
          <w:rFonts w:hint="eastAsia" w:ascii="宋体" w:hAnsi="宋体"/>
          <w:color w:val="auto"/>
          <w:spacing w:val="6"/>
          <w:szCs w:val="21"/>
        </w:rPr>
        <w:t xml:space="preserve">                 日  期：</w:t>
      </w:r>
      <w:r/>
    </w:p>
    <w:p>
      <w:pPr>
        <w:ind w:right="1560" w:firstLine="444"/>
        <w:jc w:val="right"/>
        <w:spacing w:line="580" w:lineRule="exact"/>
        <w:tabs>
          <w:tab w:val="left" w:pos="4860" w:leader="none"/>
        </w:tabs>
        <w:rPr>
          <w:rFonts w:ascii="宋体" w:hAnsi="宋体"/>
          <w:color w:val="auto"/>
          <w:spacing w:val="6"/>
          <w:szCs w:val="21"/>
        </w:rPr>
      </w:pPr>
      <w:r>
        <w:rPr>
          <w:rFonts w:ascii="宋体" w:hAnsi="宋体"/>
          <w:color w:val="auto"/>
          <w:spacing w:val="6"/>
          <w:szCs w:val="21"/>
        </w:rPr>
        <w:br w:type="page" w:clear="all"/>
      </w:r>
      <w:r/>
    </w:p>
    <w:p>
      <w:pPr>
        <w:ind w:right="-252" w:firstLine="420"/>
        <w:jc w:val="center"/>
        <w:spacing w:line="360" w:lineRule="auto"/>
        <w:tabs>
          <w:tab w:val="left" w:pos="360" w:leader="none"/>
        </w:tabs>
        <w:rPr>
          <w:rFonts w:ascii="宋体" w:hAnsi="宋体" w:cs="Arial"/>
          <w:color w:val="auto"/>
          <w:szCs w:val="21"/>
        </w:rPr>
      </w:pPr>
      <w:r>
        <w:rPr>
          <w:rFonts w:ascii="宋体" w:hAnsi="宋体" w:cs="Arial"/>
          <w:color w:val="auto"/>
          <w:szCs w:val="21"/>
        </w:rPr>
        <w:t xml:space="preserve">关于促进残疾人就业政府采购政策的通知</w:t>
      </w:r>
      <w:r/>
    </w:p>
    <w:p>
      <w:pPr>
        <w:ind w:right="-252" w:firstLine="420"/>
        <w:jc w:val="center"/>
        <w:spacing w:line="360" w:lineRule="auto"/>
        <w:tabs>
          <w:tab w:val="left" w:pos="360" w:leader="none"/>
        </w:tabs>
        <w:rPr>
          <w:rFonts w:ascii="宋体" w:hAnsi="宋体" w:cs="Arial"/>
          <w:color w:val="auto"/>
          <w:szCs w:val="21"/>
        </w:rPr>
      </w:pPr>
      <w:r>
        <w:rPr>
          <w:rFonts w:ascii="宋体" w:hAnsi="宋体" w:cs="Arial"/>
          <w:color w:val="auto"/>
          <w:szCs w:val="21"/>
        </w:rPr>
        <w:t xml:space="preserve">财库〔2017〕141号</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一、享受政府采购支持政策的残疾人福利性单位应当同时满足以下条件：</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（二）依法与安置的每位残疾人签订了一年以上（含一年）的劳动合同或服务协议；</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t xml:space="preserve">七、本通知自2017年10月1日起执行。</w:t>
      </w:r>
      <w:r/>
    </w:p>
    <w:p>
      <w:pPr>
        <w:ind w:right="-252" w:firstLine="420"/>
        <w:jc w:val="right"/>
        <w:spacing w:line="360" w:lineRule="auto"/>
        <w:tabs>
          <w:tab w:val="left" w:pos="360" w:leader="none"/>
        </w:tabs>
        <w:rPr>
          <w:rFonts w:ascii="宋体" w:hAnsi="宋体" w:cs="Arial"/>
          <w:color w:val="auto"/>
          <w:szCs w:val="21"/>
        </w:rPr>
      </w:pPr>
      <w:r>
        <w:rPr>
          <w:rFonts w:ascii="宋体" w:hAnsi="宋体" w:cs="Arial"/>
          <w:color w:val="auto"/>
          <w:szCs w:val="21"/>
        </w:rPr>
        <w:t xml:space="preserve">　　财政部 民政部 中国残疾人联合会</w:t>
      </w:r>
      <w:r/>
    </w:p>
    <w:p>
      <w:pPr>
        <w:ind w:right="-252" w:firstLine="420"/>
        <w:jc w:val="right"/>
        <w:spacing w:line="360" w:lineRule="auto"/>
        <w:tabs>
          <w:tab w:val="left" w:pos="360" w:leader="none"/>
        </w:tabs>
        <w:rPr>
          <w:rFonts w:ascii="宋体" w:hAnsi="宋体" w:cs="Arial"/>
          <w:color w:val="auto"/>
          <w:szCs w:val="21"/>
        </w:rPr>
      </w:pPr>
      <w:r>
        <w:rPr>
          <w:rFonts w:ascii="宋体" w:hAnsi="宋体" w:cs="Arial"/>
          <w:color w:val="auto"/>
          <w:szCs w:val="21"/>
        </w:rPr>
        <w:t xml:space="preserve"> 2017年8月22日</w:t>
      </w:r>
      <w:r/>
    </w:p>
    <w:p>
      <w:pPr>
        <w:rPr>
          <w:color w:val="auto"/>
        </w:rPr>
      </w:pPr>
      <w:r>
        <w:rPr>
          <w:color w:val="auto"/>
        </w:rPr>
      </w:r>
      <w:r/>
    </w:p>
    <w:p>
      <w:pPr>
        <w:ind w:right="105"/>
        <w:jc w:val="right"/>
        <w:spacing w:line="360" w:lineRule="auto"/>
        <w:rPr>
          <w:rFonts w:ascii="宋体" w:hAnsi="宋体"/>
          <w:color w:val="auto"/>
          <w:szCs w:val="21"/>
        </w:rPr>
      </w:pPr>
      <w:r>
        <w:rPr>
          <w:rFonts w:ascii="宋体" w:hAnsi="宋体"/>
          <w:color w:val="auto"/>
          <w:szCs w:val="21"/>
        </w:rPr>
      </w:r>
      <w:r/>
    </w:p>
    <w:p>
      <w:pPr>
        <w:tabs>
          <w:tab w:val="left" w:pos="360" w:leader="none"/>
        </w:tabs>
        <w:rPr>
          <w:color w:val="auto"/>
          <w:szCs w:val="21"/>
        </w:rPr>
      </w:pPr>
      <w:r>
        <w:rPr>
          <w:color w:val="auto"/>
          <w:szCs w:val="21"/>
        </w:rPr>
        <w:br w:type="page" w:clear="all"/>
      </w:r>
      <w:bookmarkEnd w:id="31"/>
      <w:r/>
      <w:bookmarkEnd w:id="32"/>
      <w:r/>
      <w:bookmarkEnd w:id="33"/>
      <w:r/>
      <w:bookmarkStart w:id="39" w:name="_Toc511862083"/>
      <w:r/>
      <w:bookmarkStart w:id="40" w:name="_Ref372102915"/>
      <w:r/>
      <w:r/>
    </w:p>
    <w:p>
      <w:pPr>
        <w:pStyle w:val="819"/>
        <w:rPr>
          <w:color w:val="auto"/>
          <w:szCs w:val="21"/>
        </w:rPr>
      </w:pPr>
      <w:r/>
      <w:bookmarkStart w:id="41" w:name="_Toc204332804"/>
      <w:r>
        <w:rPr>
          <w:rFonts w:hint="eastAsia" w:eastAsiaTheme="minorEastAsia"/>
          <w:color w:val="auto"/>
          <w:szCs w:val="21"/>
          <w:lang w:eastAsia="zh-CN"/>
        </w:rPr>
        <w:t xml:space="preserve">8</w:t>
      </w:r>
      <w:r>
        <w:rPr>
          <w:rFonts w:hint="eastAsia"/>
          <w:color w:val="auto"/>
          <w:szCs w:val="21"/>
        </w:rPr>
        <w:t xml:space="preserve">、技术要求偏离表</w:t>
      </w:r>
      <w:bookmarkEnd w:id="39"/>
      <w:r/>
      <w:bookmarkEnd w:id="40"/>
      <w:r/>
      <w:bookmarkEnd w:id="41"/>
      <w:r/>
      <w:r/>
    </w:p>
    <w:p>
      <w:pPr>
        <w:jc w:val="center"/>
        <w:rPr>
          <w:rFonts w:ascii="宋体" w:hAnsi="宋体" w:cs="宋体"/>
          <w:b/>
          <w:bCs/>
          <w:color w:val="auto"/>
          <w:szCs w:val="21"/>
          <w:lang w:val="zh-CN"/>
        </w:rPr>
      </w:pPr>
      <w:r>
        <w:rPr>
          <w:rFonts w:hint="eastAsia" w:ascii="宋体" w:hAnsi="宋体" w:cs="宋体"/>
          <w:b/>
          <w:bCs/>
          <w:color w:val="auto"/>
          <w:szCs w:val="21"/>
          <w:lang w:val="zh-CN"/>
        </w:rPr>
        <w:t xml:space="preserve">技术要求偏离表</w:t>
      </w:r>
      <w:r/>
    </w:p>
    <w:p>
      <w:pPr>
        <w:rPr>
          <w:rFonts w:ascii="宋体" w:hAnsi="宋体" w:cs="宋体"/>
          <w:color w:val="auto"/>
          <w:szCs w:val="21"/>
          <w:lang w:val="zh-CN"/>
        </w:rPr>
      </w:pPr>
      <w:r>
        <w:rPr>
          <w:rFonts w:hint="eastAsia" w:ascii="宋体" w:hAnsi="宋体" w:cs="宋体"/>
          <w:color w:val="auto"/>
          <w:szCs w:val="21"/>
          <w:lang w:val="zh-CN"/>
        </w:rPr>
        <w:t xml:space="preserve">单位名称（盖章）：</w:t>
      </w:r>
      <w:r/>
    </w:p>
    <w:tbl>
      <w:tblPr>
        <w:tblStyle w:val="8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31"/>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项      目</w:t>
            </w:r>
            <w:r/>
          </w:p>
        </w:tc>
        <w:tc>
          <w:tcPr>
            <w:tcW w:w="2130" w:type="dxa"/>
            <w:textDirection w:val="lrTb"/>
            <w:noWrap w:val="false"/>
          </w:tcPr>
          <w:p>
            <w:pPr>
              <w:pStyle w:val="831"/>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采购要求（详见采购文件）</w:t>
            </w:r>
            <w:r/>
          </w:p>
        </w:tc>
        <w:tc>
          <w:tcPr>
            <w:tcW w:w="1944" w:type="dxa"/>
            <w:textDirection w:val="lrTb"/>
            <w:noWrap w:val="false"/>
          </w:tcPr>
          <w:p>
            <w:pPr>
              <w:pStyle w:val="831"/>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投标内容（响应情况）</w:t>
            </w:r>
            <w:r/>
          </w:p>
        </w:tc>
        <w:tc>
          <w:tcPr>
            <w:tcW w:w="2318" w:type="dxa"/>
            <w:textDirection w:val="lrTb"/>
            <w:noWrap w:val="false"/>
          </w:tcPr>
          <w:p>
            <w:pPr>
              <w:pStyle w:val="831"/>
              <w:ind w:firstLine="0"/>
              <w:jc w:val="center"/>
              <w:spacing w:line="360" w:lineRule="auto"/>
              <w:rPr>
                <w:color w:val="auto"/>
                <w:sz w:val="21"/>
                <w:szCs w:val="21"/>
              </w:rPr>
            </w:pPr>
            <w:r>
              <w:rPr>
                <w:rFonts w:hint="eastAsia" w:ascii="宋体" w:hAnsi="宋体" w:eastAsia="宋体"/>
                <w:color w:val="auto"/>
                <w:sz w:val="21"/>
                <w:szCs w:val="21"/>
              </w:rPr>
              <w:t xml:space="preserve">偏离说明（正偏离、无偏离、负偏离）</w:t>
            </w:r>
            <w:r/>
          </w:p>
        </w:tc>
      </w:tr>
      <w:tr>
        <w:trPr/>
        <w:tc>
          <w:tcPr>
            <w:tcW w:w="2130" w:type="dxa"/>
            <w:textDirection w:val="lrTb"/>
            <w:noWrap w:val="false"/>
          </w:tcPr>
          <w:p>
            <w:pPr>
              <w:pStyle w:val="831"/>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标的物</w:t>
            </w:r>
            <w:r/>
          </w:p>
        </w:tc>
        <w:tc>
          <w:tcPr>
            <w:tcW w:w="2130"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1944"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2318"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r>
      <w:tr>
        <w:trPr/>
        <w:tc>
          <w:tcPr>
            <w:tcW w:w="2130" w:type="dxa"/>
            <w:textDirection w:val="lrTb"/>
            <w:noWrap w:val="false"/>
          </w:tcPr>
          <w:p>
            <w:pPr>
              <w:pStyle w:val="831"/>
              <w:ind w:firstLine="0"/>
              <w:spacing w:line="360" w:lineRule="auto"/>
              <w:rPr>
                <w:rFonts w:ascii="宋体" w:hAnsi="宋体" w:eastAsia="宋体"/>
                <w:color w:val="auto"/>
                <w:sz w:val="21"/>
                <w:szCs w:val="21"/>
              </w:rPr>
            </w:pPr>
            <w:r>
              <w:rPr>
                <w:rFonts w:hint="eastAsia" w:ascii="宋体" w:hAnsi="宋体" w:eastAsia="宋体"/>
                <w:color w:val="auto"/>
                <w:sz w:val="21"/>
                <w:szCs w:val="21"/>
              </w:rPr>
              <w:t xml:space="preserve">…………</w:t>
            </w:r>
            <w:r/>
          </w:p>
        </w:tc>
        <w:tc>
          <w:tcPr>
            <w:tcW w:w="2130"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1944"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2318"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r>
      <w:tr>
        <w:trPr/>
        <w:tc>
          <w:tcPr>
            <w:tcW w:w="2130" w:type="dxa"/>
            <w:textDirection w:val="lrTb"/>
            <w:noWrap w:val="false"/>
          </w:tcPr>
          <w:p>
            <w:pPr>
              <w:pStyle w:val="831"/>
              <w:ind w:firstLine="0"/>
              <w:spacing w:line="360" w:lineRule="auto"/>
              <w:rPr>
                <w:rFonts w:ascii="宋体" w:hAnsi="宋体" w:eastAsia="宋体"/>
                <w:color w:val="auto"/>
                <w:sz w:val="21"/>
                <w:szCs w:val="21"/>
              </w:rPr>
            </w:pPr>
            <w:r>
              <w:rPr>
                <w:rFonts w:hint="eastAsia" w:ascii="宋体" w:hAnsi="宋体" w:eastAsia="宋体"/>
                <w:color w:val="auto"/>
                <w:sz w:val="21"/>
                <w:szCs w:val="21"/>
              </w:rPr>
              <w:t xml:space="preserve">…………</w:t>
            </w:r>
            <w:r/>
          </w:p>
        </w:tc>
        <w:tc>
          <w:tcPr>
            <w:tcW w:w="2130"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1944"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2318"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r>
      <w:tr>
        <w:trPr/>
        <w:tc>
          <w:tcPr>
            <w:tcW w:w="2130" w:type="dxa"/>
            <w:textDirection w:val="lrTb"/>
            <w:noWrap w:val="false"/>
          </w:tcPr>
          <w:p>
            <w:pPr>
              <w:pStyle w:val="831"/>
              <w:ind w:firstLine="0"/>
              <w:spacing w:line="360" w:lineRule="auto"/>
              <w:rPr>
                <w:rFonts w:ascii="宋体" w:hAnsi="宋体" w:eastAsia="宋体"/>
                <w:color w:val="auto"/>
                <w:sz w:val="21"/>
                <w:szCs w:val="21"/>
              </w:rPr>
            </w:pPr>
            <w:r>
              <w:rPr>
                <w:rFonts w:hint="eastAsia" w:ascii="宋体" w:hAnsi="宋体" w:eastAsia="宋体"/>
                <w:color w:val="auto"/>
                <w:sz w:val="21"/>
                <w:szCs w:val="21"/>
              </w:rPr>
              <w:t xml:space="preserve">…………</w:t>
            </w:r>
            <w:r/>
          </w:p>
        </w:tc>
        <w:tc>
          <w:tcPr>
            <w:tcW w:w="2130"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1944"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2318"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r>
      <w:tr>
        <w:trPr/>
        <w:tc>
          <w:tcPr>
            <w:tcW w:w="2130" w:type="dxa"/>
            <w:textDirection w:val="lrTb"/>
            <w:noWrap w:val="false"/>
          </w:tcPr>
          <w:p>
            <w:pPr>
              <w:pStyle w:val="831"/>
              <w:ind w:firstLine="0"/>
              <w:spacing w:line="360" w:lineRule="auto"/>
              <w:rPr>
                <w:rFonts w:ascii="宋体" w:hAnsi="宋体" w:eastAsia="宋体"/>
                <w:color w:val="auto"/>
                <w:sz w:val="21"/>
                <w:szCs w:val="21"/>
              </w:rPr>
            </w:pPr>
            <w:r>
              <w:rPr>
                <w:rFonts w:hint="eastAsia" w:ascii="宋体" w:hAnsi="宋体" w:eastAsia="宋体"/>
                <w:color w:val="auto"/>
                <w:sz w:val="21"/>
                <w:szCs w:val="21"/>
              </w:rPr>
              <w:t xml:space="preserve">…………（根据采购内容自行列明）</w:t>
            </w:r>
            <w:r/>
          </w:p>
        </w:tc>
        <w:tc>
          <w:tcPr>
            <w:tcW w:w="2130"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1944"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2318"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r>
    </w:tbl>
    <w:p>
      <w:pPr>
        <w:rPr>
          <w:rFonts w:ascii="宋体" w:hAnsi="宋体" w:cs="宋体"/>
          <w:color w:val="auto"/>
          <w:szCs w:val="21"/>
          <w:lang w:val="zh-CN"/>
        </w:rPr>
      </w:pPr>
      <w:r>
        <w:rPr>
          <w:rFonts w:ascii="宋体" w:hAnsi="宋体" w:cs="宋体"/>
          <w:color w:val="auto"/>
          <w:szCs w:val="21"/>
          <w:lang w:val="zh-CN"/>
        </w:rPr>
      </w:r>
      <w:r/>
    </w:p>
    <w:p>
      <w:pPr>
        <w:rPr>
          <w:rFonts w:ascii="宋体" w:hAnsi="宋体" w:cs="宋体"/>
          <w:color w:val="auto"/>
          <w:szCs w:val="21"/>
          <w:lang w:val="zh-CN"/>
        </w:rPr>
      </w:pPr>
      <w:r>
        <w:rPr>
          <w:rFonts w:hint="eastAsia" w:ascii="宋体" w:hAnsi="宋体" w:cs="宋体"/>
          <w:color w:val="auto"/>
          <w:szCs w:val="21"/>
          <w:lang w:val="zh-CN"/>
        </w:rPr>
        <w:t xml:space="preserve">供应商：（单位盖章）</w:t>
      </w:r>
      <w:r/>
    </w:p>
    <w:p>
      <w:pPr>
        <w:rPr>
          <w:rFonts w:ascii="宋体" w:hAnsi="宋体" w:cs="宋体"/>
          <w:color w:val="auto"/>
          <w:szCs w:val="21"/>
          <w:lang w:val="zh-CN"/>
        </w:rPr>
      </w:pPr>
      <w:r>
        <w:rPr>
          <w:rFonts w:hint="eastAsia" w:ascii="宋体" w:hAnsi="宋体" w:cs="宋体"/>
          <w:color w:val="auto"/>
          <w:szCs w:val="21"/>
          <w:lang w:val="zh-CN"/>
        </w:rPr>
        <w:t xml:space="preserve">法定代表人或代理人：（签字或盖章）</w:t>
      </w:r>
      <w:r/>
    </w:p>
    <w:p>
      <w:pPr>
        <w:rPr>
          <w:rFonts w:ascii="宋体" w:hAnsi="宋体" w:cs="宋体"/>
          <w:color w:val="auto"/>
          <w:szCs w:val="21"/>
          <w:lang w:val="zh-CN"/>
        </w:rPr>
      </w:pPr>
      <w:r>
        <w:rPr>
          <w:rFonts w:hint="eastAsia" w:ascii="宋体" w:hAnsi="宋体" w:cs="宋体"/>
          <w:color w:val="auto"/>
          <w:szCs w:val="21"/>
          <w:lang w:val="zh-CN"/>
        </w:rPr>
        <w:t xml:space="preserve">日期：</w:t>
      </w:r>
      <w:r>
        <w:rPr>
          <w:rFonts w:ascii="宋体" w:hAnsi="宋体" w:cs="宋体"/>
          <w:color w:val="auto"/>
          <w:szCs w:val="21"/>
          <w:lang w:val="zh-CN"/>
        </w:rPr>
        <w:t xml:space="preserve">         </w:t>
      </w:r>
      <w:r>
        <w:rPr>
          <w:rFonts w:hint="eastAsia" w:ascii="宋体" w:hAnsi="宋体" w:cs="宋体"/>
          <w:color w:val="auto"/>
          <w:szCs w:val="21"/>
          <w:lang w:val="zh-CN"/>
        </w:rPr>
        <w:t xml:space="preserve">年</w:t>
      </w:r>
      <w:r>
        <w:rPr>
          <w:rFonts w:ascii="宋体" w:hAnsi="宋体" w:cs="宋体"/>
          <w:color w:val="auto"/>
          <w:szCs w:val="21"/>
          <w:lang w:val="zh-CN"/>
        </w:rPr>
        <w:t xml:space="preserve">         </w:t>
      </w:r>
      <w:r>
        <w:rPr>
          <w:rFonts w:hint="eastAsia" w:ascii="宋体" w:hAnsi="宋体" w:cs="宋体"/>
          <w:color w:val="auto"/>
          <w:szCs w:val="21"/>
          <w:lang w:val="zh-CN"/>
        </w:rPr>
        <w:t xml:space="preserve">月</w:t>
      </w:r>
      <w:r>
        <w:rPr>
          <w:rFonts w:ascii="宋体" w:hAnsi="宋体" w:cs="宋体"/>
          <w:color w:val="auto"/>
          <w:szCs w:val="21"/>
          <w:lang w:val="zh-CN"/>
        </w:rPr>
        <w:t xml:space="preserve">       </w:t>
      </w:r>
      <w:r>
        <w:rPr>
          <w:rFonts w:hint="eastAsia" w:ascii="宋体" w:hAnsi="宋体" w:cs="宋体"/>
          <w:color w:val="auto"/>
          <w:szCs w:val="21"/>
          <w:lang w:val="zh-CN"/>
        </w:rPr>
        <w:t xml:space="preserve">日</w:t>
      </w:r>
      <w:bookmarkStart w:id="42" w:name="_Ref372102916"/>
      <w:r/>
      <w:bookmarkStart w:id="43" w:name="_Toc511862084"/>
      <w:r/>
      <w:r/>
    </w:p>
    <w:p>
      <w:pPr>
        <w:rPr>
          <w:rFonts w:ascii="宋体" w:hAnsi="宋体" w:cs="宋体"/>
          <w:color w:val="auto"/>
          <w:szCs w:val="21"/>
          <w:lang w:val="zh-CN"/>
        </w:rPr>
      </w:pPr>
      <w:r>
        <w:rPr>
          <w:rFonts w:ascii="宋体" w:hAnsi="宋体" w:cs="宋体"/>
          <w:color w:val="auto"/>
          <w:szCs w:val="21"/>
          <w:lang w:val="zh-CN"/>
        </w:rPr>
      </w:r>
      <w:r/>
    </w:p>
    <w:p>
      <w:pPr>
        <w:rPr>
          <w:rFonts w:ascii="宋体" w:hAnsi="宋体" w:cs="宋体"/>
          <w:color w:val="auto"/>
          <w:szCs w:val="21"/>
          <w:lang w:val="zh-CN"/>
        </w:rPr>
      </w:pPr>
      <w:r>
        <w:rPr>
          <w:rFonts w:ascii="宋体" w:hAnsi="宋体" w:cs="宋体"/>
          <w:color w:val="auto"/>
          <w:szCs w:val="21"/>
          <w:lang w:val="zh-CN"/>
        </w:rPr>
      </w:r>
      <w:r/>
    </w:p>
    <w:p>
      <w:pPr>
        <w:pStyle w:val="819"/>
        <w:rPr>
          <w:color w:val="auto"/>
          <w:szCs w:val="21"/>
        </w:rPr>
      </w:pPr>
      <w:r/>
      <w:bookmarkStart w:id="44" w:name="_Ref76718612"/>
      <w:r/>
      <w:bookmarkStart w:id="45" w:name="_Toc204332805"/>
      <w:r>
        <w:rPr>
          <w:rFonts w:hint="eastAsia" w:eastAsiaTheme="minorEastAsia"/>
          <w:color w:val="auto"/>
          <w:szCs w:val="21"/>
          <w:lang w:eastAsia="zh-CN"/>
        </w:rPr>
        <w:t xml:space="preserve">9</w:t>
      </w:r>
      <w:r>
        <w:rPr>
          <w:rFonts w:hint="eastAsia"/>
          <w:color w:val="auto"/>
          <w:szCs w:val="21"/>
        </w:rPr>
        <w:t xml:space="preserve">、商务条款偏离表</w:t>
      </w:r>
      <w:bookmarkEnd w:id="42"/>
      <w:r/>
      <w:bookmarkEnd w:id="43"/>
      <w:r/>
      <w:bookmarkEnd w:id="44"/>
      <w:r/>
      <w:bookmarkEnd w:id="45"/>
      <w:r/>
      <w:r/>
    </w:p>
    <w:p>
      <w:pPr>
        <w:rPr>
          <w:rFonts w:ascii="宋体" w:hAnsi="宋体" w:cs="宋体"/>
          <w:b/>
          <w:bCs/>
          <w:color w:val="auto"/>
          <w:szCs w:val="21"/>
          <w:lang w:val="zh-CN"/>
        </w:rPr>
      </w:pPr>
      <w:r>
        <w:rPr>
          <w:rFonts w:ascii="宋体" w:hAnsi="宋体" w:cs="宋体"/>
          <w:b/>
          <w:bCs/>
          <w:color w:val="auto"/>
          <w:szCs w:val="21"/>
          <w:lang w:val="zh-CN"/>
        </w:rPr>
      </w:r>
      <w:r/>
    </w:p>
    <w:p>
      <w:pPr>
        <w:jc w:val="center"/>
        <w:rPr>
          <w:rFonts w:ascii="宋体" w:hAnsi="宋体" w:cs="宋体"/>
          <w:b/>
          <w:bCs/>
          <w:color w:val="auto"/>
          <w:szCs w:val="21"/>
          <w:lang w:val="zh-CN"/>
        </w:rPr>
      </w:pPr>
      <w:r>
        <w:rPr>
          <w:rFonts w:hint="eastAsia" w:ascii="宋体" w:hAnsi="宋体" w:cs="宋体"/>
          <w:b/>
          <w:bCs/>
          <w:color w:val="auto"/>
          <w:szCs w:val="21"/>
          <w:lang w:val="zh-CN"/>
        </w:rPr>
        <w:t xml:space="preserve">商务条款偏离表</w:t>
      </w:r>
      <w:r/>
    </w:p>
    <w:p>
      <w:pPr>
        <w:rPr>
          <w:rFonts w:ascii="宋体" w:hAnsi="宋体" w:cs="宋体"/>
          <w:b/>
          <w:bCs/>
          <w:color w:val="auto"/>
          <w:szCs w:val="21"/>
          <w:lang w:val="zh-CN"/>
        </w:rPr>
      </w:pPr>
      <w:r>
        <w:rPr>
          <w:rFonts w:ascii="宋体" w:hAnsi="宋体" w:cs="宋体"/>
          <w:b/>
          <w:bCs/>
          <w:color w:val="auto"/>
          <w:szCs w:val="21"/>
          <w:lang w:val="zh-CN"/>
        </w:rPr>
      </w:r>
      <w:r/>
    </w:p>
    <w:p>
      <w:pPr>
        <w:rPr>
          <w:rFonts w:ascii="宋体" w:hAnsi="宋体" w:cs="宋体"/>
          <w:color w:val="auto"/>
          <w:szCs w:val="21"/>
          <w:lang w:val="zh-CN"/>
        </w:rPr>
      </w:pPr>
      <w:r>
        <w:rPr>
          <w:rFonts w:hint="eastAsia" w:ascii="宋体" w:hAnsi="宋体" w:cs="宋体"/>
          <w:color w:val="auto"/>
          <w:szCs w:val="21"/>
          <w:lang w:val="zh-CN"/>
        </w:rPr>
        <w:t xml:space="preserve">单位名称（盖章）：</w:t>
      </w:r>
      <w:r/>
    </w:p>
    <w:tbl>
      <w:tblPr>
        <w:tblStyle w:val="8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31"/>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项      目</w:t>
            </w:r>
            <w:r/>
          </w:p>
        </w:tc>
        <w:tc>
          <w:tcPr>
            <w:tcW w:w="2130" w:type="dxa"/>
            <w:textDirection w:val="lrTb"/>
            <w:noWrap w:val="false"/>
          </w:tcPr>
          <w:p>
            <w:pPr>
              <w:pStyle w:val="831"/>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采购要求（详见采购文件）</w:t>
            </w:r>
            <w:r/>
          </w:p>
        </w:tc>
        <w:tc>
          <w:tcPr>
            <w:tcW w:w="1944" w:type="dxa"/>
            <w:textDirection w:val="lrTb"/>
            <w:noWrap w:val="false"/>
          </w:tcPr>
          <w:p>
            <w:pPr>
              <w:pStyle w:val="831"/>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投标内容（响应情况）</w:t>
            </w:r>
            <w:r/>
          </w:p>
        </w:tc>
        <w:tc>
          <w:tcPr>
            <w:tcW w:w="2318" w:type="dxa"/>
            <w:textDirection w:val="lrTb"/>
            <w:noWrap w:val="false"/>
          </w:tcPr>
          <w:p>
            <w:pPr>
              <w:pStyle w:val="831"/>
              <w:ind w:firstLine="0"/>
              <w:jc w:val="center"/>
              <w:spacing w:line="360" w:lineRule="auto"/>
              <w:rPr>
                <w:color w:val="auto"/>
                <w:sz w:val="21"/>
                <w:szCs w:val="21"/>
              </w:rPr>
            </w:pPr>
            <w:r>
              <w:rPr>
                <w:rFonts w:hint="eastAsia" w:ascii="宋体" w:hAnsi="宋体" w:eastAsia="宋体"/>
                <w:color w:val="auto"/>
                <w:sz w:val="21"/>
                <w:szCs w:val="21"/>
              </w:rPr>
              <w:t xml:space="preserve">偏离说明（正偏离、无偏离、负偏离）</w:t>
            </w:r>
            <w:r/>
          </w:p>
        </w:tc>
      </w:tr>
      <w:tr>
        <w:trPr/>
        <w:tc>
          <w:tcPr>
            <w:tcW w:w="2130" w:type="dxa"/>
            <w:textDirection w:val="lrTb"/>
            <w:noWrap w:val="false"/>
          </w:tcPr>
          <w:p>
            <w:pPr>
              <w:pStyle w:val="831"/>
              <w:ind w:firstLine="0"/>
              <w:spacing w:line="360" w:lineRule="auto"/>
              <w:rPr>
                <w:rFonts w:ascii="宋体" w:hAnsi="宋体" w:eastAsia="宋体"/>
                <w:color w:val="auto"/>
                <w:sz w:val="21"/>
                <w:szCs w:val="21"/>
              </w:rPr>
            </w:pPr>
            <w:r>
              <w:rPr>
                <w:rFonts w:hint="eastAsia" w:ascii="宋体" w:hAnsi="宋体" w:eastAsia="宋体"/>
                <w:color w:val="auto"/>
                <w:sz w:val="21"/>
                <w:szCs w:val="21"/>
              </w:rPr>
              <w:t xml:space="preserve">工期（服务期）</w:t>
            </w:r>
            <w:r/>
          </w:p>
        </w:tc>
        <w:tc>
          <w:tcPr>
            <w:tcW w:w="2130"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1944"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2318"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r>
      <w:tr>
        <w:trPr/>
        <w:tc>
          <w:tcPr>
            <w:tcW w:w="2130" w:type="dxa"/>
            <w:textDirection w:val="lrTb"/>
            <w:noWrap w:val="false"/>
          </w:tcPr>
          <w:p>
            <w:pPr>
              <w:pStyle w:val="831"/>
              <w:ind w:firstLine="0"/>
              <w:spacing w:line="360" w:lineRule="auto"/>
              <w:rPr>
                <w:rFonts w:ascii="宋体" w:hAnsi="宋体" w:eastAsia="宋体"/>
                <w:color w:val="auto"/>
                <w:sz w:val="21"/>
                <w:szCs w:val="21"/>
              </w:rPr>
            </w:pPr>
            <w:r>
              <w:rPr>
                <w:rFonts w:hint="eastAsia" w:ascii="宋体" w:hAnsi="宋体" w:eastAsia="宋体"/>
                <w:color w:val="auto"/>
                <w:sz w:val="21"/>
                <w:szCs w:val="21"/>
              </w:rPr>
              <w:t xml:space="preserve">响应时间（如有）</w:t>
            </w:r>
            <w:r/>
          </w:p>
        </w:tc>
        <w:tc>
          <w:tcPr>
            <w:tcW w:w="2130"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1944"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2318"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r>
      <w:tr>
        <w:trPr/>
        <w:tc>
          <w:tcPr>
            <w:tcW w:w="2130" w:type="dxa"/>
            <w:textDirection w:val="lrTb"/>
            <w:noWrap w:val="false"/>
          </w:tcPr>
          <w:p>
            <w:pPr>
              <w:pStyle w:val="831"/>
              <w:ind w:firstLine="0"/>
              <w:spacing w:line="360" w:lineRule="auto"/>
              <w:rPr>
                <w:rFonts w:ascii="宋体" w:hAnsi="宋体" w:eastAsia="宋体"/>
                <w:color w:val="auto"/>
                <w:sz w:val="21"/>
                <w:szCs w:val="21"/>
              </w:rPr>
            </w:pPr>
            <w:r>
              <w:rPr>
                <w:rFonts w:hint="eastAsia" w:ascii="宋体" w:hAnsi="宋体" w:eastAsia="宋体"/>
                <w:color w:val="auto"/>
                <w:sz w:val="21"/>
                <w:szCs w:val="21"/>
              </w:rPr>
              <w:t xml:space="preserve">质保期（如有）</w:t>
            </w:r>
            <w:r/>
          </w:p>
        </w:tc>
        <w:tc>
          <w:tcPr>
            <w:tcW w:w="2130"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1944"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2318"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r>
      <w:tr>
        <w:trPr/>
        <w:tc>
          <w:tcPr>
            <w:tcW w:w="2130" w:type="dxa"/>
            <w:textDirection w:val="lrTb"/>
            <w:noWrap w:val="false"/>
          </w:tcPr>
          <w:p>
            <w:pPr>
              <w:pStyle w:val="831"/>
              <w:ind w:firstLine="0"/>
              <w:spacing w:line="360" w:lineRule="auto"/>
              <w:rPr>
                <w:rFonts w:ascii="宋体" w:hAnsi="宋体" w:eastAsia="宋体"/>
                <w:color w:val="auto"/>
                <w:sz w:val="21"/>
                <w:szCs w:val="21"/>
              </w:rPr>
            </w:pPr>
            <w:r>
              <w:rPr>
                <w:rFonts w:hint="eastAsia" w:ascii="宋体" w:hAnsi="宋体" w:eastAsia="宋体"/>
                <w:color w:val="auto"/>
                <w:sz w:val="21"/>
                <w:szCs w:val="21"/>
              </w:rPr>
              <w:t xml:space="preserve">付款方式</w:t>
            </w:r>
            <w:r/>
          </w:p>
        </w:tc>
        <w:tc>
          <w:tcPr>
            <w:tcW w:w="2130"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1944"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2318"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r>
      <w:tr>
        <w:trPr/>
        <w:tc>
          <w:tcPr>
            <w:tcW w:w="2130"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2130"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1944"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c>
          <w:tcPr>
            <w:tcW w:w="2318" w:type="dxa"/>
            <w:textDirection w:val="lrTb"/>
            <w:noWrap w:val="false"/>
          </w:tcPr>
          <w:p>
            <w:pPr>
              <w:pStyle w:val="831"/>
              <w:ind w:firstLine="0"/>
              <w:spacing w:line="360" w:lineRule="auto"/>
              <w:rPr>
                <w:rFonts w:ascii="宋体" w:hAnsi="宋体" w:eastAsia="宋体"/>
                <w:color w:val="auto"/>
                <w:sz w:val="21"/>
                <w:szCs w:val="21"/>
              </w:rPr>
            </w:pPr>
            <w:r>
              <w:rPr>
                <w:rFonts w:ascii="宋体" w:hAnsi="宋体" w:eastAsia="宋体"/>
                <w:color w:val="auto"/>
                <w:sz w:val="21"/>
                <w:szCs w:val="21"/>
              </w:rPr>
            </w:r>
            <w:r/>
          </w:p>
        </w:tc>
      </w:tr>
    </w:tbl>
    <w:p>
      <w:pPr>
        <w:ind w:firstLine="420"/>
        <w:spacing w:line="360" w:lineRule="auto"/>
        <w:rPr>
          <w:rFonts w:ascii="宋体" w:hAnsi="宋体" w:cs="宋体"/>
          <w:color w:val="auto"/>
          <w:szCs w:val="21"/>
          <w:lang w:val="zh-CN"/>
        </w:rPr>
      </w:pPr>
      <w:r>
        <w:rPr>
          <w:rFonts w:ascii="宋体" w:hAnsi="宋体" w:cs="宋体"/>
          <w:color w:val="auto"/>
          <w:szCs w:val="21"/>
          <w:lang w:val="zh-CN"/>
        </w:rPr>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供应商：（单位盖章）</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法定代表人或代理人：（签字或盖章）</w:t>
      </w:r>
      <w:r/>
    </w:p>
    <w:p>
      <w:pPr>
        <w:pStyle w:val="831"/>
        <w:spacing w:line="360" w:lineRule="auto"/>
        <w:rPr>
          <w:rFonts w:ascii="宋体" w:hAnsi="宋体" w:eastAsia="宋体"/>
          <w:color w:val="auto"/>
          <w:sz w:val="21"/>
          <w:szCs w:val="21"/>
        </w:rPr>
      </w:pPr>
      <w:r>
        <w:rPr>
          <w:rFonts w:hint="eastAsia" w:ascii="宋体" w:hAnsi="宋体" w:eastAsia="宋体" w:cs="宋体"/>
          <w:color w:val="auto"/>
          <w:sz w:val="21"/>
          <w:szCs w:val="21"/>
          <w:lang w:val="zh-CN"/>
        </w:rPr>
        <w:t xml:space="preserve">日期：</w:t>
      </w:r>
      <w:r>
        <w:rPr>
          <w:rFonts w:ascii="宋体" w:hAnsi="宋体" w:eastAsia="宋体" w:cs="宋体"/>
          <w:color w:val="auto"/>
          <w:sz w:val="21"/>
          <w:szCs w:val="21"/>
          <w:lang w:val="zh-CN"/>
        </w:rPr>
        <w:t xml:space="preserve">         </w:t>
      </w:r>
      <w:r>
        <w:rPr>
          <w:rFonts w:hint="eastAsia" w:ascii="宋体" w:hAnsi="宋体" w:eastAsia="宋体" w:cs="宋体"/>
          <w:color w:val="auto"/>
          <w:sz w:val="21"/>
          <w:szCs w:val="21"/>
          <w:lang w:val="zh-CN"/>
        </w:rPr>
        <w:t xml:space="preserve">年</w:t>
      </w:r>
      <w:r>
        <w:rPr>
          <w:rFonts w:ascii="宋体" w:hAnsi="宋体" w:eastAsia="宋体" w:cs="宋体"/>
          <w:color w:val="auto"/>
          <w:sz w:val="21"/>
          <w:szCs w:val="21"/>
          <w:lang w:val="zh-CN"/>
        </w:rPr>
        <w:t xml:space="preserve">         </w:t>
      </w:r>
      <w:r>
        <w:rPr>
          <w:rFonts w:hint="eastAsia" w:ascii="宋体" w:hAnsi="宋体" w:eastAsia="宋体" w:cs="宋体"/>
          <w:color w:val="auto"/>
          <w:sz w:val="21"/>
          <w:szCs w:val="21"/>
          <w:lang w:val="zh-CN"/>
        </w:rPr>
        <w:t xml:space="preserve">月</w:t>
      </w:r>
      <w:r>
        <w:rPr>
          <w:rFonts w:ascii="宋体" w:hAnsi="宋体" w:eastAsia="宋体" w:cs="宋体"/>
          <w:color w:val="auto"/>
          <w:sz w:val="21"/>
          <w:szCs w:val="21"/>
          <w:lang w:val="zh-CN"/>
        </w:rPr>
        <w:t xml:space="preserve">       </w:t>
      </w:r>
      <w:r>
        <w:rPr>
          <w:rFonts w:hint="eastAsia" w:ascii="宋体" w:hAnsi="宋体" w:eastAsia="宋体" w:cs="宋体"/>
          <w:color w:val="auto"/>
          <w:sz w:val="21"/>
          <w:szCs w:val="21"/>
          <w:lang w:val="zh-CN"/>
        </w:rPr>
        <w:t xml:space="preserve">日</w:t>
      </w:r>
      <w:r/>
    </w:p>
    <w:p>
      <w:pPr>
        <w:pStyle w:val="831"/>
        <w:ind w:firstLine="0"/>
        <w:rPr>
          <w:rFonts w:ascii="宋体" w:hAnsi="宋体" w:eastAsia="宋体"/>
          <w:b/>
          <w:color w:val="auto"/>
          <w:sz w:val="21"/>
          <w:szCs w:val="21"/>
        </w:rPr>
      </w:pPr>
      <w:r>
        <w:rPr>
          <w:rFonts w:ascii="宋体" w:hAnsi="宋体" w:eastAsia="宋体"/>
          <w:b/>
          <w:color w:val="auto"/>
          <w:sz w:val="21"/>
          <w:szCs w:val="21"/>
        </w:rPr>
        <w:br w:type="page" w:clear="all"/>
      </w:r>
      <w:r/>
    </w:p>
    <w:p>
      <w:pPr>
        <w:pStyle w:val="819"/>
        <w:rPr>
          <w:color w:val="auto"/>
          <w:szCs w:val="21"/>
        </w:rPr>
      </w:pPr>
      <w:r/>
      <w:bookmarkStart w:id="46" w:name="_Toc204332806"/>
      <w:r>
        <w:rPr>
          <w:rFonts w:hint="eastAsia"/>
          <w:color w:val="auto"/>
          <w:szCs w:val="21"/>
        </w:rPr>
        <w:t xml:space="preserve">1</w:t>
      </w:r>
      <w:r>
        <w:rPr>
          <w:rFonts w:hint="eastAsia" w:eastAsiaTheme="minorEastAsia"/>
          <w:color w:val="auto"/>
          <w:szCs w:val="21"/>
          <w:lang w:eastAsia="zh-CN"/>
        </w:rPr>
        <w:t xml:space="preserve">0</w:t>
      </w:r>
      <w:r>
        <w:rPr>
          <w:rFonts w:hint="eastAsia"/>
          <w:color w:val="auto"/>
          <w:szCs w:val="21"/>
        </w:rPr>
        <w:t xml:space="preserve">、投标单位情况表</w:t>
      </w:r>
      <w:bookmarkEnd w:id="46"/>
      <w:r/>
      <w:r/>
    </w:p>
    <w:p>
      <w:pPr>
        <w:rPr>
          <w:rFonts w:ascii="宋体" w:hAnsi="宋体"/>
          <w:color w:val="auto"/>
          <w:szCs w:val="21"/>
        </w:rPr>
      </w:pPr>
      <w:r>
        <w:rPr>
          <w:rFonts w:ascii="宋体" w:hAnsi="宋体"/>
          <w:color w:val="auto"/>
          <w:szCs w:val="21"/>
        </w:rPr>
      </w:r>
      <w:r/>
    </w:p>
    <w:p>
      <w:pPr>
        <w:pStyle w:val="831"/>
        <w:spacing w:line="360" w:lineRule="auto"/>
        <w:rPr>
          <w:rFonts w:ascii="宋体" w:hAnsi="宋体" w:eastAsia="宋体"/>
          <w:color w:val="auto"/>
          <w:sz w:val="21"/>
          <w:szCs w:val="21"/>
        </w:rPr>
      </w:pPr>
      <w:r>
        <w:rPr>
          <w:rFonts w:hint="eastAsia" w:ascii="宋体" w:hAnsi="宋体" w:eastAsia="宋体" w:cs="Arial"/>
          <w:color w:val="auto"/>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谈判供应商情况表</w:t>
      </w:r>
      <w:r/>
    </w:p>
    <w:p>
      <w:pPr>
        <w:rPr>
          <w:rFonts w:ascii="宋体" w:hAnsi="宋体"/>
          <w:color w:val="auto"/>
          <w:szCs w:val="21"/>
        </w:rPr>
      </w:pPr>
      <w:r>
        <w:rPr>
          <w:rFonts w:ascii="宋体" w:hAnsi="宋体"/>
          <w:color w:val="auto"/>
          <w:szCs w:val="21"/>
        </w:rPr>
        <w:t xml:space="preserve">单位名称（加盖公章）：</w:t>
      </w:r>
      <w:r/>
    </w:p>
    <w:tbl>
      <w:tblPr>
        <w:tblStyle w:val="828"/>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1</w:t>
            </w:r>
            <w:r/>
          </w:p>
        </w:tc>
        <w:tc>
          <w:tcPr>
            <w:gridSpan w:val="2"/>
            <w:tcBorders>
              <w:right w:val="single" w:color="000000" w:sz="4" w:space="0"/>
            </w:tcBorders>
            <w:tcW w:w="1564"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法定代表人</w:t>
            </w:r>
            <w:r/>
          </w:p>
        </w:tc>
        <w:tc>
          <w:tcPr>
            <w:gridSpan w:val="3"/>
            <w:tcBorders>
              <w:left w:val="single" w:color="000000" w:sz="4" w:space="0"/>
            </w:tcBorders>
            <w:tcW w:w="2784"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r>
            <w:r/>
          </w:p>
        </w:tc>
        <w:tc>
          <w:tcPr>
            <w:gridSpan w:val="2"/>
            <w:tcW w:w="1580" w:type="dxa"/>
            <w:vAlign w:val="center"/>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t xml:space="preserve">公司成立日期</w:t>
            </w:r>
            <w:r/>
          </w:p>
        </w:tc>
        <w:tc>
          <w:tcPr>
            <w:gridSpan w:val="2"/>
            <w:tcW w:w="2764" w:type="dxa"/>
            <w:vAlign w:val="center"/>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2</w:t>
            </w:r>
            <w:r/>
          </w:p>
        </w:tc>
        <w:tc>
          <w:tcPr>
            <w:gridSpan w:val="2"/>
            <w:tcBorders>
              <w:right w:val="single" w:color="000000" w:sz="4" w:space="0"/>
            </w:tcBorders>
            <w:tcW w:w="1564"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总部地址</w:t>
            </w:r>
            <w:r/>
          </w:p>
        </w:tc>
        <w:tc>
          <w:tcPr>
            <w:gridSpan w:val="7"/>
            <w:tcBorders>
              <w:left w:val="single" w:color="000000" w:sz="4" w:space="0"/>
            </w:tcBorders>
            <w:tcW w:w="7128"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3</w:t>
            </w:r>
            <w:r/>
          </w:p>
        </w:tc>
        <w:tc>
          <w:tcPr>
            <w:gridSpan w:val="2"/>
            <w:tcBorders>
              <w:right w:val="single" w:color="000000" w:sz="4" w:space="0"/>
            </w:tcBorders>
            <w:tcW w:w="1564" w:type="dxa"/>
            <w:vAlign w:val="center"/>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t xml:space="preserve">本地办事处地址</w:t>
            </w:r>
            <w:r/>
          </w:p>
        </w:tc>
        <w:tc>
          <w:tcPr>
            <w:gridSpan w:val="7"/>
            <w:tcBorders>
              <w:left w:val="single" w:color="000000" w:sz="4" w:space="0"/>
            </w:tcBorders>
            <w:tcW w:w="7128" w:type="dxa"/>
            <w:vAlign w:val="center"/>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4</w:t>
            </w:r>
            <w:r/>
          </w:p>
        </w:tc>
        <w:tc>
          <w:tcPr>
            <w:tcBorders>
              <w:right w:val="single" w:color="000000" w:sz="4" w:space="0"/>
            </w:tcBorders>
            <w:tcW w:w="1088"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电话</w:t>
            </w:r>
            <w:r/>
          </w:p>
        </w:tc>
        <w:tc>
          <w:tcPr>
            <w:gridSpan w:val="3"/>
            <w:tcBorders>
              <w:left w:val="single" w:color="000000" w:sz="4" w:space="0"/>
            </w:tcBorders>
            <w:tcW w:w="2773" w:type="dxa"/>
            <w:vAlign w:val="center"/>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000000" w:sz="4" w:space="0"/>
            </w:tcBorders>
            <w:tcW w:w="1289"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联系人</w:t>
            </w:r>
            <w:r/>
          </w:p>
        </w:tc>
        <w:tc>
          <w:tcPr>
            <w:gridSpan w:val="3"/>
            <w:tcBorders>
              <w:left w:val="single" w:color="000000" w:sz="4" w:space="0"/>
            </w:tcBorders>
            <w:tcW w:w="3542" w:type="dxa"/>
            <w:vAlign w:val="center"/>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25"/>
        </w:trPr>
        <w:tc>
          <w:tcPr>
            <w:tcW w:w="650"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5</w:t>
            </w:r>
            <w:r/>
          </w:p>
        </w:tc>
        <w:tc>
          <w:tcPr>
            <w:tcBorders>
              <w:right w:val="single" w:color="000000" w:sz="4" w:space="0"/>
            </w:tcBorders>
            <w:tcW w:w="1088"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传真</w:t>
            </w:r>
            <w:r/>
          </w:p>
        </w:tc>
        <w:tc>
          <w:tcPr>
            <w:gridSpan w:val="3"/>
            <w:tcBorders>
              <w:left w:val="single" w:color="000000" w:sz="4" w:space="0"/>
            </w:tcBorders>
            <w:tcW w:w="2773" w:type="dxa"/>
            <w:vAlign w:val="center"/>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000000" w:sz="4" w:space="0"/>
            </w:tcBorders>
            <w:tcW w:w="1289"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电子邮箱</w:t>
            </w:r>
            <w:r/>
          </w:p>
        </w:tc>
        <w:tc>
          <w:tcPr>
            <w:gridSpan w:val="3"/>
            <w:tcBorders>
              <w:left w:val="single" w:color="000000" w:sz="4" w:space="0"/>
            </w:tcBorders>
            <w:tcW w:w="3542" w:type="dxa"/>
            <w:vAlign w:val="center"/>
            <w:textDirection w:val="lrTb"/>
            <w:noWrap w:val="false"/>
          </w:tcPr>
          <w:p>
            <w:pPr>
              <w:pStyle w:val="831"/>
              <w:ind w:firstLine="0"/>
              <w:jc w:val="both"/>
              <w:spacing w:line="300" w:lineRule="auto"/>
              <w:rPr>
                <w:rFonts w:ascii="宋体" w:hAnsi="宋体" w:eastAsia="宋体"/>
                <w:b/>
                <w:color w:val="auto"/>
                <w:sz w:val="18"/>
                <w:szCs w:val="18"/>
              </w:rPr>
            </w:pPr>
            <w:r>
              <w:rPr>
                <w:rFonts w:ascii="宋体" w:hAnsi="宋体" w:eastAsia="宋体"/>
                <w:b/>
                <w:color w:val="auto"/>
                <w:sz w:val="18"/>
                <w:szCs w:val="18"/>
              </w:rPr>
            </w:r>
            <w:r/>
          </w:p>
        </w:tc>
      </w:tr>
      <w:tr>
        <w:trPr>
          <w:jc w:val="center"/>
          <w:trHeight w:val="645"/>
        </w:trPr>
        <w:tc>
          <w:tcPr>
            <w:tcW w:w="650"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6</w:t>
            </w:r>
            <w:r/>
          </w:p>
        </w:tc>
        <w:tc>
          <w:tcPr>
            <w:tcBorders>
              <w:right w:val="single" w:color="000000" w:sz="4" w:space="0"/>
            </w:tcBorders>
            <w:tcW w:w="1088" w:type="dxa"/>
            <w:vAlign w:val="center"/>
            <w:textDirection w:val="lrTb"/>
            <w:noWrap w:val="false"/>
          </w:tcPr>
          <w:p>
            <w:pPr>
              <w:rPr>
                <w:rFonts w:ascii="宋体" w:hAnsi="宋体"/>
                <w:color w:val="auto"/>
              </w:rPr>
            </w:pPr>
            <w:r>
              <w:rPr>
                <w:rFonts w:ascii="宋体" w:hAnsi="宋体"/>
                <w:color w:val="auto"/>
              </w:rPr>
              <w:t xml:space="preserve">单位从业人员数量</w:t>
            </w:r>
            <w:r/>
          </w:p>
        </w:tc>
        <w:tc>
          <w:tcPr>
            <w:gridSpan w:val="3"/>
            <w:tcBorders>
              <w:left w:val="single" w:color="000000" w:sz="4" w:space="0"/>
            </w:tcBorders>
            <w:tcW w:w="2773" w:type="dxa"/>
            <w:vAlign w:val="center"/>
            <w:textDirection w:val="lrTb"/>
            <w:noWrap w:val="false"/>
          </w:tcPr>
          <w:p>
            <w:pPr>
              <w:pStyle w:val="831"/>
              <w:ind w:firstLine="2160"/>
              <w:jc w:val="both"/>
              <w:spacing w:line="300" w:lineRule="auto"/>
              <w:rPr>
                <w:rFonts w:ascii="宋体" w:hAnsi="宋体" w:eastAsia="宋体"/>
                <w:color w:val="auto"/>
                <w:sz w:val="21"/>
                <w:szCs w:val="21"/>
              </w:rPr>
            </w:pPr>
            <w:r>
              <w:rPr>
                <w:rFonts w:ascii="宋体" w:hAnsi="宋体" w:eastAsia="宋体"/>
                <w:color w:val="auto"/>
                <w:sz w:val="21"/>
                <w:szCs w:val="21"/>
              </w:rPr>
              <w:t xml:space="preserve">人</w:t>
            </w:r>
            <w:r/>
          </w:p>
        </w:tc>
        <w:tc>
          <w:tcPr>
            <w:gridSpan w:val="4"/>
            <w:tcBorders>
              <w:right w:val="single" w:color="000000" w:sz="4" w:space="0"/>
            </w:tcBorders>
            <w:tcW w:w="2701" w:type="dxa"/>
            <w:vAlign w:val="center"/>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t xml:space="preserve">单位202</w:t>
            </w:r>
            <w:r>
              <w:rPr>
                <w:rFonts w:hint="eastAsia" w:ascii="宋体" w:hAnsi="宋体" w:eastAsia="宋体"/>
                <w:color w:val="auto"/>
                <w:sz w:val="21"/>
                <w:szCs w:val="21"/>
              </w:rPr>
              <w:t xml:space="preserve">4</w:t>
            </w:r>
            <w:r>
              <w:rPr>
                <w:rFonts w:ascii="宋体" w:hAnsi="宋体" w:eastAsia="宋体"/>
                <w:color w:val="auto"/>
                <w:sz w:val="21"/>
                <w:szCs w:val="21"/>
              </w:rPr>
              <w:t xml:space="preserve">年总营业收入</w:t>
            </w:r>
            <w:r/>
          </w:p>
        </w:tc>
        <w:tc>
          <w:tcPr>
            <w:tcBorders>
              <w:left w:val="single" w:color="000000" w:sz="4" w:space="0"/>
            </w:tcBorders>
            <w:tcW w:w="2130" w:type="dxa"/>
            <w:vAlign w:val="center"/>
            <w:textDirection w:val="lrTb"/>
            <w:noWrap w:val="false"/>
          </w:tcPr>
          <w:p>
            <w:pPr>
              <w:pStyle w:val="831"/>
              <w:ind w:firstLine="1470"/>
              <w:jc w:val="both"/>
              <w:spacing w:line="300" w:lineRule="auto"/>
              <w:rPr>
                <w:rFonts w:ascii="宋体" w:hAnsi="宋体" w:eastAsia="宋体"/>
                <w:color w:val="auto"/>
                <w:sz w:val="21"/>
                <w:szCs w:val="21"/>
              </w:rPr>
            </w:pPr>
            <w:r>
              <w:rPr>
                <w:rFonts w:ascii="宋体" w:hAnsi="宋体" w:eastAsia="宋体"/>
                <w:color w:val="auto"/>
                <w:sz w:val="21"/>
                <w:szCs w:val="21"/>
              </w:rPr>
              <w:t xml:space="preserve">万元</w:t>
            </w:r>
            <w:r/>
          </w:p>
        </w:tc>
      </w:tr>
      <w:tr>
        <w:trPr>
          <w:jc w:val="center"/>
          <w:trHeight w:val="645"/>
        </w:trPr>
        <w:tc>
          <w:tcPr>
            <w:tcW w:w="650"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hint="eastAsia" w:ascii="宋体" w:hAnsi="宋体" w:eastAsia="宋体"/>
                <w:color w:val="auto"/>
                <w:sz w:val="21"/>
                <w:szCs w:val="21"/>
              </w:rPr>
              <w:t xml:space="preserve">7</w:t>
            </w:r>
            <w:r/>
          </w:p>
        </w:tc>
        <w:tc>
          <w:tcPr>
            <w:tcBorders>
              <w:right w:val="single" w:color="000000" w:sz="4" w:space="0"/>
            </w:tcBorders>
            <w:tcW w:w="1088" w:type="dxa"/>
            <w:vAlign w:val="center"/>
            <w:textDirection w:val="lrTb"/>
            <w:noWrap w:val="false"/>
          </w:tcPr>
          <w:p>
            <w:pPr>
              <w:rPr>
                <w:rFonts w:ascii="宋体" w:hAnsi="宋体"/>
                <w:color w:val="auto"/>
              </w:rPr>
            </w:pPr>
            <w:r>
              <w:rPr>
                <w:rFonts w:hint="eastAsia" w:ascii="宋体" w:hAnsi="宋体"/>
                <w:color w:val="auto"/>
              </w:rPr>
              <w:t xml:space="preserve">企业规模</w:t>
            </w:r>
            <w:r/>
          </w:p>
        </w:tc>
        <w:tc>
          <w:tcPr>
            <w:gridSpan w:val="8"/>
            <w:tcBorders>
              <w:left w:val="single" w:color="000000" w:sz="4" w:space="0"/>
            </w:tcBorders>
            <w:tcW w:w="7604"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hint="eastAsia" w:ascii="宋体" w:hAnsi="宋体" w:eastAsia="宋体"/>
                <w:color w:val="auto"/>
                <w:sz w:val="21"/>
                <w:szCs w:val="21"/>
              </w:rPr>
              <w:t xml:space="preserve">□大型 </w:t>
            </w:r>
            <w:r>
              <w:rPr>
                <w:rFonts w:ascii="宋体" w:hAnsi="宋体" w:eastAsia="宋体"/>
                <w:color w:val="auto"/>
                <w:sz w:val="21"/>
                <w:szCs w:val="21"/>
              </w:rPr>
              <w:t xml:space="preserve">    </w:t>
            </w:r>
            <w:r>
              <w:rPr>
                <w:rFonts w:hint="eastAsia" w:ascii="宋体" w:hAnsi="宋体" w:eastAsia="宋体"/>
                <w:color w:val="auto"/>
                <w:sz w:val="21"/>
                <w:szCs w:val="21"/>
              </w:rPr>
              <w:t xml:space="preserve">□中型 </w:t>
            </w:r>
            <w:r>
              <w:rPr>
                <w:rFonts w:ascii="宋体" w:hAnsi="宋体" w:eastAsia="宋体"/>
                <w:color w:val="auto"/>
                <w:sz w:val="21"/>
                <w:szCs w:val="21"/>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□小型 </w:t>
            </w:r>
            <w:r>
              <w:rPr>
                <w:rFonts w:ascii="宋体" w:hAnsi="宋体" w:eastAsia="宋体"/>
                <w:color w:val="auto"/>
                <w:sz w:val="21"/>
                <w:szCs w:val="21"/>
              </w:rPr>
              <w:t xml:space="preserve">    </w:t>
            </w:r>
            <w:r>
              <w:rPr>
                <w:rFonts w:hint="eastAsia" w:ascii="宋体" w:hAnsi="宋体" w:eastAsia="宋体"/>
                <w:color w:val="auto"/>
                <w:sz w:val="21"/>
                <w:szCs w:val="21"/>
              </w:rPr>
              <w:t xml:space="preserve">□微型</w:t>
            </w:r>
            <w:r/>
          </w:p>
        </w:tc>
      </w:tr>
      <w:tr>
        <w:trPr>
          <w:jc w:val="center"/>
          <w:trHeight w:val="1767"/>
        </w:trPr>
        <w:tc>
          <w:tcPr>
            <w:tcW w:w="650"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8</w:t>
            </w:r>
            <w:r/>
          </w:p>
        </w:tc>
        <w:tc>
          <w:tcPr>
            <w:gridSpan w:val="9"/>
            <w:tcW w:w="8692" w:type="dxa"/>
            <w:vAlign w:val="center"/>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t xml:space="preserve">主营范围</w:t>
            </w:r>
            <w:r/>
          </w:p>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t xml:space="preserve">1._____________________________________</w:t>
            </w:r>
            <w:r/>
          </w:p>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t xml:space="preserve">2.</w:t>
            </w:r>
            <w:r>
              <w:rPr>
                <w:rFonts w:ascii="宋体" w:hAnsi="宋体" w:eastAsia="宋体"/>
                <w:color w:val="auto"/>
                <w:sz w:val="21"/>
                <w:szCs w:val="21"/>
                <w:u w:val="single"/>
              </w:rPr>
              <w:t xml:space="preserve"> ____________________________________</w:t>
            </w:r>
            <w:r/>
          </w:p>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t xml:space="preserve">3.</w:t>
            </w:r>
            <w:r>
              <w:rPr>
                <w:rFonts w:ascii="宋体" w:hAnsi="宋体" w:eastAsia="宋体"/>
                <w:color w:val="auto"/>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9</w:t>
            </w:r>
            <w:r/>
          </w:p>
        </w:tc>
        <w:tc>
          <w:tcPr>
            <w:gridSpan w:val="3"/>
            <w:tcW w:w="2445" w:type="dxa"/>
            <w:vAlign w:val="center"/>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t xml:space="preserve">最近3年内在经营过程中受到何种奖励或处分</w:t>
            </w:r>
            <w:r/>
          </w:p>
        </w:tc>
        <w:tc>
          <w:tcPr>
            <w:gridSpan w:val="6"/>
            <w:tcW w:w="6247" w:type="dxa"/>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18"/>
        </w:trPr>
        <w:tc>
          <w:tcPr>
            <w:tcW w:w="650"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10</w:t>
            </w:r>
            <w:r/>
          </w:p>
        </w:tc>
        <w:tc>
          <w:tcPr>
            <w:gridSpan w:val="3"/>
            <w:tcBorders>
              <w:right w:val="single" w:color="000000" w:sz="4" w:space="0"/>
            </w:tcBorders>
            <w:tcW w:w="2445" w:type="dxa"/>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t xml:space="preserve">最近3年内有无因售假、售劣或是其他原因被消费者投诉或起诉的情况及说明</w:t>
            </w:r>
            <w:r/>
          </w:p>
        </w:tc>
        <w:tc>
          <w:tcPr>
            <w:gridSpan w:val="6"/>
            <w:tcBorders>
              <w:left w:val="single" w:color="000000" w:sz="4" w:space="0"/>
            </w:tcBorders>
            <w:tcW w:w="6247" w:type="dxa"/>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1392"/>
        </w:trPr>
        <w:tc>
          <w:tcPr>
            <w:tcW w:w="650" w:type="dxa"/>
            <w:vAlign w:val="center"/>
            <w:textDirection w:val="lrTb"/>
            <w:noWrap w:val="false"/>
          </w:tcPr>
          <w:p>
            <w:pPr>
              <w:pStyle w:val="831"/>
              <w:ind w:firstLine="0"/>
              <w:jc w:val="center"/>
              <w:spacing w:line="300" w:lineRule="auto"/>
              <w:rPr>
                <w:rFonts w:ascii="宋体" w:hAnsi="宋体" w:eastAsia="宋体"/>
                <w:color w:val="auto"/>
                <w:sz w:val="21"/>
                <w:szCs w:val="21"/>
              </w:rPr>
            </w:pPr>
            <w:r>
              <w:rPr>
                <w:rFonts w:ascii="宋体" w:hAnsi="宋体" w:eastAsia="宋体"/>
                <w:color w:val="auto"/>
                <w:sz w:val="21"/>
                <w:szCs w:val="21"/>
              </w:rPr>
              <w:t xml:space="preserve">11</w:t>
            </w:r>
            <w:r/>
          </w:p>
        </w:tc>
        <w:tc>
          <w:tcPr>
            <w:gridSpan w:val="3"/>
            <w:tcBorders>
              <w:right w:val="single" w:color="000000" w:sz="4" w:space="0"/>
            </w:tcBorders>
            <w:tcW w:w="2445" w:type="dxa"/>
            <w:vAlign w:val="center"/>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t xml:space="preserve">其他需要说明的情况</w:t>
            </w:r>
            <w:r/>
          </w:p>
        </w:tc>
        <w:tc>
          <w:tcPr>
            <w:gridSpan w:val="6"/>
            <w:tcBorders>
              <w:left w:val="single" w:color="000000" w:sz="4" w:space="0"/>
            </w:tcBorders>
            <w:tcW w:w="6247" w:type="dxa"/>
            <w:vAlign w:val="center"/>
            <w:textDirection w:val="lrTb"/>
            <w:noWrap w:val="false"/>
          </w:tcPr>
          <w:p>
            <w:pPr>
              <w:pStyle w:val="831"/>
              <w:ind w:firstLine="0"/>
              <w:jc w:val="both"/>
              <w:spacing w:line="300" w:lineRule="auto"/>
              <w:rPr>
                <w:rFonts w:ascii="宋体" w:hAnsi="宋体" w:eastAsia="宋体"/>
                <w:color w:val="auto"/>
                <w:sz w:val="21"/>
                <w:szCs w:val="21"/>
              </w:rPr>
            </w:pPr>
            <w:r>
              <w:rPr>
                <w:rFonts w:ascii="宋体" w:hAnsi="宋体" w:eastAsia="宋体"/>
                <w:color w:val="auto"/>
                <w:sz w:val="21"/>
                <w:szCs w:val="21"/>
              </w:rPr>
            </w:r>
            <w:r/>
          </w:p>
        </w:tc>
      </w:tr>
    </w:tbl>
    <w:p>
      <w:pPr>
        <w:rPr>
          <w:rFonts w:ascii="宋体" w:hAnsi="宋体"/>
          <w:color w:val="auto"/>
          <w:szCs w:val="21"/>
        </w:rPr>
      </w:pPr>
      <w:r>
        <w:rPr>
          <w:rFonts w:ascii="宋体" w:hAnsi="宋体"/>
          <w:color w:val="auto"/>
          <w:szCs w:val="21"/>
        </w:rPr>
      </w:r>
      <w:r/>
    </w:p>
    <w:p>
      <w:pPr>
        <w:pStyle w:val="829"/>
        <w:rPr>
          <w:color w:val="auto"/>
        </w:rPr>
      </w:pPr>
      <w:r>
        <w:rPr>
          <w:rFonts w:hint="eastAsia"/>
          <w:color w:val="auto"/>
        </w:rPr>
        <w:br w:type="page" w:clear="all"/>
      </w:r>
      <w:r/>
    </w:p>
    <w:p>
      <w:pPr>
        <w:pStyle w:val="819"/>
        <w:rPr>
          <w:color w:val="auto"/>
          <w:szCs w:val="21"/>
        </w:rPr>
      </w:pPr>
      <w:r/>
      <w:bookmarkStart w:id="47" w:name="_Toc204332807"/>
      <w:r>
        <w:rPr>
          <w:rFonts w:hint="eastAsia"/>
          <w:color w:val="auto"/>
          <w:szCs w:val="21"/>
        </w:rPr>
        <w:t xml:space="preserve">1</w:t>
      </w:r>
      <w:r>
        <w:rPr>
          <w:rFonts w:hint="eastAsia" w:eastAsia="宋体"/>
          <w:color w:val="auto"/>
          <w:szCs w:val="21"/>
          <w:lang w:eastAsia="zh-CN"/>
        </w:rPr>
        <w:t xml:space="preserve">1</w:t>
      </w:r>
      <w:r>
        <w:rPr>
          <w:rFonts w:hint="eastAsia"/>
          <w:color w:val="auto"/>
          <w:szCs w:val="21"/>
        </w:rPr>
        <w:t xml:space="preserve">、</w:t>
      </w:r>
      <w:r>
        <w:rPr>
          <w:rFonts w:hint="eastAsia" w:asciiTheme="minorEastAsia" w:hAnsiTheme="minorEastAsia" w:eastAsiaTheme="minorEastAsia"/>
          <w:color w:val="auto"/>
          <w:szCs w:val="21"/>
        </w:rPr>
        <w:t xml:space="preserve">项目人员配置</w:t>
      </w:r>
      <w:r>
        <w:rPr>
          <w:rFonts w:hint="eastAsia"/>
          <w:color w:val="auto"/>
          <w:szCs w:val="21"/>
        </w:rPr>
        <w:t xml:space="preserve">表</w:t>
      </w:r>
      <w:bookmarkEnd w:id="47"/>
      <w:r/>
      <w:r/>
    </w:p>
    <w:p>
      <w:pPr>
        <w:rPr>
          <w:rFonts w:ascii="宋体" w:hAnsi="宋体"/>
          <w:color w:val="auto"/>
          <w:szCs w:val="21"/>
        </w:rPr>
      </w:pPr>
      <w:r>
        <w:rPr>
          <w:rFonts w:ascii="宋体" w:hAnsi="宋体"/>
          <w:color w:val="auto"/>
          <w:szCs w:val="21"/>
        </w:rPr>
      </w:r>
      <w:r/>
    </w:p>
    <w:p>
      <w:pPr>
        <w:jc w:val="center"/>
        <w:rPr>
          <w:rFonts w:ascii="宋体" w:hAnsi="宋体"/>
          <w:color w:val="auto"/>
          <w:szCs w:val="21"/>
        </w:rPr>
      </w:pPr>
      <w:r>
        <w:rPr>
          <w:rFonts w:hint="eastAsia" w:ascii="宋体" w:hAnsi="宋体"/>
          <w:color w:val="auto"/>
          <w:szCs w:val="21"/>
        </w:rPr>
        <w:t xml:space="preserve">项目人员配置表</w:t>
      </w:r>
      <w:r/>
    </w:p>
    <w:p>
      <w:pPr>
        <w:jc w:val="center"/>
        <w:rPr>
          <w:rFonts w:ascii="宋体" w:hAnsi="宋体"/>
          <w:color w:val="auto"/>
          <w:sz w:val="24"/>
          <w:szCs w:val="24"/>
        </w:rPr>
      </w:pPr>
      <w:r>
        <w:rPr>
          <w:rFonts w:ascii="宋体" w:hAnsi="宋体"/>
          <w:color w:val="auto"/>
          <w:sz w:val="24"/>
          <w:szCs w:val="24"/>
        </w:rPr>
      </w:r>
      <w:r/>
    </w:p>
    <w:tbl>
      <w:tblPr>
        <w:tblStyle w:val="8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rFonts w:ascii="宋体" w:hAnsi="宋体"/>
                <w:color w:val="auto"/>
                <w:szCs w:val="21"/>
              </w:rPr>
            </w:pPr>
            <w:r>
              <w:rPr>
                <w:rFonts w:ascii="宋体" w:hAnsi="宋体"/>
                <w:color w:val="auto"/>
                <w:szCs w:val="21"/>
              </w:rPr>
              <w:t xml:space="preserve">序号</w:t>
            </w:r>
            <w:r/>
          </w:p>
        </w:tc>
        <w:tc>
          <w:tcPr>
            <w:tcW w:w="1482" w:type="dxa"/>
            <w:vAlign w:val="center"/>
            <w:textDirection w:val="lrTb"/>
            <w:noWrap w:val="false"/>
          </w:tcPr>
          <w:p>
            <w:pPr>
              <w:jc w:val="center"/>
              <w:rPr>
                <w:rFonts w:ascii="宋体" w:hAnsi="宋体"/>
                <w:color w:val="auto"/>
                <w:szCs w:val="21"/>
              </w:rPr>
            </w:pPr>
            <w:r>
              <w:rPr>
                <w:rFonts w:ascii="宋体" w:hAnsi="宋体"/>
                <w:color w:val="auto"/>
                <w:szCs w:val="21"/>
              </w:rPr>
              <w:t xml:space="preserve">姓名</w:t>
            </w:r>
            <w:r/>
          </w:p>
        </w:tc>
        <w:tc>
          <w:tcPr>
            <w:tcW w:w="1482" w:type="dxa"/>
            <w:vAlign w:val="center"/>
            <w:textDirection w:val="lrTb"/>
            <w:noWrap w:val="false"/>
          </w:tcPr>
          <w:p>
            <w:pPr>
              <w:jc w:val="center"/>
              <w:rPr>
                <w:rFonts w:ascii="宋体" w:hAnsi="宋体"/>
                <w:color w:val="auto"/>
                <w:szCs w:val="21"/>
              </w:rPr>
            </w:pPr>
            <w:r>
              <w:rPr>
                <w:rFonts w:ascii="宋体" w:hAnsi="宋体"/>
                <w:color w:val="auto"/>
                <w:szCs w:val="21"/>
              </w:rPr>
              <w:t xml:space="preserve">学历</w:t>
            </w:r>
            <w:r/>
          </w:p>
        </w:tc>
        <w:tc>
          <w:tcPr>
            <w:tcW w:w="1265" w:type="dxa"/>
            <w:vAlign w:val="center"/>
            <w:textDirection w:val="lrTb"/>
            <w:noWrap w:val="false"/>
          </w:tcPr>
          <w:p>
            <w:pPr>
              <w:jc w:val="center"/>
              <w:rPr>
                <w:rFonts w:ascii="宋体" w:hAnsi="宋体"/>
                <w:color w:val="auto"/>
                <w:szCs w:val="21"/>
              </w:rPr>
            </w:pPr>
            <w:r>
              <w:rPr>
                <w:rFonts w:ascii="宋体" w:hAnsi="宋体"/>
                <w:color w:val="auto"/>
                <w:szCs w:val="21"/>
              </w:rPr>
              <w:t xml:space="preserve">专业</w:t>
            </w:r>
            <w:r/>
          </w:p>
        </w:tc>
        <w:tc>
          <w:tcPr>
            <w:tcW w:w="1698" w:type="dxa"/>
            <w:vAlign w:val="center"/>
            <w:textDirection w:val="lrTb"/>
            <w:noWrap w:val="false"/>
          </w:tcPr>
          <w:p>
            <w:pPr>
              <w:jc w:val="center"/>
              <w:rPr>
                <w:rFonts w:ascii="宋体" w:hAnsi="宋体"/>
                <w:color w:val="auto"/>
                <w:szCs w:val="21"/>
              </w:rPr>
            </w:pPr>
            <w:r>
              <w:rPr>
                <w:rFonts w:ascii="宋体" w:hAnsi="宋体"/>
                <w:color w:val="auto"/>
                <w:szCs w:val="21"/>
              </w:rPr>
              <w:t xml:space="preserve">职称</w:t>
            </w:r>
            <w:r>
              <w:rPr>
                <w:rFonts w:hint="eastAsia" w:ascii="宋体" w:hAnsi="宋体"/>
                <w:color w:val="auto"/>
                <w:szCs w:val="21"/>
              </w:rPr>
              <w:t xml:space="preserve">或上岗证</w:t>
            </w:r>
            <w:r/>
          </w:p>
        </w:tc>
        <w:tc>
          <w:tcPr>
            <w:tcW w:w="1913" w:type="dxa"/>
            <w:vAlign w:val="center"/>
            <w:textDirection w:val="lrTb"/>
            <w:noWrap w:val="false"/>
          </w:tcPr>
          <w:p>
            <w:pPr>
              <w:jc w:val="center"/>
              <w:rPr>
                <w:rFonts w:ascii="宋体" w:hAnsi="宋体"/>
                <w:color w:val="auto"/>
                <w:szCs w:val="21"/>
              </w:rPr>
            </w:pPr>
            <w:r>
              <w:rPr>
                <w:rFonts w:hint="eastAsia" w:ascii="宋体" w:hAnsi="宋体"/>
                <w:color w:val="auto"/>
                <w:spacing w:val="-10"/>
                <w:szCs w:val="21"/>
              </w:rPr>
              <w:t xml:space="preserve">所担任</w:t>
            </w:r>
            <w:r>
              <w:rPr>
                <w:rFonts w:ascii="宋体" w:hAnsi="宋体"/>
                <w:color w:val="auto"/>
                <w:spacing w:val="-10"/>
                <w:szCs w:val="21"/>
              </w:rPr>
              <w:t xml:space="preserve">岗位</w:t>
            </w:r>
            <w:r/>
          </w:p>
        </w:tc>
      </w:tr>
      <w:tr>
        <w:trPr>
          <w:jc w:val="center"/>
          <w:trHeight w:val="454" w:hRule="exact"/>
        </w:trPr>
        <w:tc>
          <w:tcPr>
            <w:tcW w:w="941" w:type="dxa"/>
            <w:vAlign w:val="center"/>
            <w:textDirection w:val="lrTb"/>
            <w:noWrap w:val="false"/>
          </w:tcPr>
          <w:p>
            <w:pPr>
              <w:jc w:val="center"/>
              <w:rPr>
                <w:rFonts w:ascii="宋体" w:hAnsi="宋体"/>
                <w:color w:val="auto"/>
                <w:szCs w:val="21"/>
              </w:rPr>
            </w:pPr>
            <w:r>
              <w:rPr>
                <w:rFonts w:ascii="宋体" w:hAnsi="宋体"/>
                <w:color w:val="auto"/>
                <w:szCs w:val="21"/>
              </w:rPr>
              <w:t xml:space="preserve">1</w:t>
            </w:r>
            <w:r/>
          </w:p>
        </w:tc>
        <w:tc>
          <w:tcPr>
            <w:tcW w:w="1482" w:type="dxa"/>
            <w:vAlign w:val="center"/>
            <w:textDirection w:val="lrTb"/>
            <w:noWrap w:val="false"/>
          </w:tcPr>
          <w:p>
            <w:pPr>
              <w:rPr>
                <w:rFonts w:ascii="宋体" w:hAnsi="宋体"/>
                <w:color w:val="auto"/>
                <w:szCs w:val="21"/>
              </w:rPr>
            </w:pPr>
            <w:r>
              <w:rPr>
                <w:rFonts w:ascii="宋体" w:hAnsi="宋体"/>
                <w:color w:val="auto"/>
                <w:szCs w:val="21"/>
              </w:rPr>
            </w:r>
            <w:r/>
          </w:p>
        </w:tc>
        <w:tc>
          <w:tcPr>
            <w:tcW w:w="1482" w:type="dxa"/>
            <w:vAlign w:val="center"/>
            <w:textDirection w:val="lrTb"/>
            <w:noWrap w:val="false"/>
          </w:tcPr>
          <w:p>
            <w:pPr>
              <w:rPr>
                <w:rFonts w:ascii="宋体" w:hAnsi="宋体"/>
                <w:color w:val="auto"/>
                <w:szCs w:val="21"/>
              </w:rPr>
            </w:pPr>
            <w:r>
              <w:rPr>
                <w:rFonts w:ascii="宋体" w:hAnsi="宋体"/>
                <w:color w:val="auto"/>
                <w:szCs w:val="21"/>
              </w:rPr>
            </w:r>
            <w:r/>
          </w:p>
        </w:tc>
        <w:tc>
          <w:tcPr>
            <w:tcW w:w="1265" w:type="dxa"/>
            <w:vAlign w:val="center"/>
            <w:textDirection w:val="lrTb"/>
            <w:noWrap w:val="false"/>
          </w:tcPr>
          <w:p>
            <w:pPr>
              <w:rPr>
                <w:rFonts w:ascii="宋体" w:hAnsi="宋体"/>
                <w:color w:val="auto"/>
                <w:szCs w:val="21"/>
              </w:rPr>
            </w:pPr>
            <w:r>
              <w:rPr>
                <w:rFonts w:ascii="宋体" w:hAnsi="宋体"/>
                <w:color w:val="auto"/>
                <w:szCs w:val="21"/>
              </w:rPr>
            </w:r>
            <w:r/>
          </w:p>
        </w:tc>
        <w:tc>
          <w:tcPr>
            <w:tcW w:w="1698" w:type="dxa"/>
            <w:vAlign w:val="center"/>
            <w:textDirection w:val="lrTb"/>
            <w:noWrap w:val="false"/>
          </w:tcPr>
          <w:p>
            <w:pPr>
              <w:rPr>
                <w:rFonts w:ascii="宋体" w:hAnsi="宋体"/>
                <w:color w:val="auto"/>
                <w:szCs w:val="21"/>
              </w:rPr>
            </w:pPr>
            <w:r>
              <w:rPr>
                <w:rFonts w:ascii="宋体" w:hAnsi="宋体"/>
                <w:color w:val="auto"/>
                <w:szCs w:val="21"/>
              </w:rPr>
            </w:r>
            <w:r/>
          </w:p>
        </w:tc>
        <w:tc>
          <w:tcPr>
            <w:tcW w:w="1913" w:type="dxa"/>
            <w:vAlign w:val="center"/>
            <w:textDirection w:val="lrTb"/>
            <w:noWrap w:val="false"/>
          </w:tcPr>
          <w:p>
            <w:pPr>
              <w:rPr>
                <w:rFonts w:ascii="宋体" w:hAnsi="宋体"/>
                <w:color w:val="auto"/>
                <w:szCs w:val="21"/>
              </w:rPr>
            </w:pPr>
            <w:r>
              <w:rPr>
                <w:rFonts w:ascii="宋体" w:hAnsi="宋体"/>
                <w:color w:val="auto"/>
                <w:szCs w:val="21"/>
              </w:rPr>
            </w:r>
            <w:r/>
          </w:p>
        </w:tc>
      </w:tr>
      <w:tr>
        <w:trPr>
          <w:jc w:val="center"/>
          <w:trHeight w:val="454" w:hRule="exact"/>
        </w:trPr>
        <w:tc>
          <w:tcPr>
            <w:tcW w:w="941" w:type="dxa"/>
            <w:vAlign w:val="center"/>
            <w:textDirection w:val="lrTb"/>
            <w:noWrap w:val="false"/>
          </w:tcPr>
          <w:p>
            <w:pPr>
              <w:pStyle w:val="831"/>
              <w:ind w:left="105" w:firstLine="0"/>
              <w:jc w:val="center"/>
              <w:rPr>
                <w:rFonts w:ascii="宋体" w:hAnsi="宋体" w:eastAsia="宋体"/>
                <w:color w:val="auto"/>
                <w:sz w:val="21"/>
                <w:szCs w:val="21"/>
              </w:rPr>
            </w:pPr>
            <w:r>
              <w:rPr>
                <w:rFonts w:hint="eastAsia" w:ascii="宋体" w:hAnsi="宋体" w:eastAsia="宋体"/>
                <w:color w:val="auto"/>
                <w:sz w:val="21"/>
                <w:szCs w:val="21"/>
              </w:rPr>
              <w:t xml:space="preserve">2</w:t>
            </w:r>
            <w:r/>
          </w:p>
        </w:tc>
        <w:tc>
          <w:tcPr>
            <w:tcW w:w="1482"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482"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265"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698"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913"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r>
      <w:tr>
        <w:trPr>
          <w:jc w:val="center"/>
          <w:trHeight w:val="454" w:hRule="exact"/>
        </w:trPr>
        <w:tc>
          <w:tcPr>
            <w:tcW w:w="941" w:type="dxa"/>
            <w:vAlign w:val="center"/>
            <w:textDirection w:val="lrTb"/>
            <w:noWrap w:val="false"/>
          </w:tcPr>
          <w:p>
            <w:pPr>
              <w:pStyle w:val="831"/>
              <w:ind w:left="105" w:firstLine="0"/>
              <w:jc w:val="center"/>
              <w:rPr>
                <w:rFonts w:ascii="宋体" w:hAnsi="宋体" w:eastAsia="宋体"/>
                <w:color w:val="auto"/>
                <w:sz w:val="21"/>
                <w:szCs w:val="21"/>
              </w:rPr>
            </w:pPr>
            <w:r>
              <w:rPr>
                <w:rFonts w:hint="eastAsia" w:ascii="宋体" w:hAnsi="宋体" w:eastAsia="宋体"/>
                <w:color w:val="auto"/>
                <w:sz w:val="21"/>
                <w:szCs w:val="21"/>
              </w:rPr>
              <w:t xml:space="preserve">3</w:t>
            </w:r>
            <w:r/>
          </w:p>
        </w:tc>
        <w:tc>
          <w:tcPr>
            <w:tcW w:w="1482"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482"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265"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698"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913"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r>
      <w:tr>
        <w:trPr>
          <w:jc w:val="center"/>
          <w:trHeight w:val="454" w:hRule="exact"/>
        </w:trPr>
        <w:tc>
          <w:tcPr>
            <w:tcW w:w="941"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t xml:space="preserve">…</w:t>
            </w:r>
            <w:r/>
          </w:p>
        </w:tc>
        <w:tc>
          <w:tcPr>
            <w:tcW w:w="1482"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482"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265"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698"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913"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r>
      <w:tr>
        <w:trPr>
          <w:jc w:val="center"/>
          <w:trHeight w:val="454" w:hRule="exact"/>
        </w:trPr>
        <w:tc>
          <w:tcPr>
            <w:tcW w:w="941"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482"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482"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265"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698"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c>
          <w:tcPr>
            <w:tcW w:w="1913" w:type="dxa"/>
            <w:vAlign w:val="center"/>
            <w:textDirection w:val="lrTb"/>
            <w:noWrap w:val="false"/>
          </w:tcPr>
          <w:p>
            <w:pPr>
              <w:pStyle w:val="831"/>
              <w:ind w:left="105" w:firstLine="0"/>
              <w:jc w:val="center"/>
              <w:rPr>
                <w:rFonts w:ascii="宋体" w:hAnsi="宋体" w:eastAsia="宋体"/>
                <w:color w:val="auto"/>
                <w:sz w:val="21"/>
                <w:szCs w:val="21"/>
              </w:rPr>
            </w:pPr>
            <w:r>
              <w:rPr>
                <w:rFonts w:ascii="宋体" w:hAnsi="宋体" w:eastAsia="宋体"/>
                <w:color w:val="auto"/>
                <w:sz w:val="21"/>
                <w:szCs w:val="21"/>
              </w:rPr>
            </w:r>
            <w:r/>
          </w:p>
        </w:tc>
      </w:tr>
    </w:tbl>
    <w:p>
      <w:pPr>
        <w:pStyle w:val="831"/>
        <w:ind w:firstLine="480"/>
        <w:spacing w:line="360" w:lineRule="auto"/>
        <w:rPr>
          <w:rFonts w:ascii="宋体" w:hAnsi="宋体" w:eastAsia="宋体" w:cs="宋体"/>
          <w:b/>
          <w:color w:val="auto"/>
          <w:sz w:val="21"/>
          <w:szCs w:val="21"/>
        </w:rPr>
      </w:pPr>
      <w:r>
        <w:rPr>
          <w:rFonts w:ascii="宋体" w:hAnsi="宋体" w:eastAsia="宋体" w:cs="宋体"/>
          <w:b/>
          <w:color w:val="auto"/>
          <w:sz w:val="21"/>
          <w:szCs w:val="21"/>
        </w:rPr>
        <w:t xml:space="preserve">注：附谈判内容中相关人员要求的证明材料。</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响应单位：（公章）</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法定代表人或授权委托人：（签字或签章）</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日期：    年    月    日</w:t>
      </w:r>
      <w:r/>
    </w:p>
    <w:p>
      <w:pPr>
        <w:jc w:val="left"/>
        <w:widowControl/>
        <w:rPr>
          <w:color w:val="auto"/>
        </w:rPr>
      </w:pPr>
      <w:r>
        <w:rPr>
          <w:color w:val="auto"/>
        </w:rPr>
      </w:r>
      <w:r/>
    </w:p>
    <w:p>
      <w:pPr>
        <w:jc w:val="left"/>
        <w:widowControl/>
        <w:rPr>
          <w:color w:val="auto"/>
        </w:rPr>
      </w:pPr>
      <w:r>
        <w:rPr>
          <w:color w:val="auto"/>
        </w:rPr>
      </w:r>
      <w:r/>
    </w:p>
    <w:p>
      <w:pPr>
        <w:jc w:val="left"/>
        <w:widowControl/>
        <w:rPr>
          <w:rFonts w:ascii="宋体" w:hAnsi="宋体"/>
          <w:color w:val="auto"/>
        </w:rPr>
      </w:pPr>
      <w:r>
        <w:rPr>
          <w:rFonts w:ascii="宋体" w:hAnsi="宋体"/>
          <w:color w:val="auto"/>
        </w:rPr>
      </w:r>
      <w:r/>
    </w:p>
    <w:p>
      <w:pPr>
        <w:pStyle w:val="819"/>
        <w:rPr>
          <w:color w:val="auto"/>
          <w:szCs w:val="21"/>
        </w:rPr>
      </w:pPr>
      <w:r/>
      <w:bookmarkStart w:id="48" w:name="_Toc204332808"/>
      <w:r>
        <w:rPr>
          <w:rFonts w:hint="eastAsia"/>
          <w:color w:val="auto"/>
          <w:szCs w:val="21"/>
        </w:rPr>
        <w:t xml:space="preserve">1</w:t>
      </w:r>
      <w:r>
        <w:rPr>
          <w:rFonts w:hint="eastAsia" w:eastAsiaTheme="minorEastAsia"/>
          <w:color w:val="auto"/>
          <w:szCs w:val="21"/>
          <w:lang w:eastAsia="zh-CN"/>
        </w:rPr>
        <w:t xml:space="preserve">2</w:t>
      </w:r>
      <w:r>
        <w:rPr>
          <w:rFonts w:hint="eastAsia" w:asciiTheme="minorEastAsia" w:hAnsiTheme="minorEastAsia" w:eastAsiaTheme="minorEastAsia"/>
          <w:color w:val="auto"/>
          <w:szCs w:val="21"/>
        </w:rPr>
        <w:t xml:space="preserve">、</w:t>
      </w:r>
      <w:r>
        <w:rPr>
          <w:color w:val="auto"/>
          <w:szCs w:val="21"/>
        </w:rPr>
        <w:t xml:space="preserve">类似业绩证明材料</w:t>
      </w:r>
      <w:bookmarkEnd w:id="48"/>
      <w:r/>
      <w:r/>
    </w:p>
    <w:p>
      <w:pPr>
        <w:jc w:val="center"/>
        <w:spacing w:line="400" w:lineRule="exact"/>
        <w:rPr>
          <w:rFonts w:ascii="宋体" w:hAnsi="宋体"/>
          <w:color w:val="auto"/>
          <w:szCs w:val="21"/>
        </w:rPr>
      </w:pPr>
      <w:r>
        <w:rPr>
          <w:rFonts w:hint="eastAsia" w:ascii="宋体" w:hAnsi="宋体"/>
          <w:color w:val="auto"/>
          <w:szCs w:val="21"/>
        </w:rPr>
        <w:t xml:space="preserve">类似业绩证明材料</w:t>
      </w:r>
      <w:r/>
    </w:p>
    <w:p>
      <w:pPr>
        <w:jc w:val="center"/>
        <w:spacing w:line="400" w:lineRule="exact"/>
        <w:rPr>
          <w:rFonts w:ascii="宋体" w:hAnsi="宋体"/>
          <w:color w:val="auto"/>
          <w:szCs w:val="21"/>
        </w:rPr>
      </w:pPr>
      <w:r>
        <w:rPr>
          <w:rFonts w:ascii="宋体" w:hAnsi="宋体"/>
          <w:color w:val="auto"/>
          <w:szCs w:val="21"/>
        </w:rPr>
      </w:r>
      <w:r/>
    </w:p>
    <w:tbl>
      <w:tblPr>
        <w:tblStyle w:val="828"/>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96"/>
        <w:gridCol w:w="2256"/>
        <w:gridCol w:w="1704"/>
        <w:gridCol w:w="2013"/>
        <w:gridCol w:w="1704"/>
      </w:tblGrid>
      <w:tr>
        <w:trPr>
          <w:cantSplit/>
          <w:jc w:val="center"/>
          <w:trHeight w:val="454"/>
        </w:trPr>
        <w:tc>
          <w:tcPr>
            <w:tcW w:w="625" w:type="pct"/>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序号</w:t>
            </w:r>
            <w:r/>
          </w:p>
        </w:tc>
        <w:tc>
          <w:tcPr>
            <w:tcW w:w="1286" w:type="pct"/>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项目名称</w:t>
            </w:r>
            <w:r/>
          </w:p>
        </w:tc>
        <w:tc>
          <w:tcPr>
            <w:tcW w:w="971" w:type="pct"/>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合同金额</w:t>
            </w:r>
            <w:r/>
          </w:p>
        </w:tc>
        <w:tc>
          <w:tcPr>
            <w:tcBorders>
              <w:right w:val="single" w:color="auto" w:sz="4" w:space="0"/>
            </w:tcBorders>
            <w:tcW w:w="1147" w:type="pct"/>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合同内容</w:t>
            </w:r>
            <w:r/>
          </w:p>
        </w:tc>
        <w:tc>
          <w:tcPr>
            <w:tcW w:w="971" w:type="pct"/>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备注</w:t>
            </w:r>
            <w:r/>
          </w:p>
        </w:tc>
      </w:tr>
      <w:tr>
        <w:trPr>
          <w:cantSplit/>
          <w:jc w:val="center"/>
          <w:trHeight w:val="454"/>
        </w:trPr>
        <w:tc>
          <w:tcPr>
            <w:tcW w:w="625" w:type="pct"/>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1</w:t>
            </w:r>
            <w:r/>
          </w:p>
        </w:tc>
        <w:tc>
          <w:tcPr>
            <w:tcW w:w="1286" w:type="pct"/>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971" w:type="pct"/>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971" w:type="pct"/>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2</w:t>
            </w:r>
            <w:r/>
          </w:p>
        </w:tc>
        <w:tc>
          <w:tcPr>
            <w:tcW w:w="1286" w:type="pct"/>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971" w:type="pct"/>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971" w:type="pct"/>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3</w:t>
            </w:r>
            <w:r/>
          </w:p>
        </w:tc>
        <w:tc>
          <w:tcPr>
            <w:tcW w:w="1286" w:type="pct"/>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971" w:type="pct"/>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971" w:type="pct"/>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286" w:type="pct"/>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971" w:type="pct"/>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147" w:type="pct"/>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971" w:type="pct"/>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bl>
    <w:p>
      <w:pPr>
        <w:ind w:left="420" w:right="357" w:hanging="400"/>
        <w:spacing w:before="120" w:line="400" w:lineRule="exact"/>
        <w:rPr>
          <w:rFonts w:ascii="宋体" w:hAnsi="宋体"/>
          <w:color w:val="auto"/>
          <w:szCs w:val="21"/>
        </w:rPr>
      </w:pPr>
      <w:r>
        <w:rPr>
          <w:rFonts w:ascii="宋体" w:hAnsi="宋体"/>
          <w:b/>
          <w:bCs/>
          <w:color w:val="auto"/>
          <w:szCs w:val="21"/>
        </w:rPr>
        <w:t xml:space="preserve">注：</w:t>
      </w:r>
      <w:r>
        <w:rPr>
          <w:rFonts w:hint="eastAsia" w:ascii="宋体" w:hAnsi="宋体"/>
          <w:b/>
          <w:bCs/>
          <w:color w:val="auto"/>
          <w:szCs w:val="21"/>
        </w:rPr>
        <w:t xml:space="preserve">供应商</w:t>
      </w:r>
      <w:r>
        <w:rPr>
          <w:rFonts w:ascii="宋体" w:hAnsi="宋体"/>
          <w:b/>
          <w:bCs/>
          <w:color w:val="auto"/>
          <w:szCs w:val="21"/>
        </w:rPr>
        <w:t xml:space="preserve">应提供双方签订的合同</w:t>
      </w:r>
      <w:r>
        <w:rPr>
          <w:rFonts w:hint="eastAsia" w:ascii="宋体" w:hAnsi="宋体"/>
          <w:b/>
          <w:bCs/>
          <w:color w:val="auto"/>
          <w:szCs w:val="21"/>
        </w:rPr>
        <w:t xml:space="preserve">扫描件。</w:t>
      </w:r>
      <w:r/>
    </w:p>
    <w:p>
      <w:pPr>
        <w:rPr>
          <w:rFonts w:ascii="宋体" w:hAnsi="宋体"/>
          <w:color w:val="auto"/>
          <w:szCs w:val="21"/>
        </w:rPr>
      </w:pPr>
      <w:r>
        <w:rPr>
          <w:rFonts w:ascii="宋体" w:hAnsi="宋体"/>
          <w:color w:val="auto"/>
          <w:szCs w:val="21"/>
        </w:rPr>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响应单位：（公章）</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法定代表人或授权委托人：（签字或签章）</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日期：    年    月    日</w:t>
      </w:r>
      <w:r/>
    </w:p>
    <w:p>
      <w:pPr>
        <w:ind w:firstLine="420"/>
        <w:jc w:val="left"/>
        <w:spacing w:line="360" w:lineRule="auto"/>
        <w:rPr>
          <w:rFonts w:ascii="宋体" w:hAnsi="宋体" w:eastAsia="Arial Unicode MS"/>
          <w:b/>
          <w:color w:val="auto"/>
          <w:szCs w:val="21"/>
        </w:rPr>
      </w:pPr>
      <w:r>
        <w:rPr>
          <w:rFonts w:ascii="宋体" w:hAnsi="宋体" w:eastAsia="Arial Unicode MS"/>
          <w:b/>
          <w:color w:val="auto"/>
          <w:szCs w:val="21"/>
        </w:rPr>
      </w:r>
      <w:r/>
    </w:p>
    <w:p>
      <w:pPr>
        <w:pStyle w:val="829"/>
        <w:rPr>
          <w:color w:val="auto"/>
        </w:rPr>
      </w:pPr>
      <w:r>
        <w:rPr>
          <w:color w:val="auto"/>
        </w:rPr>
      </w:r>
      <w:r/>
    </w:p>
    <w:p>
      <w:pPr>
        <w:pStyle w:val="819"/>
        <w:rPr>
          <w:color w:val="auto"/>
          <w:szCs w:val="21"/>
        </w:rPr>
      </w:pPr>
      <w:r>
        <w:rPr>
          <w:rFonts w:hint="eastAsia" w:ascii="宋体" w:hAnsi="宋体"/>
          <w:b/>
          <w:color w:val="auto"/>
          <w:sz w:val="21"/>
          <w:szCs w:val="21"/>
        </w:rPr>
        <w:br w:type="page" w:clear="all"/>
      </w:r>
      <w:bookmarkStart w:id="49" w:name="_Toc204332809"/>
      <w:r>
        <w:rPr>
          <w:rFonts w:hint="eastAsia"/>
          <w:color w:val="auto"/>
          <w:szCs w:val="21"/>
        </w:rPr>
        <w:t xml:space="preserve">1</w:t>
      </w:r>
      <w:r>
        <w:rPr>
          <w:rFonts w:hint="eastAsia" w:eastAsiaTheme="minorEastAsia"/>
          <w:color w:val="auto"/>
          <w:szCs w:val="21"/>
          <w:lang w:eastAsia="zh-CN"/>
        </w:rPr>
        <w:t xml:space="preserve">3</w:t>
      </w:r>
      <w:r>
        <w:rPr>
          <w:rFonts w:hint="eastAsia"/>
          <w:color w:val="auto"/>
          <w:szCs w:val="21"/>
        </w:rPr>
        <w:t xml:space="preserve">、安全责任承诺书</w:t>
      </w:r>
      <w:bookmarkEnd w:id="49"/>
      <w:r/>
      <w:r/>
    </w:p>
    <w:p>
      <w:pPr>
        <w:jc w:val="center"/>
        <w:rPr>
          <w:rFonts w:ascii="宋体" w:hAnsi="宋体"/>
          <w:bCs/>
          <w:color w:val="auto"/>
          <w:sz w:val="24"/>
          <w:szCs w:val="24"/>
          <w:lang w:val="zh-CN"/>
        </w:rPr>
      </w:pPr>
      <w:r>
        <w:rPr>
          <w:rFonts w:ascii="宋体" w:hAnsi="宋体"/>
          <w:bCs/>
          <w:color w:val="auto"/>
          <w:sz w:val="24"/>
          <w:szCs w:val="24"/>
          <w:lang w:val="zh-CN"/>
        </w:rPr>
      </w:r>
      <w:r/>
    </w:p>
    <w:p>
      <w:pPr>
        <w:jc w:val="center"/>
        <w:rPr>
          <w:rFonts w:ascii="宋体" w:hAnsi="宋体"/>
          <w:bCs/>
          <w:color w:val="auto"/>
          <w:szCs w:val="21"/>
          <w:lang w:val="zh-CN"/>
        </w:rPr>
      </w:pPr>
      <w:r>
        <w:rPr>
          <w:rFonts w:hint="eastAsia" w:ascii="宋体" w:hAnsi="宋体"/>
          <w:bCs/>
          <w:color w:val="auto"/>
          <w:szCs w:val="21"/>
          <w:lang w:val="zh-CN"/>
        </w:rPr>
        <w:t xml:space="preserve">安全承诺责任书</w:t>
      </w:r>
      <w:r/>
    </w:p>
    <w:p>
      <w:pPr>
        <w:rPr>
          <w:rFonts w:ascii="宋体" w:hAnsi="宋体" w:cs="宋体"/>
          <w:color w:val="auto"/>
          <w:szCs w:val="21"/>
        </w:rPr>
      </w:pPr>
      <w:r>
        <w:rPr>
          <w:rFonts w:ascii="宋体" w:hAnsi="宋体" w:cs="宋体"/>
          <w:color w:val="auto"/>
          <w:szCs w:val="21"/>
        </w:rPr>
      </w:r>
      <w:r/>
    </w:p>
    <w:p>
      <w:pPr>
        <w:spacing w:line="480" w:lineRule="auto"/>
        <w:rPr>
          <w:rFonts w:ascii="宋体" w:hAnsi="宋体" w:cs="宋体"/>
          <w:color w:val="auto"/>
          <w:szCs w:val="21"/>
          <w:u w:val="single"/>
        </w:rPr>
      </w:pPr>
      <w:r>
        <w:rPr>
          <w:rFonts w:hint="eastAsia" w:ascii="宋体" w:hAnsi="宋体"/>
          <w:color w:val="auto"/>
          <w:szCs w:val="21"/>
          <w:u w:val="single"/>
        </w:rPr>
        <w:t xml:space="preserve">昆山市淀山湖镇人民政府</w:t>
      </w:r>
      <w:r>
        <w:rPr>
          <w:rFonts w:hAnsi="宋体"/>
          <w:color w:val="auto"/>
          <w:szCs w:val="21"/>
          <w:u w:val="single"/>
        </w:rPr>
        <w:t xml:space="preserve">：</w:t>
      </w:r>
      <w:r/>
    </w:p>
    <w:p>
      <w:pPr>
        <w:ind w:firstLine="480"/>
        <w:spacing w:line="480" w:lineRule="auto"/>
        <w:rPr>
          <w:rFonts w:hAnsi="宋体"/>
          <w:color w:val="auto"/>
          <w:szCs w:val="21"/>
        </w:rPr>
      </w:pPr>
      <w:r>
        <w:rPr>
          <w:rFonts w:hAnsi="宋体"/>
          <w:color w:val="auto"/>
          <w:szCs w:val="21"/>
        </w:rPr>
        <w:t xml:space="preserve">如我单位中标，我方将认真履行本次采购项目的所有承诺，我方愿承担所聘全部人员的人身安全及设备的财产安全的全部责任，一旦发生安全问题，均由我方全权负责。</w:t>
      </w:r>
      <w:r/>
    </w:p>
    <w:p>
      <w:pPr>
        <w:ind w:firstLine="422"/>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u w:val="single"/>
        </w:rPr>
      </w:pPr>
      <w:r>
        <w:rPr>
          <w:rFonts w:hint="eastAsia" w:ascii="宋体" w:hAnsi="宋体" w:cs="宋体"/>
          <w:color w:val="auto"/>
          <w:szCs w:val="21"/>
        </w:rPr>
        <w:t xml:space="preserve">响应单位（盖公章）：</w:t>
      </w:r>
      <w:r>
        <w:rPr>
          <w:rFonts w:hint="eastAsia" w:ascii="宋体" w:hAnsi="宋体" w:cs="宋体"/>
          <w:color w:val="auto"/>
          <w:szCs w:val="21"/>
          <w:u w:val="single"/>
        </w:rPr>
        <w:t xml:space="preserve">                               </w:t>
      </w:r>
      <w:r/>
    </w:p>
    <w:p>
      <w:pPr>
        <w:spacing w:line="360" w:lineRule="auto"/>
        <w:rPr>
          <w:rFonts w:ascii="宋体" w:hAnsi="宋体" w:cs="宋体"/>
          <w:color w:val="auto"/>
          <w:szCs w:val="21"/>
          <w:u w:val="single"/>
        </w:rPr>
      </w:pPr>
      <w:r>
        <w:rPr>
          <w:rFonts w:hint="eastAsia" w:ascii="宋体" w:hAnsi="宋体" w:cs="宋体"/>
          <w:color w:val="auto"/>
          <w:szCs w:val="21"/>
        </w:rPr>
        <w:t xml:space="preserve">法定代表人（签字或签章）：</w:t>
      </w:r>
      <w:r>
        <w:rPr>
          <w:rFonts w:hint="eastAsia" w:ascii="宋体" w:hAnsi="宋体" w:cs="宋体"/>
          <w:color w:val="auto"/>
          <w:szCs w:val="21"/>
          <w:u w:val="single"/>
        </w:rPr>
        <w:t xml:space="preserve">                           </w:t>
      </w:r>
      <w:r/>
    </w:p>
    <w:p>
      <w:pPr>
        <w:spacing w:line="360" w:lineRule="auto"/>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rPr>
          <w:rFonts w:ascii="宋体" w:hAnsi="宋体"/>
          <w:color w:val="auto"/>
          <w:szCs w:val="21"/>
        </w:rPr>
      </w:pPr>
      <w:r>
        <w:rPr>
          <w:rFonts w:ascii="宋体" w:hAnsi="宋体"/>
          <w:color w:val="auto"/>
          <w:szCs w:val="21"/>
        </w:rPr>
      </w:r>
      <w:r/>
    </w:p>
    <w:p>
      <w:pPr>
        <w:jc w:val="left"/>
        <w:spacing w:line="360" w:lineRule="auto"/>
        <w:rPr>
          <w:rFonts w:ascii="宋体" w:hAnsi="宋体" w:cs="宋体"/>
          <w:b/>
          <w:bCs/>
          <w:color w:val="auto"/>
          <w:szCs w:val="21"/>
        </w:rPr>
      </w:pPr>
      <w:r>
        <w:rPr>
          <w:rFonts w:ascii="宋体" w:hAnsi="宋体" w:cs="宋体"/>
          <w:b/>
          <w:bCs/>
          <w:color w:val="auto"/>
          <w:szCs w:val="21"/>
        </w:rPr>
      </w:r>
      <w:r/>
    </w:p>
    <w:p>
      <w:pPr>
        <w:jc w:val="left"/>
        <w:widowControl/>
        <w:rPr>
          <w:rFonts w:ascii="Arial" w:hAnsi="Arial" w:eastAsia="PMingLiU"/>
          <w:color w:val="auto"/>
          <w:sz w:val="22"/>
          <w:szCs w:val="21"/>
          <w:lang w:eastAsia="zh-TW"/>
        </w:rPr>
      </w:pPr>
      <w:r>
        <w:rPr>
          <w:color w:val="auto"/>
          <w:szCs w:val="21"/>
        </w:rPr>
        <w:br w:type="page" w:clear="all"/>
      </w:r>
      <w:r/>
    </w:p>
    <w:p>
      <w:pPr>
        <w:pStyle w:val="818"/>
        <w:jc w:val="center"/>
        <w:rPr>
          <w:b/>
          <w:bCs/>
          <w:color w:val="auto"/>
        </w:rPr>
      </w:pPr>
      <w:r/>
      <w:bookmarkStart w:id="50" w:name="_Toc204332810"/>
      <w:r>
        <w:rPr>
          <w:rFonts w:hint="eastAsia"/>
          <w:b/>
          <w:bCs/>
          <w:color w:val="auto"/>
        </w:rPr>
        <w:t xml:space="preserve">第四章 采购需求</w:t>
      </w:r>
      <w:bookmarkEnd w:id="50"/>
      <w:r/>
      <w:r/>
    </w:p>
    <w:p>
      <w:pPr>
        <w:rPr>
          <w:color w:val="auto"/>
        </w:rPr>
      </w:pPr>
      <w:r>
        <w:rPr>
          <w:color w:val="auto"/>
        </w:rPr>
      </w:r>
      <w:r/>
    </w:p>
    <w:p>
      <w:pPr>
        <w:ind w:firstLine="420"/>
        <w:spacing w:line="360" w:lineRule="auto"/>
        <w:tabs>
          <w:tab w:val="left" w:pos="5250" w:leader="none"/>
        </w:tabs>
        <w:rPr>
          <w:rFonts w:ascii="宋体" w:hAnsi="宋体"/>
          <w:color w:val="auto"/>
          <w:szCs w:val="21"/>
        </w:rPr>
      </w:pPr>
      <w:r>
        <w:rPr>
          <w:rFonts w:hint="eastAsia" w:ascii="宋体" w:hAnsi="宋体"/>
          <w:color w:val="auto"/>
          <w:szCs w:val="21"/>
        </w:rPr>
        <w:t xml:space="preserve">受昆山市淀山湖镇人民政府委托，苏州公正建设咨询房地产评估有限公司对其2026年度淀山湖镇水利设施维养管护一体化项目进行竞争性谈判采购。欢迎有资格条件的供应商前来参加谈判。</w:t>
      </w:r>
      <w:r/>
    </w:p>
    <w:p>
      <w:pPr>
        <w:ind w:firstLine="420"/>
        <w:spacing w:line="360" w:lineRule="auto"/>
        <w:tabs>
          <w:tab w:val="left" w:pos="5250" w:leader="none"/>
        </w:tabs>
        <w:rPr>
          <w:rFonts w:hint="eastAsia" w:ascii="宋体" w:hAnsi="宋体" w:eastAsia="宋体"/>
          <w:color w:val="auto"/>
          <w:szCs w:val="21"/>
          <w:lang w:eastAsia="zh-CN"/>
        </w:rPr>
      </w:pPr>
      <w:r/>
      <w:bookmarkStart w:id="51" w:name="_Toc509332893"/>
      <w:r/>
      <w:bookmarkStart w:id="52" w:name="_Toc475023243"/>
      <w:r/>
      <w:bookmarkStart w:id="53" w:name="_Hlk75856637"/>
      <w:r/>
      <w:bookmarkStart w:id="54" w:name="_Toc328386624"/>
      <w:r>
        <w:rPr>
          <w:rFonts w:hint="eastAsia" w:ascii="宋体" w:hAnsi="宋体"/>
          <w:b/>
          <w:bCs/>
          <w:color w:val="auto"/>
          <w:szCs w:val="21"/>
        </w:rPr>
        <w:t xml:space="preserve">一、项目编号：</w:t>
      </w:r>
      <w:r>
        <w:rPr>
          <w:rFonts w:hint="eastAsia" w:ascii="宋体" w:hAnsi="宋体"/>
          <w:color w:val="auto"/>
          <w:lang w:eastAsia="zh-CN"/>
        </w:rPr>
        <w:t xml:space="preserve">JSZC-320583-SZGZ-T2026-0066</w:t>
      </w:r>
      <w:bookmarkEnd w:id="51"/>
      <w:r/>
      <w:bookmarkEnd w:id="52"/>
      <w:r/>
      <w:bookmarkEnd w:id="53"/>
      <w:r/>
      <w:bookmarkEnd w:id="54"/>
      <w:r/>
      <w:r/>
    </w:p>
    <w:p>
      <w:pPr>
        <w:ind w:firstLine="420"/>
        <w:spacing w:line="360" w:lineRule="auto"/>
        <w:rPr>
          <w:rFonts w:ascii="宋体" w:hAnsi="宋体"/>
          <w:bCs/>
          <w:color w:val="auto"/>
          <w:szCs w:val="21"/>
        </w:rPr>
      </w:pPr>
      <w:r>
        <w:rPr>
          <w:rFonts w:ascii="Arial" w:hAnsi="Arial" w:cs="Arial"/>
          <w:b/>
          <w:color w:val="auto"/>
          <w:szCs w:val="21"/>
        </w:rPr>
        <w:t xml:space="preserve">二、采购内容：</w:t>
      </w:r>
      <w:r>
        <w:rPr>
          <w:rFonts w:hint="eastAsia" w:ascii="宋体" w:hAnsi="宋体"/>
          <w:bCs/>
          <w:color w:val="auto"/>
          <w:szCs w:val="21"/>
        </w:rPr>
        <w:t xml:space="preserve">2026年度淀山湖镇水利设施维养管护一体化项目</w:t>
      </w:r>
      <w:r/>
    </w:p>
    <w:p>
      <w:pPr>
        <w:pStyle w:val="829"/>
        <w:rPr>
          <w:color w:val="auto"/>
        </w:rPr>
      </w:pPr>
      <w:r>
        <w:rPr>
          <w:rFonts w:hint="eastAsia"/>
          <w:b/>
          <w:bCs/>
          <w:color w:val="auto"/>
        </w:rPr>
        <w:t xml:space="preserve">1.采购需求：</w:t>
      </w:r>
      <w:r>
        <w:rPr>
          <w:rFonts w:hint="eastAsia"/>
          <w:color w:val="auto"/>
        </w:rPr>
        <w:t xml:space="preserve">开展昆山市淀山湖镇10个圩区管理（包含28座排涝站闸、50座防洪闸门等）的水利设施运行管理养护巡查，以及特殊天气辅助防汛。</w:t>
      </w:r>
      <w:r/>
    </w:p>
    <w:p>
      <w:pPr>
        <w:pStyle w:val="829"/>
        <w:rPr>
          <w:color w:val="auto"/>
        </w:rPr>
      </w:pPr>
      <w:r>
        <w:rPr>
          <w:rFonts w:hint="eastAsia"/>
          <w:b/>
          <w:bCs/>
          <w:color w:val="auto"/>
        </w:rPr>
        <w:t xml:space="preserve">2.服务内容：</w:t>
      </w:r>
      <w:r>
        <w:rPr>
          <w:rFonts w:hint="eastAsia"/>
          <w:color w:val="auto"/>
        </w:rPr>
        <w:t xml:space="preserve">项目主要工作内容包括对全镇28座排涝站、50座防洪闸进行统筹运行管护，具体包括泵站闸门的日常保洁、维护管理、机电设备常规巡检、调试与运行、汛前汛后维护保养，以及相关台账的编制整理，另外需在台风、强降雨等特殊天气下承担24小时值守及辅助防汛应急任务，以全面保障站闸设施在汛期的正常稳定运行，在发生意外停电时使用应急发电机组进行排涝，确保防汛安全。</w:t>
      </w:r>
      <w:r/>
    </w:p>
    <w:p>
      <w:pPr>
        <w:pStyle w:val="829"/>
        <w:rPr>
          <w:b/>
          <w:color w:val="auto"/>
        </w:rPr>
      </w:pPr>
      <w:r>
        <w:rPr>
          <w:rFonts w:hint="eastAsia"/>
          <w:b/>
          <w:color w:val="auto"/>
        </w:rPr>
        <w:t xml:space="preserve">三、人员配备及其他要求</w:t>
      </w:r>
      <w:r/>
    </w:p>
    <w:p>
      <w:pPr>
        <w:pStyle w:val="829"/>
        <w:rPr>
          <w:b/>
          <w:bCs/>
          <w:color w:val="auto"/>
        </w:rPr>
      </w:pPr>
      <w:r>
        <w:rPr>
          <w:rFonts w:hint="eastAsia"/>
          <w:b/>
          <w:bCs/>
          <w:color w:val="auto"/>
        </w:rPr>
        <w:t xml:space="preserve">（一）人员配备</w:t>
      </w:r>
      <w:r/>
    </w:p>
    <w:tbl>
      <w:tblPr>
        <w:tblStyle w:val="8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4"/>
        <w:gridCol w:w="636"/>
        <w:gridCol w:w="463"/>
        <w:gridCol w:w="654"/>
        <w:gridCol w:w="454"/>
        <w:gridCol w:w="5046"/>
        <w:gridCol w:w="1070"/>
      </w:tblGrid>
      <w:tr>
        <w:trPr>
          <w:trHeight w:val="20"/>
        </w:trPr>
        <w:tc>
          <w:tcPr>
            <w:tcW w:w="259" w:type="pct"/>
            <w:vAlign w:val="center"/>
            <w:textDirection w:val="lrTb"/>
            <w:noWrap w:val="false"/>
          </w:tcPr>
          <w:p>
            <w:pPr>
              <w:pStyle w:val="829"/>
              <w:ind w:firstLine="0"/>
              <w:spacing w:line="240" w:lineRule="auto"/>
              <w:rPr>
                <w:b/>
                <w:color w:val="auto"/>
              </w:rPr>
            </w:pPr>
            <w:r>
              <w:rPr>
                <w:rFonts w:hint="eastAsia"/>
                <w:b/>
                <w:color w:val="auto"/>
              </w:rPr>
              <w:t xml:space="preserve">序号</w:t>
            </w:r>
            <w:r/>
          </w:p>
        </w:tc>
        <w:tc>
          <w:tcPr>
            <w:tcW w:w="359" w:type="pct"/>
            <w:vAlign w:val="center"/>
            <w:textDirection w:val="lrTb"/>
            <w:noWrap w:val="false"/>
          </w:tcPr>
          <w:p>
            <w:pPr>
              <w:pStyle w:val="829"/>
              <w:ind w:firstLine="0"/>
              <w:spacing w:line="240" w:lineRule="auto"/>
              <w:rPr>
                <w:b/>
                <w:color w:val="auto"/>
              </w:rPr>
            </w:pPr>
            <w:r>
              <w:rPr>
                <w:rFonts w:hint="eastAsia"/>
                <w:b/>
                <w:color w:val="auto"/>
              </w:rPr>
              <w:t xml:space="preserve">岗位</w:t>
            </w:r>
            <w:r/>
          </w:p>
        </w:tc>
        <w:tc>
          <w:tcPr>
            <w:tcW w:w="264" w:type="pct"/>
            <w:vAlign w:val="center"/>
            <w:textDirection w:val="lrTb"/>
            <w:noWrap w:val="false"/>
          </w:tcPr>
          <w:p>
            <w:pPr>
              <w:pStyle w:val="829"/>
              <w:ind w:firstLine="0"/>
              <w:spacing w:line="240" w:lineRule="auto"/>
              <w:rPr>
                <w:b/>
                <w:color w:val="auto"/>
              </w:rPr>
            </w:pPr>
            <w:r>
              <w:rPr>
                <w:rFonts w:hint="eastAsia"/>
                <w:b/>
                <w:color w:val="auto"/>
              </w:rPr>
              <w:t xml:space="preserve">人数</w:t>
            </w:r>
            <w:r/>
          </w:p>
        </w:tc>
        <w:tc>
          <w:tcPr>
            <w:tcW w:w="373" w:type="pct"/>
            <w:vAlign w:val="center"/>
            <w:textDirection w:val="lrTb"/>
            <w:noWrap w:val="false"/>
          </w:tcPr>
          <w:p>
            <w:pPr>
              <w:pStyle w:val="829"/>
              <w:ind w:firstLine="0"/>
              <w:spacing w:line="240" w:lineRule="auto"/>
              <w:rPr>
                <w:b/>
                <w:color w:val="auto"/>
              </w:rPr>
            </w:pPr>
            <w:r>
              <w:rPr>
                <w:rFonts w:hint="eastAsia"/>
                <w:b/>
                <w:color w:val="auto"/>
              </w:rPr>
              <w:t xml:space="preserve">年龄要求</w:t>
            </w:r>
            <w:r/>
          </w:p>
        </w:tc>
        <w:tc>
          <w:tcPr>
            <w:tcW w:w="259" w:type="pct"/>
            <w:vAlign w:val="center"/>
            <w:textDirection w:val="lrTb"/>
            <w:noWrap w:val="false"/>
          </w:tcPr>
          <w:p>
            <w:pPr>
              <w:pStyle w:val="829"/>
              <w:ind w:firstLine="0"/>
              <w:spacing w:line="240" w:lineRule="auto"/>
              <w:rPr>
                <w:b/>
                <w:color w:val="auto"/>
              </w:rPr>
            </w:pPr>
            <w:r>
              <w:rPr>
                <w:rFonts w:hint="eastAsia"/>
                <w:b/>
                <w:color w:val="auto"/>
              </w:rPr>
              <w:t xml:space="preserve">性别</w:t>
            </w:r>
            <w:r/>
          </w:p>
        </w:tc>
        <w:tc>
          <w:tcPr>
            <w:tcW w:w="2874" w:type="pct"/>
            <w:vAlign w:val="center"/>
            <w:textDirection w:val="lrTb"/>
            <w:noWrap w:val="false"/>
          </w:tcPr>
          <w:p>
            <w:pPr>
              <w:pStyle w:val="829"/>
              <w:ind w:firstLine="0"/>
              <w:spacing w:line="240" w:lineRule="auto"/>
              <w:rPr>
                <w:b/>
                <w:color w:val="auto"/>
              </w:rPr>
            </w:pPr>
            <w:r>
              <w:rPr>
                <w:rFonts w:hint="eastAsia"/>
                <w:b/>
                <w:color w:val="auto"/>
              </w:rPr>
              <w:t xml:space="preserve">岗位要求及职责</w:t>
            </w:r>
            <w:r/>
          </w:p>
        </w:tc>
        <w:tc>
          <w:tcPr>
            <w:tcW w:w="610" w:type="pct"/>
            <w:vAlign w:val="center"/>
            <w:textDirection w:val="lrTb"/>
            <w:noWrap w:val="false"/>
          </w:tcPr>
          <w:p>
            <w:pPr>
              <w:pStyle w:val="829"/>
              <w:ind w:firstLine="0"/>
              <w:spacing w:line="240" w:lineRule="auto"/>
              <w:rPr>
                <w:b/>
                <w:color w:val="auto"/>
              </w:rPr>
            </w:pPr>
            <w:r>
              <w:rPr>
                <w:rFonts w:hint="eastAsia"/>
                <w:b/>
                <w:color w:val="auto"/>
              </w:rPr>
              <w:t xml:space="preserve">备注</w:t>
            </w:r>
            <w:r/>
          </w:p>
        </w:tc>
      </w:tr>
      <w:tr>
        <w:trPr>
          <w:trHeight w:val="20"/>
        </w:trPr>
        <w:tc>
          <w:tcPr>
            <w:tcW w:w="259" w:type="pct"/>
            <w:vAlign w:val="center"/>
            <w:textDirection w:val="lrTb"/>
            <w:noWrap w:val="false"/>
          </w:tcPr>
          <w:p>
            <w:pPr>
              <w:pStyle w:val="829"/>
              <w:ind w:firstLine="0"/>
              <w:spacing w:line="240" w:lineRule="auto"/>
              <w:rPr>
                <w:color w:val="auto"/>
              </w:rPr>
            </w:pPr>
            <w:r>
              <w:rPr>
                <w:rFonts w:hint="eastAsia"/>
                <w:color w:val="auto"/>
              </w:rPr>
              <w:t xml:space="preserve">1</w:t>
            </w:r>
            <w:r/>
          </w:p>
        </w:tc>
        <w:tc>
          <w:tcPr>
            <w:tcW w:w="359" w:type="pct"/>
            <w:vAlign w:val="center"/>
            <w:textDirection w:val="lrTb"/>
            <w:noWrap w:val="false"/>
          </w:tcPr>
          <w:p>
            <w:pPr>
              <w:pStyle w:val="829"/>
              <w:ind w:firstLine="0"/>
              <w:spacing w:line="240" w:lineRule="auto"/>
              <w:rPr>
                <w:color w:val="auto"/>
              </w:rPr>
            </w:pPr>
            <w:r>
              <w:rPr>
                <w:rFonts w:hint="eastAsia"/>
                <w:color w:val="auto"/>
              </w:rPr>
              <w:t xml:space="preserve">项目负责人</w:t>
            </w:r>
            <w:r/>
          </w:p>
        </w:tc>
        <w:tc>
          <w:tcPr>
            <w:tcW w:w="264" w:type="pct"/>
            <w:vAlign w:val="center"/>
            <w:textDirection w:val="lrTb"/>
            <w:noWrap w:val="false"/>
          </w:tcPr>
          <w:p>
            <w:pPr>
              <w:pStyle w:val="829"/>
              <w:ind w:firstLine="0"/>
              <w:spacing w:line="240" w:lineRule="auto"/>
              <w:rPr>
                <w:color w:val="auto"/>
              </w:rPr>
            </w:pPr>
            <w:r>
              <w:rPr>
                <w:rFonts w:hint="eastAsia"/>
                <w:color w:val="auto"/>
              </w:rPr>
              <w:t xml:space="preserve">1人</w:t>
            </w:r>
            <w:r/>
          </w:p>
        </w:tc>
        <w:tc>
          <w:tcPr>
            <w:tcW w:w="373" w:type="pct"/>
            <w:vAlign w:val="center"/>
            <w:textDirection w:val="lrTb"/>
            <w:noWrap w:val="false"/>
          </w:tcPr>
          <w:p>
            <w:pPr>
              <w:pStyle w:val="829"/>
              <w:ind w:firstLine="0"/>
              <w:spacing w:line="240" w:lineRule="auto"/>
              <w:rPr>
                <w:color w:val="auto"/>
              </w:rPr>
            </w:pPr>
            <w:r>
              <w:rPr>
                <w:rFonts w:hint="eastAsia"/>
                <w:bCs/>
                <w:color w:val="auto"/>
              </w:rPr>
              <w:t xml:space="preserve">35-50周岁</w:t>
            </w:r>
            <w:r/>
          </w:p>
        </w:tc>
        <w:tc>
          <w:tcPr>
            <w:tcW w:w="259" w:type="pct"/>
            <w:vAlign w:val="center"/>
            <w:textDirection w:val="lrTb"/>
            <w:noWrap w:val="false"/>
          </w:tcPr>
          <w:p>
            <w:pPr>
              <w:pStyle w:val="829"/>
              <w:ind w:firstLine="0"/>
              <w:spacing w:line="240" w:lineRule="auto"/>
              <w:rPr>
                <w:color w:val="auto"/>
              </w:rPr>
            </w:pPr>
            <w:r>
              <w:rPr>
                <w:rFonts w:hint="eastAsia"/>
                <w:color w:val="auto"/>
              </w:rPr>
              <w:t xml:space="preserve">男</w:t>
            </w:r>
            <w:r/>
          </w:p>
        </w:tc>
        <w:tc>
          <w:tcPr>
            <w:tcW w:w="2874" w:type="pct"/>
            <w:vAlign w:val="center"/>
            <w:textDirection w:val="lrTb"/>
            <w:noWrap w:val="false"/>
          </w:tcPr>
          <w:p>
            <w:pPr>
              <w:pStyle w:val="829"/>
              <w:numPr>
                <w:ilvl w:val="0"/>
                <w:numId w:val="4"/>
              </w:numPr>
              <w:ind w:firstLine="0"/>
              <w:spacing w:line="240" w:lineRule="auto"/>
              <w:rPr>
                <w:color w:val="auto"/>
              </w:rPr>
            </w:pPr>
            <w:r>
              <w:rPr>
                <w:rFonts w:hint="eastAsia"/>
                <w:bCs/>
                <w:color w:val="auto"/>
              </w:rPr>
              <w:t xml:space="preserve">本科及以上学历，水利工程专业中级工程师职称，</w:t>
            </w:r>
            <w:r>
              <w:rPr>
                <w:rFonts w:hint="eastAsia"/>
                <w:color w:val="auto"/>
              </w:rPr>
              <w:t xml:space="preserve">水利水电专业安全生产考核合格证</w:t>
            </w:r>
            <w:r>
              <w:rPr>
                <w:rFonts w:hint="eastAsia"/>
                <w:bCs/>
                <w:color w:val="auto"/>
              </w:rPr>
              <w:t xml:space="preserve">；</w:t>
            </w:r>
            <w:r/>
          </w:p>
          <w:p>
            <w:pPr>
              <w:pStyle w:val="829"/>
              <w:numPr>
                <w:ilvl w:val="0"/>
                <w:numId w:val="4"/>
              </w:numPr>
              <w:ind w:firstLine="0"/>
              <w:spacing w:line="240" w:lineRule="auto"/>
              <w:rPr>
                <w:color w:val="auto"/>
              </w:rPr>
            </w:pPr>
            <w:r>
              <w:rPr>
                <w:rFonts w:hint="eastAsia"/>
                <w:color w:val="auto"/>
              </w:rPr>
              <w:t xml:space="preserve">有持续性降雨、强降雨、台风等汛情险情时，全天配合采购单位工作；</w:t>
            </w:r>
            <w:r/>
          </w:p>
          <w:p>
            <w:pPr>
              <w:pStyle w:val="829"/>
              <w:numPr>
                <w:ilvl w:val="0"/>
                <w:numId w:val="4"/>
              </w:numPr>
              <w:ind w:firstLine="0"/>
              <w:spacing w:line="240" w:lineRule="auto"/>
              <w:rPr>
                <w:color w:val="auto"/>
              </w:rPr>
            </w:pPr>
            <w:r>
              <w:rPr>
                <w:rFonts w:hint="eastAsia"/>
                <w:color w:val="auto"/>
              </w:rPr>
              <w:t xml:space="preserve">工作职责：负责队伍管理，汇总处理上报问题，分派任务，具备处理应急突发状况能力；负责整理汇总站闸看护、按时上报、提交巡查各类台账；负责完成采购单位及上级主管部门安排的其他站闸看护相关工作。</w:t>
            </w:r>
            <w:r/>
          </w:p>
        </w:tc>
        <w:tc>
          <w:tcPr>
            <w:tcW w:w="610" w:type="pct"/>
            <w:vAlign w:val="center"/>
            <w:textDirection w:val="lrTb"/>
            <w:noWrap w:val="false"/>
          </w:tcPr>
          <w:p>
            <w:pPr>
              <w:pStyle w:val="829"/>
              <w:ind w:firstLine="0"/>
              <w:spacing w:line="240" w:lineRule="auto"/>
              <w:rPr>
                <w:color w:val="auto"/>
              </w:rPr>
            </w:pPr>
            <w:r>
              <w:rPr>
                <w:rFonts w:hint="eastAsia"/>
                <w:color w:val="auto"/>
              </w:rPr>
              <w:t xml:space="preserve">非汛期每月不少于10工作日，汛期每月不少于22工作日</w:t>
            </w:r>
            <w:r/>
          </w:p>
        </w:tc>
      </w:tr>
      <w:tr>
        <w:trPr>
          <w:trHeight w:val="20"/>
        </w:trPr>
        <w:tc>
          <w:tcPr>
            <w:tcW w:w="259" w:type="pct"/>
            <w:vAlign w:val="center"/>
            <w:textDirection w:val="lrTb"/>
            <w:noWrap w:val="false"/>
          </w:tcPr>
          <w:p>
            <w:pPr>
              <w:pStyle w:val="829"/>
              <w:ind w:firstLine="0"/>
              <w:spacing w:line="240" w:lineRule="auto"/>
              <w:rPr>
                <w:color w:val="auto"/>
              </w:rPr>
            </w:pPr>
            <w:r>
              <w:rPr>
                <w:rFonts w:hint="eastAsia"/>
                <w:color w:val="auto"/>
              </w:rPr>
              <w:t xml:space="preserve">2</w:t>
            </w:r>
            <w:r/>
          </w:p>
        </w:tc>
        <w:tc>
          <w:tcPr>
            <w:tcW w:w="359" w:type="pct"/>
            <w:vAlign w:val="center"/>
            <w:textDirection w:val="lrTb"/>
            <w:noWrap w:val="false"/>
          </w:tcPr>
          <w:p>
            <w:pPr>
              <w:pStyle w:val="829"/>
              <w:ind w:firstLine="0"/>
              <w:spacing w:line="240" w:lineRule="auto"/>
              <w:rPr>
                <w:color w:val="auto"/>
              </w:rPr>
            </w:pPr>
            <w:r>
              <w:rPr>
                <w:rFonts w:hint="eastAsia"/>
                <w:color w:val="auto"/>
              </w:rPr>
              <w:t xml:space="preserve">专职技术负责人</w:t>
            </w:r>
            <w:r/>
          </w:p>
        </w:tc>
        <w:tc>
          <w:tcPr>
            <w:tcW w:w="264" w:type="pct"/>
            <w:vAlign w:val="center"/>
            <w:textDirection w:val="lrTb"/>
            <w:noWrap w:val="false"/>
          </w:tcPr>
          <w:p>
            <w:pPr>
              <w:pStyle w:val="829"/>
              <w:ind w:firstLine="0"/>
              <w:spacing w:line="240" w:lineRule="auto"/>
              <w:rPr>
                <w:color w:val="auto"/>
              </w:rPr>
            </w:pPr>
            <w:r>
              <w:rPr>
                <w:rFonts w:hint="eastAsia"/>
                <w:color w:val="auto"/>
              </w:rPr>
              <w:t xml:space="preserve">1人</w:t>
            </w:r>
            <w:r/>
          </w:p>
        </w:tc>
        <w:tc>
          <w:tcPr>
            <w:tcW w:w="373" w:type="pct"/>
            <w:vAlign w:val="center"/>
            <w:textDirection w:val="lrTb"/>
            <w:noWrap w:val="false"/>
          </w:tcPr>
          <w:p>
            <w:pPr>
              <w:pStyle w:val="829"/>
              <w:ind w:firstLine="0"/>
              <w:spacing w:line="240" w:lineRule="auto"/>
              <w:rPr>
                <w:color w:val="auto"/>
              </w:rPr>
            </w:pPr>
            <w:r>
              <w:rPr>
                <w:rFonts w:hint="eastAsia"/>
                <w:bCs/>
                <w:color w:val="auto"/>
              </w:rPr>
              <w:t xml:space="preserve">35-55周岁</w:t>
            </w:r>
            <w:r/>
          </w:p>
        </w:tc>
        <w:tc>
          <w:tcPr>
            <w:tcW w:w="259" w:type="pct"/>
            <w:vAlign w:val="center"/>
            <w:textDirection w:val="lrTb"/>
            <w:noWrap w:val="false"/>
          </w:tcPr>
          <w:p>
            <w:pPr>
              <w:pStyle w:val="829"/>
              <w:ind w:firstLine="0"/>
              <w:spacing w:line="240" w:lineRule="auto"/>
              <w:rPr>
                <w:color w:val="auto"/>
              </w:rPr>
            </w:pPr>
            <w:r>
              <w:rPr>
                <w:rFonts w:hint="eastAsia"/>
                <w:color w:val="auto"/>
              </w:rPr>
              <w:t xml:space="preserve">男</w:t>
            </w:r>
            <w:r/>
          </w:p>
        </w:tc>
        <w:tc>
          <w:tcPr>
            <w:tcW w:w="2874" w:type="pct"/>
            <w:vAlign w:val="center"/>
            <w:textDirection w:val="lrTb"/>
            <w:noWrap w:val="false"/>
          </w:tcPr>
          <w:p>
            <w:pPr>
              <w:pStyle w:val="829"/>
              <w:numPr>
                <w:ilvl w:val="0"/>
                <w:numId w:val="5"/>
              </w:numPr>
              <w:ind w:firstLine="0"/>
              <w:spacing w:line="240" w:lineRule="auto"/>
              <w:rPr>
                <w:color w:val="auto"/>
              </w:rPr>
            </w:pPr>
            <w:r>
              <w:rPr>
                <w:rFonts w:hint="eastAsia"/>
                <w:color w:val="auto"/>
              </w:rPr>
              <w:t xml:space="preserve">大专及以上学历，具有水利工程专业工程师职称证书；</w:t>
            </w:r>
            <w:r/>
          </w:p>
          <w:p>
            <w:pPr>
              <w:pStyle w:val="829"/>
              <w:numPr>
                <w:ilvl w:val="0"/>
                <w:numId w:val="5"/>
              </w:numPr>
              <w:ind w:firstLine="0"/>
              <w:spacing w:line="240" w:lineRule="auto"/>
              <w:rPr>
                <w:color w:val="auto"/>
              </w:rPr>
            </w:pPr>
            <w:r>
              <w:rPr>
                <w:rFonts w:hint="eastAsia"/>
                <w:color w:val="auto"/>
              </w:rPr>
              <w:t xml:space="preserve">工作时间07:30</w:t>
            </w:r>
            <w:r>
              <w:rPr>
                <w:rFonts w:asciiTheme="minorHAnsi" w:hAnsiTheme="minorHAnsi" w:cstheme="minorHAnsi"/>
                <w:color w:val="auto"/>
              </w:rPr>
              <w:t xml:space="preserve">~</w:t>
            </w:r>
            <w:r>
              <w:rPr>
                <w:rFonts w:hint="eastAsia"/>
                <w:color w:val="auto"/>
              </w:rPr>
              <w:t xml:space="preserve">11:30，13:00</w:t>
            </w:r>
            <w:r>
              <w:rPr>
                <w:rFonts w:ascii="Arial" w:hAnsi="Arial" w:cs="Arial"/>
                <w:color w:val="auto"/>
              </w:rPr>
              <w:t xml:space="preserve">~</w:t>
            </w:r>
            <w:r>
              <w:rPr>
                <w:rFonts w:hint="eastAsia"/>
                <w:color w:val="auto"/>
              </w:rPr>
              <w:t xml:space="preserve">17:00，有突发任务时，服从调配，有持续性降雨、强降雨、台风等汛情险情时，全天配合采购单位工作；</w:t>
            </w:r>
            <w:r/>
          </w:p>
          <w:p>
            <w:pPr>
              <w:pStyle w:val="829"/>
              <w:numPr>
                <w:ilvl w:val="0"/>
                <w:numId w:val="5"/>
              </w:numPr>
              <w:ind w:firstLine="0"/>
              <w:spacing w:line="240" w:lineRule="auto"/>
              <w:rPr>
                <w:color w:val="auto"/>
              </w:rPr>
            </w:pPr>
            <w:r>
              <w:rPr>
                <w:rFonts w:hint="eastAsia"/>
                <w:color w:val="auto"/>
              </w:rPr>
              <w:t xml:space="preserve">工作职责：</w:t>
            </w:r>
            <w:r>
              <w:rPr>
                <w:rFonts w:hint="eastAsia"/>
                <w:bCs/>
                <w:color w:val="auto"/>
              </w:rPr>
              <w:t xml:space="preserve">有突发任务时，服从调配，有持续性降雨、强降雨、台风等汛情险情时，全天配合采购单位工作。</w:t>
            </w:r>
            <w:r>
              <w:rPr>
                <w:rFonts w:hint="eastAsia"/>
                <w:color w:val="auto"/>
              </w:rPr>
              <w:t xml:space="preserve">负责本项目运行现场技术管理工作。</w:t>
            </w:r>
            <w:r/>
          </w:p>
        </w:tc>
        <w:tc>
          <w:tcPr>
            <w:tcW w:w="610" w:type="pct"/>
            <w:vAlign w:val="center"/>
            <w:textDirection w:val="lrTb"/>
            <w:noWrap w:val="false"/>
          </w:tcPr>
          <w:p>
            <w:pPr>
              <w:pStyle w:val="829"/>
              <w:ind w:firstLine="0"/>
              <w:spacing w:line="240" w:lineRule="auto"/>
              <w:rPr>
                <w:color w:val="auto"/>
              </w:rPr>
            </w:pPr>
            <w:r>
              <w:rPr>
                <w:rFonts w:hint="eastAsia"/>
                <w:color w:val="auto"/>
              </w:rPr>
              <w:t xml:space="preserve">全年常驻，每月不少于22工作日</w:t>
            </w:r>
            <w:r/>
          </w:p>
        </w:tc>
      </w:tr>
      <w:tr>
        <w:trPr>
          <w:trHeight w:val="20"/>
        </w:trPr>
        <w:tc>
          <w:tcPr>
            <w:tcW w:w="259" w:type="pct"/>
            <w:vAlign w:val="center"/>
            <w:textDirection w:val="lrTb"/>
            <w:noWrap w:val="false"/>
          </w:tcPr>
          <w:p>
            <w:pPr>
              <w:pStyle w:val="829"/>
              <w:ind w:firstLine="0"/>
              <w:spacing w:line="240" w:lineRule="auto"/>
              <w:rPr>
                <w:color w:val="auto"/>
              </w:rPr>
            </w:pPr>
            <w:r>
              <w:rPr>
                <w:rFonts w:hint="eastAsia"/>
                <w:color w:val="auto"/>
              </w:rPr>
              <w:t xml:space="preserve">3</w:t>
            </w:r>
            <w:r/>
          </w:p>
        </w:tc>
        <w:tc>
          <w:tcPr>
            <w:tcW w:w="359" w:type="pct"/>
            <w:vAlign w:val="center"/>
            <w:textDirection w:val="lrTb"/>
            <w:noWrap w:val="false"/>
          </w:tcPr>
          <w:p>
            <w:pPr>
              <w:pStyle w:val="829"/>
              <w:ind w:firstLine="0"/>
              <w:spacing w:line="240" w:lineRule="auto"/>
              <w:rPr>
                <w:color w:val="auto"/>
              </w:rPr>
            </w:pPr>
            <w:r>
              <w:rPr>
                <w:rFonts w:hint="eastAsia"/>
                <w:color w:val="auto"/>
              </w:rPr>
              <w:t xml:space="preserve">圩区管理人员</w:t>
            </w:r>
            <w:r/>
          </w:p>
        </w:tc>
        <w:tc>
          <w:tcPr>
            <w:tcW w:w="264" w:type="pct"/>
            <w:vAlign w:val="center"/>
            <w:textDirection w:val="lrTb"/>
            <w:noWrap w:val="false"/>
          </w:tcPr>
          <w:p>
            <w:pPr>
              <w:pStyle w:val="829"/>
              <w:ind w:firstLine="0"/>
              <w:spacing w:line="240" w:lineRule="auto"/>
              <w:rPr>
                <w:color w:val="auto"/>
              </w:rPr>
            </w:pPr>
            <w:r>
              <w:rPr>
                <w:rFonts w:hint="eastAsia"/>
                <w:color w:val="auto"/>
              </w:rPr>
              <w:t xml:space="preserve">3人</w:t>
            </w:r>
            <w:r/>
          </w:p>
        </w:tc>
        <w:tc>
          <w:tcPr>
            <w:tcW w:w="373" w:type="pct"/>
            <w:vAlign w:val="center"/>
            <w:textDirection w:val="lrTb"/>
            <w:noWrap w:val="false"/>
          </w:tcPr>
          <w:p>
            <w:pPr>
              <w:pStyle w:val="829"/>
              <w:ind w:firstLine="0"/>
              <w:spacing w:line="240" w:lineRule="auto"/>
              <w:rPr>
                <w:color w:val="auto"/>
              </w:rPr>
            </w:pPr>
            <w:r>
              <w:rPr>
                <w:rFonts w:hint="eastAsia"/>
                <w:bCs/>
                <w:color w:val="auto"/>
              </w:rPr>
              <w:t xml:space="preserve">25-55周岁</w:t>
            </w:r>
            <w:r/>
          </w:p>
        </w:tc>
        <w:tc>
          <w:tcPr>
            <w:tcW w:w="259" w:type="pct"/>
            <w:vAlign w:val="center"/>
            <w:textDirection w:val="lrTb"/>
            <w:noWrap w:val="false"/>
          </w:tcPr>
          <w:p>
            <w:pPr>
              <w:pStyle w:val="829"/>
              <w:ind w:firstLine="0"/>
              <w:spacing w:line="240" w:lineRule="auto"/>
              <w:rPr>
                <w:color w:val="auto"/>
              </w:rPr>
            </w:pPr>
            <w:r>
              <w:rPr>
                <w:rFonts w:hint="eastAsia"/>
                <w:color w:val="auto"/>
              </w:rPr>
              <w:t xml:space="preserve">男</w:t>
            </w:r>
            <w:r/>
          </w:p>
        </w:tc>
        <w:tc>
          <w:tcPr>
            <w:tcW w:w="2874" w:type="pct"/>
            <w:textDirection w:val="lrTb"/>
            <w:noWrap w:val="false"/>
          </w:tcPr>
          <w:p>
            <w:pPr>
              <w:pStyle w:val="829"/>
              <w:numPr>
                <w:ilvl w:val="0"/>
                <w:numId w:val="6"/>
              </w:numPr>
              <w:ind w:firstLine="0"/>
              <w:spacing w:line="240" w:lineRule="auto"/>
              <w:rPr>
                <w:color w:val="auto"/>
              </w:rPr>
            </w:pPr>
            <w:r>
              <w:rPr>
                <w:rFonts w:hint="eastAsia"/>
                <w:color w:val="auto"/>
              </w:rPr>
              <w:t xml:space="preserve">高压电工1名，持高压电工证，能熟练操作各类柴油发电机组；1人闸门运行工，掌握复杂设备操作，能独立判断处理常见故障，1人泵站运行工，泵站设备操作，故障排除和维修。</w:t>
            </w:r>
            <w:r/>
          </w:p>
          <w:p>
            <w:pPr>
              <w:pStyle w:val="829"/>
              <w:numPr>
                <w:ilvl w:val="0"/>
                <w:numId w:val="6"/>
              </w:numPr>
              <w:ind w:firstLine="0"/>
              <w:spacing w:line="240" w:lineRule="auto"/>
              <w:rPr>
                <w:color w:val="auto"/>
              </w:rPr>
            </w:pPr>
            <w:r>
              <w:rPr>
                <w:rFonts w:hint="eastAsia"/>
                <w:color w:val="auto"/>
              </w:rPr>
              <w:t xml:space="preserve">工作时间：全天值班，手机保持24小时畅通；</w:t>
            </w:r>
            <w:r/>
          </w:p>
          <w:p>
            <w:pPr>
              <w:pStyle w:val="829"/>
              <w:numPr>
                <w:ilvl w:val="0"/>
                <w:numId w:val="6"/>
              </w:numPr>
              <w:ind w:firstLine="0"/>
              <w:spacing w:line="240" w:lineRule="auto"/>
              <w:rPr>
                <w:color w:val="auto"/>
              </w:rPr>
            </w:pPr>
            <w:r>
              <w:rPr>
                <w:rFonts w:hint="eastAsia"/>
                <w:color w:val="auto"/>
              </w:rPr>
              <w:t xml:space="preserve">工作职责：负责圩区管理，监督管理站闸日常保洁，常规设备巡检，机电设备调试运行，设备维修，设备应急故障处理，及时发现上报问题。特殊天气情况下，配合完成区镇防汛工作。</w:t>
            </w:r>
            <w:r/>
          </w:p>
        </w:tc>
        <w:tc>
          <w:tcPr>
            <w:tcW w:w="610" w:type="pct"/>
            <w:vAlign w:val="center"/>
            <w:textDirection w:val="lrTb"/>
            <w:noWrap w:val="false"/>
          </w:tcPr>
          <w:p>
            <w:pPr>
              <w:pStyle w:val="829"/>
              <w:ind w:firstLine="0"/>
              <w:spacing w:line="240" w:lineRule="auto"/>
              <w:rPr>
                <w:color w:val="auto"/>
              </w:rPr>
            </w:pPr>
            <w:r>
              <w:rPr>
                <w:rFonts w:hint="eastAsia"/>
                <w:color w:val="auto"/>
              </w:rPr>
              <w:t xml:space="preserve">全年常驻，每月不少于22工作日</w:t>
            </w:r>
            <w:r/>
          </w:p>
        </w:tc>
      </w:tr>
      <w:tr>
        <w:trPr>
          <w:trHeight w:val="20"/>
        </w:trPr>
        <w:tc>
          <w:tcPr>
            <w:tcW w:w="259" w:type="pct"/>
            <w:vAlign w:val="center"/>
            <w:textDirection w:val="lrTb"/>
            <w:noWrap w:val="false"/>
          </w:tcPr>
          <w:p>
            <w:pPr>
              <w:pStyle w:val="829"/>
              <w:ind w:firstLine="0"/>
              <w:spacing w:line="240" w:lineRule="auto"/>
              <w:rPr>
                <w:color w:val="auto"/>
              </w:rPr>
            </w:pPr>
            <w:r>
              <w:rPr>
                <w:rFonts w:hint="eastAsia"/>
                <w:color w:val="auto"/>
              </w:rPr>
              <w:t xml:space="preserve">4</w:t>
            </w:r>
            <w:r/>
          </w:p>
        </w:tc>
        <w:tc>
          <w:tcPr>
            <w:tcW w:w="359" w:type="pct"/>
            <w:vAlign w:val="center"/>
            <w:textDirection w:val="lrTb"/>
            <w:noWrap w:val="false"/>
          </w:tcPr>
          <w:p>
            <w:pPr>
              <w:pStyle w:val="829"/>
              <w:ind w:firstLine="0"/>
              <w:spacing w:line="240" w:lineRule="auto"/>
              <w:rPr>
                <w:color w:val="auto"/>
              </w:rPr>
            </w:pPr>
            <w:r>
              <w:rPr>
                <w:rFonts w:hint="eastAsia"/>
                <w:color w:val="auto"/>
              </w:rPr>
              <w:t xml:space="preserve">站闸看护人员（汛期）</w:t>
            </w:r>
            <w:r/>
          </w:p>
        </w:tc>
        <w:tc>
          <w:tcPr>
            <w:tcW w:w="264" w:type="pct"/>
            <w:vAlign w:val="center"/>
            <w:textDirection w:val="lrTb"/>
            <w:noWrap w:val="false"/>
          </w:tcPr>
          <w:p>
            <w:pPr>
              <w:pStyle w:val="829"/>
              <w:ind w:firstLine="0"/>
              <w:spacing w:line="240" w:lineRule="auto"/>
              <w:rPr>
                <w:color w:val="auto"/>
              </w:rPr>
            </w:pPr>
            <w:r>
              <w:rPr>
                <w:rFonts w:hint="eastAsia"/>
                <w:color w:val="auto"/>
              </w:rPr>
              <w:t xml:space="preserve">28人</w:t>
            </w:r>
            <w:r/>
          </w:p>
        </w:tc>
        <w:tc>
          <w:tcPr>
            <w:tcW w:w="373" w:type="pct"/>
            <w:vAlign w:val="center"/>
            <w:textDirection w:val="lrTb"/>
            <w:noWrap w:val="false"/>
          </w:tcPr>
          <w:p>
            <w:pPr>
              <w:pStyle w:val="829"/>
              <w:ind w:firstLine="0"/>
              <w:spacing w:line="240" w:lineRule="auto"/>
              <w:rPr>
                <w:color w:val="auto"/>
              </w:rPr>
            </w:pPr>
            <w:r>
              <w:rPr>
                <w:rFonts w:hint="eastAsia"/>
                <w:bCs/>
                <w:color w:val="auto"/>
              </w:rPr>
              <w:t xml:space="preserve">65周岁以下</w:t>
            </w:r>
            <w:r/>
          </w:p>
        </w:tc>
        <w:tc>
          <w:tcPr>
            <w:tcW w:w="259" w:type="pct"/>
            <w:vAlign w:val="center"/>
            <w:textDirection w:val="lrTb"/>
            <w:noWrap w:val="false"/>
          </w:tcPr>
          <w:p>
            <w:pPr>
              <w:pStyle w:val="829"/>
              <w:ind w:firstLine="0"/>
              <w:spacing w:line="240" w:lineRule="auto"/>
              <w:rPr>
                <w:color w:val="auto"/>
              </w:rPr>
            </w:pPr>
            <w:r>
              <w:rPr>
                <w:rFonts w:hint="eastAsia"/>
                <w:color w:val="auto"/>
              </w:rPr>
              <w:t xml:space="preserve">男</w:t>
            </w:r>
            <w:r/>
          </w:p>
        </w:tc>
        <w:tc>
          <w:tcPr>
            <w:tcW w:w="2874" w:type="pct"/>
            <w:textDirection w:val="lrTb"/>
            <w:noWrap w:val="false"/>
          </w:tcPr>
          <w:p>
            <w:pPr>
              <w:pStyle w:val="829"/>
              <w:numPr>
                <w:ilvl w:val="0"/>
                <w:numId w:val="7"/>
              </w:numPr>
              <w:ind w:firstLine="0"/>
              <w:spacing w:line="240" w:lineRule="auto"/>
              <w:rPr>
                <w:color w:val="auto"/>
              </w:rPr>
            </w:pPr>
            <w:r>
              <w:rPr>
                <w:rFonts w:hint="eastAsia"/>
                <w:bCs/>
                <w:color w:val="auto"/>
              </w:rPr>
              <w:t xml:space="preserve">工作时间</w:t>
            </w:r>
            <w:r>
              <w:rPr>
                <w:rFonts w:hint="eastAsia"/>
                <w:color w:val="auto"/>
              </w:rPr>
              <w:t xml:space="preserve">07:30</w:t>
            </w:r>
            <w:r>
              <w:rPr>
                <w:rFonts w:ascii="Arial" w:hAnsi="Arial" w:cs="Arial"/>
                <w:color w:val="auto"/>
              </w:rPr>
              <w:t xml:space="preserve">~</w:t>
            </w:r>
            <w:r>
              <w:rPr>
                <w:rFonts w:hint="eastAsia"/>
                <w:color w:val="auto"/>
              </w:rPr>
              <w:t xml:space="preserve">11:30，13:00</w:t>
            </w:r>
            <w:r>
              <w:rPr>
                <w:rFonts w:ascii="Arial" w:hAnsi="Arial" w:cs="Arial"/>
                <w:color w:val="auto"/>
              </w:rPr>
              <w:t xml:space="preserve">~</w:t>
            </w:r>
            <w:r>
              <w:rPr>
                <w:rFonts w:hint="eastAsia"/>
                <w:color w:val="auto"/>
              </w:rPr>
              <w:t xml:space="preserve">17:00</w:t>
            </w:r>
            <w:r>
              <w:rPr>
                <w:rFonts w:hint="eastAsia"/>
                <w:bCs/>
                <w:color w:val="auto"/>
              </w:rPr>
              <w:t xml:space="preserve">，如遇持续性降雨、强降雨、台风等恶劣天</w:t>
            </w:r>
            <w:r>
              <w:rPr>
                <w:rFonts w:hint="eastAsia"/>
                <w:color w:val="auto"/>
              </w:rPr>
              <w:t xml:space="preserve">气，需全天候值班，手机保持24小时畅通;</w:t>
            </w:r>
            <w:r/>
          </w:p>
          <w:p>
            <w:pPr>
              <w:pStyle w:val="829"/>
              <w:numPr>
                <w:ilvl w:val="0"/>
                <w:numId w:val="7"/>
              </w:numPr>
              <w:ind w:firstLine="0"/>
              <w:spacing w:line="240" w:lineRule="auto"/>
              <w:rPr>
                <w:color w:val="auto"/>
              </w:rPr>
            </w:pPr>
            <w:r>
              <w:rPr>
                <w:rFonts w:hint="eastAsia"/>
                <w:color w:val="auto"/>
              </w:rPr>
              <w:t xml:space="preserve">工作职责：</w:t>
            </w:r>
            <w:r>
              <w:rPr>
                <w:rFonts w:hint="eastAsia"/>
                <w:bCs/>
                <w:color w:val="auto"/>
              </w:rPr>
              <w:t xml:space="preserve">负责</w:t>
            </w:r>
            <w:r>
              <w:rPr>
                <w:rFonts w:hint="eastAsia"/>
                <w:color w:val="auto"/>
              </w:rPr>
              <w:t xml:space="preserve">站闸的日常保洁，</w:t>
            </w:r>
            <w:r>
              <w:rPr>
                <w:rFonts w:hint="eastAsia"/>
                <w:bCs/>
                <w:color w:val="auto"/>
              </w:rPr>
              <w:t xml:space="preserve">办公场所管理工作，协助项目负责人处理问题；负责完成采购单位及上级主管部门安排的排涝等其他站闸看护相关工作。（看护人员值班值守，不可居住）</w:t>
            </w:r>
            <w:r/>
          </w:p>
        </w:tc>
        <w:tc>
          <w:tcPr>
            <w:tcW w:w="610" w:type="pct"/>
            <w:vAlign w:val="center"/>
            <w:textDirection w:val="lrTb"/>
            <w:noWrap w:val="false"/>
          </w:tcPr>
          <w:p>
            <w:pPr>
              <w:pStyle w:val="829"/>
              <w:ind w:firstLine="0"/>
              <w:spacing w:line="240" w:lineRule="auto"/>
              <w:rPr>
                <w:color w:val="auto"/>
              </w:rPr>
            </w:pPr>
            <w:r>
              <w:rPr>
                <w:rFonts w:hint="eastAsia"/>
                <w:color w:val="auto"/>
              </w:rPr>
              <w:t xml:space="preserve">全年常驻，每月不少于22工作日</w:t>
            </w:r>
            <w:r/>
          </w:p>
        </w:tc>
      </w:tr>
      <w:tr>
        <w:trPr>
          <w:trHeight w:val="20"/>
        </w:trPr>
        <w:tc>
          <w:tcPr>
            <w:tcW w:w="259" w:type="pct"/>
            <w:vAlign w:val="center"/>
            <w:textDirection w:val="lrTb"/>
            <w:noWrap w:val="false"/>
          </w:tcPr>
          <w:p>
            <w:pPr>
              <w:pStyle w:val="829"/>
              <w:ind w:firstLine="0"/>
              <w:spacing w:line="240" w:lineRule="auto"/>
              <w:rPr>
                <w:color w:val="auto"/>
              </w:rPr>
            </w:pPr>
            <w:r>
              <w:rPr>
                <w:rFonts w:hint="eastAsia"/>
                <w:color w:val="auto"/>
              </w:rPr>
              <w:t xml:space="preserve">5</w:t>
            </w:r>
            <w:r/>
          </w:p>
        </w:tc>
        <w:tc>
          <w:tcPr>
            <w:tcW w:w="359" w:type="pct"/>
            <w:vAlign w:val="center"/>
            <w:textDirection w:val="lrTb"/>
            <w:noWrap w:val="false"/>
          </w:tcPr>
          <w:p>
            <w:pPr>
              <w:pStyle w:val="829"/>
              <w:ind w:firstLine="0"/>
              <w:spacing w:line="240" w:lineRule="auto"/>
              <w:rPr>
                <w:color w:val="auto"/>
              </w:rPr>
            </w:pPr>
            <w:r>
              <w:rPr>
                <w:rFonts w:hint="eastAsia"/>
                <w:color w:val="auto"/>
              </w:rPr>
              <w:t xml:space="preserve">站闸看护人员（非汛期）</w:t>
            </w:r>
            <w:r/>
          </w:p>
        </w:tc>
        <w:tc>
          <w:tcPr>
            <w:tcW w:w="264" w:type="pct"/>
            <w:vAlign w:val="center"/>
            <w:textDirection w:val="lrTb"/>
            <w:noWrap w:val="false"/>
          </w:tcPr>
          <w:p>
            <w:pPr>
              <w:pStyle w:val="829"/>
              <w:ind w:firstLine="0"/>
              <w:spacing w:line="240" w:lineRule="auto"/>
              <w:rPr>
                <w:color w:val="auto"/>
              </w:rPr>
            </w:pPr>
            <w:r>
              <w:rPr>
                <w:rFonts w:hint="eastAsia"/>
                <w:color w:val="auto"/>
              </w:rPr>
              <w:t xml:space="preserve">28人</w:t>
            </w:r>
            <w:r/>
          </w:p>
        </w:tc>
        <w:tc>
          <w:tcPr>
            <w:tcW w:w="373" w:type="pct"/>
            <w:vAlign w:val="center"/>
            <w:textDirection w:val="lrTb"/>
            <w:noWrap w:val="false"/>
          </w:tcPr>
          <w:p>
            <w:pPr>
              <w:pStyle w:val="829"/>
              <w:ind w:firstLine="0"/>
              <w:spacing w:line="240" w:lineRule="auto"/>
              <w:rPr>
                <w:bCs/>
                <w:color w:val="auto"/>
              </w:rPr>
            </w:pPr>
            <w:r>
              <w:rPr>
                <w:rFonts w:hint="eastAsia"/>
                <w:bCs/>
                <w:color w:val="auto"/>
              </w:rPr>
              <w:t xml:space="preserve">65周岁以下</w:t>
            </w:r>
            <w:r/>
          </w:p>
        </w:tc>
        <w:tc>
          <w:tcPr>
            <w:tcW w:w="259" w:type="pct"/>
            <w:vAlign w:val="center"/>
            <w:textDirection w:val="lrTb"/>
            <w:noWrap w:val="false"/>
          </w:tcPr>
          <w:p>
            <w:pPr>
              <w:pStyle w:val="829"/>
              <w:ind w:firstLine="0"/>
              <w:spacing w:line="240" w:lineRule="auto"/>
              <w:rPr>
                <w:color w:val="auto"/>
              </w:rPr>
            </w:pPr>
            <w:r>
              <w:rPr>
                <w:rFonts w:hint="eastAsia"/>
                <w:color w:val="auto"/>
              </w:rPr>
              <w:t xml:space="preserve">男</w:t>
            </w:r>
            <w:r/>
          </w:p>
        </w:tc>
        <w:tc>
          <w:tcPr>
            <w:tcW w:w="2874" w:type="pct"/>
            <w:textDirection w:val="lrTb"/>
            <w:noWrap w:val="false"/>
          </w:tcPr>
          <w:p>
            <w:pPr>
              <w:pStyle w:val="829"/>
              <w:numPr>
                <w:ilvl w:val="0"/>
                <w:numId w:val="8"/>
              </w:numPr>
              <w:ind w:firstLine="0"/>
              <w:spacing w:line="240" w:lineRule="auto"/>
              <w:rPr>
                <w:color w:val="auto"/>
              </w:rPr>
            </w:pPr>
            <w:r>
              <w:rPr>
                <w:rFonts w:hint="eastAsia"/>
                <w:bCs/>
                <w:color w:val="auto"/>
              </w:rPr>
              <w:t xml:space="preserve">工作时间</w:t>
            </w:r>
            <w:r>
              <w:rPr>
                <w:rFonts w:hint="eastAsia"/>
                <w:color w:val="auto"/>
              </w:rPr>
              <w:t xml:space="preserve">07:30</w:t>
            </w:r>
            <w:r>
              <w:rPr>
                <w:rFonts w:ascii="Arial" w:hAnsi="Arial" w:cs="Arial"/>
                <w:color w:val="auto"/>
              </w:rPr>
              <w:t xml:space="preserve">~</w:t>
            </w:r>
            <w:r>
              <w:rPr>
                <w:rFonts w:hint="eastAsia"/>
                <w:color w:val="auto"/>
              </w:rPr>
              <w:t xml:space="preserve">11:30，13:00</w:t>
            </w:r>
            <w:r>
              <w:rPr>
                <w:rFonts w:ascii="Arial" w:hAnsi="Arial" w:cs="Arial"/>
                <w:color w:val="auto"/>
              </w:rPr>
              <w:t xml:space="preserve">~</w:t>
            </w:r>
            <w:r>
              <w:rPr>
                <w:rFonts w:hint="eastAsia"/>
                <w:color w:val="auto"/>
              </w:rPr>
              <w:t xml:space="preserve">17:00</w:t>
            </w:r>
            <w:r>
              <w:rPr>
                <w:rFonts w:hint="eastAsia"/>
                <w:bCs/>
                <w:color w:val="auto"/>
              </w:rPr>
              <w:t xml:space="preserve">，如遇持续性降雨、强降雨、台风等恶劣天</w:t>
            </w:r>
            <w:r>
              <w:rPr>
                <w:rFonts w:hint="eastAsia"/>
                <w:color w:val="auto"/>
              </w:rPr>
              <w:t xml:space="preserve">气，需全天候值班，手机保持24小时畅通;</w:t>
            </w:r>
            <w:r/>
          </w:p>
          <w:p>
            <w:pPr>
              <w:pStyle w:val="829"/>
              <w:numPr>
                <w:ilvl w:val="0"/>
                <w:numId w:val="8"/>
              </w:numPr>
              <w:ind w:firstLine="0"/>
              <w:spacing w:line="240" w:lineRule="auto"/>
              <w:rPr>
                <w:color w:val="auto"/>
              </w:rPr>
            </w:pPr>
            <w:r>
              <w:rPr>
                <w:rFonts w:hint="eastAsia"/>
                <w:color w:val="auto"/>
              </w:rPr>
              <w:t xml:space="preserve">工作职责：</w:t>
            </w:r>
            <w:r>
              <w:rPr>
                <w:rFonts w:hint="eastAsia"/>
                <w:bCs/>
                <w:color w:val="auto"/>
              </w:rPr>
              <w:t xml:space="preserve">负责</w:t>
            </w:r>
            <w:r>
              <w:rPr>
                <w:rFonts w:hint="eastAsia"/>
                <w:color w:val="auto"/>
              </w:rPr>
              <w:t xml:space="preserve">站闸的日常保洁，</w:t>
            </w:r>
            <w:r>
              <w:rPr>
                <w:rFonts w:hint="eastAsia"/>
                <w:bCs/>
                <w:color w:val="auto"/>
              </w:rPr>
              <w:t xml:space="preserve">办公场所管理工作，协助项目负责人处理问题；负责完成采购单位及上级主管部门安排的排涝等其他站闸看护相关工作。（看护人员值班值守，不可居住）</w:t>
            </w:r>
            <w:r/>
          </w:p>
        </w:tc>
        <w:tc>
          <w:tcPr>
            <w:tcW w:w="610" w:type="pct"/>
            <w:vAlign w:val="center"/>
            <w:textDirection w:val="lrTb"/>
            <w:noWrap w:val="false"/>
          </w:tcPr>
          <w:p>
            <w:pPr>
              <w:pStyle w:val="829"/>
              <w:ind w:firstLine="0"/>
              <w:spacing w:line="240" w:lineRule="auto"/>
              <w:rPr>
                <w:color w:val="auto"/>
              </w:rPr>
            </w:pPr>
            <w:r>
              <w:rPr>
                <w:rFonts w:hint="eastAsia"/>
                <w:color w:val="auto"/>
              </w:rPr>
              <w:t xml:space="preserve">全年常驻，每月不少于22工作日</w:t>
            </w:r>
            <w:r/>
          </w:p>
        </w:tc>
      </w:tr>
    </w:tbl>
    <w:p>
      <w:pPr>
        <w:pStyle w:val="829"/>
        <w:rPr>
          <w:b/>
          <w:color w:val="auto"/>
        </w:rPr>
      </w:pPr>
      <w:r>
        <w:rPr>
          <w:rFonts w:hint="eastAsia"/>
          <w:b/>
          <w:color w:val="auto"/>
        </w:rPr>
        <w:t xml:space="preserve">（二）其他要求：</w:t>
      </w:r>
      <w:r/>
    </w:p>
    <w:p>
      <w:pPr>
        <w:pStyle w:val="829"/>
        <w:rPr>
          <w:b/>
          <w:color w:val="auto"/>
        </w:rPr>
      </w:pPr>
      <w:r>
        <w:rPr>
          <w:rFonts w:hint="eastAsia"/>
          <w:b/>
          <w:color w:val="auto"/>
        </w:rPr>
        <w:t xml:space="preserve">1.项目负责人须提供水利工程专业中级工程师职称证书扫描件及水利水电专业安全生产考核合格证扫描件，谈判单位近期为其缴纳社保的证明并加盖公章。</w:t>
      </w:r>
      <w:r/>
    </w:p>
    <w:p>
      <w:pPr>
        <w:pStyle w:val="829"/>
        <w:rPr>
          <w:b/>
          <w:color w:val="auto"/>
        </w:rPr>
      </w:pPr>
      <w:r>
        <w:rPr>
          <w:rFonts w:hint="eastAsia"/>
          <w:b/>
          <w:color w:val="auto"/>
        </w:rPr>
        <w:t xml:space="preserve">2.专职技术负责人须提供水利工程专业工程师职称证书扫描件，谈判单位近期为其缴纳社保的证明并加盖公章。</w:t>
      </w:r>
      <w:r/>
    </w:p>
    <w:p>
      <w:pPr>
        <w:pStyle w:val="829"/>
        <w:rPr>
          <w:b/>
          <w:color w:val="auto"/>
        </w:rPr>
      </w:pPr>
      <w:r>
        <w:rPr>
          <w:rFonts w:hint="eastAsia"/>
          <w:b/>
          <w:color w:val="auto"/>
        </w:rPr>
        <w:t xml:space="preserve">3.圩区管理人员须提供1人高压电工作业证书扫描件，1人闸门运行工证书扫描件，1人泵站运行工证书扫描件；谈判单位近期为其缴纳社保的证明并加盖公章。</w:t>
      </w:r>
      <w:r/>
    </w:p>
    <w:p>
      <w:pPr>
        <w:pStyle w:val="829"/>
        <w:rPr>
          <w:b/>
          <w:color w:val="auto"/>
        </w:rPr>
      </w:pPr>
      <w:r>
        <w:rPr>
          <w:rFonts w:hint="eastAsia"/>
          <w:b/>
          <w:color w:val="auto"/>
        </w:rPr>
        <w:t xml:space="preserve">4.谈判单位2023年1月1日至投标截止日（以合同签订时间为准），承担过水利设施看护或水利设施维修业绩（提供合同扫描件并加盖公章）。</w:t>
      </w:r>
      <w:r/>
    </w:p>
    <w:p>
      <w:pPr>
        <w:pStyle w:val="829"/>
        <w:rPr>
          <w:b/>
          <w:color w:val="auto"/>
        </w:rPr>
      </w:pPr>
      <w:r>
        <w:rPr>
          <w:rFonts w:hint="eastAsia"/>
          <w:b/>
          <w:color w:val="auto"/>
        </w:rPr>
        <w:t xml:space="preserve">注：以上材料未按要求提供做无效标处理。</w:t>
      </w:r>
      <w:r/>
    </w:p>
    <w:p>
      <w:pPr>
        <w:pStyle w:val="829"/>
        <w:rPr>
          <w:b/>
          <w:color w:val="auto"/>
        </w:rPr>
      </w:pPr>
      <w:r>
        <w:rPr>
          <w:rFonts w:hint="eastAsia"/>
          <w:b/>
          <w:color w:val="auto"/>
        </w:rPr>
        <w:t xml:space="preserve">四、服务要求</w:t>
      </w:r>
      <w:r/>
    </w:p>
    <w:p>
      <w:pPr>
        <w:pStyle w:val="829"/>
        <w:rPr>
          <w:b/>
          <w:color w:val="auto"/>
        </w:rPr>
      </w:pPr>
      <w:r>
        <w:rPr>
          <w:rFonts w:hint="eastAsia"/>
          <w:b/>
          <w:color w:val="auto"/>
        </w:rPr>
        <w:t xml:space="preserve">（一）基本要求</w:t>
      </w:r>
      <w:r/>
    </w:p>
    <w:p>
      <w:pPr>
        <w:pStyle w:val="829"/>
        <w:rPr>
          <w:bCs/>
          <w:color w:val="auto"/>
        </w:rPr>
      </w:pPr>
      <w:r>
        <w:rPr>
          <w:rFonts w:hint="eastAsia"/>
          <w:color w:val="auto"/>
        </w:rPr>
        <w:t xml:space="preserve">（1）</w:t>
      </w:r>
      <w:r>
        <w:rPr>
          <w:rFonts w:hint="eastAsia"/>
          <w:bCs/>
          <w:color w:val="auto"/>
        </w:rPr>
        <w:t xml:space="preserve">负责泵站和水闸运行管理、安全管理工作。</w:t>
      </w:r>
      <w:r/>
    </w:p>
    <w:p>
      <w:pPr>
        <w:pStyle w:val="829"/>
        <w:rPr>
          <w:bCs/>
          <w:color w:val="auto"/>
        </w:rPr>
      </w:pPr>
      <w:r>
        <w:rPr>
          <w:rFonts w:hint="eastAsia"/>
          <w:bCs/>
          <w:color w:val="auto"/>
        </w:rPr>
        <w:t xml:space="preserve">（2）承担泵站和水闸运行及非运行期间的安全责任。</w:t>
      </w:r>
      <w:r/>
    </w:p>
    <w:p>
      <w:pPr>
        <w:pStyle w:val="829"/>
        <w:rPr>
          <w:bCs/>
          <w:color w:val="auto"/>
        </w:rPr>
      </w:pPr>
      <w:r>
        <w:rPr>
          <w:rFonts w:hint="eastAsia"/>
          <w:bCs/>
          <w:color w:val="auto"/>
        </w:rPr>
        <w:t xml:space="preserve">（3）准确迅速响应采购单位泵站开停机指令，开停机操作规范、水闸运行指令及操作规范。</w:t>
      </w:r>
      <w:r/>
    </w:p>
    <w:p>
      <w:pPr>
        <w:pStyle w:val="829"/>
        <w:rPr>
          <w:bCs/>
          <w:color w:val="auto"/>
        </w:rPr>
      </w:pPr>
      <w:r>
        <w:rPr>
          <w:rFonts w:hint="eastAsia"/>
          <w:bCs/>
          <w:color w:val="auto"/>
        </w:rPr>
        <w:t xml:space="preserve">（4）做好泵站和水闸设备的日常管理，保障设备可靠整洁。</w:t>
      </w:r>
      <w:r/>
    </w:p>
    <w:p>
      <w:pPr>
        <w:pStyle w:val="829"/>
        <w:rPr>
          <w:bCs/>
          <w:color w:val="auto"/>
        </w:rPr>
      </w:pPr>
      <w:r>
        <w:rPr>
          <w:rFonts w:hint="eastAsia"/>
          <w:bCs/>
          <w:color w:val="auto"/>
        </w:rPr>
        <w:t xml:space="preserve">（5）28座排涝泵站维护保养，汛前汛后各一次，共2次。包括电机绕阻检测，电机接线桩头检查，联轴器连接竖销检查，电机、水泵轴承声音辨别检测，泵外观检查、开动运行泵检测，电动机注加新黄油，水泵轴承箱机油消耗添加，电机、水泵除锈油漆等。</w:t>
      </w:r>
      <w:r/>
    </w:p>
    <w:p>
      <w:pPr>
        <w:pStyle w:val="829"/>
        <w:rPr>
          <w:bCs/>
          <w:color w:val="auto"/>
        </w:rPr>
      </w:pPr>
      <w:r>
        <w:rPr>
          <w:rFonts w:hint="eastAsia"/>
          <w:bCs/>
          <w:color w:val="auto"/>
        </w:rPr>
        <w:t xml:space="preserve">（6）78座防洪闸维护保养，汛前汛后各一次，共2次。包括启闭机电动机检测加油，刹车检测、调节张紧度，齿轮除污、齿轮箱加油，钢丝绳除污检查、涂油层，钢丝绳滚筒运行检查，搁门器调试加油等。</w:t>
      </w:r>
      <w:r/>
    </w:p>
    <w:p>
      <w:pPr>
        <w:pStyle w:val="829"/>
        <w:rPr>
          <w:b/>
          <w:color w:val="auto"/>
        </w:rPr>
      </w:pPr>
      <w:r>
        <w:rPr>
          <w:rFonts w:hint="eastAsia"/>
          <w:b/>
          <w:color w:val="auto"/>
        </w:rPr>
        <w:t xml:space="preserve">（二）整体要求</w:t>
      </w:r>
      <w:r/>
    </w:p>
    <w:p>
      <w:pPr>
        <w:pStyle w:val="829"/>
        <w:rPr>
          <w:bCs/>
          <w:color w:val="auto"/>
        </w:rPr>
      </w:pPr>
      <w:r>
        <w:rPr>
          <w:rFonts w:hint="eastAsia"/>
          <w:bCs/>
          <w:color w:val="auto"/>
        </w:rPr>
        <w:t xml:space="preserve">（1）检查各类规章制度上墙，各类标识标牌规范齐全，醒目美观，发现问题上报。</w:t>
      </w:r>
      <w:r/>
    </w:p>
    <w:p>
      <w:pPr>
        <w:pStyle w:val="829"/>
        <w:rPr>
          <w:bCs/>
          <w:color w:val="auto"/>
        </w:rPr>
      </w:pPr>
      <w:r>
        <w:rPr>
          <w:rFonts w:hint="eastAsia"/>
          <w:bCs/>
          <w:color w:val="auto"/>
        </w:rPr>
        <w:t xml:space="preserve">（2）保持好站容站貌，室内外整齐清洁，无乱堆放，泵房、配电房、发电机房、变电室等功能间禁止放置无关物品。房屋无损漏，门窗齐全，站闸管理范围内无“四乱”（乱垦乱种、乱搭乱建、乱堆乱放、乱晒乱挂）及畜禽养殖等脏乱差现象。</w:t>
      </w:r>
      <w:r/>
    </w:p>
    <w:p>
      <w:pPr>
        <w:pStyle w:val="829"/>
        <w:rPr>
          <w:bCs/>
          <w:color w:val="auto"/>
        </w:rPr>
      </w:pPr>
      <w:r>
        <w:rPr>
          <w:rFonts w:hint="eastAsia"/>
          <w:bCs/>
          <w:color w:val="auto"/>
        </w:rPr>
        <w:t xml:space="preserve">（3）做到熟悉设施设备操作规程，严格遵守操作程序，禁止麻木蛮干，禁止无调度私自运行设备。</w:t>
      </w:r>
      <w:r/>
    </w:p>
    <w:p>
      <w:pPr>
        <w:pStyle w:val="829"/>
        <w:rPr>
          <w:color w:val="auto"/>
        </w:rPr>
      </w:pPr>
      <w:r>
        <w:rPr>
          <w:rFonts w:hint="eastAsia"/>
          <w:bCs/>
          <w:color w:val="auto"/>
        </w:rPr>
        <w:t xml:space="preserve">（4）严禁擅自出租、外借站闸设备；严禁外来人员居住、逗留；严禁私自外接电源、外接水现象；严禁无关人员进入站</w:t>
      </w:r>
      <w:r>
        <w:rPr>
          <w:rFonts w:hint="eastAsia"/>
          <w:color w:val="auto"/>
        </w:rPr>
        <w:t xml:space="preserve">闸区域内，严禁私自在闸站内留宿、严禁站闸内聚会、聚餐；严禁站闸内从事赌博等违法违规行为。</w:t>
      </w:r>
      <w:r/>
    </w:p>
    <w:p>
      <w:pPr>
        <w:pStyle w:val="829"/>
        <w:rPr>
          <w:color w:val="auto"/>
        </w:rPr>
      </w:pPr>
      <w:r>
        <w:rPr>
          <w:rFonts w:hint="eastAsia"/>
          <w:color w:val="auto"/>
        </w:rPr>
        <w:t xml:space="preserve">（5）站区内绿化修剪整齐，搭配合理，无杂草杂物；站区周边范围及主要通道两侧整洁，绿化修剪整齐，无杂草杂物。</w:t>
      </w:r>
      <w:r/>
    </w:p>
    <w:p>
      <w:pPr>
        <w:pStyle w:val="829"/>
        <w:rPr>
          <w:color w:val="auto"/>
        </w:rPr>
      </w:pPr>
      <w:r>
        <w:rPr>
          <w:rFonts w:hint="eastAsia"/>
          <w:color w:val="auto"/>
        </w:rPr>
        <w:t xml:space="preserve">（6）电瓶车停放整齐有序，严禁在室内等相对封闭空间内停放或充电。</w:t>
      </w:r>
      <w:r/>
    </w:p>
    <w:p>
      <w:pPr>
        <w:pStyle w:val="829"/>
        <w:rPr>
          <w:color w:val="auto"/>
        </w:rPr>
      </w:pPr>
      <w:r>
        <w:rPr>
          <w:rFonts w:hint="eastAsia"/>
          <w:color w:val="auto"/>
        </w:rPr>
        <w:t xml:space="preserve">（7）堤防无掏空、渗漏、管涌及乱搭建、畜禽养殖、垦种现象；定期对闸口两侧清理，无生活垃圾、建筑垃圾、各类杂物；岸线整洁，绿化养护到位，无杂物、垃圾等。</w:t>
      </w:r>
      <w:r/>
    </w:p>
    <w:p>
      <w:pPr>
        <w:pStyle w:val="829"/>
        <w:rPr>
          <w:color w:val="auto"/>
        </w:rPr>
      </w:pPr>
      <w:r>
        <w:rPr>
          <w:rFonts w:hint="eastAsia"/>
          <w:color w:val="auto"/>
        </w:rPr>
        <w:t xml:space="preserve">（8）各类设施设备清洁完好，接电良好可靠。机泵表面洁净，无油污、灰尘，运行平稳，无异常震动及噪音；轴承润滑良好，油封密封可靠；橡皮轴承排水管理通畅，润滑安全可靠。出水拍门开闭灵活，止水良好，水泵出水流量正常。配电盘、操作盘整洁，走线整齐，仪表、指示灯完好，指示正确，刀闸、开关、按钮操作顺畅。照明开关、插座、灯具完好。变压器、避雷器、熔丝具、电缆完好。闸门完好，启动灵活，密封可靠，止水良好，配套设备齐全，保养良好，运行可靠。</w:t>
      </w:r>
      <w:r/>
    </w:p>
    <w:p>
      <w:pPr>
        <w:pStyle w:val="829"/>
        <w:rPr>
          <w:color w:val="auto"/>
        </w:rPr>
      </w:pPr>
      <w:r>
        <w:rPr>
          <w:rFonts w:hint="eastAsia"/>
          <w:color w:val="auto"/>
        </w:rPr>
        <w:t xml:space="preserve">（9）各项安全设施配套齐全，保存完好，安全警示标牌醒目。</w:t>
      </w:r>
      <w:r/>
    </w:p>
    <w:p>
      <w:pPr>
        <w:pStyle w:val="829"/>
        <w:rPr>
          <w:color w:val="auto"/>
        </w:rPr>
      </w:pPr>
      <w:r>
        <w:rPr>
          <w:rFonts w:hint="eastAsia"/>
          <w:color w:val="auto"/>
        </w:rPr>
        <w:t xml:space="preserve">（10）上岗精神饱满、举止文明、坐端站直、大方得体、值勤时不抽烟、不叉腰、不前倾后靠、不弯腰驼背，不看书、看报、不做与工作无关的事。</w:t>
      </w:r>
      <w:r/>
    </w:p>
    <w:p>
      <w:pPr>
        <w:pStyle w:val="829"/>
        <w:rPr>
          <w:color w:val="auto"/>
        </w:rPr>
      </w:pPr>
      <w:r>
        <w:rPr>
          <w:rFonts w:hint="eastAsia"/>
          <w:color w:val="auto"/>
        </w:rPr>
        <w:t xml:space="preserve">（11）强降雨、台风等特殊天气实行24小时值班，保持通讯畅通，真实详细地做好泵站运行记录，值班期间不得有饮酒等现象。汛期及突发性暴雨灾害天气要加强站闸值班。对站闸值班情况不定期进行抽查。</w:t>
      </w:r>
      <w:r/>
    </w:p>
    <w:p>
      <w:pPr>
        <w:pStyle w:val="829"/>
        <w:rPr>
          <w:color w:val="auto"/>
        </w:rPr>
      </w:pPr>
      <w:r>
        <w:rPr>
          <w:rFonts w:hint="eastAsia"/>
          <w:color w:val="auto"/>
        </w:rPr>
        <w:t xml:space="preserve">（12）做好防盗、防破坏水利设施工作。</w:t>
      </w:r>
      <w:r/>
    </w:p>
    <w:p>
      <w:pPr>
        <w:pStyle w:val="829"/>
        <w:rPr>
          <w:color w:val="auto"/>
        </w:rPr>
      </w:pPr>
      <w:r>
        <w:rPr>
          <w:rFonts w:hint="eastAsia"/>
          <w:color w:val="auto"/>
        </w:rPr>
        <w:t xml:space="preserve">（13）严格用水用电用气安全，不得私拉乱接，不得使用大功率电器，不得室内电瓶车充电、不得使用液化气钢瓶，不得存储易燃易爆物品。</w:t>
      </w:r>
      <w:r/>
    </w:p>
    <w:p>
      <w:pPr>
        <w:pStyle w:val="829"/>
        <w:rPr>
          <w:color w:val="auto"/>
        </w:rPr>
      </w:pPr>
      <w:r>
        <w:rPr>
          <w:rFonts w:hint="eastAsia"/>
          <w:color w:val="auto"/>
        </w:rPr>
        <w:t xml:space="preserve">（14）安全配套设施齐全，走线整齐，接地良好。配备必要的消防器材，做到会检查、使用消防器材。</w:t>
      </w:r>
      <w:r/>
    </w:p>
    <w:p>
      <w:pPr>
        <w:pStyle w:val="829"/>
        <w:rPr>
          <w:color w:val="auto"/>
        </w:rPr>
      </w:pPr>
      <w:r>
        <w:rPr>
          <w:rFonts w:hint="eastAsia"/>
          <w:color w:val="auto"/>
        </w:rPr>
        <w:t xml:space="preserve">（15）发现各类问题、隐患，第一时间解决，无法解决的要及时上报。</w:t>
      </w:r>
      <w:r/>
    </w:p>
    <w:p>
      <w:pPr>
        <w:pStyle w:val="829"/>
        <w:rPr>
          <w:color w:val="auto"/>
        </w:rPr>
      </w:pPr>
      <w:r>
        <w:rPr>
          <w:rFonts w:hint="eastAsia"/>
          <w:color w:val="auto"/>
        </w:rPr>
        <w:t xml:space="preserve">（16）严格执行各级及采购人关于站闸看护的其他制度和要求。</w:t>
      </w:r>
      <w:r/>
    </w:p>
    <w:p>
      <w:pPr>
        <w:pStyle w:val="829"/>
        <w:rPr>
          <w:b/>
          <w:color w:val="auto"/>
        </w:rPr>
      </w:pPr>
      <w:r>
        <w:rPr>
          <w:rFonts w:hint="eastAsia"/>
          <w:b/>
          <w:color w:val="auto"/>
        </w:rPr>
        <w:t xml:space="preserve">（三）问题记录与上报</w:t>
      </w:r>
      <w:r/>
    </w:p>
    <w:p>
      <w:pPr>
        <w:pStyle w:val="829"/>
        <w:rPr>
          <w:b/>
          <w:bCs/>
          <w:color w:val="auto"/>
        </w:rPr>
      </w:pPr>
      <w:r>
        <w:rPr>
          <w:rFonts w:hint="eastAsia"/>
          <w:color w:val="auto"/>
        </w:rPr>
        <w:t xml:space="preserve">其他相关业务人员保持良好的沟通和协作，原则上每周开展一次例会，互相学习、交流经验，提高工作效率。由资料员负责汇总会议纪要并汇总相应台账，每周五下班前提交至甲方。</w:t>
      </w:r>
      <w:r>
        <w:rPr>
          <w:rFonts w:hint="eastAsia"/>
          <w:b/>
          <w:bCs/>
          <w:color w:val="auto"/>
        </w:rPr>
        <w:t xml:space="preserve">（详见下表3.1）</w:t>
      </w:r>
      <w:r/>
    </w:p>
    <w:p>
      <w:pPr>
        <w:pStyle w:val="829"/>
        <w:rPr>
          <w:color w:val="auto"/>
        </w:rPr>
      </w:pPr>
      <w:r>
        <w:rPr>
          <w:rFonts w:hint="eastAsia"/>
          <w:color w:val="auto"/>
        </w:rPr>
        <w:t xml:space="preserve">（1）设备巡检人员</w:t>
      </w:r>
      <w:r/>
    </w:p>
    <w:p>
      <w:pPr>
        <w:pStyle w:val="829"/>
        <w:rPr>
          <w:color w:val="auto"/>
        </w:rPr>
      </w:pPr>
      <w:r>
        <w:rPr>
          <w:rFonts w:hint="eastAsia"/>
          <w:color w:val="auto"/>
        </w:rPr>
        <w:t xml:space="preserve">1.</w:t>
      </w:r>
      <w:r>
        <w:rPr>
          <w:color w:val="auto"/>
        </w:rPr>
        <w:t xml:space="preserve">巡检人员需在每次巡检后形成报告，</w:t>
      </w:r>
      <w:r>
        <w:rPr>
          <w:rFonts w:hint="eastAsia"/>
          <w:color w:val="auto"/>
        </w:rPr>
        <w:t xml:space="preserve">由项目部汇总</w:t>
      </w:r>
      <w:r>
        <w:rPr>
          <w:color w:val="auto"/>
        </w:rPr>
        <w:t xml:space="preserve">每周</w:t>
      </w:r>
      <w:r>
        <w:rPr>
          <w:rFonts w:hint="eastAsia"/>
          <w:color w:val="auto"/>
        </w:rPr>
        <w:t xml:space="preserve">向甲方</w:t>
      </w:r>
      <w:r>
        <w:rPr>
          <w:color w:val="auto"/>
        </w:rPr>
        <w:t xml:space="preserve">提交巡检报告，记录巡检过程中发现的问题、处理情况以及需要进一步关注的风险点。</w:t>
      </w:r>
      <w:r/>
    </w:p>
    <w:p>
      <w:pPr>
        <w:pStyle w:val="829"/>
        <w:rPr>
          <w:color w:val="auto"/>
        </w:rPr>
      </w:pPr>
      <w:r>
        <w:rPr>
          <w:rFonts w:hint="eastAsia"/>
          <w:color w:val="auto"/>
        </w:rPr>
        <w:t xml:space="preserve">2.</w:t>
      </w:r>
      <w:r>
        <w:rPr>
          <w:color w:val="auto"/>
        </w:rPr>
        <w:t xml:space="preserve">巡检报告应包括设备运行状态、检查项目、检查结果、存在问题及处理建议等内容。</w:t>
      </w:r>
      <w:r/>
    </w:p>
    <w:p>
      <w:pPr>
        <w:pStyle w:val="829"/>
        <w:rPr>
          <w:color w:val="auto"/>
        </w:rPr>
      </w:pPr>
      <w:r>
        <w:rPr>
          <w:rFonts w:hint="eastAsia"/>
          <w:color w:val="auto"/>
        </w:rPr>
        <w:t xml:space="preserve">3.</w:t>
      </w:r>
      <w:r>
        <w:rPr>
          <w:color w:val="auto"/>
        </w:rPr>
        <w:t xml:space="preserve">巡检报告应提交给相关负责人进行审核，确保问题得到及时处理。</w:t>
      </w:r>
      <w:r/>
    </w:p>
    <w:p>
      <w:pPr>
        <w:pStyle w:val="829"/>
        <w:rPr>
          <w:color w:val="auto"/>
        </w:rPr>
      </w:pPr>
      <w:r>
        <w:rPr>
          <w:rFonts w:hint="eastAsia"/>
          <w:color w:val="auto"/>
        </w:rPr>
        <w:t xml:space="preserve">4.</w:t>
      </w:r>
      <w:r>
        <w:rPr>
          <w:color w:val="auto"/>
        </w:rPr>
        <w:t xml:space="preserve">巡检人员的巡检记录应妥善保存，以便进行设备状态分析、故障追踪以及后续维修保养计划制定。</w:t>
      </w:r>
      <w:r/>
    </w:p>
    <w:p>
      <w:pPr>
        <w:pStyle w:val="829"/>
        <w:rPr>
          <w:color w:val="auto"/>
        </w:rPr>
      </w:pPr>
      <w:r>
        <w:rPr>
          <w:rFonts w:hint="eastAsia"/>
          <w:color w:val="auto"/>
        </w:rPr>
        <w:t xml:space="preserve">5.表3.1</w:t>
      </w:r>
      <w:r/>
    </w:p>
    <w:tbl>
      <w:tblPr>
        <w:tblStyle w:val="8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936"/>
        <w:gridCol w:w="3528"/>
        <w:gridCol w:w="2576"/>
      </w:tblGrid>
      <w:tr>
        <w:trPr>
          <w:trHeight w:val="340"/>
        </w:trPr>
        <w:tc>
          <w:tcPr>
            <w:tcW w:w="420" w:type="pct"/>
            <w:vAlign w:val="center"/>
            <w:textDirection w:val="lrTb"/>
            <w:noWrap w:val="false"/>
          </w:tcPr>
          <w:p>
            <w:pPr>
              <w:pStyle w:val="829"/>
              <w:ind w:firstLine="0"/>
              <w:spacing w:line="240" w:lineRule="auto"/>
              <w:rPr>
                <w:color w:val="auto"/>
              </w:rPr>
            </w:pPr>
            <w:r>
              <w:rPr>
                <w:rFonts w:hint="eastAsia"/>
                <w:color w:val="auto"/>
              </w:rPr>
              <w:t xml:space="preserve">序号</w:t>
            </w:r>
            <w:r/>
          </w:p>
        </w:tc>
        <w:tc>
          <w:tcPr>
            <w:tcW w:w="1103" w:type="pct"/>
            <w:vAlign w:val="center"/>
            <w:textDirection w:val="lrTb"/>
            <w:noWrap w:val="false"/>
          </w:tcPr>
          <w:p>
            <w:pPr>
              <w:pStyle w:val="829"/>
              <w:ind w:firstLine="0"/>
              <w:spacing w:line="240" w:lineRule="auto"/>
              <w:rPr>
                <w:color w:val="auto"/>
              </w:rPr>
            </w:pPr>
            <w:r>
              <w:rPr>
                <w:rFonts w:hint="eastAsia"/>
                <w:color w:val="auto"/>
              </w:rPr>
              <w:t xml:space="preserve">项目</w:t>
            </w:r>
            <w:r/>
          </w:p>
        </w:tc>
        <w:tc>
          <w:tcPr>
            <w:tcW w:w="2010" w:type="pct"/>
            <w:vAlign w:val="center"/>
            <w:textDirection w:val="lrTb"/>
            <w:noWrap w:val="false"/>
          </w:tcPr>
          <w:p>
            <w:pPr>
              <w:pStyle w:val="829"/>
              <w:ind w:firstLine="0"/>
              <w:spacing w:line="240" w:lineRule="auto"/>
              <w:rPr>
                <w:color w:val="auto"/>
              </w:rPr>
            </w:pPr>
            <w:r>
              <w:rPr>
                <w:rFonts w:hint="eastAsia"/>
                <w:color w:val="auto"/>
              </w:rPr>
              <w:t xml:space="preserve">工作频次</w:t>
            </w:r>
            <w:r/>
          </w:p>
        </w:tc>
        <w:tc>
          <w:tcPr>
            <w:tcW w:w="1467" w:type="pct"/>
            <w:vAlign w:val="center"/>
            <w:textDirection w:val="lrTb"/>
            <w:noWrap w:val="false"/>
          </w:tcPr>
          <w:p>
            <w:pPr>
              <w:pStyle w:val="829"/>
              <w:ind w:firstLine="0"/>
              <w:spacing w:line="240" w:lineRule="auto"/>
              <w:rPr>
                <w:color w:val="auto"/>
              </w:rPr>
            </w:pPr>
            <w:r>
              <w:rPr>
                <w:rFonts w:hint="eastAsia"/>
                <w:color w:val="auto"/>
              </w:rPr>
              <w:t xml:space="preserve">所需台账</w:t>
            </w:r>
            <w:r/>
          </w:p>
        </w:tc>
      </w:tr>
      <w:tr>
        <w:trPr>
          <w:trHeight w:val="340"/>
        </w:trPr>
        <w:tc>
          <w:tcPr>
            <w:tcW w:w="420" w:type="pct"/>
            <w:vAlign w:val="center"/>
            <w:textDirection w:val="lrTb"/>
            <w:noWrap w:val="false"/>
          </w:tcPr>
          <w:p>
            <w:pPr>
              <w:pStyle w:val="829"/>
              <w:ind w:firstLine="0"/>
              <w:spacing w:line="240" w:lineRule="auto"/>
              <w:rPr>
                <w:color w:val="auto"/>
              </w:rPr>
            </w:pPr>
            <w:r>
              <w:rPr>
                <w:rFonts w:hint="eastAsia"/>
                <w:color w:val="auto"/>
              </w:rPr>
              <w:t xml:space="preserve">1</w:t>
            </w:r>
            <w:r/>
          </w:p>
        </w:tc>
        <w:tc>
          <w:tcPr>
            <w:tcW w:w="1103" w:type="pct"/>
            <w:vAlign w:val="center"/>
            <w:textDirection w:val="lrTb"/>
            <w:noWrap w:val="false"/>
          </w:tcPr>
          <w:p>
            <w:pPr>
              <w:pStyle w:val="829"/>
              <w:ind w:firstLine="0"/>
              <w:spacing w:line="240" w:lineRule="auto"/>
              <w:rPr>
                <w:color w:val="auto"/>
              </w:rPr>
            </w:pPr>
            <w:r>
              <w:rPr>
                <w:rFonts w:hint="eastAsia"/>
                <w:color w:val="auto"/>
              </w:rPr>
              <w:t xml:space="preserve">钢闸门巡检</w:t>
            </w:r>
            <w:r/>
          </w:p>
        </w:tc>
        <w:tc>
          <w:tcPr>
            <w:tcW w:w="2010" w:type="pct"/>
            <w:vAlign w:val="center"/>
            <w:vMerge w:val="restart"/>
            <w:textDirection w:val="lrTb"/>
            <w:noWrap w:val="false"/>
          </w:tcPr>
          <w:p>
            <w:pPr>
              <w:pStyle w:val="829"/>
              <w:ind w:firstLine="0"/>
              <w:spacing w:line="240" w:lineRule="auto"/>
              <w:rPr>
                <w:color w:val="auto"/>
              </w:rPr>
            </w:pPr>
            <w:r>
              <w:rPr>
                <w:rFonts w:hint="eastAsia"/>
                <w:color w:val="auto"/>
              </w:rPr>
              <w:t xml:space="preserve">每月完成一次整体全部设备的巡检和试运行，汛期时巡检及试运行次数翻倍为每月二次。</w:t>
            </w:r>
            <w:r/>
          </w:p>
        </w:tc>
        <w:tc>
          <w:tcPr>
            <w:tcW w:w="1467" w:type="pct"/>
            <w:vAlign w:val="center"/>
            <w:vMerge w:val="restart"/>
            <w:textDirection w:val="lrTb"/>
            <w:noWrap w:val="false"/>
          </w:tcPr>
          <w:p>
            <w:pPr>
              <w:pStyle w:val="829"/>
              <w:ind w:firstLine="0"/>
              <w:spacing w:line="240" w:lineRule="auto"/>
              <w:rPr>
                <w:color w:val="auto"/>
              </w:rPr>
            </w:pPr>
            <w:r>
              <w:rPr>
                <w:rFonts w:hint="eastAsia"/>
                <w:color w:val="auto"/>
              </w:rPr>
              <w:t xml:space="preserve">①日常巡检记录表；②每周巡检报告；</w:t>
            </w:r>
            <w:r/>
          </w:p>
        </w:tc>
      </w:tr>
      <w:tr>
        <w:trPr>
          <w:trHeight w:val="340"/>
        </w:trPr>
        <w:tc>
          <w:tcPr>
            <w:tcW w:w="420" w:type="pct"/>
            <w:vAlign w:val="center"/>
            <w:textDirection w:val="lrTb"/>
            <w:noWrap w:val="false"/>
          </w:tcPr>
          <w:p>
            <w:pPr>
              <w:pStyle w:val="829"/>
              <w:ind w:firstLine="0"/>
              <w:spacing w:line="240" w:lineRule="auto"/>
              <w:rPr>
                <w:color w:val="auto"/>
              </w:rPr>
            </w:pPr>
            <w:r>
              <w:rPr>
                <w:rFonts w:hint="eastAsia"/>
                <w:color w:val="auto"/>
              </w:rPr>
              <w:t xml:space="preserve">2</w:t>
            </w:r>
            <w:r/>
          </w:p>
        </w:tc>
        <w:tc>
          <w:tcPr>
            <w:tcW w:w="1103" w:type="pct"/>
            <w:vAlign w:val="center"/>
            <w:textDirection w:val="lrTb"/>
            <w:noWrap w:val="false"/>
          </w:tcPr>
          <w:p>
            <w:pPr>
              <w:pStyle w:val="829"/>
              <w:ind w:firstLine="0"/>
              <w:spacing w:line="240" w:lineRule="auto"/>
              <w:rPr>
                <w:color w:val="auto"/>
              </w:rPr>
            </w:pPr>
            <w:r>
              <w:rPr>
                <w:rFonts w:hint="eastAsia"/>
                <w:color w:val="auto"/>
              </w:rPr>
              <w:t xml:space="preserve">轴流泵巡检</w:t>
            </w:r>
            <w:r/>
          </w:p>
        </w:tc>
        <w:tc>
          <w:tcPr>
            <w:tcW w:w="2010" w:type="pct"/>
            <w:vAlign w:val="center"/>
            <w:vMerge w:val="continue"/>
            <w:textDirection w:val="lrTb"/>
            <w:noWrap w:val="false"/>
          </w:tcPr>
          <w:p>
            <w:pPr>
              <w:pStyle w:val="829"/>
              <w:ind w:firstLine="0"/>
              <w:spacing w:line="240" w:lineRule="auto"/>
              <w:rPr>
                <w:color w:val="auto"/>
              </w:rPr>
            </w:pPr>
            <w:r>
              <w:rPr>
                <w:color w:val="auto"/>
              </w:rPr>
            </w:r>
            <w:r/>
          </w:p>
        </w:tc>
        <w:tc>
          <w:tcPr>
            <w:tcW w:w="1467" w:type="pct"/>
            <w:vAlign w:val="center"/>
            <w:vMerge w:val="continue"/>
            <w:textDirection w:val="lrTb"/>
            <w:noWrap w:val="false"/>
          </w:tcPr>
          <w:p>
            <w:pPr>
              <w:pStyle w:val="829"/>
              <w:ind w:firstLine="0"/>
              <w:spacing w:line="240" w:lineRule="auto"/>
              <w:rPr>
                <w:color w:val="auto"/>
              </w:rPr>
            </w:pPr>
            <w:r>
              <w:rPr>
                <w:color w:val="auto"/>
              </w:rPr>
            </w:r>
            <w:r/>
          </w:p>
        </w:tc>
      </w:tr>
      <w:tr>
        <w:trPr>
          <w:trHeight w:val="340"/>
        </w:trPr>
        <w:tc>
          <w:tcPr>
            <w:tcW w:w="420" w:type="pct"/>
            <w:vAlign w:val="center"/>
            <w:textDirection w:val="lrTb"/>
            <w:noWrap w:val="false"/>
          </w:tcPr>
          <w:p>
            <w:pPr>
              <w:pStyle w:val="829"/>
              <w:ind w:firstLine="0"/>
              <w:spacing w:line="240" w:lineRule="auto"/>
              <w:rPr>
                <w:color w:val="auto"/>
              </w:rPr>
            </w:pPr>
            <w:r>
              <w:rPr>
                <w:rFonts w:hint="eastAsia"/>
                <w:color w:val="auto"/>
              </w:rPr>
              <w:t xml:space="preserve">3</w:t>
            </w:r>
            <w:r/>
          </w:p>
        </w:tc>
        <w:tc>
          <w:tcPr>
            <w:tcW w:w="1103" w:type="pct"/>
            <w:vAlign w:val="center"/>
            <w:textDirection w:val="lrTb"/>
            <w:noWrap w:val="false"/>
          </w:tcPr>
          <w:p>
            <w:pPr>
              <w:pStyle w:val="829"/>
              <w:ind w:firstLine="0"/>
              <w:spacing w:line="240" w:lineRule="auto"/>
              <w:rPr>
                <w:color w:val="auto"/>
              </w:rPr>
            </w:pPr>
            <w:r>
              <w:rPr>
                <w:rFonts w:hint="eastAsia"/>
                <w:color w:val="auto"/>
              </w:rPr>
              <w:t xml:space="preserve">贯流泵巡检</w:t>
            </w:r>
            <w:r/>
          </w:p>
        </w:tc>
        <w:tc>
          <w:tcPr>
            <w:tcW w:w="2010" w:type="pct"/>
            <w:vAlign w:val="center"/>
            <w:vMerge w:val="continue"/>
            <w:textDirection w:val="lrTb"/>
            <w:noWrap w:val="false"/>
          </w:tcPr>
          <w:p>
            <w:pPr>
              <w:pStyle w:val="829"/>
              <w:ind w:firstLine="0"/>
              <w:spacing w:line="240" w:lineRule="auto"/>
              <w:rPr>
                <w:color w:val="auto"/>
              </w:rPr>
            </w:pPr>
            <w:r>
              <w:rPr>
                <w:color w:val="auto"/>
              </w:rPr>
            </w:r>
            <w:r/>
          </w:p>
        </w:tc>
        <w:tc>
          <w:tcPr>
            <w:tcW w:w="1467" w:type="pct"/>
            <w:vAlign w:val="center"/>
            <w:vMerge w:val="continue"/>
            <w:textDirection w:val="lrTb"/>
            <w:noWrap w:val="false"/>
          </w:tcPr>
          <w:p>
            <w:pPr>
              <w:pStyle w:val="829"/>
              <w:ind w:firstLine="0"/>
              <w:spacing w:line="240" w:lineRule="auto"/>
              <w:rPr>
                <w:color w:val="auto"/>
              </w:rPr>
            </w:pPr>
            <w:r>
              <w:rPr>
                <w:color w:val="auto"/>
              </w:rPr>
            </w:r>
            <w:r/>
          </w:p>
        </w:tc>
      </w:tr>
      <w:tr>
        <w:trPr>
          <w:trHeight w:val="340"/>
        </w:trPr>
        <w:tc>
          <w:tcPr>
            <w:tcW w:w="420" w:type="pct"/>
            <w:vAlign w:val="center"/>
            <w:textDirection w:val="lrTb"/>
            <w:noWrap w:val="false"/>
          </w:tcPr>
          <w:p>
            <w:pPr>
              <w:pStyle w:val="829"/>
              <w:ind w:firstLine="0"/>
              <w:spacing w:line="240" w:lineRule="auto"/>
              <w:rPr>
                <w:color w:val="auto"/>
              </w:rPr>
            </w:pPr>
            <w:r>
              <w:rPr>
                <w:rFonts w:hint="eastAsia"/>
                <w:color w:val="auto"/>
              </w:rPr>
              <w:t xml:space="preserve">4</w:t>
            </w:r>
            <w:r/>
          </w:p>
        </w:tc>
        <w:tc>
          <w:tcPr>
            <w:tcW w:w="1103" w:type="pct"/>
            <w:vAlign w:val="center"/>
            <w:textDirection w:val="lrTb"/>
            <w:noWrap w:val="false"/>
          </w:tcPr>
          <w:p>
            <w:pPr>
              <w:pStyle w:val="829"/>
              <w:ind w:firstLine="0"/>
              <w:spacing w:line="240" w:lineRule="auto"/>
              <w:rPr>
                <w:color w:val="auto"/>
              </w:rPr>
            </w:pPr>
            <w:r>
              <w:rPr>
                <w:rFonts w:hint="eastAsia"/>
                <w:color w:val="auto"/>
              </w:rPr>
              <w:t xml:space="preserve">启闭机巡检</w:t>
            </w:r>
            <w:r/>
          </w:p>
        </w:tc>
        <w:tc>
          <w:tcPr>
            <w:tcW w:w="2010" w:type="pct"/>
            <w:vAlign w:val="center"/>
            <w:vMerge w:val="continue"/>
            <w:textDirection w:val="lrTb"/>
            <w:noWrap w:val="false"/>
          </w:tcPr>
          <w:p>
            <w:pPr>
              <w:pStyle w:val="829"/>
              <w:ind w:firstLine="0"/>
              <w:spacing w:line="240" w:lineRule="auto"/>
              <w:rPr>
                <w:color w:val="auto"/>
              </w:rPr>
            </w:pPr>
            <w:r>
              <w:rPr>
                <w:color w:val="auto"/>
              </w:rPr>
            </w:r>
            <w:r/>
          </w:p>
        </w:tc>
        <w:tc>
          <w:tcPr>
            <w:tcW w:w="1467" w:type="pct"/>
            <w:vAlign w:val="center"/>
            <w:vMerge w:val="continue"/>
            <w:textDirection w:val="lrTb"/>
            <w:noWrap w:val="false"/>
          </w:tcPr>
          <w:p>
            <w:pPr>
              <w:pStyle w:val="829"/>
              <w:ind w:firstLine="0"/>
              <w:spacing w:line="240" w:lineRule="auto"/>
              <w:rPr>
                <w:color w:val="auto"/>
              </w:rPr>
            </w:pPr>
            <w:r>
              <w:rPr>
                <w:color w:val="auto"/>
              </w:rPr>
            </w:r>
            <w:r/>
          </w:p>
        </w:tc>
      </w:tr>
      <w:tr>
        <w:trPr>
          <w:trHeight w:val="340"/>
        </w:trPr>
        <w:tc>
          <w:tcPr>
            <w:tcW w:w="420" w:type="pct"/>
            <w:vAlign w:val="center"/>
            <w:textDirection w:val="lrTb"/>
            <w:noWrap w:val="false"/>
          </w:tcPr>
          <w:p>
            <w:pPr>
              <w:pStyle w:val="829"/>
              <w:ind w:firstLine="0"/>
              <w:spacing w:line="240" w:lineRule="auto"/>
              <w:rPr>
                <w:color w:val="auto"/>
              </w:rPr>
            </w:pPr>
            <w:r>
              <w:rPr>
                <w:rFonts w:hint="eastAsia"/>
                <w:color w:val="auto"/>
              </w:rPr>
              <w:t xml:space="preserve">5</w:t>
            </w:r>
            <w:r/>
          </w:p>
        </w:tc>
        <w:tc>
          <w:tcPr>
            <w:tcW w:w="1103" w:type="pct"/>
            <w:vAlign w:val="center"/>
            <w:textDirection w:val="lrTb"/>
            <w:noWrap w:val="false"/>
          </w:tcPr>
          <w:p>
            <w:pPr>
              <w:pStyle w:val="829"/>
              <w:ind w:firstLine="0"/>
              <w:spacing w:line="240" w:lineRule="auto"/>
              <w:rPr>
                <w:color w:val="auto"/>
              </w:rPr>
            </w:pPr>
            <w:r>
              <w:rPr>
                <w:rFonts w:hint="eastAsia"/>
                <w:color w:val="auto"/>
              </w:rPr>
              <w:t xml:space="preserve">配电柜巡检</w:t>
            </w:r>
            <w:r/>
          </w:p>
        </w:tc>
        <w:tc>
          <w:tcPr>
            <w:tcW w:w="2010" w:type="pct"/>
            <w:vAlign w:val="center"/>
            <w:vMerge w:val="continue"/>
            <w:textDirection w:val="lrTb"/>
            <w:noWrap w:val="false"/>
          </w:tcPr>
          <w:p>
            <w:pPr>
              <w:pStyle w:val="829"/>
              <w:ind w:firstLine="0"/>
              <w:spacing w:line="240" w:lineRule="auto"/>
              <w:rPr>
                <w:color w:val="auto"/>
              </w:rPr>
            </w:pPr>
            <w:r>
              <w:rPr>
                <w:color w:val="auto"/>
              </w:rPr>
            </w:r>
            <w:r/>
          </w:p>
        </w:tc>
        <w:tc>
          <w:tcPr>
            <w:tcW w:w="1467" w:type="pct"/>
            <w:vAlign w:val="center"/>
            <w:vMerge w:val="continue"/>
            <w:textDirection w:val="lrTb"/>
            <w:noWrap w:val="false"/>
          </w:tcPr>
          <w:p>
            <w:pPr>
              <w:pStyle w:val="829"/>
              <w:ind w:firstLine="0"/>
              <w:spacing w:line="240" w:lineRule="auto"/>
              <w:rPr>
                <w:color w:val="auto"/>
              </w:rPr>
            </w:pPr>
            <w:r>
              <w:rPr>
                <w:color w:val="auto"/>
              </w:rPr>
            </w:r>
            <w:r/>
          </w:p>
        </w:tc>
      </w:tr>
      <w:tr>
        <w:trPr>
          <w:trHeight w:val="340"/>
        </w:trPr>
        <w:tc>
          <w:tcPr>
            <w:tcW w:w="420" w:type="pct"/>
            <w:vAlign w:val="center"/>
            <w:textDirection w:val="lrTb"/>
            <w:noWrap w:val="false"/>
          </w:tcPr>
          <w:p>
            <w:pPr>
              <w:pStyle w:val="829"/>
              <w:ind w:firstLine="0"/>
              <w:spacing w:line="240" w:lineRule="auto"/>
              <w:rPr>
                <w:color w:val="auto"/>
              </w:rPr>
            </w:pPr>
            <w:r>
              <w:rPr>
                <w:rFonts w:hint="eastAsia"/>
                <w:color w:val="auto"/>
              </w:rPr>
              <w:t xml:space="preserve">6</w:t>
            </w:r>
            <w:r/>
          </w:p>
        </w:tc>
        <w:tc>
          <w:tcPr>
            <w:tcW w:w="1103" w:type="pct"/>
            <w:vAlign w:val="center"/>
            <w:textDirection w:val="lrTb"/>
            <w:noWrap w:val="false"/>
          </w:tcPr>
          <w:p>
            <w:pPr>
              <w:pStyle w:val="829"/>
              <w:ind w:firstLine="0"/>
              <w:spacing w:line="240" w:lineRule="auto"/>
              <w:rPr>
                <w:color w:val="auto"/>
              </w:rPr>
            </w:pPr>
            <w:r>
              <w:rPr>
                <w:rFonts w:hint="eastAsia"/>
                <w:color w:val="auto"/>
              </w:rPr>
              <w:t xml:space="preserve">设备运行</w:t>
            </w:r>
            <w:r/>
          </w:p>
        </w:tc>
        <w:tc>
          <w:tcPr>
            <w:tcW w:w="2010" w:type="pct"/>
            <w:vAlign w:val="center"/>
            <w:textDirection w:val="lrTb"/>
            <w:noWrap w:val="false"/>
          </w:tcPr>
          <w:p>
            <w:pPr>
              <w:pStyle w:val="829"/>
              <w:ind w:firstLine="0"/>
              <w:spacing w:line="240" w:lineRule="auto"/>
              <w:rPr>
                <w:color w:val="auto"/>
              </w:rPr>
            </w:pPr>
            <w:r>
              <w:rPr>
                <w:rFonts w:hint="eastAsia"/>
                <w:color w:val="auto"/>
              </w:rPr>
              <w:t xml:space="preserve">每月对设备进行试运行</w:t>
            </w:r>
            <w:r/>
          </w:p>
        </w:tc>
        <w:tc>
          <w:tcPr>
            <w:tcW w:w="1467" w:type="pct"/>
            <w:vAlign w:val="center"/>
            <w:textDirection w:val="lrTb"/>
            <w:noWrap w:val="false"/>
          </w:tcPr>
          <w:p>
            <w:pPr>
              <w:pStyle w:val="829"/>
              <w:ind w:firstLine="0"/>
              <w:spacing w:line="240" w:lineRule="auto"/>
              <w:rPr>
                <w:color w:val="auto"/>
              </w:rPr>
            </w:pPr>
            <w:r>
              <w:rPr>
                <w:color w:val="auto"/>
              </w:rPr>
            </w:r>
            <w:r/>
          </w:p>
        </w:tc>
      </w:tr>
      <w:tr>
        <w:trPr>
          <w:trHeight w:val="340"/>
        </w:trPr>
        <w:tc>
          <w:tcPr>
            <w:tcW w:w="420" w:type="pct"/>
            <w:vAlign w:val="center"/>
            <w:textDirection w:val="lrTb"/>
            <w:noWrap w:val="false"/>
          </w:tcPr>
          <w:p>
            <w:pPr>
              <w:pStyle w:val="829"/>
              <w:ind w:firstLine="0"/>
              <w:spacing w:line="240" w:lineRule="auto"/>
              <w:rPr>
                <w:color w:val="auto"/>
              </w:rPr>
            </w:pPr>
            <w:r>
              <w:rPr>
                <w:rFonts w:hint="eastAsia"/>
                <w:color w:val="auto"/>
              </w:rPr>
              <w:t xml:space="preserve">7</w:t>
            </w:r>
            <w:r/>
          </w:p>
        </w:tc>
        <w:tc>
          <w:tcPr>
            <w:tcW w:w="1103" w:type="pct"/>
            <w:vAlign w:val="center"/>
            <w:textDirection w:val="lrTb"/>
            <w:noWrap w:val="false"/>
          </w:tcPr>
          <w:p>
            <w:pPr>
              <w:pStyle w:val="829"/>
              <w:ind w:firstLine="0"/>
              <w:spacing w:line="240" w:lineRule="auto"/>
              <w:rPr>
                <w:color w:val="auto"/>
              </w:rPr>
            </w:pPr>
            <w:r>
              <w:rPr>
                <w:rFonts w:hint="eastAsia"/>
                <w:color w:val="auto"/>
              </w:rPr>
              <w:t xml:space="preserve">卫生保洁</w:t>
            </w:r>
            <w:r/>
          </w:p>
        </w:tc>
        <w:tc>
          <w:tcPr>
            <w:tcW w:w="2010" w:type="pct"/>
            <w:vAlign w:val="center"/>
            <w:textDirection w:val="lrTb"/>
            <w:noWrap w:val="false"/>
          </w:tcPr>
          <w:p>
            <w:pPr>
              <w:pStyle w:val="829"/>
              <w:ind w:firstLine="0"/>
              <w:spacing w:line="240" w:lineRule="auto"/>
              <w:rPr>
                <w:color w:val="auto"/>
              </w:rPr>
            </w:pPr>
            <w:r>
              <w:rPr>
                <w:rFonts w:hint="eastAsia"/>
                <w:color w:val="auto"/>
              </w:rPr>
              <w:t xml:space="preserve">每周对排涝站进行大扫除工作。</w:t>
            </w:r>
            <w:r/>
          </w:p>
        </w:tc>
        <w:tc>
          <w:tcPr>
            <w:tcW w:w="1467" w:type="pct"/>
            <w:vAlign w:val="center"/>
            <w:textDirection w:val="lrTb"/>
            <w:noWrap w:val="false"/>
          </w:tcPr>
          <w:p>
            <w:pPr>
              <w:pStyle w:val="829"/>
              <w:ind w:firstLine="0"/>
              <w:spacing w:line="240" w:lineRule="auto"/>
              <w:rPr>
                <w:color w:val="auto"/>
              </w:rPr>
            </w:pPr>
            <w:r>
              <w:rPr>
                <w:color w:val="auto"/>
              </w:rPr>
            </w:r>
            <w:r/>
          </w:p>
        </w:tc>
      </w:tr>
    </w:tbl>
    <w:p>
      <w:pPr>
        <w:pStyle w:val="829"/>
        <w:rPr>
          <w:b/>
          <w:color w:val="auto"/>
        </w:rPr>
      </w:pPr>
      <w:r>
        <w:rPr>
          <w:rFonts w:hint="eastAsia"/>
          <w:b/>
          <w:color w:val="auto"/>
        </w:rPr>
        <w:t xml:space="preserve">（四）站闸设备巡检要求</w:t>
      </w:r>
      <w:r/>
    </w:p>
    <w:p>
      <w:pPr>
        <w:pStyle w:val="829"/>
        <w:rPr>
          <w:color w:val="auto"/>
        </w:rPr>
      </w:pPr>
      <w:r>
        <w:rPr>
          <w:rFonts w:hint="eastAsia"/>
          <w:color w:val="auto"/>
        </w:rPr>
        <w:t xml:space="preserve">（1）巡检任务安排</w:t>
      </w:r>
      <w:r/>
    </w:p>
    <w:p>
      <w:pPr>
        <w:pStyle w:val="829"/>
        <w:rPr>
          <w:color w:val="auto"/>
        </w:rPr>
      </w:pPr>
      <w:r>
        <w:rPr>
          <w:rFonts w:hint="eastAsia"/>
          <w:color w:val="auto"/>
        </w:rPr>
        <w:t xml:space="preserve">1.定期对轴流泵、贯流泵、升卧式钢闸门、横移式钢闸门、卷扬式启闭机、液压启闭机、螺杆启闭机等设备、柴油发电机、配电设备进行巡检，确保设备运行状态良好。</w:t>
      </w:r>
      <w:r/>
    </w:p>
    <w:p>
      <w:pPr>
        <w:pStyle w:val="829"/>
        <w:rPr>
          <w:color w:val="auto"/>
        </w:rPr>
      </w:pPr>
      <w:r>
        <w:rPr>
          <w:rFonts w:hint="eastAsia"/>
          <w:color w:val="auto"/>
        </w:rPr>
        <w:t xml:space="preserve">2.每月对圩区内水利设施完成一次巡查工作，每月完成一次整体全部设备的巡检和试运行，汛期时巡检及试运行次数加大。</w:t>
      </w:r>
      <w:r/>
    </w:p>
    <w:p>
      <w:pPr>
        <w:pStyle w:val="829"/>
        <w:rPr>
          <w:color w:val="auto"/>
        </w:rPr>
      </w:pPr>
      <w:r>
        <w:rPr>
          <w:rFonts w:hint="eastAsia"/>
          <w:color w:val="auto"/>
        </w:rPr>
        <w:t xml:space="preserve">（2）巡检内容及要求</w:t>
      </w:r>
      <w:r/>
    </w:p>
    <w:p>
      <w:pPr>
        <w:pStyle w:val="829"/>
        <w:rPr>
          <w:color w:val="auto"/>
        </w:rPr>
      </w:pPr>
      <w:r>
        <w:rPr>
          <w:rFonts w:hint="eastAsia"/>
          <w:color w:val="auto"/>
        </w:rPr>
        <w:t xml:space="preserve">1.轴流泵和贯流泵</w:t>
      </w:r>
      <w:r/>
    </w:p>
    <w:p>
      <w:pPr>
        <w:pStyle w:val="829"/>
        <w:rPr>
          <w:color w:val="auto"/>
        </w:rPr>
      </w:pPr>
      <w:r>
        <w:rPr>
          <w:rFonts w:hint="eastAsia"/>
          <w:color w:val="auto"/>
        </w:rPr>
        <w:t xml:space="preserve">1.1检查轴流泵和贯流泵的外观、泵轴承、密封装置、叶轮、电机、运行参数、振动与噪音、安全防护设备、应急设备。</w:t>
      </w:r>
      <w:r/>
    </w:p>
    <w:p>
      <w:pPr>
        <w:pStyle w:val="829"/>
        <w:rPr>
          <w:color w:val="auto"/>
        </w:rPr>
      </w:pPr>
      <w:r>
        <w:rPr>
          <w:rFonts w:hint="eastAsia"/>
          <w:color w:val="auto"/>
        </w:rPr>
        <w:t xml:space="preserve">1.2确保设备的完整性、密封性、安全性。确保轴承工作正常，确保叶轮运行平稳；确保电机正常运行；确保震动与噪音符合相关标准要求；确保安全防护设完好无损；确保应急设备完好可用；分析泵的工作效率和性能；巡检过程发现问题对关键部件进行拍照记录；保持良好沟通与协作确保巡检过程中发现的问题得到及时处理。</w:t>
      </w:r>
      <w:r/>
    </w:p>
    <w:p>
      <w:pPr>
        <w:pStyle w:val="829"/>
        <w:rPr>
          <w:color w:val="auto"/>
        </w:rPr>
      </w:pPr>
      <w:r>
        <w:rPr>
          <w:rFonts w:hint="eastAsia"/>
          <w:color w:val="auto"/>
        </w:rPr>
        <w:t xml:space="preserve">1.3注意点：①确保泵的各部件完好无损；②检查泵的进、出口无杂物堵塞；③确保操作人员具备技能，了解泵的操作要求；④进行定期巡查、维护和保养。</w:t>
      </w:r>
      <w:r/>
    </w:p>
    <w:p>
      <w:pPr>
        <w:pStyle w:val="829"/>
        <w:rPr>
          <w:color w:val="auto"/>
        </w:rPr>
      </w:pPr>
      <w:r>
        <w:rPr>
          <w:rFonts w:hint="eastAsia"/>
          <w:color w:val="auto"/>
        </w:rPr>
        <w:t xml:space="preserve">2.钢闸门</w:t>
      </w:r>
      <w:r/>
    </w:p>
    <w:p>
      <w:pPr>
        <w:pStyle w:val="829"/>
        <w:rPr>
          <w:color w:val="auto"/>
        </w:rPr>
      </w:pPr>
      <w:r>
        <w:rPr>
          <w:rFonts w:hint="eastAsia"/>
          <w:color w:val="auto"/>
        </w:rPr>
        <w:t xml:space="preserve">2.1</w:t>
      </w:r>
      <w:r>
        <w:rPr>
          <w:color w:val="auto"/>
        </w:rPr>
        <w:t xml:space="preserve">检查闸门的主要承重结构、支撑结构和导向结构</w:t>
      </w:r>
      <w:r>
        <w:rPr>
          <w:rFonts w:hint="eastAsia"/>
          <w:color w:val="auto"/>
        </w:rPr>
        <w:t xml:space="preserve">、</w:t>
      </w:r>
      <w:r>
        <w:rPr>
          <w:color w:val="auto"/>
        </w:rPr>
        <w:t xml:space="preserve">钢丝绳</w:t>
      </w:r>
      <w:r>
        <w:rPr>
          <w:rFonts w:hint="eastAsia"/>
          <w:color w:val="auto"/>
        </w:rPr>
        <w:t xml:space="preserve">、</w:t>
      </w:r>
      <w:r>
        <w:rPr>
          <w:color w:val="auto"/>
        </w:rPr>
        <w:t xml:space="preserve">止水装置</w:t>
      </w:r>
      <w:r>
        <w:rPr>
          <w:rFonts w:hint="eastAsia"/>
          <w:color w:val="auto"/>
        </w:rPr>
        <w:t xml:space="preserve">、</w:t>
      </w:r>
      <w:r>
        <w:rPr>
          <w:color w:val="auto"/>
        </w:rPr>
        <w:t xml:space="preserve">吊耳等连接部件</w:t>
      </w:r>
      <w:r>
        <w:rPr>
          <w:rFonts w:hint="eastAsia"/>
          <w:color w:val="auto"/>
        </w:rPr>
        <w:t xml:space="preserve">、</w:t>
      </w:r>
      <w:r>
        <w:rPr>
          <w:color w:val="auto"/>
        </w:rPr>
        <w:t xml:space="preserve">滚轮及其支架</w:t>
      </w:r>
      <w:r>
        <w:rPr>
          <w:rFonts w:hint="eastAsia"/>
          <w:color w:val="auto"/>
        </w:rPr>
        <w:t xml:space="preserve">、</w:t>
      </w:r>
      <w:r>
        <w:rPr>
          <w:color w:val="auto"/>
        </w:rPr>
        <w:t xml:space="preserve">搁门器</w:t>
      </w:r>
      <w:r>
        <w:rPr>
          <w:rFonts w:hint="eastAsia"/>
          <w:color w:val="auto"/>
        </w:rPr>
        <w:t xml:space="preserve">、</w:t>
      </w:r>
      <w:r>
        <w:rPr>
          <w:color w:val="auto"/>
        </w:rPr>
        <w:t xml:space="preserve">电气控制系统</w:t>
      </w:r>
      <w:r>
        <w:rPr>
          <w:rFonts w:hint="eastAsia"/>
          <w:color w:val="auto"/>
        </w:rPr>
        <w:t xml:space="preserve">、</w:t>
      </w:r>
      <w:r>
        <w:rPr>
          <w:color w:val="auto"/>
        </w:rPr>
        <w:t xml:space="preserve">闸门周边环境</w:t>
      </w:r>
      <w:r>
        <w:rPr>
          <w:rFonts w:hint="eastAsia"/>
          <w:color w:val="auto"/>
        </w:rPr>
        <w:t xml:space="preserve">、</w:t>
      </w:r>
      <w:r>
        <w:rPr>
          <w:color w:val="auto"/>
        </w:rPr>
        <w:t xml:space="preserve">润滑系统</w:t>
      </w:r>
      <w:r>
        <w:rPr>
          <w:rFonts w:hint="eastAsia"/>
          <w:color w:val="auto"/>
        </w:rPr>
        <w:t xml:space="preserve">、</w:t>
      </w:r>
      <w:r>
        <w:rPr>
          <w:color w:val="auto"/>
        </w:rPr>
        <w:t xml:space="preserve">安全防护设备</w:t>
      </w:r>
      <w:r>
        <w:rPr>
          <w:rFonts w:hint="eastAsia"/>
          <w:color w:val="auto"/>
        </w:rPr>
        <w:t xml:space="preserve">、</w:t>
      </w:r>
      <w:r>
        <w:rPr>
          <w:color w:val="auto"/>
        </w:rPr>
        <w:t xml:space="preserve">闸门操作情况</w:t>
      </w:r>
      <w:r>
        <w:rPr>
          <w:rFonts w:hint="eastAsia"/>
          <w:color w:val="auto"/>
        </w:rPr>
        <w:t xml:space="preserve">。</w:t>
      </w:r>
      <w:r/>
    </w:p>
    <w:p>
      <w:pPr>
        <w:pStyle w:val="829"/>
        <w:rPr>
          <w:color w:val="auto"/>
        </w:rPr>
      </w:pPr>
      <w:r>
        <w:rPr>
          <w:rFonts w:hint="eastAsia"/>
          <w:color w:val="auto"/>
        </w:rPr>
        <w:t xml:space="preserve">2.2</w:t>
      </w:r>
      <w:r>
        <w:rPr>
          <w:color w:val="auto"/>
        </w:rPr>
        <w:t xml:space="preserve">确保无异常磨损、损坏或松动等现象</w:t>
      </w:r>
      <w:r>
        <w:rPr>
          <w:rFonts w:hint="eastAsia"/>
          <w:color w:val="auto"/>
        </w:rPr>
        <w:t xml:space="preserve">；</w:t>
      </w:r>
      <w:r>
        <w:rPr>
          <w:color w:val="auto"/>
        </w:rPr>
        <w:t xml:space="preserve">确保其无断裂、磨损、松动或锈蚀现象</w:t>
      </w:r>
      <w:r>
        <w:rPr>
          <w:rFonts w:hint="eastAsia"/>
          <w:color w:val="auto"/>
        </w:rPr>
        <w:t xml:space="preserve">；</w:t>
      </w:r>
      <w:r>
        <w:rPr>
          <w:color w:val="auto"/>
        </w:rPr>
        <w:t xml:space="preserve">确保其完好无损</w:t>
      </w:r>
      <w:r>
        <w:rPr>
          <w:rFonts w:hint="eastAsia"/>
          <w:color w:val="auto"/>
        </w:rPr>
        <w:t xml:space="preserve">；</w:t>
      </w:r>
      <w:r>
        <w:rPr>
          <w:color w:val="auto"/>
        </w:rPr>
        <w:t xml:space="preserve">确保其牢固无损</w:t>
      </w:r>
      <w:r>
        <w:rPr>
          <w:rFonts w:hint="eastAsia"/>
          <w:color w:val="auto"/>
        </w:rPr>
        <w:t xml:space="preserve">；</w:t>
      </w:r>
      <w:r>
        <w:rPr>
          <w:color w:val="auto"/>
        </w:rPr>
        <w:t xml:space="preserve">确保滚轮转动灵活、无卡滞现象，支架无变形、松动或锈蚀</w:t>
      </w:r>
      <w:r>
        <w:rPr>
          <w:rFonts w:hint="eastAsia"/>
          <w:color w:val="auto"/>
        </w:rPr>
        <w:t xml:space="preserve">；</w:t>
      </w:r>
      <w:r>
        <w:rPr>
          <w:color w:val="auto"/>
        </w:rPr>
        <w:t xml:space="preserve">确保运行正常</w:t>
      </w:r>
      <w:r>
        <w:rPr>
          <w:rFonts w:hint="eastAsia"/>
          <w:color w:val="auto"/>
        </w:rPr>
        <w:t xml:space="preserve">；</w:t>
      </w:r>
      <w:r>
        <w:rPr>
          <w:color w:val="auto"/>
        </w:rPr>
        <w:t xml:space="preserve">确保电气设备正常运行，无短路、漏电等安全隐患</w:t>
      </w:r>
      <w:r>
        <w:rPr>
          <w:rFonts w:hint="eastAsia"/>
          <w:color w:val="auto"/>
        </w:rPr>
        <w:t xml:space="preserve">；</w:t>
      </w:r>
      <w:r>
        <w:rPr>
          <w:color w:val="auto"/>
        </w:rPr>
        <w:t xml:space="preserve">确保设备运行环境安全稳定</w:t>
      </w:r>
      <w:r>
        <w:rPr>
          <w:rFonts w:hint="eastAsia"/>
          <w:color w:val="auto"/>
        </w:rPr>
        <w:t xml:space="preserve">；</w:t>
      </w:r>
      <w:r>
        <w:rPr>
          <w:color w:val="auto"/>
        </w:rPr>
        <w:t xml:space="preserve">确保启闭机、齿轮、链条、滚轮等部件的润滑正常</w:t>
      </w:r>
      <w:r>
        <w:rPr>
          <w:rFonts w:hint="eastAsia"/>
          <w:color w:val="auto"/>
        </w:rPr>
        <w:t xml:space="preserve">；</w:t>
      </w:r>
      <w:r>
        <w:rPr>
          <w:color w:val="auto"/>
        </w:rPr>
        <w:t xml:space="preserve">确保完好无损</w:t>
      </w:r>
      <w:r>
        <w:rPr>
          <w:rFonts w:hint="eastAsia"/>
          <w:color w:val="auto"/>
        </w:rPr>
        <w:t xml:space="preserve">；</w:t>
      </w:r>
      <w:r>
        <w:rPr>
          <w:color w:val="auto"/>
        </w:rPr>
        <w:t xml:space="preserve">记录闸门的开启和关闭次数，以及操作过程中的异常情况（如异响、卡顿等）</w:t>
      </w:r>
      <w:r>
        <w:rPr>
          <w:rFonts w:hint="eastAsia"/>
          <w:color w:val="auto"/>
        </w:rPr>
        <w:t xml:space="preserve">；巡检过程发现问题对关键部件进行拍照记录；保持良好沟通与协作确保巡检过程中发现的问题得到及时处理。</w:t>
      </w:r>
      <w:r/>
    </w:p>
    <w:p>
      <w:pPr>
        <w:pStyle w:val="829"/>
        <w:rPr>
          <w:color w:val="auto"/>
        </w:rPr>
      </w:pPr>
      <w:r>
        <w:rPr>
          <w:rFonts w:hint="eastAsia"/>
          <w:color w:val="auto"/>
        </w:rPr>
        <w:t xml:space="preserve">2.3注意点：①操作前确认闸门、启闭机及传动部件完好无损；②确保操作人员经过培训，具备相应技能；③严禁在闸门未完全关闭或打开时进行人工干预；④进行定期巡检、维护和保养。</w:t>
      </w:r>
      <w:r/>
    </w:p>
    <w:p>
      <w:pPr>
        <w:pStyle w:val="829"/>
        <w:rPr>
          <w:color w:val="auto"/>
        </w:rPr>
      </w:pPr>
      <w:r>
        <w:rPr>
          <w:rFonts w:hint="eastAsia"/>
          <w:color w:val="auto"/>
        </w:rPr>
        <w:t xml:space="preserve">3.卷扬式启闭机</w:t>
      </w:r>
      <w:r/>
    </w:p>
    <w:p>
      <w:pPr>
        <w:pStyle w:val="829"/>
        <w:rPr>
          <w:color w:val="auto"/>
        </w:rPr>
      </w:pPr>
      <w:r>
        <w:rPr>
          <w:rFonts w:hint="eastAsia"/>
          <w:color w:val="auto"/>
        </w:rPr>
        <w:t xml:space="preserve">3.1检查外观、钢丝绳、滚轮和搁门器、电动机、制动器、润滑系统、传动链轮、限位开关、控制系统、安全防护设备。</w:t>
      </w:r>
      <w:r/>
    </w:p>
    <w:p>
      <w:pPr>
        <w:pStyle w:val="829"/>
        <w:rPr>
          <w:color w:val="auto"/>
        </w:rPr>
      </w:pPr>
      <w:r>
        <w:rPr>
          <w:rFonts w:hint="eastAsia"/>
          <w:color w:val="auto"/>
        </w:rPr>
        <w:t xml:space="preserve">3.2确保设备完整性和运行安全；确保安全可靠；保证启闭机滚动平稳、减少摩擦力；确保电动机正常运行；确保启闭机在停止时能够稳定地锁定；确保关键部件润滑良好；提高启闭机的工作效率；确保启闭机在正常运行范围内工作；保证系统正常工作；确保操作人员和设备安全。巡检过程发现问题对关键部件进行拍照记录；保持良好沟通与协作确保巡检过程中发现的问题得到及时处理。</w:t>
      </w:r>
      <w:r/>
    </w:p>
    <w:p>
      <w:pPr>
        <w:pStyle w:val="829"/>
        <w:rPr>
          <w:color w:val="auto"/>
        </w:rPr>
      </w:pPr>
      <w:r>
        <w:rPr>
          <w:rFonts w:hint="eastAsia"/>
          <w:color w:val="auto"/>
        </w:rPr>
        <w:t xml:space="preserve">3.3注意点：①确保启闭机各部件完好无损；②操作前检查启闭机周围无杂物堵塞；③确保操作人员具备技能，④了解启闭机操作要求；⑤进行定期巡查、维护和保养。</w:t>
      </w:r>
      <w:r/>
    </w:p>
    <w:p>
      <w:pPr>
        <w:pStyle w:val="829"/>
        <w:rPr>
          <w:color w:val="auto"/>
        </w:rPr>
      </w:pPr>
      <w:r>
        <w:rPr>
          <w:rFonts w:hint="eastAsia"/>
          <w:color w:val="auto"/>
        </w:rPr>
        <w:t xml:space="preserve">4.螺杆式启闭机</w:t>
      </w:r>
      <w:r/>
    </w:p>
    <w:p>
      <w:pPr>
        <w:pStyle w:val="829"/>
        <w:rPr>
          <w:color w:val="auto"/>
        </w:rPr>
      </w:pPr>
      <w:r>
        <w:rPr>
          <w:rFonts w:hint="eastAsia"/>
          <w:color w:val="auto"/>
        </w:rPr>
        <w:t xml:space="preserve">4.1检查外观、螺杆与螺母、传动轴承、电动机、制动器、限位开关、控制系统、控制系统、安全防护设备。</w:t>
      </w:r>
      <w:r/>
    </w:p>
    <w:p>
      <w:pPr>
        <w:pStyle w:val="829"/>
        <w:rPr>
          <w:color w:val="auto"/>
        </w:rPr>
      </w:pPr>
      <w:r>
        <w:rPr>
          <w:rFonts w:hint="eastAsia"/>
          <w:color w:val="auto"/>
        </w:rPr>
        <w:t xml:space="preserve">4.2确保设备的完整性和运行安全；确保螺杆转动顺畅；保证轴承正常工作；确保电动机正常运行；确保启闭机在停止时能够稳定地锁定；确保启闭机在正常运行范围内工作；保证系统正常工作；</w:t>
      </w:r>
      <w:r/>
    </w:p>
    <w:p>
      <w:pPr>
        <w:pStyle w:val="829"/>
        <w:rPr>
          <w:color w:val="auto"/>
        </w:rPr>
      </w:pPr>
      <w:r>
        <w:rPr>
          <w:rFonts w:hint="eastAsia"/>
          <w:color w:val="auto"/>
        </w:rPr>
        <w:t xml:space="preserve">确保关键部件润滑良好；确保操作人员和设备安全，巡检过程发现问题对关键部件进行拍照记录；保持良好沟通与协作确保巡检过程中发现的问题得到及时处理。</w:t>
      </w:r>
      <w:r/>
    </w:p>
    <w:p>
      <w:pPr>
        <w:pStyle w:val="829"/>
        <w:rPr>
          <w:color w:val="auto"/>
        </w:rPr>
      </w:pPr>
      <w:r>
        <w:rPr>
          <w:rFonts w:hint="eastAsia"/>
          <w:color w:val="auto"/>
        </w:rPr>
        <w:t xml:space="preserve">4.3注意点：①确保启闭机各部件完好无损；②操作前检查启闭机周围无杂物堵塞；③确保操作人员具备技能，④了解启闭机操作要求；⑤进行定期巡查、维护和保养。</w:t>
      </w:r>
      <w:r/>
    </w:p>
    <w:p>
      <w:pPr>
        <w:pStyle w:val="829"/>
        <w:rPr>
          <w:color w:val="auto"/>
        </w:rPr>
      </w:pPr>
      <w:r>
        <w:rPr>
          <w:rFonts w:hint="eastAsia"/>
          <w:color w:val="auto"/>
        </w:rPr>
        <w:t xml:space="preserve">5</w:t>
      </w:r>
      <w:r>
        <w:rPr>
          <w:color w:val="auto"/>
        </w:rPr>
        <w:t xml:space="preserve">液压启闭机</w:t>
      </w:r>
      <w:r/>
    </w:p>
    <w:p>
      <w:pPr>
        <w:pStyle w:val="829"/>
        <w:rPr>
          <w:color w:val="auto"/>
        </w:rPr>
      </w:pPr>
      <w:r>
        <w:rPr>
          <w:rFonts w:hint="eastAsia"/>
          <w:color w:val="auto"/>
        </w:rPr>
        <w:t xml:space="preserve">5.1</w:t>
      </w:r>
      <w:r>
        <w:rPr>
          <w:color w:val="auto"/>
        </w:rPr>
        <w:t xml:space="preserve">检查外观</w:t>
      </w:r>
      <w:r>
        <w:rPr>
          <w:rFonts w:hint="eastAsia"/>
          <w:color w:val="auto"/>
        </w:rPr>
        <w:t xml:space="preserve">、</w:t>
      </w:r>
      <w:r>
        <w:rPr>
          <w:color w:val="auto"/>
        </w:rPr>
        <w:t xml:space="preserve">液压系统</w:t>
      </w:r>
      <w:r>
        <w:rPr>
          <w:rFonts w:hint="eastAsia"/>
          <w:color w:val="auto"/>
        </w:rPr>
        <w:t xml:space="preserve">、</w:t>
      </w:r>
      <w:r>
        <w:rPr>
          <w:color w:val="auto"/>
        </w:rPr>
        <w:t xml:space="preserve">电动机与控制系统</w:t>
      </w:r>
      <w:r>
        <w:rPr>
          <w:rFonts w:hint="eastAsia"/>
          <w:color w:val="auto"/>
        </w:rPr>
        <w:t xml:space="preserve">、</w:t>
      </w:r>
      <w:r>
        <w:rPr>
          <w:color w:val="auto"/>
        </w:rPr>
        <w:t xml:space="preserve">限位器与传感器</w:t>
      </w:r>
      <w:r>
        <w:rPr>
          <w:rFonts w:hint="eastAsia"/>
          <w:color w:val="auto"/>
        </w:rPr>
        <w:t xml:space="preserve">、</w:t>
      </w:r>
      <w:r>
        <w:rPr>
          <w:color w:val="auto"/>
        </w:rPr>
        <w:t xml:space="preserve">润滑系统</w:t>
      </w:r>
      <w:r>
        <w:rPr>
          <w:rFonts w:hint="eastAsia"/>
          <w:color w:val="auto"/>
        </w:rPr>
        <w:t xml:space="preserve">、</w:t>
      </w:r>
      <w:r>
        <w:rPr>
          <w:color w:val="auto"/>
        </w:rPr>
        <w:t xml:space="preserve">安全防护设备</w:t>
      </w:r>
      <w:r>
        <w:rPr>
          <w:rFonts w:hint="eastAsia"/>
          <w:color w:val="auto"/>
        </w:rPr>
        <w:t xml:space="preserve">。</w:t>
      </w:r>
      <w:r/>
    </w:p>
    <w:p>
      <w:pPr>
        <w:pStyle w:val="829"/>
        <w:rPr>
          <w:color w:val="auto"/>
        </w:rPr>
      </w:pPr>
      <w:r>
        <w:rPr>
          <w:rFonts w:hint="eastAsia"/>
          <w:color w:val="auto"/>
        </w:rPr>
        <w:t xml:space="preserve">5.2</w:t>
      </w:r>
      <w:r>
        <w:rPr>
          <w:color w:val="auto"/>
        </w:rPr>
        <w:t xml:space="preserve">确保设备的完整性和运行安全</w:t>
      </w:r>
      <w:r>
        <w:rPr>
          <w:rFonts w:hint="eastAsia"/>
          <w:color w:val="auto"/>
        </w:rPr>
        <w:t xml:space="preserve">；</w:t>
      </w:r>
      <w:r>
        <w:rPr>
          <w:color w:val="auto"/>
        </w:rPr>
        <w:t xml:space="preserve">确保无泄漏、损坏或异常现象</w:t>
      </w:r>
      <w:r>
        <w:rPr>
          <w:rFonts w:hint="eastAsia"/>
          <w:color w:val="auto"/>
        </w:rPr>
        <w:t xml:space="preserve">；</w:t>
      </w:r>
      <w:r>
        <w:rPr>
          <w:color w:val="auto"/>
        </w:rPr>
        <w:t xml:space="preserve">确保电动机正常运行</w:t>
      </w:r>
      <w:r>
        <w:rPr>
          <w:rFonts w:hint="eastAsia"/>
          <w:color w:val="auto"/>
        </w:rPr>
        <w:t xml:space="preserve">；</w:t>
      </w:r>
      <w:r>
        <w:rPr>
          <w:color w:val="auto"/>
        </w:rPr>
        <w:t xml:space="preserve">确保在闸门启闭过程中能够准确地限制行程</w:t>
      </w:r>
      <w:r>
        <w:rPr>
          <w:rFonts w:hint="eastAsia"/>
          <w:color w:val="auto"/>
        </w:rPr>
        <w:t xml:space="preserve">；</w:t>
      </w:r>
      <w:r>
        <w:rPr>
          <w:color w:val="auto"/>
        </w:rPr>
        <w:t xml:space="preserve">确保关键部件润滑良好</w:t>
      </w:r>
      <w:r>
        <w:rPr>
          <w:rFonts w:hint="eastAsia"/>
          <w:color w:val="auto"/>
        </w:rPr>
        <w:t xml:space="preserve">；</w:t>
      </w:r>
      <w:r>
        <w:rPr>
          <w:color w:val="auto"/>
        </w:rPr>
        <w:t xml:space="preserve">确保操作人员和设备安全</w:t>
      </w:r>
      <w:r>
        <w:rPr>
          <w:rFonts w:hint="eastAsia"/>
          <w:color w:val="auto"/>
        </w:rPr>
        <w:t xml:space="preserve">，巡检过程发现问题对关键部件进行拍照记录；保持良好沟通与协作确保巡检过程中发现的问题得到及时处理。</w:t>
      </w:r>
      <w:r/>
    </w:p>
    <w:p>
      <w:pPr>
        <w:pStyle w:val="829"/>
        <w:rPr>
          <w:color w:val="auto"/>
        </w:rPr>
      </w:pPr>
      <w:r>
        <w:rPr>
          <w:rFonts w:hint="eastAsia"/>
          <w:color w:val="auto"/>
        </w:rPr>
        <w:t xml:space="preserve">5.3注意点：①确保启闭机各部件完好无损；②操作前检查启闭机周围无杂物堵塞；③确保操作人员具备技能，④了解启闭机操作要求；⑤进行定期巡查、维护和保养。</w:t>
      </w:r>
      <w:r/>
    </w:p>
    <w:p>
      <w:pPr>
        <w:pStyle w:val="829"/>
        <w:rPr>
          <w:color w:val="auto"/>
        </w:rPr>
      </w:pPr>
      <w:r>
        <w:rPr>
          <w:rFonts w:hint="eastAsia"/>
          <w:color w:val="auto"/>
        </w:rPr>
        <w:t xml:space="preserve">6</w:t>
      </w:r>
      <w:r>
        <w:rPr>
          <w:color w:val="auto"/>
        </w:rPr>
        <w:t xml:space="preserve">配电柜</w:t>
      </w:r>
      <w:r/>
    </w:p>
    <w:p>
      <w:pPr>
        <w:pStyle w:val="829"/>
        <w:rPr>
          <w:color w:val="auto"/>
        </w:rPr>
      </w:pPr>
      <w:r>
        <w:rPr>
          <w:rFonts w:hint="eastAsia"/>
          <w:color w:val="auto"/>
        </w:rPr>
        <w:t xml:space="preserve">6.1 </w:t>
      </w:r>
      <w:r>
        <w:rPr>
          <w:color w:val="auto"/>
        </w:rPr>
        <w:t xml:space="preserve">10kV进线柜巡检：</w:t>
      </w:r>
      <w:r/>
    </w:p>
    <w:p>
      <w:pPr>
        <w:pStyle w:val="829"/>
        <w:rPr>
          <w:color w:val="auto"/>
        </w:rPr>
      </w:pPr>
      <w:r>
        <w:rPr>
          <w:rFonts w:hint="eastAsia"/>
          <w:color w:val="auto"/>
        </w:rPr>
        <w:t xml:space="preserve">6.1.1</w:t>
      </w:r>
      <w:r>
        <w:rPr>
          <w:color w:val="auto"/>
        </w:rPr>
        <w:t xml:space="preserve">检查进线柜外观</w:t>
      </w:r>
      <w:r>
        <w:rPr>
          <w:rFonts w:hint="eastAsia"/>
          <w:color w:val="auto"/>
        </w:rPr>
        <w:t xml:space="preserve">；</w:t>
      </w:r>
      <w:r>
        <w:rPr>
          <w:color w:val="auto"/>
        </w:rPr>
        <w:t xml:space="preserve">电缆头及接地线的连接状态</w:t>
      </w:r>
      <w:r>
        <w:rPr>
          <w:rFonts w:hint="eastAsia"/>
          <w:color w:val="auto"/>
        </w:rPr>
        <w:t xml:space="preserve">、</w:t>
      </w:r>
      <w:r>
        <w:rPr>
          <w:color w:val="auto"/>
        </w:rPr>
        <w:t xml:space="preserve">断路器、隔离开关、避雷器等关键部件</w:t>
      </w:r>
      <w:r>
        <w:rPr>
          <w:rFonts w:hint="eastAsia"/>
          <w:color w:val="auto"/>
        </w:rPr>
        <w:t xml:space="preserve">、</w:t>
      </w:r>
      <w:r>
        <w:rPr>
          <w:color w:val="auto"/>
        </w:rPr>
        <w:t xml:space="preserve">观察电压、电流、功率等运行参数</w:t>
      </w:r>
      <w:r>
        <w:rPr>
          <w:rFonts w:hint="eastAsia"/>
          <w:color w:val="auto"/>
        </w:rPr>
        <w:t xml:space="preserve">、</w:t>
      </w:r>
      <w:r>
        <w:rPr>
          <w:color w:val="auto"/>
        </w:rPr>
        <w:t xml:space="preserve">底部封堵情况</w:t>
      </w:r>
      <w:r>
        <w:rPr>
          <w:rFonts w:hint="eastAsia"/>
          <w:color w:val="auto"/>
        </w:rPr>
        <w:t xml:space="preserve">。</w:t>
      </w:r>
      <w:r/>
    </w:p>
    <w:p>
      <w:pPr>
        <w:pStyle w:val="829"/>
        <w:rPr>
          <w:color w:val="auto"/>
        </w:rPr>
      </w:pPr>
      <w:r>
        <w:rPr>
          <w:rFonts w:hint="eastAsia"/>
          <w:color w:val="auto"/>
        </w:rPr>
        <w:t xml:space="preserve">6.1.2</w:t>
      </w:r>
      <w:r>
        <w:rPr>
          <w:color w:val="auto"/>
        </w:rPr>
        <w:t xml:space="preserve">确保无明显损坏、变形或腐蚀；确保连接牢固，无烧损现象；确保正常工作；确保符合正常范围。</w:t>
      </w:r>
      <w:r/>
    </w:p>
    <w:p>
      <w:pPr>
        <w:pStyle w:val="829"/>
        <w:rPr>
          <w:color w:val="auto"/>
        </w:rPr>
      </w:pPr>
      <w:r>
        <w:rPr>
          <w:rFonts w:hint="eastAsia"/>
          <w:color w:val="auto"/>
        </w:rPr>
        <w:t xml:space="preserve">6.2 </w:t>
      </w:r>
      <w:r>
        <w:rPr>
          <w:color w:val="auto"/>
        </w:rPr>
        <w:t xml:space="preserve">10kV出线柜巡检：</w:t>
      </w:r>
      <w:r/>
    </w:p>
    <w:p>
      <w:pPr>
        <w:pStyle w:val="829"/>
        <w:rPr>
          <w:color w:val="auto"/>
        </w:rPr>
      </w:pPr>
      <w:r>
        <w:rPr>
          <w:rFonts w:hint="eastAsia"/>
          <w:color w:val="auto"/>
        </w:rPr>
        <w:t xml:space="preserve">6.2.1</w:t>
      </w:r>
      <w:r>
        <w:rPr>
          <w:color w:val="auto"/>
        </w:rPr>
        <w:t xml:space="preserve">检查出线柜的外观</w:t>
      </w:r>
      <w:r>
        <w:rPr>
          <w:rFonts w:hint="eastAsia"/>
          <w:color w:val="auto"/>
        </w:rPr>
        <w:t xml:space="preserve">、</w:t>
      </w:r>
      <w:r>
        <w:rPr>
          <w:color w:val="auto"/>
        </w:rPr>
        <w:t xml:space="preserve">电缆头及接地线的连接状态</w:t>
      </w:r>
      <w:r>
        <w:rPr>
          <w:rFonts w:hint="eastAsia"/>
          <w:color w:val="auto"/>
        </w:rPr>
        <w:t xml:space="preserve">、</w:t>
      </w:r>
      <w:r>
        <w:rPr>
          <w:color w:val="auto"/>
        </w:rPr>
        <w:t xml:space="preserve">断路器、隔离开关、避雷器等关键部件</w:t>
      </w:r>
      <w:r>
        <w:rPr>
          <w:rFonts w:hint="eastAsia"/>
          <w:color w:val="auto"/>
        </w:rPr>
        <w:t xml:space="preserve">、</w:t>
      </w:r>
      <w:r>
        <w:rPr>
          <w:color w:val="auto"/>
        </w:rPr>
        <w:t xml:space="preserve">观察电压、电流、功率等运行参数</w:t>
      </w:r>
      <w:r>
        <w:rPr>
          <w:rFonts w:hint="eastAsia"/>
          <w:color w:val="auto"/>
        </w:rPr>
        <w:t xml:space="preserve">、</w:t>
      </w:r>
      <w:r>
        <w:rPr>
          <w:color w:val="auto"/>
        </w:rPr>
        <w:t xml:space="preserve">底部封堵情况</w:t>
      </w:r>
      <w:r>
        <w:rPr>
          <w:rFonts w:hint="eastAsia"/>
          <w:color w:val="auto"/>
        </w:rPr>
        <w:t xml:space="preserve">。</w:t>
      </w:r>
      <w:r/>
    </w:p>
    <w:p>
      <w:pPr>
        <w:pStyle w:val="829"/>
        <w:rPr>
          <w:color w:val="auto"/>
        </w:rPr>
      </w:pPr>
      <w:r>
        <w:rPr>
          <w:rFonts w:hint="eastAsia"/>
          <w:color w:val="auto"/>
        </w:rPr>
        <w:t xml:space="preserve">6.2.2</w:t>
      </w:r>
      <w:r>
        <w:rPr>
          <w:color w:val="auto"/>
        </w:rPr>
        <w:t xml:space="preserve">确保无明显损坏、变形或腐蚀；确保连接牢固，无烧损现象；确保正常工作；确保符合正常范围。</w:t>
      </w:r>
      <w:r/>
    </w:p>
    <w:p>
      <w:pPr>
        <w:pStyle w:val="829"/>
        <w:rPr>
          <w:color w:val="auto"/>
        </w:rPr>
      </w:pPr>
      <w:r>
        <w:rPr>
          <w:rFonts w:hint="eastAsia"/>
          <w:color w:val="auto"/>
        </w:rPr>
        <w:t xml:space="preserve">6.3</w:t>
      </w:r>
      <w:r>
        <w:rPr>
          <w:color w:val="auto"/>
        </w:rPr>
        <w:t xml:space="preserve">出线柜巡检：</w:t>
      </w:r>
      <w:r/>
    </w:p>
    <w:p>
      <w:pPr>
        <w:pStyle w:val="829"/>
        <w:rPr>
          <w:color w:val="auto"/>
        </w:rPr>
      </w:pPr>
      <w:r>
        <w:rPr>
          <w:rFonts w:hint="eastAsia"/>
          <w:color w:val="auto"/>
        </w:rPr>
        <w:t xml:space="preserve">6.3.1</w:t>
      </w:r>
      <w:r>
        <w:rPr>
          <w:color w:val="auto"/>
        </w:rPr>
        <w:t xml:space="preserve">检查出线柜的外观</w:t>
      </w:r>
      <w:r>
        <w:rPr>
          <w:rFonts w:hint="eastAsia"/>
          <w:color w:val="auto"/>
        </w:rPr>
        <w:t xml:space="preserve">、</w:t>
      </w:r>
      <w:r>
        <w:rPr>
          <w:color w:val="auto"/>
        </w:rPr>
        <w:t xml:space="preserve">电缆头及接地线的连接状态</w:t>
      </w:r>
      <w:r>
        <w:rPr>
          <w:rFonts w:hint="eastAsia"/>
          <w:color w:val="auto"/>
        </w:rPr>
        <w:t xml:space="preserve">、</w:t>
      </w:r>
      <w:r>
        <w:rPr>
          <w:color w:val="auto"/>
        </w:rPr>
        <w:t xml:space="preserve">断路器、隔离开关、避雷器等关键部件</w:t>
      </w:r>
      <w:r>
        <w:rPr>
          <w:rFonts w:hint="eastAsia"/>
          <w:color w:val="auto"/>
        </w:rPr>
        <w:t xml:space="preserve">、</w:t>
      </w:r>
      <w:r>
        <w:rPr>
          <w:color w:val="auto"/>
        </w:rPr>
        <w:t xml:space="preserve">观察电压、电流、功率等运行参数</w:t>
      </w:r>
      <w:r>
        <w:rPr>
          <w:rFonts w:hint="eastAsia"/>
          <w:color w:val="auto"/>
        </w:rPr>
        <w:t xml:space="preserve">、</w:t>
      </w:r>
      <w:r/>
    </w:p>
    <w:p>
      <w:pPr>
        <w:pStyle w:val="829"/>
        <w:rPr>
          <w:color w:val="auto"/>
        </w:rPr>
      </w:pPr>
      <w:r>
        <w:rPr>
          <w:rFonts w:hint="eastAsia"/>
          <w:color w:val="auto"/>
        </w:rPr>
        <w:t xml:space="preserve">6.3.2</w:t>
      </w:r>
      <w:r>
        <w:rPr>
          <w:color w:val="auto"/>
        </w:rPr>
        <w:t xml:space="preserve">确保无明显损坏、变形或腐蚀；确保连接牢固，无烧损现象；确保正常工作；确保符合正常范围。</w:t>
      </w:r>
      <w:r/>
    </w:p>
    <w:p>
      <w:pPr>
        <w:pStyle w:val="829"/>
        <w:rPr>
          <w:color w:val="auto"/>
        </w:rPr>
      </w:pPr>
      <w:r>
        <w:rPr>
          <w:rFonts w:hint="eastAsia"/>
          <w:color w:val="auto"/>
        </w:rPr>
        <w:t xml:space="preserve">6.4</w:t>
      </w:r>
      <w:r>
        <w:rPr>
          <w:color w:val="auto"/>
        </w:rPr>
        <w:t xml:space="preserve">无功补偿柜巡检</w:t>
      </w:r>
      <w:r/>
    </w:p>
    <w:p>
      <w:pPr>
        <w:pStyle w:val="829"/>
        <w:rPr>
          <w:color w:val="auto"/>
        </w:rPr>
      </w:pPr>
      <w:r>
        <w:rPr>
          <w:rFonts w:hint="eastAsia"/>
          <w:color w:val="auto"/>
        </w:rPr>
        <w:t xml:space="preserve">6.4.1</w:t>
      </w:r>
      <w:r>
        <w:rPr>
          <w:color w:val="auto"/>
        </w:rPr>
        <w:t xml:space="preserve">检查无功补偿柜的外观</w:t>
      </w:r>
      <w:r>
        <w:rPr>
          <w:rFonts w:hint="eastAsia"/>
          <w:color w:val="auto"/>
        </w:rPr>
        <w:t xml:space="preserve">、</w:t>
      </w:r>
      <w:r>
        <w:rPr>
          <w:color w:val="auto"/>
        </w:rPr>
        <w:t xml:space="preserve">电容器、接触器、保护器等关键部件状态</w:t>
      </w:r>
      <w:r>
        <w:rPr>
          <w:rFonts w:hint="eastAsia"/>
          <w:color w:val="auto"/>
        </w:rPr>
        <w:t xml:space="preserve">、</w:t>
      </w:r>
      <w:r>
        <w:rPr>
          <w:color w:val="auto"/>
        </w:rPr>
        <w:t xml:space="preserve">观察电压、电流、功率因数等运行参数</w:t>
      </w:r>
      <w:r>
        <w:rPr>
          <w:rFonts w:hint="eastAsia"/>
          <w:color w:val="auto"/>
        </w:rPr>
        <w:t xml:space="preserve">、</w:t>
      </w:r>
      <w:r>
        <w:rPr>
          <w:color w:val="auto"/>
        </w:rPr>
        <w:t xml:space="preserve">清理无功补偿柜内部灰尘</w:t>
      </w:r>
      <w:r>
        <w:rPr>
          <w:rFonts w:hint="eastAsia"/>
          <w:color w:val="auto"/>
        </w:rPr>
        <w:t xml:space="preserve">、</w:t>
      </w:r>
      <w:r>
        <w:rPr>
          <w:color w:val="auto"/>
        </w:rPr>
        <w:t xml:space="preserve">底部封堵情况</w:t>
      </w:r>
      <w:r>
        <w:rPr>
          <w:rFonts w:hint="eastAsia"/>
          <w:color w:val="auto"/>
        </w:rPr>
        <w:t xml:space="preserve">。</w:t>
      </w:r>
      <w:r/>
    </w:p>
    <w:p>
      <w:pPr>
        <w:pStyle w:val="829"/>
        <w:rPr>
          <w:color w:val="auto"/>
        </w:rPr>
      </w:pPr>
      <w:r>
        <w:rPr>
          <w:rFonts w:hint="eastAsia"/>
          <w:color w:val="auto"/>
        </w:rPr>
        <w:t xml:space="preserve">6.4.2</w:t>
      </w:r>
      <w:r>
        <w:rPr>
          <w:color w:val="auto"/>
        </w:rPr>
        <w:t xml:space="preserve">确保无明显损坏、变形或腐蚀；确保正常工作；确保无功补偿系统正常运行；确保良好散热和通风条件。</w:t>
      </w:r>
      <w:r/>
    </w:p>
    <w:p>
      <w:pPr>
        <w:pStyle w:val="829"/>
        <w:rPr>
          <w:color w:val="auto"/>
        </w:rPr>
      </w:pPr>
      <w:r>
        <w:rPr>
          <w:rFonts w:hint="eastAsia"/>
          <w:color w:val="auto"/>
        </w:rPr>
        <w:t xml:space="preserve">6.4.3</w:t>
      </w:r>
      <w:r>
        <w:rPr>
          <w:color w:val="auto"/>
        </w:rPr>
        <w:t xml:space="preserve">注意点：</w:t>
      </w:r>
      <w:r>
        <w:rPr>
          <w:rFonts w:hint="eastAsia"/>
          <w:color w:val="auto"/>
        </w:rPr>
        <w:t xml:space="preserve">①</w:t>
      </w:r>
      <w:r>
        <w:rPr>
          <w:color w:val="auto"/>
        </w:rPr>
        <w:t xml:space="preserve">确保配电柜各部件完好无损；</w:t>
      </w:r>
      <w:r>
        <w:rPr>
          <w:rFonts w:hint="eastAsia"/>
          <w:color w:val="auto"/>
        </w:rPr>
        <w:t xml:space="preserve">②</w:t>
      </w:r>
      <w:r>
        <w:rPr>
          <w:color w:val="auto"/>
        </w:rPr>
        <w:t xml:space="preserve">定期检查电缆连接是否牢固，避免电气火灾；</w:t>
      </w:r>
      <w:r>
        <w:rPr>
          <w:rFonts w:hint="eastAsia"/>
          <w:color w:val="auto"/>
        </w:rPr>
        <w:t xml:space="preserve">③</w:t>
      </w:r>
      <w:r>
        <w:rPr>
          <w:color w:val="auto"/>
        </w:rPr>
        <w:t xml:space="preserve">确保操作人员具备技能，了解配电柜操作要求；</w:t>
      </w:r>
      <w:r>
        <w:rPr>
          <w:rFonts w:hint="eastAsia"/>
          <w:color w:val="auto"/>
        </w:rPr>
        <w:t xml:space="preserve">④</w:t>
      </w:r>
      <w:r>
        <w:rPr>
          <w:color w:val="auto"/>
        </w:rPr>
        <w:t xml:space="preserve">进行定期巡查、维护和保养。</w:t>
      </w:r>
      <w:r/>
    </w:p>
    <w:p>
      <w:pPr>
        <w:pStyle w:val="829"/>
        <w:rPr>
          <w:b/>
          <w:color w:val="auto"/>
        </w:rPr>
      </w:pPr>
      <w:r>
        <w:rPr>
          <w:rFonts w:hint="eastAsia"/>
          <w:b/>
          <w:color w:val="auto"/>
        </w:rPr>
        <w:t xml:space="preserve">（五）其他要求</w:t>
      </w:r>
      <w:r/>
    </w:p>
    <w:p>
      <w:pPr>
        <w:pStyle w:val="829"/>
        <w:rPr>
          <w:color w:val="auto"/>
        </w:rPr>
      </w:pPr>
      <w:r>
        <w:rPr>
          <w:rFonts w:hint="eastAsia"/>
          <w:color w:val="auto"/>
        </w:rPr>
        <w:t xml:space="preserve">1.成交供应商必须按照要求配备办公场所及相关设备，且承诺投入办公场所及设备均为该项目专用，不得用于其他项目。在合同履行过程中，如发现专用办公场所及设备用于其它项目的，视为违约，采购人有权对成交供应商按成交价中《分项报价表》价格或参考同类报价、再或市场价加倍处罚，若出现二次（含）以上该违约现象，采购人有权解除合同。</w:t>
      </w:r>
      <w:r/>
    </w:p>
    <w:p>
      <w:pPr>
        <w:pStyle w:val="829"/>
        <w:rPr>
          <w:color w:val="auto"/>
        </w:rPr>
      </w:pPr>
      <w:r>
        <w:rPr>
          <w:rFonts w:hint="eastAsia"/>
          <w:color w:val="auto"/>
        </w:rPr>
        <w:t xml:space="preserve">2.成交供应商需按谈判文件落实用工人员，签订劳动合同或协议。</w:t>
      </w:r>
      <w:r/>
    </w:p>
    <w:p>
      <w:pPr>
        <w:pStyle w:val="829"/>
        <w:rPr>
          <w:color w:val="auto"/>
        </w:rPr>
      </w:pPr>
      <w:r>
        <w:rPr>
          <w:rFonts w:hint="eastAsia"/>
          <w:color w:val="auto"/>
        </w:rPr>
        <w:t xml:space="preserve">3.项目经理用工人员相对固定，不得随意调换，确需调换需报采购人进行审核，人员资质不得低于谈判文件要求。</w:t>
      </w:r>
      <w:r/>
    </w:p>
    <w:p>
      <w:pPr>
        <w:pStyle w:val="829"/>
        <w:rPr>
          <w:color w:val="auto"/>
        </w:rPr>
      </w:pPr>
      <w:r>
        <w:rPr>
          <w:rFonts w:hint="eastAsia"/>
          <w:color w:val="auto"/>
        </w:rPr>
        <w:t xml:space="preserve">4.成交供应商需统一运行维护人员、后勤保障人员、应急抢险人员服装，服装样式需经昆山市淀山湖镇建设管理办公室（水利）确认许可，需为看护巡查工作配备必要的劳保用品及安全防护用具。</w:t>
      </w:r>
      <w:r/>
    </w:p>
    <w:p>
      <w:pPr>
        <w:pStyle w:val="829"/>
        <w:rPr>
          <w:color w:val="auto"/>
        </w:rPr>
      </w:pPr>
      <w:r>
        <w:rPr>
          <w:rFonts w:hint="eastAsia"/>
          <w:color w:val="auto"/>
        </w:rPr>
        <w:t xml:space="preserve">5.成交供应商需负责站闸内水电的基础检查，需更换的器件由甲方提供。站闸水电费、信息化项目通信服务费由甲方承担。站闸建筑物、机电设施设备维修保养由甲方负责，费用由甲方承担，成交供应商协助实施。</w:t>
      </w:r>
      <w:r/>
    </w:p>
    <w:p>
      <w:pPr>
        <w:pStyle w:val="829"/>
        <w:rPr>
          <w:color w:val="auto"/>
        </w:rPr>
      </w:pPr>
      <w:r>
        <w:rPr>
          <w:rFonts w:hint="eastAsia"/>
          <w:color w:val="auto"/>
        </w:rPr>
        <w:t xml:space="preserve">6.按照甲方要求，成交供应商做好台账整理汇总工作，做到分类清晰、内容完整，并及时上报甲方。</w:t>
      </w:r>
      <w:r/>
    </w:p>
    <w:p>
      <w:pPr>
        <w:pStyle w:val="829"/>
        <w:rPr>
          <w:color w:val="auto"/>
        </w:rPr>
      </w:pPr>
      <w:r>
        <w:rPr>
          <w:rFonts w:hint="eastAsia"/>
          <w:color w:val="auto"/>
        </w:rPr>
        <w:t xml:space="preserve">7.成交供应商须切实做好安全管理，服务过程中发生的任何安全事故由成交供应商负责。应合法用工，承担用工安全责任。</w:t>
      </w:r>
      <w:r/>
    </w:p>
    <w:p>
      <w:pPr>
        <w:pStyle w:val="829"/>
        <w:rPr>
          <w:color w:val="auto"/>
        </w:rPr>
      </w:pPr>
      <w:r>
        <w:rPr>
          <w:rFonts w:hint="eastAsia"/>
          <w:color w:val="auto"/>
        </w:rPr>
        <w:t xml:space="preserve">8.成交供应商支付其用。</w:t>
      </w:r>
      <w:r/>
    </w:p>
    <w:p>
      <w:pPr>
        <w:pStyle w:val="829"/>
        <w:rPr>
          <w:color w:val="auto"/>
        </w:rPr>
      </w:pPr>
      <w:r>
        <w:rPr>
          <w:rFonts w:hint="eastAsia"/>
          <w:color w:val="auto"/>
        </w:rPr>
        <w:t xml:space="preserve">9.成交供应商需对员工建立考核机制，每季度不少于一次，并将考核结果上报甲方。</w:t>
      </w:r>
      <w:r/>
    </w:p>
    <w:p>
      <w:pPr>
        <w:pStyle w:val="829"/>
        <w:rPr>
          <w:color w:val="auto"/>
        </w:rPr>
      </w:pPr>
      <w:r>
        <w:rPr>
          <w:rFonts w:hint="eastAsia"/>
          <w:color w:val="auto"/>
        </w:rPr>
        <w:t xml:space="preserve">10.甲方有权根据看护情况变动作相应调整，成交供应商应予同意，其单价按谈判报价按实结算。</w:t>
      </w:r>
      <w:r/>
    </w:p>
    <w:p>
      <w:pPr>
        <w:pStyle w:val="829"/>
        <w:rPr>
          <w:color w:val="auto"/>
        </w:rPr>
      </w:pPr>
      <w:r>
        <w:rPr>
          <w:rFonts w:hint="eastAsia"/>
          <w:color w:val="auto"/>
        </w:rPr>
        <w:t xml:space="preserve">11.除上述要求外，成交供应商须服从甲方安排，执行各级及甲方关于本项目服务范围的其他要求。</w:t>
      </w:r>
      <w:r/>
    </w:p>
    <w:p>
      <w:pPr>
        <w:pStyle w:val="829"/>
        <w:rPr>
          <w:b/>
          <w:bCs/>
          <w:color w:val="auto"/>
        </w:rPr>
      </w:pPr>
      <w:r>
        <w:rPr>
          <w:rFonts w:hint="eastAsia"/>
          <w:b/>
          <w:bCs/>
          <w:color w:val="auto"/>
        </w:rPr>
        <w:t xml:space="preserve">五、综合说明及其他要求：</w:t>
      </w:r>
      <w:r/>
    </w:p>
    <w:p>
      <w:pPr>
        <w:pStyle w:val="829"/>
        <w:rPr>
          <w:color w:val="auto"/>
        </w:rPr>
      </w:pPr>
      <w:r>
        <w:rPr>
          <w:rFonts w:hint="eastAsia"/>
          <w:color w:val="auto"/>
        </w:rPr>
        <w:t xml:space="preserve">1.谈判单位提供的服务能够至少达到以上要求，否则视为非实质响应谈判文件。谈判文件中人员配置要求为最低要求，各谈判单位可以根据自身实力及需要进行配置，但不得低于谈判文件要求。</w:t>
      </w:r>
      <w:r/>
    </w:p>
    <w:p>
      <w:pPr>
        <w:pStyle w:val="829"/>
        <w:rPr>
          <w:color w:val="auto"/>
        </w:rPr>
      </w:pPr>
      <w:r>
        <w:rPr>
          <w:rFonts w:hint="eastAsia"/>
          <w:color w:val="auto"/>
        </w:rPr>
        <w:t xml:space="preserve">2.谈判单位必须承诺谈判文件中提出的全部要求，如果以其中某些条款不响应时，应在文件中逐条列出，未列出的视同响应。</w:t>
      </w:r>
      <w:r/>
    </w:p>
    <w:p>
      <w:pPr>
        <w:pStyle w:val="829"/>
        <w:rPr>
          <w:color w:val="auto"/>
        </w:rPr>
      </w:pPr>
      <w:r>
        <w:rPr>
          <w:rFonts w:hint="eastAsia"/>
          <w:color w:val="auto"/>
        </w:rPr>
        <w:t xml:space="preserve">3.谈判总报价包括在承包期内本项目看护服务范围内的需要的人工费（包括人员工资、所有发生的加班工资、通讯、食宿、人员的社保、保险等），看护、巡查工具等相关机械设备使用费、台账资料材料费、交通费以及在看护巡查过程中发生的一切费用。报价中还包括耗材、各种税费及政策性文件规定及合同包含的所有风险、责任等各项应有费用。谈判单位应自行考虑市场风险和责任。</w:t>
      </w:r>
      <w:r/>
    </w:p>
    <w:p>
      <w:pPr>
        <w:pStyle w:val="829"/>
        <w:rPr>
          <w:bCs/>
          <w:color w:val="auto"/>
        </w:rPr>
      </w:pPr>
      <w:r>
        <w:rPr>
          <w:rFonts w:hint="eastAsia"/>
          <w:color w:val="auto"/>
        </w:rPr>
        <w:t xml:space="preserve">4.凡涉及谈判文件的补充说明和</w:t>
      </w:r>
      <w:r>
        <w:rPr>
          <w:rFonts w:hint="eastAsia"/>
          <w:bCs/>
          <w:color w:val="auto"/>
        </w:rPr>
        <w:t xml:space="preserve">修改，均以</w:t>
      </w:r>
      <w:r>
        <w:rPr>
          <w:rFonts w:hint="eastAsia"/>
          <w:color w:val="auto"/>
        </w:rPr>
        <w:t xml:space="preserve">苏州市政府采购网</w:t>
      </w:r>
      <w:r>
        <w:rPr>
          <w:rFonts w:hint="eastAsia"/>
          <w:bCs/>
          <w:color w:val="auto"/>
        </w:rPr>
        <w:t xml:space="preserve">发布的文件为准。</w:t>
      </w:r>
      <w:r/>
    </w:p>
    <w:p>
      <w:pPr>
        <w:pStyle w:val="829"/>
        <w:rPr>
          <w:color w:val="auto"/>
        </w:rPr>
      </w:pPr>
      <w:r>
        <w:rPr>
          <w:color w:val="auto"/>
        </w:rPr>
        <w:br w:type="page" w:clear="all"/>
      </w:r>
      <w:r/>
    </w:p>
    <w:p>
      <w:pPr>
        <w:pStyle w:val="818"/>
        <w:jc w:val="center"/>
        <w:rPr>
          <w:b/>
          <w:bCs/>
          <w:color w:val="auto"/>
        </w:rPr>
      </w:pPr>
      <w:r/>
      <w:bookmarkStart w:id="55" w:name="_Toc204332811"/>
      <w:r>
        <w:rPr>
          <w:rFonts w:hint="eastAsia"/>
          <w:b/>
          <w:bCs/>
          <w:color w:val="auto"/>
        </w:rPr>
        <w:t xml:space="preserve">第五章 合同主要内容</w:t>
      </w:r>
      <w:bookmarkEnd w:id="55"/>
      <w:r/>
      <w:r/>
    </w:p>
    <w:p>
      <w:pPr>
        <w:ind w:firstLine="420"/>
        <w:spacing w:line="360" w:lineRule="auto"/>
        <w:rPr>
          <w:rFonts w:ascii="宋体" w:hAnsi="宋体" w:cs="宋体"/>
          <w:color w:val="auto"/>
          <w:szCs w:val="21"/>
        </w:rPr>
      </w:pPr>
      <w:r/>
      <w:bookmarkStart w:id="56" w:name="_Hlk523753297"/>
      <w:r>
        <w:rPr>
          <w:rFonts w:hint="eastAsia" w:ascii="宋体" w:hAnsi="宋体" w:cs="宋体"/>
          <w:color w:val="auto"/>
          <w:szCs w:val="21"/>
        </w:rPr>
        <w:t xml:space="preserve">甲方：</w:t>
      </w:r>
      <w:r>
        <w:rPr>
          <w:rFonts w:ascii="宋体" w:hAnsi="宋体" w:cs="宋体"/>
          <w:color w:val="auto"/>
          <w:szCs w:val="21"/>
        </w:rPr>
        <w:t xml:space="preserve"> </w:t>
      </w:r>
      <w:r/>
    </w:p>
    <w:p>
      <w:pPr>
        <w:ind w:firstLine="420"/>
        <w:spacing w:line="360" w:lineRule="auto"/>
        <w:rPr>
          <w:rFonts w:ascii="宋体" w:hAnsi="宋体" w:cs="宋体"/>
          <w:color w:val="auto"/>
          <w:szCs w:val="21"/>
        </w:rPr>
      </w:pPr>
      <w:r>
        <w:rPr>
          <w:rFonts w:hint="eastAsia" w:ascii="宋体" w:hAnsi="宋体" w:cs="宋体"/>
          <w:color w:val="auto"/>
          <w:szCs w:val="21"/>
        </w:rPr>
        <w:t xml:space="preserve">乙方：</w:t>
      </w:r>
      <w:r>
        <w:rPr>
          <w:rFonts w:ascii="宋体" w:hAnsi="宋体" w:cs="宋体"/>
          <w:color w:val="auto"/>
          <w:szCs w:val="21"/>
        </w:rPr>
        <w:t xml:space="preserve"> </w:t>
      </w:r>
      <w:r/>
    </w:p>
    <w:p>
      <w:pPr>
        <w:ind w:firstLine="420"/>
        <w:spacing w:line="360" w:lineRule="auto"/>
        <w:rPr>
          <w:rFonts w:ascii="宋体" w:hAnsi="宋体" w:cs="宋体"/>
          <w:color w:val="auto"/>
          <w:szCs w:val="21"/>
        </w:rPr>
      </w:pPr>
      <w:r>
        <w:rPr>
          <w:rFonts w:ascii="宋体" w:hAnsi="宋体" w:cs="宋体"/>
          <w:color w:val="auto"/>
          <w:szCs w:val="21"/>
        </w:rPr>
        <w:t xml:space="preserve">根据</w:t>
      </w:r>
      <w:r>
        <w:rPr>
          <w:rFonts w:hint="eastAsia" w:ascii="宋体" w:hAnsi="宋体" w:cs="宋体"/>
          <w:color w:val="auto"/>
          <w:szCs w:val="21"/>
        </w:rPr>
        <w:t xml:space="preserve">采购项目</w:t>
      </w:r>
      <w:r>
        <w:rPr>
          <w:rFonts w:ascii="宋体" w:hAnsi="宋体" w:cs="宋体"/>
          <w:color w:val="auto"/>
          <w:szCs w:val="21"/>
        </w:rPr>
        <w:t xml:space="preserve">编号为</w:t>
      </w:r>
      <w:r>
        <w:rPr>
          <w:rFonts w:hint="eastAsia" w:ascii="宋体" w:hAnsi="宋体" w:cs="宋体"/>
          <w:color w:val="auto"/>
          <w:szCs w:val="21"/>
          <w:u w:val="single"/>
          <w:lang w:eastAsia="zh-CN"/>
        </w:rPr>
        <w:t xml:space="preserve">JSZC-320583-SZGZ-T2026-0066</w:t>
      </w:r>
      <w:r>
        <w:rPr>
          <w:rFonts w:ascii="宋体" w:hAnsi="宋体" w:cs="宋体"/>
          <w:color w:val="auto"/>
          <w:szCs w:val="21"/>
        </w:rPr>
        <w:t xml:space="preserve">的</w:t>
      </w:r>
      <w:r>
        <w:rPr>
          <w:rFonts w:hint="eastAsia" w:ascii="宋体" w:hAnsi="宋体" w:cs="宋体"/>
          <w:color w:val="auto"/>
          <w:szCs w:val="21"/>
        </w:rPr>
        <w:t xml:space="preserve">竞争性谈判</w:t>
      </w:r>
      <w:r>
        <w:rPr>
          <w:rFonts w:ascii="宋体" w:hAnsi="宋体" w:cs="宋体"/>
          <w:color w:val="auto"/>
          <w:szCs w:val="21"/>
        </w:rPr>
        <w:t xml:space="preserve">文件及该</w:t>
      </w:r>
      <w:r>
        <w:rPr>
          <w:rFonts w:hint="eastAsia" w:ascii="宋体" w:hAnsi="宋体" w:cs="宋体"/>
          <w:color w:val="auto"/>
          <w:szCs w:val="21"/>
        </w:rPr>
        <w:t xml:space="preserve">谈判</w:t>
      </w:r>
      <w:r>
        <w:rPr>
          <w:rFonts w:ascii="宋体" w:hAnsi="宋体" w:cs="宋体"/>
          <w:color w:val="auto"/>
          <w:szCs w:val="21"/>
        </w:rPr>
        <w:t xml:space="preserve">文件的</w:t>
      </w:r>
      <w:r>
        <w:rPr>
          <w:rFonts w:hint="eastAsia" w:ascii="宋体" w:hAnsi="宋体" w:cs="宋体"/>
          <w:color w:val="auto"/>
          <w:szCs w:val="21"/>
        </w:rPr>
        <w:t xml:space="preserve">谈判响应</w:t>
      </w:r>
      <w:r>
        <w:rPr>
          <w:rFonts w:ascii="宋体" w:hAnsi="宋体" w:cs="宋体"/>
          <w:color w:val="auto"/>
          <w:szCs w:val="21"/>
        </w:rPr>
        <w:t xml:space="preserve">文件和</w:t>
      </w:r>
      <w:r>
        <w:rPr>
          <w:rFonts w:hint="eastAsia" w:ascii="宋体" w:hAnsi="宋体" w:cs="宋体"/>
          <w:color w:val="auto"/>
          <w:szCs w:val="21"/>
        </w:rPr>
        <w:t xml:space="preserve">成交</w:t>
      </w:r>
      <w:r>
        <w:rPr>
          <w:rFonts w:ascii="宋体" w:hAnsi="宋体" w:cs="宋体"/>
          <w:color w:val="auto"/>
          <w:szCs w:val="21"/>
        </w:rPr>
        <w:t xml:space="preserve">通知书，甲乙双方就</w:t>
      </w:r>
      <w:r>
        <w:rPr>
          <w:rFonts w:hint="eastAsia" w:ascii="宋体" w:hAnsi="宋体" w:cs="宋体"/>
          <w:color w:val="auto"/>
          <w:szCs w:val="21"/>
        </w:rPr>
        <w:t xml:space="preserve">2026年度淀山湖镇水利设施维养管护一体化项目</w:t>
      </w:r>
      <w:r>
        <w:rPr>
          <w:rFonts w:ascii="宋体" w:hAnsi="宋体" w:cs="宋体"/>
          <w:color w:val="auto"/>
          <w:szCs w:val="21"/>
        </w:rPr>
        <w:t xml:space="preserve">工作，签订本合同书。</w:t>
      </w:r>
      <w:r/>
    </w:p>
    <w:p>
      <w:pPr>
        <w:numPr>
          <w:ilvl w:val="0"/>
          <w:numId w:val="9"/>
        </w:numPr>
        <w:ind w:firstLine="422"/>
        <w:spacing w:line="360" w:lineRule="auto"/>
        <w:rPr>
          <w:rFonts w:ascii="宋体" w:hAnsi="宋体" w:cs="宋体"/>
          <w:b/>
          <w:bCs/>
          <w:color w:val="auto"/>
          <w:szCs w:val="21"/>
        </w:rPr>
      </w:pPr>
      <w:r>
        <w:rPr>
          <w:rFonts w:hint="eastAsia" w:ascii="宋体" w:hAnsi="宋体" w:cs="宋体"/>
          <w:b/>
          <w:bCs/>
          <w:color w:val="auto"/>
          <w:szCs w:val="21"/>
        </w:rPr>
        <w:t xml:space="preserve">合同内容：</w:t>
      </w:r>
      <w:r/>
    </w:p>
    <w:p>
      <w:pPr>
        <w:ind w:firstLine="420"/>
        <w:spacing w:line="360" w:lineRule="auto"/>
        <w:rPr>
          <w:rFonts w:ascii="宋体" w:hAnsi="宋体" w:cs="宋体"/>
          <w:color w:val="auto"/>
          <w:szCs w:val="21"/>
        </w:rPr>
      </w:pPr>
      <w:r>
        <w:rPr>
          <w:rFonts w:hint="eastAsia" w:ascii="宋体" w:hAnsi="宋体" w:cs="宋体"/>
          <w:color w:val="auto"/>
          <w:szCs w:val="21"/>
        </w:rPr>
        <w:t xml:space="preserve">1.乙方负责2026年度淀山湖镇水利设施维养管护一体化项目</w:t>
      </w:r>
      <w:r/>
    </w:p>
    <w:p>
      <w:pPr>
        <w:ind w:firstLine="420"/>
        <w:spacing w:line="360" w:lineRule="auto"/>
        <w:rPr>
          <w:rFonts w:ascii="宋体" w:hAnsi="宋体" w:cs="宋体"/>
          <w:color w:val="auto"/>
          <w:szCs w:val="21"/>
        </w:rPr>
      </w:pPr>
      <w:r>
        <w:rPr>
          <w:rFonts w:hint="eastAsia" w:ascii="宋体" w:hAnsi="宋体" w:cs="宋体"/>
          <w:color w:val="auto"/>
          <w:szCs w:val="21"/>
        </w:rPr>
        <w:t xml:space="preserve">服务时间：壹年，自</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ascii="宋体" w:hAnsi="宋体" w:cs="宋体"/>
          <w:color w:val="auto"/>
          <w:szCs w:val="21"/>
          <w:u w:val="single"/>
        </w:rPr>
        <w:t xml:space="preserve">      </w:t>
      </w:r>
      <w:r>
        <w:rPr>
          <w:rFonts w:hint="eastAsia" w:ascii="宋体" w:hAnsi="宋体" w:cs="宋体"/>
          <w:color w:val="auto"/>
          <w:szCs w:val="21"/>
        </w:rPr>
        <w:t xml:space="preserve">月</w:t>
      </w:r>
      <w:r>
        <w:rPr>
          <w:rFonts w:ascii="宋体" w:hAnsi="宋体" w:cs="宋体"/>
          <w:color w:val="auto"/>
          <w:szCs w:val="21"/>
          <w:u w:val="single"/>
        </w:rPr>
        <w:t xml:space="preserve">      </w:t>
      </w:r>
      <w:r>
        <w:rPr>
          <w:rFonts w:hint="eastAsia" w:ascii="宋体" w:hAnsi="宋体" w:cs="宋体"/>
          <w:color w:val="auto"/>
          <w:szCs w:val="21"/>
        </w:rPr>
        <w:t xml:space="preserve">日至</w:t>
      </w:r>
      <w:r>
        <w:rPr>
          <w:rFonts w:ascii="宋体" w:hAnsi="宋体" w:cs="宋体"/>
          <w:color w:val="auto"/>
          <w:szCs w:val="21"/>
          <w:u w:val="single"/>
        </w:rPr>
        <w:t xml:space="preserve">      </w:t>
      </w:r>
      <w:r>
        <w:rPr>
          <w:rFonts w:hint="eastAsia" w:ascii="宋体" w:hAnsi="宋体" w:cs="宋体"/>
          <w:color w:val="auto"/>
          <w:szCs w:val="21"/>
        </w:rPr>
        <w:t xml:space="preserve">年</w:t>
      </w:r>
      <w:r>
        <w:rPr>
          <w:rFonts w:ascii="宋体" w:hAnsi="宋体" w:cs="宋体"/>
          <w:color w:val="auto"/>
          <w:szCs w:val="21"/>
          <w:u w:val="single"/>
        </w:rPr>
        <w:t xml:space="preserve">       </w:t>
      </w:r>
      <w:r>
        <w:rPr>
          <w:rFonts w:hint="eastAsia" w:ascii="宋体" w:hAnsi="宋体" w:cs="宋体"/>
          <w:color w:val="auto"/>
          <w:szCs w:val="21"/>
        </w:rPr>
        <w:t xml:space="preserve">月</w:t>
      </w:r>
      <w:r>
        <w:rPr>
          <w:rFonts w:ascii="宋体" w:hAnsi="宋体" w:cs="宋体"/>
          <w:color w:val="auto"/>
          <w:szCs w:val="21"/>
          <w:u w:val="single"/>
        </w:rPr>
        <w:t xml:space="preserve">      </w:t>
      </w:r>
      <w:r>
        <w:rPr>
          <w:rFonts w:hint="eastAsia" w:ascii="宋体" w:hAnsi="宋体" w:cs="宋体"/>
          <w:color w:val="auto"/>
          <w:szCs w:val="21"/>
        </w:rPr>
        <w:t xml:space="preserve">日。在合同有效期内一方不得擅自变更或中止此项协议，如未经双方同意，擅自变更或中止此项的一方要负违约责任。此项合同需终止或续签，应在合同期内提前半个月书面通知对方。</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2.服务范围及工作内容：</w:t>
      </w:r>
      <w:r/>
    </w:p>
    <w:p>
      <w:pPr>
        <w:ind w:firstLine="420"/>
        <w:spacing w:line="360" w:lineRule="auto"/>
        <w:rPr>
          <w:rFonts w:ascii="宋体" w:hAnsi="宋体" w:cs="宋体"/>
          <w:b/>
          <w:bCs/>
          <w:color w:val="auto"/>
          <w:szCs w:val="21"/>
        </w:rPr>
      </w:pPr>
      <w:r>
        <w:rPr>
          <w:rFonts w:ascii="宋体" w:hAnsi="宋体" w:cs="宋体"/>
          <w:color w:val="auto"/>
          <w:szCs w:val="21"/>
        </w:rPr>
        <w:t xml:space="preserve">（</w:t>
      </w:r>
      <w:r>
        <w:rPr>
          <w:rFonts w:hint="eastAsia" w:ascii="宋体" w:hAnsi="宋体" w:cs="宋体"/>
          <w:color w:val="auto"/>
          <w:szCs w:val="21"/>
        </w:rPr>
        <w:t xml:space="preserve">1</w:t>
      </w:r>
      <w:r>
        <w:rPr>
          <w:rFonts w:ascii="宋体" w:hAnsi="宋体" w:cs="宋体"/>
          <w:color w:val="auto"/>
          <w:szCs w:val="21"/>
        </w:rPr>
        <w:t xml:space="preserve">）昆山市淀山湖</w:t>
      </w:r>
      <w:r>
        <w:rPr>
          <w:rFonts w:hint="eastAsia" w:ascii="宋体" w:hAnsi="宋体" w:cs="宋体"/>
          <w:color w:val="auto"/>
          <w:szCs w:val="21"/>
        </w:rPr>
        <w:t xml:space="preserve">镇10个圩区管理（包含28座排涝站闸、50座防洪闸门等）的运行管理巡查，以及特殊天气辅助防汛。</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（2）服务内容：</w:t>
      </w:r>
      <w:r>
        <w:rPr>
          <w:rFonts w:hint="eastAsia" w:ascii="宋体" w:hAnsi="宋体" w:cs="宋体"/>
          <w:color w:val="auto"/>
          <w:szCs w:val="21"/>
        </w:rPr>
        <w:t xml:space="preserve">负责圩区管理，闸门启闭，泵站闸门的日常保洁、维护管理、机电设备常规巡检、调试与运行、汛前汛后维护保养，以及相关台账的编制整理，另外需在台风、强降雨等特殊天气下承担24小时值守及辅助防汛应急任务，以全面保障站闸设施在汛期的正常稳定运行，在发生意外停电时使用应急发电机组进行排涝，确保防汛安全。</w:t>
      </w:r>
      <w:r/>
    </w:p>
    <w:p>
      <w:pPr>
        <w:pStyle w:val="829"/>
        <w:rPr>
          <w:color w:val="auto"/>
        </w:rPr>
      </w:pPr>
      <w:r>
        <w:rPr>
          <w:rFonts w:hint="eastAsia"/>
          <w:color w:val="auto"/>
        </w:rPr>
        <w:t xml:space="preserve">3.下列文件为本合同不可分割部分：</w:t>
      </w:r>
      <w:r/>
    </w:p>
    <w:p>
      <w:pPr>
        <w:pStyle w:val="829"/>
        <w:rPr>
          <w:color w:val="auto"/>
        </w:rPr>
      </w:pPr>
      <w:r>
        <w:rPr>
          <w:rFonts w:hint="eastAsia"/>
          <w:color w:val="auto"/>
        </w:rPr>
        <w:t xml:space="preserve">①成交通知书；</w:t>
      </w:r>
      <w:r/>
    </w:p>
    <w:p>
      <w:pPr>
        <w:pStyle w:val="829"/>
        <w:rPr>
          <w:color w:val="auto"/>
        </w:rPr>
      </w:pPr>
      <w:r>
        <w:rPr>
          <w:rFonts w:hint="eastAsia"/>
          <w:color w:val="auto"/>
        </w:rPr>
        <w:t xml:space="preserve">②乙方的谈判响应文件；</w:t>
      </w:r>
      <w:r/>
    </w:p>
    <w:p>
      <w:pPr>
        <w:pStyle w:val="829"/>
        <w:rPr>
          <w:color w:val="auto"/>
        </w:rPr>
      </w:pPr>
      <w:r>
        <w:rPr>
          <w:rFonts w:hint="eastAsia"/>
          <w:color w:val="auto"/>
        </w:rPr>
        <w:t xml:space="preserve">③乙方在谈判过程中所作的其它承诺、声明、书面澄清等；</w:t>
      </w:r>
      <w:r/>
    </w:p>
    <w:p>
      <w:pPr>
        <w:pStyle w:val="829"/>
        <w:rPr>
          <w:color w:val="auto"/>
        </w:rPr>
      </w:pPr>
      <w:r>
        <w:rPr>
          <w:rFonts w:hint="eastAsia"/>
          <w:color w:val="auto"/>
        </w:rPr>
        <w:t xml:space="preserve">④竞争性谈判文件及其附件；</w:t>
      </w:r>
      <w:r/>
    </w:p>
    <w:p>
      <w:pPr>
        <w:pStyle w:val="829"/>
        <w:rPr>
          <w:color w:val="auto"/>
        </w:rPr>
      </w:pPr>
      <w:r>
        <w:rPr>
          <w:rFonts w:hint="eastAsia"/>
          <w:color w:val="auto"/>
        </w:rPr>
        <w:t xml:space="preserve">⑤合同附件。</w:t>
      </w:r>
      <w:r/>
    </w:p>
    <w:p>
      <w:pPr>
        <w:pStyle w:val="829"/>
        <w:rPr>
          <w:color w:val="auto"/>
        </w:rPr>
      </w:pPr>
      <w:r>
        <w:rPr>
          <w:rFonts w:hint="eastAsia"/>
          <w:color w:val="auto"/>
        </w:rPr>
        <w:t xml:space="preserve">以上与本合同具有同等法律效力</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二、价格与支付：</w:t>
      </w:r>
      <w:r/>
    </w:p>
    <w:p>
      <w:pPr>
        <w:ind w:firstLine="420"/>
        <w:spacing w:line="360" w:lineRule="auto"/>
        <w:rPr>
          <w:rFonts w:ascii="宋体" w:hAnsi="宋体" w:cs="宋体"/>
          <w:color w:val="auto"/>
          <w:szCs w:val="21"/>
        </w:rPr>
      </w:pPr>
      <w:r>
        <w:rPr>
          <w:rFonts w:ascii="宋体" w:hAnsi="宋体" w:cs="宋体"/>
          <w:color w:val="auto"/>
          <w:szCs w:val="21"/>
        </w:rPr>
        <w:t xml:space="preserve">1</w:t>
      </w:r>
      <w:r>
        <w:rPr>
          <w:rFonts w:hint="eastAsia" w:ascii="宋体" w:hAnsi="宋体" w:cs="宋体"/>
          <w:color w:val="auto"/>
          <w:szCs w:val="21"/>
        </w:rPr>
        <w:t xml:space="preserve">.</w:t>
      </w:r>
      <w:r>
        <w:rPr>
          <w:rFonts w:ascii="宋体" w:hAnsi="宋体" w:cs="宋体"/>
          <w:color w:val="auto"/>
          <w:szCs w:val="21"/>
        </w:rPr>
        <w:t xml:space="preserve">本合同</w:t>
      </w:r>
      <w:r>
        <w:rPr>
          <w:rFonts w:hint="eastAsia" w:ascii="宋体" w:hAnsi="宋体" w:cs="宋体"/>
          <w:color w:val="auto"/>
          <w:szCs w:val="21"/>
        </w:rPr>
        <w:t xml:space="preserve">总</w:t>
      </w:r>
      <w:r>
        <w:rPr>
          <w:rFonts w:ascii="宋体" w:hAnsi="宋体" w:cs="宋体"/>
          <w:color w:val="auto"/>
          <w:szCs w:val="21"/>
        </w:rPr>
        <w:t xml:space="preserve">金额为人民币（大写）：</w:t>
      </w:r>
      <w:r>
        <w:rPr>
          <w:rFonts w:ascii="宋体" w:hAnsi="宋体" w:cs="宋体"/>
          <w:color w:val="auto"/>
          <w:szCs w:val="21"/>
          <w:u w:val="single"/>
        </w:rPr>
        <w:t xml:space="preserve">           元整</w:t>
      </w:r>
      <w:r>
        <w:rPr>
          <w:rFonts w:ascii="宋体" w:hAnsi="宋体" w:cs="宋体"/>
          <w:color w:val="auto"/>
          <w:szCs w:val="21"/>
        </w:rPr>
        <w:t xml:space="preserve">（</w:t>
      </w:r>
      <w:r>
        <w:rPr>
          <w:rFonts w:hint="eastAsia" w:ascii="宋体" w:hAnsi="宋体" w:cs="宋体"/>
          <w:color w:val="auto"/>
          <w:szCs w:val="21"/>
        </w:rPr>
        <w:t xml:space="preserve">¥：</w:t>
      </w:r>
      <w:r>
        <w:rPr>
          <w:rFonts w:ascii="宋体" w:hAnsi="宋体" w:cs="宋体"/>
          <w:color w:val="auto"/>
          <w:szCs w:val="21"/>
          <w:u w:val="single"/>
        </w:rPr>
        <w:t xml:space="preserve">          </w:t>
      </w:r>
      <w:r>
        <w:rPr>
          <w:rFonts w:hint="eastAsia" w:ascii="宋体" w:hAnsi="宋体" w:cs="宋体"/>
          <w:color w:val="auto"/>
          <w:szCs w:val="21"/>
          <w:u w:val="single"/>
        </w:rPr>
        <w:t xml:space="preserve">元</w:t>
      </w:r>
      <w:r>
        <w:rPr>
          <w:rFonts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color w:val="auto"/>
          <w:szCs w:val="21"/>
        </w:rPr>
        <w:t xml:space="preserve">合同总金额应包括</w:t>
      </w:r>
      <w:r>
        <w:rPr>
          <w:rFonts w:ascii="宋体" w:hAnsi="宋体" w:cs="宋体"/>
          <w:color w:val="auto"/>
          <w:szCs w:val="21"/>
        </w:rPr>
        <w:t xml:space="preserve">全部服务所需的人工费（包括人员工资、所有发生的加班工资、人员的社保、保险等），看护、巡查工具等相关机械设备使用费、台账资料材料费、交通费以及在看护巡查过程中发生的一切费用。报价中还包括耗材、各种税费及政策性文件规定及合同包含的所有风险、责任等各项应有费用。</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付款方式：每季度支付一次，每季度支付金额=∑（合同总金额/4-本季度的考核奖惩金）（具体金额以昆山市水事综合管理中心淀山湖管理站外包服务考核表结果基础进行核定。每月考核成绩达到90分及以上的，当月作业经费全额拨付；考核成绩低于90分的，每低1分扣减当月作业经费的1%）。付款前，乙方开具与付款金额相对应的符合甲方要求的发票，否则甲方有权延付、拒付且不承担任何违约责任。</w:t>
      </w:r>
      <w:r/>
    </w:p>
    <w:p>
      <w:pPr>
        <w:ind w:firstLine="422"/>
        <w:spacing w:line="360" w:lineRule="auto"/>
        <w:rPr>
          <w:rFonts w:ascii="宋体" w:hAnsi="宋体" w:cs="宋体"/>
          <w:color w:val="auto"/>
          <w:szCs w:val="21"/>
        </w:rPr>
      </w:pPr>
      <w:r>
        <w:rPr>
          <w:rFonts w:hint="eastAsia" w:ascii="宋体" w:hAnsi="宋体" w:cs="宋体"/>
          <w:b/>
          <w:color w:val="auto"/>
          <w:szCs w:val="21"/>
        </w:rPr>
        <w:t xml:space="preserve">三、看护及巡查要求：</w:t>
      </w:r>
      <w:r>
        <w:rPr>
          <w:rFonts w:hint="eastAsia" w:ascii="宋体" w:hAnsi="宋体" w:cs="宋体"/>
          <w:color w:val="auto"/>
          <w:szCs w:val="21"/>
        </w:rPr>
        <w:t xml:space="preserve">按谈判文件、行业及甲方及上级单位要求执行。</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四、人员工作时间和要求：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1.各岗位人员工作业时间及要求按谈判文件规定；</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2.若遇重大活动，乙方应无条件服从甲方对站闸看护及巡查作业时间的调整。</w:t>
      </w:r>
      <w:r/>
    </w:p>
    <w:p>
      <w:pPr>
        <w:ind w:firstLine="422"/>
        <w:spacing w:line="360" w:lineRule="auto"/>
        <w:rPr>
          <w:rFonts w:ascii="宋体" w:hAnsi="宋体" w:cs="宋体"/>
          <w:bCs/>
          <w:color w:val="auto"/>
          <w:szCs w:val="21"/>
        </w:rPr>
      </w:pPr>
      <w:r>
        <w:rPr>
          <w:rFonts w:hint="eastAsia" w:ascii="宋体" w:hAnsi="宋体" w:cs="宋体"/>
          <w:b/>
          <w:color w:val="auto"/>
          <w:szCs w:val="21"/>
        </w:rPr>
        <w:t xml:space="preserve">五、考核标准：详见附件1《2026年度淀山湖镇水利设施维养管护一体化项目承包企业考核管理办法》、附件2《2026年度淀山湖镇水利设施维养管护一体化项目考核表》。</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六、奖惩机制：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1.在站闸上出现一次明显问题巡查员应发现未发现的或者由上级部门通报属巡查人员职责范围内失职导致的，按照每月工资计算扣除当日工资。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ascii="宋体" w:hAnsi="宋体" w:cs="宋体"/>
          <w:color w:val="auto"/>
          <w:szCs w:val="21"/>
        </w:rPr>
        <w:t xml:space="preserve">每发现一次</w:t>
      </w:r>
      <w:r>
        <w:rPr>
          <w:rFonts w:hint="eastAsia" w:ascii="宋体" w:hAnsi="宋体" w:cs="宋体"/>
          <w:color w:val="auto"/>
          <w:szCs w:val="21"/>
        </w:rPr>
        <w:t xml:space="preserve">办公区门卫违反服务</w:t>
      </w:r>
      <w:r>
        <w:rPr>
          <w:rFonts w:ascii="宋体" w:hAnsi="宋体" w:cs="宋体"/>
          <w:color w:val="auto"/>
          <w:szCs w:val="21"/>
        </w:rPr>
        <w:t xml:space="preserve">工作要求的，对责任人按照每日相应工资扣除当日全部工资。</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七、甲、乙双方的责任：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（一）甲方的权利和义务</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1.对乙方给予工作的指导、监督、管理和考核，按照安全作业的相关要求，对乙方的安全工作进行检查考核。</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乙方应严格按照甲方及上级部门相关要求做好发包内容各项具体业务工作。如出现下列情况之一的，甲方有权终止合同，乙方应退还甲方已支付的全部费用并向甲方赔付合同总金额5%作为违约金，如造成甲方损失的应当赔偿：</w:t>
      </w:r>
      <w:r/>
    </w:p>
    <w:p>
      <w:pPr>
        <w:ind w:firstLine="420"/>
        <w:spacing w:line="360" w:lineRule="auto"/>
        <w:rPr>
          <w:rFonts w:ascii="宋体" w:hAnsi="宋体" w:cs="宋体"/>
          <w:color w:val="auto"/>
          <w:szCs w:val="21"/>
        </w:rPr>
      </w:pPr>
      <w:r>
        <w:rPr>
          <w:rFonts w:ascii="宋体" w:hAnsi="宋体" w:cs="宋体"/>
          <w:color w:val="auto"/>
          <w:szCs w:val="21"/>
        </w:rPr>
        <w:t xml:space="preserve">2.1</w:t>
      </w:r>
      <w:r>
        <w:rPr>
          <w:rFonts w:hint="eastAsia" w:ascii="宋体" w:hAnsi="宋体" w:cs="宋体"/>
          <w:color w:val="auto"/>
          <w:szCs w:val="21"/>
        </w:rPr>
        <w:t xml:space="preserve">在甲方组织的考核中累计2个季度考核分低于</w:t>
      </w:r>
      <w:r>
        <w:rPr>
          <w:rFonts w:ascii="宋体" w:hAnsi="宋体" w:cs="宋体"/>
          <w:color w:val="auto"/>
          <w:szCs w:val="21"/>
        </w:rPr>
        <w:t xml:space="preserve">90</w:t>
      </w:r>
      <w:r>
        <w:rPr>
          <w:rFonts w:hint="eastAsia" w:ascii="宋体" w:hAnsi="宋体" w:cs="宋体"/>
          <w:color w:val="auto"/>
          <w:szCs w:val="21"/>
        </w:rPr>
        <w:t xml:space="preserve">分；</w:t>
      </w:r>
      <w:r/>
    </w:p>
    <w:p>
      <w:pPr>
        <w:ind w:firstLine="420"/>
        <w:spacing w:line="360" w:lineRule="auto"/>
        <w:rPr>
          <w:rFonts w:ascii="宋体" w:hAnsi="宋体" w:cs="宋体"/>
          <w:color w:val="auto"/>
          <w:szCs w:val="21"/>
        </w:rPr>
      </w:pPr>
      <w:r>
        <w:rPr>
          <w:rFonts w:ascii="宋体" w:hAnsi="宋体" w:cs="宋体"/>
          <w:color w:val="auto"/>
          <w:szCs w:val="21"/>
        </w:rPr>
        <w:t xml:space="preserve">2.2</w:t>
      </w:r>
      <w:r>
        <w:rPr>
          <w:rFonts w:hint="eastAsia" w:ascii="宋体" w:hAnsi="宋体" w:cs="宋体"/>
          <w:color w:val="auto"/>
          <w:szCs w:val="21"/>
        </w:rPr>
        <w:t xml:space="preserve">因管理不善、措施不力等乙方原因导致发包项目中的具体工作一年内被上级部门通报批评3次（含）以上的；</w:t>
      </w:r>
      <w:r/>
    </w:p>
    <w:p>
      <w:pPr>
        <w:ind w:firstLine="420"/>
        <w:spacing w:line="360" w:lineRule="auto"/>
        <w:rPr>
          <w:rFonts w:ascii="宋体" w:hAnsi="宋体" w:cs="宋体"/>
          <w:color w:val="auto"/>
          <w:szCs w:val="21"/>
        </w:rPr>
      </w:pPr>
      <w:r>
        <w:rPr>
          <w:rFonts w:ascii="宋体" w:hAnsi="宋体" w:cs="宋体"/>
          <w:color w:val="auto"/>
          <w:szCs w:val="21"/>
        </w:rPr>
        <w:t xml:space="preserve">2.3</w:t>
      </w:r>
      <w:r>
        <w:rPr>
          <w:rFonts w:hint="eastAsia" w:ascii="宋体" w:hAnsi="宋体" w:cs="宋体"/>
          <w:color w:val="auto"/>
          <w:szCs w:val="21"/>
        </w:rPr>
        <w:t xml:space="preserve">因管理不善、措施不力等乙方原因导致发包项目中的具体工作一年内被昆山市级（含）以上媒体曝光2次（含）以上，造成负面影响的；</w:t>
      </w:r>
      <w:r/>
    </w:p>
    <w:p>
      <w:pPr>
        <w:ind w:firstLine="420"/>
        <w:spacing w:line="360" w:lineRule="auto"/>
        <w:rPr>
          <w:rFonts w:ascii="宋体" w:hAnsi="宋体" w:cs="宋体"/>
          <w:color w:val="auto"/>
          <w:szCs w:val="21"/>
        </w:rPr>
      </w:pPr>
      <w:r>
        <w:rPr>
          <w:rFonts w:ascii="宋体" w:hAnsi="宋体" w:cs="宋体"/>
          <w:color w:val="auto"/>
          <w:szCs w:val="21"/>
        </w:rPr>
        <w:t xml:space="preserve">2.4</w:t>
      </w:r>
      <w:r>
        <w:rPr>
          <w:rFonts w:hint="eastAsia" w:ascii="宋体" w:hAnsi="宋体" w:cs="宋体"/>
          <w:color w:val="auto"/>
          <w:szCs w:val="21"/>
        </w:rPr>
        <w:t xml:space="preserve">发生重大安全生产责任事故，导致人员重伤或死亡的；</w:t>
      </w:r>
      <w:r/>
    </w:p>
    <w:p>
      <w:pPr>
        <w:ind w:firstLine="420"/>
        <w:spacing w:line="360" w:lineRule="auto"/>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5项目负责人、专职技术负责人、圩区管理人员到岗率低于50%的；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2.6乙方转包、分包本项目；</w:t>
      </w:r>
      <w:r/>
    </w:p>
    <w:p>
      <w:pPr>
        <w:ind w:firstLine="420"/>
        <w:spacing w:line="360" w:lineRule="auto"/>
        <w:rPr>
          <w:rFonts w:ascii="宋体" w:hAnsi="宋体" w:cs="宋体"/>
          <w:color w:val="auto"/>
          <w:szCs w:val="21"/>
        </w:rPr>
      </w:pPr>
      <w:r>
        <w:rPr>
          <w:rFonts w:hint="eastAsia" w:ascii="宋体" w:hAnsi="宋体" w:cs="宋体"/>
          <w:color w:val="auto"/>
          <w:szCs w:val="21"/>
        </w:rPr>
        <w:t xml:space="preserve">2.7其他违反本合同约定的违约行为，且经甲方催告后乙方仍未整改的。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发现看护巡查工作中不应出现的问题，由甲方根据有关规定做出处理，乙方应在甲方提出问题后3日内进行整改，若乙方未及时改正或拒绝改正的，甲方有权另请第三方整改，整改费用由乙方承担，甲方可在应支付乙方的任何款项中扣除。</w:t>
      </w:r>
      <w:r/>
    </w:p>
    <w:p>
      <w:pPr>
        <w:ind w:firstLine="420"/>
        <w:spacing w:line="360" w:lineRule="auto"/>
        <w:rPr>
          <w:rFonts w:ascii="宋体" w:hAnsi="宋体" w:cs="宋体"/>
          <w:color w:val="auto"/>
          <w:szCs w:val="21"/>
        </w:rPr>
      </w:pPr>
      <w:r>
        <w:rPr>
          <w:rFonts w:hint="eastAsia" w:ascii="宋体" w:hAnsi="宋体" w:cs="宋体"/>
          <w:color w:val="auto"/>
          <w:szCs w:val="21"/>
        </w:rPr>
        <w:t xml:space="preserve">4.根据检查考核结果，甲方按时支付承包款。</w:t>
      </w:r>
      <w:r/>
    </w:p>
    <w:p>
      <w:pPr>
        <w:ind w:firstLine="420"/>
        <w:spacing w:line="360" w:lineRule="auto"/>
        <w:rPr>
          <w:rFonts w:ascii="宋体" w:hAnsi="宋体" w:cs="宋体"/>
          <w:color w:val="auto"/>
          <w:szCs w:val="21"/>
        </w:rPr>
      </w:pPr>
      <w:r>
        <w:rPr>
          <w:rFonts w:hint="eastAsia" w:ascii="宋体" w:hAnsi="宋体" w:cs="宋体"/>
          <w:color w:val="auto"/>
          <w:szCs w:val="21"/>
        </w:rPr>
        <w:t xml:space="preserve">5.听取乙方提出的建议并给予答复。</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（二）乙方的权利和义务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1.按管护考核内容和标准开展看护巡查工作。</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2.乙方必须与服务人员签订用工合同及购买人身意外伤害保险（额度不低于100万元）</w:t>
      </w:r>
      <w:r>
        <w:rPr>
          <w:rFonts w:hint="eastAsia" w:ascii="宋体" w:hAnsi="宋体" w:cs="宋体"/>
          <w:bCs/>
          <w:color w:val="auto"/>
          <w:szCs w:val="21"/>
          <w:lang w:val="en-GB"/>
        </w:rPr>
        <w:t xml:space="preserve">，</w:t>
      </w:r>
      <w:r>
        <w:rPr>
          <w:rFonts w:hint="eastAsia" w:ascii="宋体" w:hAnsi="宋体" w:cs="宋体"/>
          <w:bCs/>
          <w:color w:val="auto"/>
          <w:szCs w:val="21"/>
        </w:rPr>
        <w:t xml:space="preserve">每年进行一次体检</w:t>
      </w:r>
      <w:r>
        <w:rPr>
          <w:rFonts w:hint="eastAsia" w:ascii="宋体" w:hAnsi="宋体" w:cs="宋体"/>
          <w:bCs/>
          <w:color w:val="auto"/>
          <w:szCs w:val="21"/>
          <w:lang w:val="en-GB"/>
        </w:rPr>
        <w:t xml:space="preserve">。乙方按月支付</w:t>
      </w:r>
      <w:r>
        <w:rPr>
          <w:rFonts w:hint="eastAsia" w:ascii="宋体" w:hAnsi="宋体" w:cs="宋体"/>
          <w:bCs/>
          <w:color w:val="auto"/>
          <w:szCs w:val="21"/>
        </w:rPr>
        <w:t xml:space="preserve">服务</w:t>
      </w:r>
      <w:r>
        <w:rPr>
          <w:rFonts w:hint="eastAsia" w:ascii="宋体" w:hAnsi="宋体" w:cs="宋体"/>
          <w:bCs/>
          <w:color w:val="auto"/>
          <w:szCs w:val="21"/>
          <w:lang w:val="en-GB"/>
        </w:rPr>
        <w:t xml:space="preserve">人员工资，严禁发生拖欠</w:t>
      </w:r>
      <w:r>
        <w:rPr>
          <w:rFonts w:hint="eastAsia" w:ascii="宋体" w:hAnsi="宋体" w:cs="宋体"/>
          <w:bCs/>
          <w:color w:val="auto"/>
          <w:szCs w:val="21"/>
        </w:rPr>
        <w:t xml:space="preserve">服务人员</w:t>
      </w:r>
      <w:r>
        <w:rPr>
          <w:rFonts w:hint="eastAsia" w:ascii="宋体" w:hAnsi="宋体" w:cs="宋体"/>
          <w:bCs/>
          <w:color w:val="auto"/>
          <w:szCs w:val="21"/>
          <w:lang w:val="en-GB"/>
        </w:rPr>
        <w:t xml:space="preserve">工资的重大违规现象。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3.乙方须按照甲方提供的格式要求编制月度台账，并将台账记录上报给甲方审阅。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乙方必须向甲方作出安全承诺，承担服务人员的全部安全的责任，定期对服务人员进行岗位职责和安全教育。因管理不当、违规操作等乙方原因发生任何人身、财产、安全等事故，由乙方承担一切经济和法律责任。对甲方或第三方造成损失的，乙方需承担赔偿责任。</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5.乙方所聘用的服务人员应遵纪守法、文明作业，统一着装。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6.遇重大节日或举办重大活动，乙方应服从甲方的要求和安排，做好突击性的看护巡查工作。</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7.接受社会和广大市民的监督，对群众提出的合理要求必须在规定时间内进行整改。</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8.按照本附件中考核办法，接受甲方的各类检查、考核及其结果。</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9.准时参加甲方召开的会议。</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10.不得将中标项目再行转包、分包，否则甲方有权终止合同。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11.乙方应执行国家有关规定，负责乙方员工的生病、事故、伤残、死亡和劳务纠纷，甲方不承担任何相关责任。甲方因上述纠纷而先行支出的费用由乙方承担，甲方可在应支付乙方的任何款项中扣除。</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12.因乙方工作原因，造成甲方人员或其他第三人伤害或财产损坏，乙方应当及时赔付，甲方因处理上述事件而支出的全部费用由乙方承担，甲方可在应支付乙方的任何款项中扣除。</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w:t>
      </w:r>
      <w:r>
        <w:rPr>
          <w:rFonts w:ascii="宋体" w:hAnsi="宋体" w:cs="宋体"/>
          <w:bCs/>
          <w:color w:val="auto"/>
          <w:szCs w:val="21"/>
        </w:rPr>
        <w:t xml:space="preserve">乙方</w:t>
      </w:r>
      <w:r>
        <w:rPr>
          <w:rFonts w:hint="eastAsia" w:ascii="宋体" w:hAnsi="宋体" w:cs="宋体"/>
          <w:bCs/>
          <w:color w:val="auto"/>
          <w:szCs w:val="21"/>
        </w:rPr>
        <w:t xml:space="preserve">违反</w:t>
      </w:r>
      <w:r>
        <w:rPr>
          <w:rFonts w:ascii="宋体" w:hAnsi="宋体" w:cs="宋体"/>
          <w:bCs/>
          <w:color w:val="auto"/>
          <w:szCs w:val="21"/>
        </w:rPr>
        <w:t xml:space="preserve">国家相关法规，与聘用人员发生纠纷，均由乙方负责调解与处理，甲方不承担责任。</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14.</w:t>
      </w:r>
      <w:r>
        <w:rPr>
          <w:rFonts w:ascii="宋体" w:hAnsi="宋体" w:cs="宋体"/>
          <w:bCs/>
          <w:color w:val="auto"/>
          <w:szCs w:val="21"/>
        </w:rPr>
        <w:t xml:space="preserve">自觉接受甲方和各级管理部门的检查</w:t>
      </w:r>
      <w:r>
        <w:rPr>
          <w:rFonts w:hint="eastAsia" w:ascii="宋体" w:hAnsi="宋体" w:cs="宋体"/>
          <w:bCs/>
          <w:color w:val="auto"/>
          <w:szCs w:val="21"/>
        </w:rPr>
        <w:t xml:space="preserve">工作</w:t>
      </w:r>
      <w:r>
        <w:rPr>
          <w:rFonts w:ascii="宋体" w:hAnsi="宋体" w:cs="宋体"/>
          <w:bCs/>
          <w:color w:val="auto"/>
          <w:szCs w:val="21"/>
        </w:rPr>
        <w:t xml:space="preserve">。</w:t>
      </w:r>
      <w:r/>
    </w:p>
    <w:p>
      <w:pPr>
        <w:pStyle w:val="829"/>
        <w:rPr>
          <w:color w:val="auto"/>
        </w:rPr>
      </w:pPr>
      <w:r>
        <w:rPr>
          <w:rFonts w:hint="eastAsia"/>
          <w:color w:val="auto"/>
        </w:rPr>
        <w:t xml:space="preserve">15.</w:t>
      </w:r>
      <w:r>
        <w:rPr>
          <w:rFonts w:hint="eastAsia" w:cs="宋体"/>
          <w:bCs/>
          <w:color w:val="auto"/>
          <w:szCs w:val="21"/>
        </w:rPr>
        <w:t xml:space="preserve">乙方未能在合同约定时间内进场（即人员全部配备到位）的，每逾期一日按合同总金额的每日万分之五支付违约金，乙方逾期超过5日的，甲方有权解除合同，乙方应当退还甲方已支付的全部费用并向甲方赔付合同总金额5%作为违约金，如造成甲方损失的应当赔偿。</w:t>
      </w:r>
      <w:r/>
    </w:p>
    <w:p>
      <w:pPr>
        <w:ind w:firstLine="422"/>
        <w:spacing w:line="360" w:lineRule="auto"/>
        <w:rPr>
          <w:rFonts w:hint="eastAsia" w:ascii="宋体" w:hAnsi="宋体" w:cs="宋体"/>
          <w:b/>
          <w:bCs w:val="0"/>
          <w:color w:val="auto"/>
          <w:szCs w:val="21"/>
        </w:rPr>
      </w:pPr>
      <w:r>
        <w:rPr>
          <w:rFonts w:hint="eastAsia" w:ascii="宋体" w:hAnsi="宋体" w:cs="宋体"/>
          <w:b/>
          <w:bCs w:val="0"/>
          <w:color w:val="auto"/>
          <w:szCs w:val="21"/>
        </w:rPr>
        <w:t xml:space="preserve">八、履约保证金：</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1.乙方在合同签订后1个月内提供由银行机构担保出具</w:t>
      </w:r>
      <w:r>
        <w:rPr>
          <w:rFonts w:hint="eastAsia" w:ascii="宋体" w:hAnsi="宋体" w:cs="宋体"/>
          <w:bCs/>
          <w:color w:val="auto"/>
          <w:sz w:val="21"/>
          <w:szCs w:val="21"/>
          <w:highlight w:val="none"/>
          <w:lang w:val="en-US" w:eastAsia="zh-CN" w:bidi="ar-SA"/>
        </w:rPr>
        <w:t xml:space="preserve">合同金额5%</w:t>
      </w:r>
      <w:r>
        <w:rPr>
          <w:rFonts w:hint="eastAsia" w:ascii="宋体" w:hAnsi="宋体" w:eastAsia="宋体" w:cs="宋体"/>
          <w:bCs/>
          <w:color w:val="auto"/>
          <w:sz w:val="21"/>
          <w:szCs w:val="21"/>
          <w:highlight w:val="none"/>
          <w:lang w:val="en-US" w:eastAsia="zh-CN" w:bidi="ar-SA"/>
        </w:rPr>
        <w:t xml:space="preserve">等额的履约保函，提供连带责任保证，并承诺在乙方未能履行合同义务时，由其向甲方支付违约赔偿款项。</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2.在乙方按照合同约定履行完所有义务后，乙方提交报告（包括相关文件资料）后30日内提交履约保函退还申请书，甲方对乙方提供的报告资料进行审核验收，验收通过后将履约保函退还给乙方。</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3.如果乙方未能履行合同义务，甲方有权从履约</w:t>
      </w:r>
      <w:r>
        <w:rPr>
          <w:rFonts w:hint="eastAsia" w:ascii="宋体" w:hAnsi="宋体" w:cs="宋体"/>
          <w:bCs/>
          <w:color w:val="auto"/>
          <w:sz w:val="21"/>
          <w:szCs w:val="21"/>
          <w:highlight w:val="none"/>
          <w:lang w:val="en-US" w:eastAsia="zh-CN" w:bidi="ar-SA"/>
        </w:rPr>
        <w:t xml:space="preserve">保函对</w:t>
      </w:r>
      <w:r>
        <w:rPr>
          <w:rFonts w:hint="eastAsia" w:ascii="宋体" w:hAnsi="宋体" w:eastAsia="宋体" w:cs="宋体"/>
          <w:bCs/>
          <w:color w:val="auto"/>
          <w:sz w:val="21"/>
          <w:szCs w:val="21"/>
          <w:highlight w:val="none"/>
          <w:lang w:val="en-US" w:eastAsia="zh-CN" w:bidi="ar-SA"/>
        </w:rPr>
        <w:t xml:space="preserve">相应的金额</w:t>
      </w:r>
      <w:r>
        <w:rPr>
          <w:rFonts w:hint="eastAsia" w:ascii="宋体" w:hAnsi="宋体" w:cs="宋体"/>
          <w:bCs/>
          <w:color w:val="auto"/>
          <w:sz w:val="21"/>
          <w:szCs w:val="21"/>
          <w:highlight w:val="none"/>
          <w:lang w:val="en-US" w:eastAsia="zh-CN" w:bidi="ar-SA"/>
        </w:rPr>
        <w:t xml:space="preserve">进行索赔</w:t>
      </w:r>
      <w:r>
        <w:rPr>
          <w:rFonts w:hint="eastAsia" w:ascii="宋体" w:hAnsi="宋体" w:eastAsia="宋体" w:cs="宋体"/>
          <w:bCs/>
          <w:color w:val="auto"/>
          <w:sz w:val="21"/>
          <w:szCs w:val="21"/>
          <w:highlight w:val="none"/>
          <w:lang w:val="en-US" w:eastAsia="zh-CN" w:bidi="ar-SA"/>
        </w:rPr>
        <w:t xml:space="preserve">。如果扣除后仍不足以弥补损失，乙方还需承担额外的赔偿责任。因不可抗力等客观原因导致合同无法履行时，履约</w:t>
      </w:r>
      <w:r>
        <w:rPr>
          <w:rFonts w:hint="eastAsia" w:ascii="宋体" w:hAnsi="宋体" w:cs="宋体"/>
          <w:bCs/>
          <w:color w:val="auto"/>
          <w:sz w:val="21"/>
          <w:szCs w:val="21"/>
          <w:highlight w:val="none"/>
          <w:lang w:val="en-US" w:eastAsia="zh-CN" w:bidi="ar-SA"/>
        </w:rPr>
        <w:t xml:space="preserve">保函</w:t>
      </w:r>
      <w:r>
        <w:rPr>
          <w:rFonts w:hint="eastAsia" w:ascii="宋体" w:hAnsi="宋体" w:eastAsia="宋体" w:cs="宋体"/>
          <w:bCs/>
          <w:color w:val="auto"/>
          <w:sz w:val="21"/>
          <w:szCs w:val="21"/>
          <w:highlight w:val="none"/>
          <w:lang w:val="en-US" w:eastAsia="zh-CN" w:bidi="ar-SA"/>
        </w:rPr>
        <w:t xml:space="preserve">应予以退还，不视为违约。</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九、其它约定：</w:t>
      </w:r>
      <w:r/>
    </w:p>
    <w:p>
      <w:pPr>
        <w:ind w:firstLine="420"/>
        <w:spacing w:line="360" w:lineRule="auto"/>
        <w:rPr>
          <w:rFonts w:ascii="宋体" w:hAnsi="宋体" w:cs="宋体"/>
          <w:color w:val="auto"/>
          <w:szCs w:val="21"/>
        </w:rPr>
      </w:pPr>
      <w:r/>
      <w:bookmarkStart w:id="57" w:name="_Hlk60139447"/>
      <w:r>
        <w:rPr>
          <w:rFonts w:hint="eastAsia" w:ascii="宋体" w:hAnsi="宋体" w:cs="宋体"/>
          <w:color w:val="auto"/>
          <w:szCs w:val="21"/>
        </w:rPr>
        <w:t xml:space="preserve">1.保密要求：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①乙方须对本项目服务的工作严格保密，甲方在和乙方签订服务合同的内容中应包涵有关保密条款，以便进行保密约束。</w:t>
      </w:r>
      <w:r/>
    </w:p>
    <w:p>
      <w:pPr>
        <w:ind w:firstLine="420"/>
        <w:spacing w:line="360" w:lineRule="auto"/>
        <w:rPr>
          <w:rFonts w:ascii="宋体" w:hAnsi="宋体" w:cs="宋体"/>
          <w:color w:val="auto"/>
          <w:szCs w:val="21"/>
        </w:rPr>
      </w:pPr>
      <w:r>
        <w:rPr>
          <w:rFonts w:hint="eastAsia" w:ascii="宋体" w:hAnsi="宋体" w:cs="宋体"/>
          <w:color w:val="auto"/>
          <w:szCs w:val="21"/>
        </w:rPr>
        <w:t xml:space="preserve">②乙方必须与本项目服务的司法鉴定执业人员签订保密协议。</w:t>
      </w:r>
      <w:r/>
    </w:p>
    <w:p>
      <w:pPr>
        <w:ind w:firstLine="420"/>
        <w:spacing w:line="360" w:lineRule="auto"/>
        <w:rPr>
          <w:rFonts w:ascii="宋体" w:hAnsi="宋体" w:cs="宋体"/>
          <w:color w:val="auto"/>
          <w:szCs w:val="21"/>
        </w:rPr>
      </w:pPr>
      <w:r>
        <w:rPr>
          <w:rFonts w:hint="eastAsia" w:ascii="宋体" w:hAnsi="宋体" w:cs="宋体"/>
          <w:color w:val="auto"/>
          <w:szCs w:val="21"/>
        </w:rPr>
        <w:t xml:space="preserve">③乙方要严格资料保密制度，必须保证所提供的服务、过程资料和鉴定结果等资料在没有征得甲方同意的情况下，不得向甲方以外的第三方透露相关内容或用于本合同以外的其他目的，否则，乙方必须承担相应的法律责任。该保密义务在本合同终止或解除（无论何种原因）之后仍需履行，乙方违法该保密义务的，应承担一切法律责任并赔偿甲方因此遭受的全部损失。</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2.服务期内完成全部合同金额，服务合同立即终止。</w:t>
      </w:r>
      <w:bookmarkEnd w:id="57"/>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十、违约责任：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1.甲方违反本合同要求的规定，造成乙方损失的，甲方应给予乙方经济赔偿，并承担相应的法律责任。如果项目需要办理财政直接支付手续，因财政资金拨款延误而导致甲方逾期付款，甲方不承担逾期付款的违约责任，并且此情况不能成为乙方暂停服务的理由。</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2.乙方违反本合同及招标文件相关要求的规定，未能达到服务约定或甲方要求的，甲方有权要求终止合同，</w:t>
      </w:r>
      <w:r>
        <w:rPr>
          <w:rFonts w:hint="eastAsia" w:cs="宋体"/>
          <w:bCs/>
          <w:color w:val="auto"/>
          <w:szCs w:val="21"/>
        </w:rPr>
        <w:t xml:space="preserve">乙方应当退还甲方已支付的全部费用并向甲方支付合同总金额5%作为违约金</w:t>
      </w:r>
      <w:r>
        <w:rPr>
          <w:rFonts w:hint="eastAsia" w:ascii="宋体" w:hAnsi="宋体" w:cs="宋体"/>
          <w:color w:val="auto"/>
          <w:szCs w:val="21"/>
        </w:rPr>
        <w:t xml:space="preserve">；造成甲方损失的，乙方应承担全部法律和赔偿责任。本合同所称甲方损失，包括但不限于直接经济损失、预期（可得）利益损失、委托第三方提供服务增加的费用以及甲方为此而支出的调查取证费、交通差旅费、诉讼费、担保费、律师费等。</w:t>
      </w:r>
      <w:r/>
    </w:p>
    <w:p>
      <w:pPr>
        <w:ind w:firstLine="420"/>
        <w:spacing w:line="360" w:lineRule="auto"/>
        <w:rPr>
          <w:rFonts w:ascii="宋体" w:hAnsi="宋体" w:cs="宋体"/>
          <w:color w:val="auto"/>
          <w:szCs w:val="21"/>
        </w:rPr>
      </w:pPr>
      <w:r>
        <w:rPr>
          <w:rFonts w:hint="eastAsia" w:ascii="宋体" w:hAnsi="宋体" w:cs="宋体"/>
          <w:color w:val="auto"/>
          <w:szCs w:val="21"/>
        </w:rPr>
        <w:t xml:space="preserve">3.本合同的法律依据为中华人民共和国有关法律、法规和规章。</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十一、附则：</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w:t>
      </w:r>
      <w:r>
        <w:rPr>
          <w:rFonts w:hint="eastAsia" w:ascii="宋体" w:hAnsi="宋体" w:cs="宋体"/>
          <w:color w:val="auto"/>
          <w:szCs w:val="21"/>
        </w:rPr>
        <w:t xml:space="preserve">本合同之所有附件均为合同的有效组成部分，与合同具有同等法律效率，合同与附件之间内容应认为是互为补充和解释，但如有模棱两可或互相矛盾之处,以时间在后的文件为准</w:t>
      </w:r>
      <w:r>
        <w:rPr>
          <w:rFonts w:hint="eastAsia" w:ascii="宋体" w:hAnsi="宋体" w:cs="宋体"/>
          <w:bCs/>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w:t>
      </w:r>
      <w:r>
        <w:rPr>
          <w:rFonts w:hint="eastAsia" w:ascii="宋体" w:hAnsi="宋体" w:cs="宋体"/>
          <w:color w:val="auto"/>
          <w:szCs w:val="21"/>
        </w:rPr>
        <w:t xml:space="preserve">双方可对本合同的条款进行补充，以书面形式签订补充协议，补充协议与本合同具有同等效力。</w:t>
      </w:r>
      <w:r/>
    </w:p>
    <w:p>
      <w:pPr>
        <w:ind w:firstLine="420"/>
        <w:spacing w:line="360" w:lineRule="auto"/>
        <w:rPr>
          <w:rFonts w:ascii="宋体" w:hAnsi="宋体" w:cs="宋体"/>
          <w:color w:val="auto"/>
          <w:szCs w:val="21"/>
        </w:rPr>
      </w:pPr>
      <w:r>
        <w:rPr>
          <w:rFonts w:hint="eastAsia" w:ascii="宋体" w:hAnsi="宋体" w:cs="宋体"/>
          <w:color w:val="auto"/>
          <w:szCs w:val="21"/>
        </w:rPr>
        <w:t xml:space="preserve">3.本合同执行期间，甲方双方的任何一方由于不可抗力的原因，不能履行或不能完全履行合同时，应尽快向对方通报理由，在提供相应证明后，可允许延期履行、部分履行或不履行，并可根据情况部分或全部免于承担违约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4.本合同在履行中如发生争议，由双方当事人协商解决，协商不成的，依法向昆山市人民法院起诉。</w:t>
      </w:r>
      <w:r/>
    </w:p>
    <w:p>
      <w:pPr>
        <w:ind w:firstLine="420"/>
        <w:spacing w:line="360" w:lineRule="auto"/>
        <w:rPr>
          <w:rFonts w:ascii="宋体" w:hAnsi="宋体" w:cs="宋体"/>
          <w:bCs/>
          <w:color w:val="auto"/>
          <w:szCs w:val="21"/>
        </w:rPr>
      </w:pPr>
      <w:r>
        <w:rPr>
          <w:rFonts w:hint="eastAsia" w:ascii="宋体" w:hAnsi="宋体" w:cs="宋体"/>
          <w:color w:val="auto"/>
          <w:szCs w:val="21"/>
        </w:rPr>
        <w:t xml:space="preserve">5.本合同一式贰份，均具有同等法律效力，甲方、乙方各壹份。自甲乙双方签字盖章之日起生效。</w:t>
      </w:r>
      <w:r/>
    </w:p>
    <w:p>
      <w:pPr>
        <w:ind w:firstLine="198"/>
        <w:spacing w:line="360" w:lineRule="auto"/>
        <w:rPr>
          <w:rFonts w:ascii="宋体" w:hAnsi="宋体" w:cs="宋体"/>
          <w:color w:val="auto"/>
          <w:szCs w:val="21"/>
        </w:rPr>
      </w:pPr>
      <w:r>
        <w:rPr>
          <w:rFonts w:hint="eastAsia" w:ascii="宋体" w:hAnsi="宋体" w:cs="宋体"/>
          <w:color w:val="auto"/>
          <w:szCs w:val="21"/>
        </w:rPr>
        <w:t xml:space="preserve">甲方：        </w:t>
      </w:r>
      <w:r>
        <w:rPr>
          <w:rFonts w:ascii="宋体" w:hAnsi="宋体" w:cs="宋体"/>
          <w:color w:val="auto"/>
          <w:szCs w:val="21"/>
        </w:rPr>
        <w:t xml:space="preserve">  </w:t>
      </w:r>
      <w:r>
        <w:rPr>
          <w:rFonts w:hint="eastAsia" w:ascii="宋体" w:hAnsi="宋体" w:cs="宋体"/>
          <w:color w:val="auto"/>
          <w:szCs w:val="21"/>
        </w:rPr>
        <w:t xml:space="preserve">                         乙方：</w:t>
      </w:r>
      <w:r/>
    </w:p>
    <w:p>
      <w:pPr>
        <w:ind w:firstLine="198"/>
        <w:spacing w:line="360" w:lineRule="auto"/>
        <w:rPr>
          <w:rFonts w:ascii="宋体" w:hAnsi="宋体" w:cs="宋体"/>
          <w:color w:val="auto"/>
          <w:szCs w:val="21"/>
        </w:rPr>
      </w:pPr>
      <w:r>
        <w:rPr>
          <w:rFonts w:hint="eastAsia" w:ascii="宋体" w:hAnsi="宋体" w:cs="宋体"/>
          <w:color w:val="auto"/>
          <w:szCs w:val="21"/>
        </w:rPr>
        <w:t xml:space="preserve">法定代表人（授权代表）：</w:t>
      </w:r>
      <w:r>
        <w:rPr>
          <w:rFonts w:ascii="宋体" w:hAnsi="宋体" w:cs="宋体"/>
          <w:color w:val="auto"/>
          <w:szCs w:val="21"/>
        </w:rPr>
        <w:t xml:space="preserve">   </w:t>
      </w:r>
      <w:r>
        <w:rPr>
          <w:rFonts w:hint="eastAsia" w:ascii="宋体" w:hAnsi="宋体" w:cs="宋体"/>
          <w:color w:val="auto"/>
          <w:szCs w:val="21"/>
        </w:rPr>
        <w:t xml:space="preserve">              法定代表人（授权代表）：</w:t>
      </w:r>
      <w:r>
        <w:rPr>
          <w:rFonts w:ascii="宋体" w:hAnsi="宋体" w:cs="宋体"/>
          <w:color w:val="auto"/>
          <w:szCs w:val="21"/>
        </w:rPr>
        <w:t xml:space="preserve">   </w:t>
      </w:r>
      <w:r>
        <w:rPr>
          <w:rFonts w:hint="eastAsia" w:ascii="宋体" w:hAnsi="宋体" w:cs="宋体"/>
          <w:color w:val="auto"/>
          <w:szCs w:val="21"/>
        </w:rPr>
        <w:t xml:space="preserve"> </w:t>
      </w:r>
      <w:r/>
    </w:p>
    <w:p>
      <w:pPr>
        <w:ind w:firstLine="198"/>
        <w:spacing w:line="360" w:lineRule="auto"/>
        <w:rPr>
          <w:rFonts w:ascii="宋体" w:hAnsi="宋体" w:cs="宋体"/>
          <w:color w:val="auto"/>
          <w:szCs w:val="21"/>
        </w:rPr>
      </w:pPr>
      <w:r>
        <w:rPr>
          <w:rFonts w:hint="eastAsia" w:ascii="宋体" w:hAnsi="宋体" w:cs="宋体"/>
          <w:color w:val="auto"/>
          <w:szCs w:val="21"/>
        </w:rPr>
        <w:t xml:space="preserve">签约日期：</w:t>
      </w:r>
      <w:r>
        <w:rPr>
          <w:rFonts w:ascii="宋体" w:hAnsi="宋体" w:cs="宋体"/>
          <w:color w:val="auto"/>
          <w:szCs w:val="21"/>
        </w:rPr>
        <w:t xml:space="preserve">               </w:t>
      </w:r>
      <w:r>
        <w:rPr>
          <w:rFonts w:hint="eastAsia" w:ascii="宋体" w:hAnsi="宋体" w:cs="宋体"/>
          <w:color w:val="auto"/>
          <w:szCs w:val="21"/>
        </w:rPr>
        <w:t xml:space="preserve">              </w:t>
      </w:r>
      <w:r>
        <w:rPr>
          <w:rFonts w:ascii="宋体" w:hAnsi="宋体" w:cs="宋体"/>
          <w:color w:val="auto"/>
          <w:szCs w:val="21"/>
        </w:rPr>
        <w:t xml:space="preserve">  </w:t>
      </w:r>
      <w:r>
        <w:rPr>
          <w:rFonts w:hint="eastAsia" w:ascii="宋体" w:hAnsi="宋体" w:cs="宋体"/>
          <w:color w:val="auto"/>
          <w:szCs w:val="21"/>
        </w:rPr>
        <w:t xml:space="preserve">签约日期：</w:t>
      </w:r>
      <w:r>
        <w:rPr>
          <w:rFonts w:ascii="宋体" w:hAnsi="宋体" w:cs="宋体"/>
          <w:color w:val="auto"/>
          <w:szCs w:val="21"/>
        </w:rPr>
        <w:t xml:space="preserve">                </w:t>
      </w:r>
      <w:r/>
    </w:p>
    <w:p>
      <w:pPr>
        <w:ind w:firstLine="198"/>
        <w:spacing w:line="360" w:lineRule="auto"/>
        <w:rPr>
          <w:rFonts w:ascii="宋体" w:hAnsi="宋体" w:cs="宋体"/>
          <w:color w:val="auto"/>
          <w:szCs w:val="21"/>
        </w:rPr>
      </w:pPr>
      <w:r>
        <w:rPr>
          <w:rFonts w:ascii="宋体" w:hAnsi="宋体" w:cs="宋体"/>
          <w:color w:val="auto"/>
          <w:szCs w:val="21"/>
        </w:rPr>
        <w:tab/>
      </w:r>
      <w:r>
        <w:rPr>
          <w:rFonts w:ascii="宋体" w:hAnsi="宋体" w:cs="宋体"/>
          <w:color w:val="auto"/>
          <w:szCs w:val="21"/>
        </w:rPr>
        <w:tab/>
      </w:r>
      <w:r>
        <w:rPr>
          <w:rFonts w:ascii="宋体" w:hAnsi="宋体" w:cs="宋体"/>
          <w:color w:val="auto"/>
          <w:szCs w:val="21"/>
        </w:rPr>
        <w:tab/>
      </w:r>
      <w:r>
        <w:rPr>
          <w:rFonts w:ascii="宋体" w:hAnsi="宋体" w:cs="宋体"/>
          <w:color w:val="auto"/>
          <w:szCs w:val="21"/>
        </w:rPr>
        <w:tab/>
      </w:r>
      <w:r>
        <w:rPr>
          <w:rFonts w:ascii="宋体" w:hAnsi="宋体" w:cs="宋体"/>
          <w:color w:val="auto"/>
          <w:szCs w:val="21"/>
        </w:rPr>
        <w:tab/>
      </w:r>
      <w:r>
        <w:rPr>
          <w:rFonts w:ascii="宋体" w:hAnsi="宋体" w:cs="宋体"/>
          <w:color w:val="auto"/>
          <w:szCs w:val="21"/>
        </w:rPr>
        <w:t xml:space="preserve">        </w:t>
      </w:r>
      <w:r>
        <w:rPr>
          <w:rFonts w:hint="eastAsia" w:ascii="宋体" w:hAnsi="宋体" w:cs="宋体"/>
          <w:color w:val="auto"/>
          <w:szCs w:val="21"/>
        </w:rPr>
        <w:t xml:space="preserve">              </w:t>
      </w:r>
      <w:r>
        <w:rPr>
          <w:rFonts w:ascii="宋体" w:hAnsi="宋体" w:cs="宋体"/>
          <w:color w:val="auto"/>
          <w:szCs w:val="21"/>
        </w:rPr>
        <w:t xml:space="preserve"> </w:t>
      </w:r>
      <w:r>
        <w:rPr>
          <w:rFonts w:hint="eastAsia" w:ascii="宋体" w:hAnsi="宋体" w:cs="宋体"/>
          <w:color w:val="auto"/>
          <w:szCs w:val="21"/>
        </w:rPr>
        <w:t xml:space="preserve">开户行：</w:t>
      </w:r>
      <w:r/>
    </w:p>
    <w:p>
      <w:pPr>
        <w:ind w:firstLine="198"/>
        <w:spacing w:line="360" w:lineRule="auto"/>
        <w:rPr>
          <w:rFonts w:ascii="宋体" w:hAnsi="宋体" w:cs="宋体"/>
          <w:color w:val="auto"/>
          <w:szCs w:val="21"/>
        </w:rPr>
      </w:pPr>
      <w:r>
        <w:rPr>
          <w:rFonts w:ascii="宋体" w:hAnsi="宋体" w:cs="宋体"/>
          <w:color w:val="auto"/>
          <w:szCs w:val="21"/>
        </w:rPr>
        <w:tab/>
      </w:r>
      <w:r>
        <w:rPr>
          <w:rFonts w:ascii="宋体" w:hAnsi="宋体" w:cs="宋体"/>
          <w:color w:val="auto"/>
          <w:szCs w:val="21"/>
        </w:rPr>
        <w:tab/>
      </w:r>
      <w:r>
        <w:rPr>
          <w:rFonts w:ascii="宋体" w:hAnsi="宋体" w:cs="宋体"/>
          <w:color w:val="auto"/>
          <w:szCs w:val="21"/>
        </w:rPr>
        <w:tab/>
      </w:r>
      <w:r>
        <w:rPr>
          <w:rFonts w:ascii="宋体" w:hAnsi="宋体" w:cs="宋体"/>
          <w:color w:val="auto"/>
          <w:szCs w:val="21"/>
        </w:rPr>
        <w:tab/>
      </w:r>
      <w:r>
        <w:rPr>
          <w:rFonts w:ascii="宋体" w:hAnsi="宋体" w:cs="宋体"/>
          <w:color w:val="auto"/>
          <w:szCs w:val="21"/>
        </w:rPr>
        <w:tab/>
      </w:r>
      <w:r>
        <w:rPr>
          <w:rFonts w:ascii="宋体" w:hAnsi="宋体" w:cs="宋体"/>
          <w:color w:val="auto"/>
          <w:szCs w:val="21"/>
        </w:rPr>
        <w:tab/>
      </w:r>
      <w:r>
        <w:rPr>
          <w:rFonts w:ascii="宋体" w:hAnsi="宋体" w:cs="宋体"/>
          <w:color w:val="auto"/>
          <w:szCs w:val="21"/>
        </w:rPr>
        <w:tab/>
      </w:r>
      <w:r>
        <w:rPr>
          <w:rFonts w:hint="eastAsia" w:ascii="宋体" w:hAnsi="宋体" w:cs="宋体"/>
          <w:color w:val="auto"/>
          <w:szCs w:val="21"/>
        </w:rPr>
        <w:t xml:space="preserve">    </w:t>
      </w:r>
      <w:r>
        <w:rPr>
          <w:rFonts w:ascii="宋体" w:hAnsi="宋体" w:cs="宋体"/>
          <w:color w:val="auto"/>
          <w:szCs w:val="21"/>
        </w:rPr>
        <w:t xml:space="preserve"> </w:t>
      </w:r>
      <w:r>
        <w:rPr>
          <w:rFonts w:hint="eastAsia" w:ascii="宋体" w:hAnsi="宋体" w:cs="宋体"/>
          <w:color w:val="auto"/>
          <w:szCs w:val="21"/>
        </w:rPr>
        <w:t xml:space="preserve">          </w:t>
      </w:r>
      <w:r>
        <w:rPr>
          <w:rFonts w:ascii="宋体" w:hAnsi="宋体" w:cs="宋体"/>
          <w:color w:val="auto"/>
          <w:szCs w:val="21"/>
        </w:rPr>
        <w:t xml:space="preserve"> </w:t>
      </w:r>
      <w:r>
        <w:rPr>
          <w:rFonts w:hint="eastAsia" w:ascii="宋体" w:hAnsi="宋体" w:cs="宋体"/>
          <w:color w:val="auto"/>
          <w:szCs w:val="21"/>
        </w:rPr>
        <w:t xml:space="preserve">帐户：</w:t>
      </w:r>
      <w:r/>
    </w:p>
    <w:p>
      <w:pPr>
        <w:ind w:firstLine="198"/>
        <w:spacing w:line="360" w:lineRule="auto"/>
        <w:rPr>
          <w:rFonts w:ascii="宋体" w:hAnsi="宋体" w:cs="宋体"/>
          <w:color w:val="auto"/>
          <w:szCs w:val="21"/>
        </w:rPr>
      </w:pPr>
      <w:r>
        <w:rPr>
          <w:rFonts w:ascii="宋体" w:hAnsi="宋体" w:cs="宋体"/>
          <w:color w:val="auto"/>
          <w:szCs w:val="21"/>
        </w:rPr>
      </w:r>
      <w:r/>
    </w:p>
    <w:p>
      <w:pPr>
        <w:jc w:val="center"/>
        <w:rPr>
          <w:rFonts w:ascii="宋体" w:hAnsi="宋体" w:cs="仿宋_GB2312"/>
          <w:b/>
          <w:color w:val="auto"/>
          <w:sz w:val="24"/>
          <w:szCs w:val="24"/>
        </w:rPr>
      </w:pPr>
      <w:r>
        <w:rPr>
          <w:rFonts w:hint="eastAsia" w:ascii="宋体" w:hAnsi="宋体" w:cs="仿宋_GB2312"/>
          <w:b/>
          <w:color w:val="auto"/>
          <w:sz w:val="24"/>
          <w:szCs w:val="24"/>
        </w:rPr>
        <w:t xml:space="preserve">附件1：2026年度淀山湖镇水利设施维养管护一体化项目承包企业</w:t>
      </w:r>
      <w:r/>
    </w:p>
    <w:p>
      <w:pPr>
        <w:jc w:val="center"/>
        <w:rPr>
          <w:rFonts w:ascii="宋体" w:hAnsi="宋体" w:cs="仿宋_GB2312"/>
          <w:b/>
          <w:color w:val="auto"/>
          <w:sz w:val="24"/>
          <w:szCs w:val="24"/>
        </w:rPr>
      </w:pPr>
      <w:r>
        <w:rPr>
          <w:rFonts w:hint="eastAsia" w:ascii="宋体" w:hAnsi="宋体" w:cs="仿宋_GB2312"/>
          <w:b/>
          <w:color w:val="auto"/>
          <w:sz w:val="24"/>
          <w:szCs w:val="24"/>
        </w:rPr>
        <w:t xml:space="preserve">考核管理办法</w:t>
      </w:r>
      <w:r/>
    </w:p>
    <w:p>
      <w:pPr>
        <w:ind w:firstLine="480"/>
        <w:jc w:val="left"/>
        <w:spacing w:line="360" w:lineRule="auto"/>
        <w:rPr>
          <w:rFonts w:ascii="宋体" w:hAnsi="宋体" w:cs="仿宋_GB2312"/>
          <w:color w:val="auto"/>
          <w:sz w:val="24"/>
          <w:szCs w:val="24"/>
        </w:rPr>
      </w:pPr>
      <w:r>
        <w:rPr>
          <w:rFonts w:ascii="宋体" w:hAnsi="宋体" w:cs="仿宋_GB2312"/>
          <w:color w:val="auto"/>
          <w:sz w:val="24"/>
          <w:szCs w:val="24"/>
        </w:rPr>
      </w:r>
      <w:r/>
    </w:p>
    <w:p>
      <w:pPr>
        <w:ind w:firstLine="480"/>
        <w:jc w:val="left"/>
        <w:spacing w:line="360" w:lineRule="auto"/>
        <w:rPr>
          <w:rFonts w:cs="仿宋_GB2312" w:asciiTheme="minorEastAsia" w:hAnsiTheme="minorEastAsia" w:eastAsiaTheme="minorEastAsia"/>
          <w:color w:val="auto"/>
          <w:szCs w:val="21"/>
        </w:rPr>
      </w:pPr>
      <w:r>
        <w:rPr>
          <w:rFonts w:hint="eastAsia" w:cs="仿宋_GB2312" w:asciiTheme="minorEastAsia" w:hAnsiTheme="minorEastAsia" w:eastAsiaTheme="minorEastAsia"/>
          <w:color w:val="auto"/>
          <w:szCs w:val="21"/>
        </w:rPr>
        <w:t xml:space="preserve">为进一步提升淀山湖镇水利设施维养管护水平，深入推进管理标准化、专业化，</w:t>
      </w:r>
      <w:r>
        <w:rPr>
          <w:rFonts w:hint="eastAsia" w:asciiTheme="minorEastAsia" w:hAnsiTheme="minorEastAsia" w:eastAsiaTheme="minorEastAsia"/>
          <w:color w:val="auto"/>
          <w:szCs w:val="21"/>
        </w:rPr>
        <w:t xml:space="preserve">根据《昆山市水利工程站闸管理办法（试行）》的通知（昆水【2018】49号）、《昆山市水利工程站闸标准化管理实施细则（试行）》（昆水【2018】86号）、《昆山市圩区（站闸）管护市场化工作指导意见》（昆水【2018】58号）等文件要求</w:t>
      </w:r>
      <w:r>
        <w:rPr>
          <w:rFonts w:hint="eastAsia" w:cs="仿宋_GB2312" w:asciiTheme="minorEastAsia" w:hAnsiTheme="minorEastAsia" w:eastAsiaTheme="minorEastAsia"/>
          <w:color w:val="auto"/>
          <w:szCs w:val="21"/>
        </w:rPr>
        <w:t xml:space="preserve">等相关文件精神，特制定淀山湖镇水利设施维养管护一体化项目承包企业考核管理办法（试行）。</w:t>
      </w:r>
      <w:r/>
    </w:p>
    <w:p>
      <w:pPr>
        <w:numPr>
          <w:ilvl w:val="0"/>
          <w:numId w:val="10"/>
        </w:numPr>
        <w:jc w:val="left"/>
        <w:spacing w:line="360" w:lineRule="auto"/>
        <w:rPr>
          <w:rFonts w:cs="仿宋_GB2312" w:asciiTheme="minorEastAsia" w:hAnsiTheme="minorEastAsia" w:eastAsiaTheme="minorEastAsia"/>
          <w:color w:val="auto"/>
          <w:szCs w:val="21"/>
        </w:rPr>
      </w:pPr>
      <w:r>
        <w:rPr>
          <w:rFonts w:hint="eastAsia" w:cs="仿宋_GB2312" w:asciiTheme="minorEastAsia" w:hAnsiTheme="minorEastAsia" w:eastAsiaTheme="minorEastAsia"/>
          <w:color w:val="auto"/>
          <w:szCs w:val="21"/>
        </w:rPr>
        <w:t xml:space="preserve">考核范围</w:t>
      </w:r>
      <w:r/>
    </w:p>
    <w:p>
      <w:pPr>
        <w:ind w:firstLine="600"/>
        <w:spacing w:line="360" w:lineRule="auto"/>
        <w:rPr>
          <w:rFonts w:cs="仿宋_GB2312" w:asciiTheme="minorEastAsia" w:hAnsiTheme="minorEastAsia" w:eastAsiaTheme="minorEastAsia"/>
          <w:color w:val="auto"/>
          <w:szCs w:val="21"/>
        </w:rPr>
      </w:pPr>
      <w:r>
        <w:rPr>
          <w:rFonts w:hint="eastAsia" w:cs="仿宋_GB2312" w:asciiTheme="minorEastAsia" w:hAnsiTheme="minorEastAsia" w:eastAsiaTheme="minorEastAsia"/>
          <w:color w:val="auto"/>
          <w:szCs w:val="21"/>
        </w:rPr>
        <w:t xml:space="preserve">淀山湖镇水利设施维养管护一体化项目承包企业考核涉及服务承包企业所承包的范围内的站闸、闸门及周边区域管护工作，考核范围如下：全镇排涝站防洪闸及院内、排涝站防洪闸上下游、排涝站防洪闸附属设施</w:t>
      </w:r>
      <w:r>
        <w:rPr>
          <w:rFonts w:hint="eastAsia" w:asciiTheme="minorEastAsia" w:hAnsiTheme="minorEastAsia" w:eastAsiaTheme="minorEastAsia"/>
          <w:color w:val="auto"/>
          <w:szCs w:val="21"/>
        </w:rPr>
        <w:t xml:space="preserve">。</w:t>
      </w:r>
      <w:r/>
    </w:p>
    <w:p>
      <w:pPr>
        <w:pStyle w:val="1167"/>
        <w:numPr>
          <w:ilvl w:val="0"/>
          <w:numId w:val="10"/>
        </w:numPr>
        <w:ind w:firstLine="0"/>
        <w:spacing w:line="360" w:lineRule="auto"/>
        <w:rPr>
          <w:rFonts w:cs="仿宋_GB2312" w:asciiTheme="minorEastAsia" w:hAnsiTheme="minorEastAsia" w:eastAsiaTheme="minorEastAsia"/>
          <w:color w:val="auto"/>
          <w:szCs w:val="21"/>
        </w:rPr>
      </w:pPr>
      <w:r>
        <w:rPr>
          <w:rFonts w:hint="eastAsia" w:cs="仿宋_GB2312" w:asciiTheme="minorEastAsia" w:hAnsiTheme="minorEastAsia" w:eastAsiaTheme="minorEastAsia"/>
          <w:color w:val="auto"/>
          <w:szCs w:val="21"/>
        </w:rPr>
        <w:t xml:space="preserve">考核组织</w:t>
      </w:r>
      <w:r/>
    </w:p>
    <w:p>
      <w:pPr>
        <w:ind w:firstLine="480"/>
        <w:jc w:val="left"/>
        <w:spacing w:line="360" w:lineRule="auto"/>
        <w:rPr>
          <w:rFonts w:cs="仿宋_GB2312" w:asciiTheme="minorEastAsia" w:hAnsiTheme="minorEastAsia" w:eastAsiaTheme="minorEastAsia"/>
          <w:color w:val="auto"/>
          <w:szCs w:val="21"/>
        </w:rPr>
      </w:pPr>
      <w:r>
        <w:rPr>
          <w:rFonts w:hint="eastAsia" w:cs="仿宋_GB2312" w:asciiTheme="minorEastAsia" w:hAnsiTheme="minorEastAsia" w:eastAsiaTheme="minorEastAsia"/>
          <w:color w:val="auto"/>
          <w:szCs w:val="21"/>
        </w:rPr>
        <w:t xml:space="preserve">淀山湖镇水利设施维养管护一体化项目承包企业考核由昆山市水事综合管理中心淀山湖管理站（以下简称淀山湖管理站）组织实施，淀山湖管理站组成考核小组（考核小组成员由淀山湖管理站根据实际情况决定）按月对承包企业站闸管护工作进行考核。</w:t>
      </w:r>
      <w:r/>
    </w:p>
    <w:p>
      <w:pPr>
        <w:pStyle w:val="1167"/>
        <w:numPr>
          <w:ilvl w:val="0"/>
          <w:numId w:val="10"/>
        </w:numPr>
        <w:ind w:firstLine="0"/>
        <w:spacing w:line="360" w:lineRule="auto"/>
        <w:rPr>
          <w:rFonts w:cs="仿宋_GB2312" w:asciiTheme="minorEastAsia" w:hAnsiTheme="minorEastAsia" w:eastAsiaTheme="minorEastAsia"/>
          <w:color w:val="auto"/>
          <w:szCs w:val="21"/>
        </w:rPr>
      </w:pPr>
      <w:r>
        <w:rPr>
          <w:rFonts w:hint="eastAsia" w:cs="仿宋_GB2312" w:asciiTheme="minorEastAsia" w:hAnsiTheme="minorEastAsia" w:eastAsiaTheme="minorEastAsia"/>
          <w:color w:val="auto"/>
          <w:szCs w:val="21"/>
        </w:rPr>
        <w:t xml:space="preserve">考核方式和标准</w:t>
      </w:r>
      <w:r/>
    </w:p>
    <w:p>
      <w:pPr>
        <w:ind w:firstLine="480"/>
        <w:jc w:val="left"/>
        <w:spacing w:line="360" w:lineRule="auto"/>
        <w:widowControl/>
        <w:rPr>
          <w:rFonts w:cs="仿宋_GB2312" w:asciiTheme="minorEastAsia" w:hAnsiTheme="minorEastAsia" w:eastAsiaTheme="minorEastAsia"/>
          <w:color w:val="auto"/>
          <w:szCs w:val="21"/>
          <w:lang w:val="zh-CN"/>
        </w:rPr>
      </w:pPr>
      <w:r>
        <w:rPr>
          <w:rFonts w:hint="eastAsia" w:cs="仿宋_GB2312" w:asciiTheme="minorEastAsia" w:hAnsiTheme="minorEastAsia" w:eastAsiaTheme="minorEastAsia"/>
          <w:color w:val="auto"/>
          <w:szCs w:val="21"/>
          <w:lang w:val="zh-CN"/>
        </w:rPr>
        <w:t xml:space="preserve">依据</w:t>
      </w:r>
      <w:r>
        <w:rPr>
          <w:rFonts w:hint="eastAsia" w:asciiTheme="minorEastAsia" w:hAnsiTheme="minorEastAsia" w:eastAsiaTheme="minorEastAsia"/>
          <w:color w:val="auto"/>
          <w:szCs w:val="21"/>
        </w:rPr>
        <w:t xml:space="preserve">昆山市水利工程站闸管理办法、昆山市水利工程站闸标准化管理实施细则等文件</w:t>
      </w:r>
      <w:r>
        <w:rPr>
          <w:rFonts w:hint="eastAsia" w:cs="仿宋_GB2312" w:asciiTheme="minorEastAsia" w:hAnsiTheme="minorEastAsia" w:eastAsiaTheme="minorEastAsia"/>
          <w:color w:val="auto"/>
          <w:szCs w:val="21"/>
          <w:lang w:val="zh-CN"/>
        </w:rPr>
        <w:t xml:space="preserve">，</w:t>
      </w:r>
      <w:r>
        <w:rPr>
          <w:rFonts w:hint="eastAsia" w:cs="仿宋_GB2312" w:asciiTheme="minorEastAsia" w:hAnsiTheme="minorEastAsia" w:eastAsiaTheme="minorEastAsia"/>
          <w:color w:val="auto"/>
          <w:szCs w:val="21"/>
        </w:rPr>
        <w:t xml:space="preserve">淀山湖</w:t>
      </w:r>
      <w:r>
        <w:rPr>
          <w:rFonts w:hint="eastAsia" w:cs="仿宋_GB2312" w:asciiTheme="minorEastAsia" w:hAnsiTheme="minorEastAsia" w:eastAsiaTheme="minorEastAsia"/>
          <w:color w:val="auto"/>
          <w:szCs w:val="21"/>
          <w:lang w:val="zh-CN"/>
        </w:rPr>
        <w:t xml:space="preserve">管理站制定了相应考核标准。具体考核内容及赋分详见附件“</w:t>
      </w:r>
      <w:r>
        <w:rPr>
          <w:rFonts w:hint="eastAsia" w:cs="仿宋_GB2312" w:asciiTheme="minorEastAsia" w:hAnsiTheme="minorEastAsia" w:eastAsiaTheme="minorEastAsia"/>
          <w:color w:val="auto"/>
          <w:szCs w:val="21"/>
        </w:rPr>
        <w:t xml:space="preserve">淀山湖镇水利设施维养管护一体化项目</w:t>
      </w:r>
      <w:r>
        <w:rPr>
          <w:rFonts w:hint="eastAsia" w:cs="仿宋_GB2312" w:asciiTheme="minorEastAsia" w:hAnsiTheme="minorEastAsia" w:eastAsiaTheme="minorEastAsia"/>
          <w:color w:val="auto"/>
          <w:szCs w:val="21"/>
          <w:lang w:val="zh-CN"/>
        </w:rPr>
        <w:t xml:space="preserve">承包企业考核评分表”。考核实行百分制，按照考核表进行逐项打分，统一评分。</w:t>
      </w:r>
      <w:r/>
    </w:p>
    <w:p>
      <w:pPr>
        <w:pStyle w:val="1202"/>
        <w:spacing w:line="360" w:lineRule="auto"/>
        <w:shd w:val="clear" w:color="auto" w:fill="auto"/>
        <w:rPr>
          <w:rFonts w:cs="仿宋_GB2312" w:asciiTheme="minorEastAsia" w:hAnsiTheme="minorEastAsia" w:eastAsiaTheme="minorEastAsia"/>
          <w:color w:val="auto"/>
          <w:sz w:val="21"/>
          <w:szCs w:val="21"/>
        </w:rPr>
      </w:pPr>
      <w:r>
        <w:rPr>
          <w:rFonts w:hint="eastAsia" w:cs="仿宋_GB2312" w:asciiTheme="minorEastAsia" w:hAnsiTheme="minorEastAsia" w:eastAsiaTheme="minorEastAsia"/>
          <w:color w:val="auto"/>
          <w:sz w:val="21"/>
          <w:szCs w:val="21"/>
        </w:rPr>
        <w:t xml:space="preserve">四、考核结果及运用</w:t>
      </w:r>
      <w:r/>
    </w:p>
    <w:p>
      <w:pPr>
        <w:pStyle w:val="1202"/>
        <w:ind w:firstLine="480"/>
        <w:spacing w:line="360" w:lineRule="auto"/>
        <w:shd w:val="clear" w:color="auto" w:fill="auto"/>
        <w:rPr>
          <w:rFonts w:cs="仿宋_GB2312" w:asciiTheme="minorEastAsia" w:hAnsiTheme="minorEastAsia" w:eastAsiaTheme="minorEastAsia"/>
          <w:color w:val="auto"/>
          <w:sz w:val="21"/>
          <w:szCs w:val="21"/>
        </w:rPr>
      </w:pPr>
      <w:r>
        <w:rPr>
          <w:rFonts w:hint="eastAsia" w:cs="仿宋_GB2312" w:asciiTheme="minorEastAsia" w:hAnsiTheme="minorEastAsia" w:eastAsiaTheme="minorEastAsia"/>
          <w:color w:val="auto"/>
          <w:sz w:val="21"/>
          <w:szCs w:val="21"/>
        </w:rPr>
        <w:t xml:space="preserve">考核结果纳入对服务承包企业承包费用拨付的重要参考内容，月度考核成绩达到90分的，当月承包经费全额拨付；未达到90的，按考核成绩每降低1分在当月承包经费中扣除1%，依次类推。</w:t>
      </w:r>
      <w:r/>
    </w:p>
    <w:p>
      <w:pPr>
        <w:pStyle w:val="1202"/>
        <w:spacing w:line="360" w:lineRule="auto"/>
        <w:shd w:val="clear" w:color="auto" w:fill="auto"/>
        <w:rPr>
          <w:rFonts w:cs="仿宋_GB2312" w:asciiTheme="minorEastAsia" w:hAnsiTheme="minorEastAsia" w:eastAsiaTheme="minorEastAsia"/>
          <w:color w:val="auto"/>
          <w:sz w:val="21"/>
          <w:szCs w:val="21"/>
        </w:rPr>
      </w:pPr>
      <w:r>
        <w:rPr>
          <w:rFonts w:hint="eastAsia" w:cs="仿宋_GB2312" w:asciiTheme="minorEastAsia" w:hAnsiTheme="minorEastAsia" w:eastAsiaTheme="minorEastAsia"/>
          <w:color w:val="auto"/>
          <w:sz w:val="21"/>
          <w:szCs w:val="21"/>
        </w:rPr>
        <w:t xml:space="preserve">五、其他</w:t>
      </w:r>
      <w:r/>
    </w:p>
    <w:p>
      <w:pPr>
        <w:pStyle w:val="1202"/>
        <w:ind w:firstLine="480"/>
        <w:spacing w:line="360" w:lineRule="auto"/>
        <w:shd w:val="clear" w:color="auto" w:fill="auto"/>
        <w:rPr>
          <w:rFonts w:cs="仿宋_GB2312" w:asciiTheme="minorEastAsia" w:hAnsiTheme="minorEastAsia" w:eastAsiaTheme="minorEastAsia"/>
          <w:color w:val="auto"/>
          <w:sz w:val="21"/>
          <w:szCs w:val="21"/>
        </w:rPr>
      </w:pPr>
      <w:r>
        <w:rPr>
          <w:rFonts w:hint="eastAsia" w:cs="仿宋_GB2312" w:asciiTheme="minorEastAsia" w:hAnsiTheme="minorEastAsia" w:eastAsiaTheme="minorEastAsia"/>
          <w:color w:val="auto"/>
          <w:sz w:val="21"/>
          <w:szCs w:val="21"/>
        </w:rPr>
        <w:t xml:space="preserve">本办法自2023年4月1日起实施；本办法由昆山市水事综合管理中心淀山湖管理站负责解释。</w:t>
      </w:r>
      <w:r/>
    </w:p>
    <w:p>
      <w:pPr>
        <w:jc w:val="center"/>
        <w:spacing w:after="240" w:line="500" w:lineRule="exact"/>
        <w:rPr>
          <w:b/>
          <w:color w:val="auto"/>
          <w:sz w:val="24"/>
          <w:szCs w:val="24"/>
        </w:rPr>
      </w:pPr>
      <w:r>
        <w:rPr>
          <w:b/>
          <w:color w:val="auto"/>
          <w:sz w:val="32"/>
          <w:szCs w:val="32"/>
        </w:rPr>
        <w:br w:type="page" w:clear="all"/>
      </w:r>
      <w:r>
        <w:rPr>
          <w:b/>
          <w:color w:val="auto"/>
          <w:sz w:val="24"/>
          <w:szCs w:val="24"/>
        </w:rPr>
        <w:t xml:space="preserve">附件</w:t>
      </w:r>
      <w:r>
        <w:rPr>
          <w:rFonts w:hint="eastAsia"/>
          <w:b/>
          <w:color w:val="auto"/>
          <w:sz w:val="24"/>
          <w:szCs w:val="24"/>
        </w:rPr>
        <w:t xml:space="preserve">2：2026年度淀山湖镇水利设施维养管护一体化项目考核表</w:t>
      </w:r>
      <w:r/>
    </w:p>
    <w:p>
      <w:pPr>
        <w:jc w:val="right"/>
        <w:spacing w:line="500" w:lineRule="exact"/>
        <w:rPr>
          <w:color w:val="auto"/>
          <w:sz w:val="24"/>
        </w:rPr>
      </w:pPr>
      <w:r>
        <w:rPr>
          <w:rFonts w:hint="eastAsia"/>
          <w:color w:val="auto"/>
          <w:sz w:val="24"/>
        </w:rPr>
        <w:t xml:space="preserve">考核日期：    年  月  日</w:t>
      </w:r>
      <w:r/>
    </w:p>
    <w:tbl>
      <w:tblPr>
        <w:tblStyle w:val="8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
        <w:gridCol w:w="1252"/>
        <w:gridCol w:w="4682"/>
        <w:gridCol w:w="741"/>
        <w:gridCol w:w="741"/>
        <w:gridCol w:w="879"/>
      </w:tblGrid>
      <w:tr>
        <w:trPr/>
        <w:tc>
          <w:tcPr>
            <w:tcW w:w="275" w:type="pct"/>
            <w:vAlign w:val="center"/>
            <w:textDirection w:val="lrTb"/>
            <w:noWrap w:val="false"/>
          </w:tcPr>
          <w:p>
            <w:pPr>
              <w:jc w:val="center"/>
              <w:rPr>
                <w:color w:val="auto"/>
                <w:sz w:val="24"/>
              </w:rPr>
            </w:pPr>
            <w:r>
              <w:rPr>
                <w:rFonts w:hint="eastAsia"/>
                <w:color w:val="auto"/>
                <w:sz w:val="24"/>
              </w:rPr>
              <w:t xml:space="preserve">序号</w:t>
            </w:r>
            <w:r/>
          </w:p>
        </w:tc>
        <w:tc>
          <w:tcPr>
            <w:tcW w:w="713" w:type="pct"/>
            <w:vAlign w:val="center"/>
            <w:textDirection w:val="lrTb"/>
            <w:noWrap w:val="false"/>
          </w:tcPr>
          <w:p>
            <w:pPr>
              <w:jc w:val="center"/>
              <w:rPr>
                <w:color w:val="auto"/>
                <w:sz w:val="24"/>
              </w:rPr>
            </w:pPr>
            <w:r>
              <w:rPr>
                <w:rFonts w:hint="eastAsia"/>
                <w:color w:val="auto"/>
                <w:sz w:val="24"/>
              </w:rPr>
              <w:t xml:space="preserve">考核</w:t>
            </w:r>
            <w:r/>
          </w:p>
          <w:p>
            <w:pPr>
              <w:jc w:val="center"/>
              <w:rPr>
                <w:color w:val="auto"/>
                <w:sz w:val="24"/>
              </w:rPr>
            </w:pPr>
            <w:r>
              <w:rPr>
                <w:rFonts w:hint="eastAsia"/>
                <w:color w:val="auto"/>
                <w:sz w:val="24"/>
              </w:rPr>
              <w:t xml:space="preserve">内容</w:t>
            </w:r>
            <w:r/>
          </w:p>
        </w:tc>
        <w:tc>
          <w:tcPr>
            <w:tcW w:w="2667" w:type="pct"/>
            <w:vAlign w:val="center"/>
            <w:textDirection w:val="lrTb"/>
            <w:noWrap w:val="false"/>
          </w:tcPr>
          <w:p>
            <w:pPr>
              <w:jc w:val="center"/>
              <w:rPr>
                <w:color w:val="auto"/>
                <w:sz w:val="24"/>
              </w:rPr>
            </w:pPr>
            <w:r>
              <w:rPr>
                <w:rFonts w:hint="eastAsia"/>
                <w:color w:val="auto"/>
                <w:sz w:val="24"/>
              </w:rPr>
              <w:t xml:space="preserve">标 准 要 求</w:t>
            </w:r>
            <w:r/>
          </w:p>
        </w:tc>
        <w:tc>
          <w:tcPr>
            <w:tcW w:w="422" w:type="pct"/>
            <w:textDirection w:val="lrTb"/>
            <w:noWrap w:val="false"/>
          </w:tcPr>
          <w:p>
            <w:pPr>
              <w:jc w:val="center"/>
              <w:rPr>
                <w:color w:val="auto"/>
                <w:sz w:val="24"/>
              </w:rPr>
            </w:pPr>
            <w:r>
              <w:rPr>
                <w:rFonts w:hint="eastAsia"/>
                <w:color w:val="auto"/>
                <w:sz w:val="24"/>
              </w:rPr>
              <w:t xml:space="preserve">标准分值</w:t>
            </w:r>
            <w:r/>
          </w:p>
        </w:tc>
        <w:tc>
          <w:tcPr>
            <w:tcW w:w="422" w:type="pct"/>
            <w:textDirection w:val="lrTb"/>
            <w:noWrap w:val="false"/>
          </w:tcPr>
          <w:p>
            <w:pPr>
              <w:jc w:val="center"/>
              <w:rPr>
                <w:color w:val="auto"/>
                <w:sz w:val="24"/>
              </w:rPr>
            </w:pPr>
            <w:r>
              <w:rPr>
                <w:rFonts w:hint="eastAsia"/>
                <w:color w:val="auto"/>
                <w:sz w:val="24"/>
              </w:rPr>
              <w:t xml:space="preserve">考核</w:t>
            </w:r>
            <w:r/>
          </w:p>
          <w:p>
            <w:pPr>
              <w:jc w:val="center"/>
              <w:rPr>
                <w:color w:val="auto"/>
                <w:sz w:val="24"/>
              </w:rPr>
            </w:pPr>
            <w:r>
              <w:rPr>
                <w:rFonts w:hint="eastAsia"/>
                <w:color w:val="auto"/>
                <w:sz w:val="24"/>
              </w:rPr>
              <w:t xml:space="preserve">得分</w:t>
            </w:r>
            <w:r/>
          </w:p>
        </w:tc>
        <w:tc>
          <w:tcPr>
            <w:tcW w:w="501" w:type="pct"/>
            <w:textDirection w:val="lrTb"/>
            <w:noWrap w:val="false"/>
          </w:tcPr>
          <w:p>
            <w:pPr>
              <w:jc w:val="center"/>
              <w:rPr>
                <w:color w:val="auto"/>
                <w:sz w:val="24"/>
              </w:rPr>
            </w:pPr>
            <w:r>
              <w:rPr>
                <w:rFonts w:hint="eastAsia"/>
                <w:color w:val="auto"/>
                <w:sz w:val="24"/>
              </w:rPr>
              <w:t xml:space="preserve">扣分</w:t>
            </w:r>
            <w:r/>
          </w:p>
          <w:p>
            <w:pPr>
              <w:jc w:val="center"/>
              <w:rPr>
                <w:color w:val="auto"/>
                <w:sz w:val="24"/>
              </w:rPr>
            </w:pPr>
            <w:r>
              <w:rPr>
                <w:rFonts w:hint="eastAsia"/>
                <w:color w:val="auto"/>
                <w:sz w:val="24"/>
              </w:rPr>
              <w:t xml:space="preserve">理由</w:t>
            </w:r>
            <w:r/>
          </w:p>
        </w:tc>
      </w:tr>
      <w:tr>
        <w:trPr>
          <w:trHeight w:val="610"/>
        </w:trPr>
        <w:tc>
          <w:tcPr>
            <w:tcW w:w="275" w:type="pct"/>
            <w:vAlign w:val="center"/>
            <w:vMerge w:val="restart"/>
            <w:textDirection w:val="lrTb"/>
            <w:noWrap w:val="false"/>
          </w:tcPr>
          <w:p>
            <w:pPr>
              <w:jc w:val="center"/>
              <w:spacing w:line="320" w:lineRule="exact"/>
              <w:rPr>
                <w:color w:val="auto"/>
                <w:sz w:val="24"/>
              </w:rPr>
            </w:pPr>
            <w:r>
              <w:rPr>
                <w:rFonts w:hint="eastAsia"/>
                <w:color w:val="auto"/>
                <w:sz w:val="24"/>
              </w:rPr>
              <w:t xml:space="preserve">1</w:t>
            </w:r>
            <w:r/>
          </w:p>
        </w:tc>
        <w:tc>
          <w:tcPr>
            <w:tcW w:w="713" w:type="pct"/>
            <w:vAlign w:val="center"/>
            <w:vMerge w:val="restart"/>
            <w:textDirection w:val="lrTb"/>
            <w:noWrap w:val="false"/>
          </w:tcPr>
          <w:p>
            <w:pPr>
              <w:jc w:val="center"/>
              <w:spacing w:line="320" w:lineRule="exact"/>
              <w:rPr>
                <w:color w:val="auto"/>
                <w:sz w:val="24"/>
              </w:rPr>
            </w:pPr>
            <w:r>
              <w:rPr>
                <w:rFonts w:hint="eastAsia"/>
                <w:color w:val="auto"/>
                <w:sz w:val="24"/>
              </w:rPr>
              <w:t xml:space="preserve">台账资料（10分）</w:t>
            </w:r>
            <w:r/>
          </w:p>
        </w:tc>
        <w:tc>
          <w:tcPr>
            <w:tcW w:w="2667" w:type="pct"/>
            <w:vAlign w:val="center"/>
            <w:textDirection w:val="lrTb"/>
            <w:noWrap w:val="false"/>
          </w:tcPr>
          <w:p>
            <w:pPr>
              <w:jc w:val="left"/>
              <w:spacing w:line="320" w:lineRule="exact"/>
              <w:rPr>
                <w:color w:val="auto"/>
                <w:szCs w:val="21"/>
              </w:rPr>
            </w:pPr>
            <w:r>
              <w:rPr>
                <w:rFonts w:hint="eastAsia"/>
                <w:color w:val="auto"/>
                <w:szCs w:val="21"/>
              </w:rPr>
              <w:t xml:space="preserve">台账资料。能建立资料齐全、分类清晰的台账资料，内容翔实并及时制成电子台账。无电子台账不得分，台账缺失、分类不明不得分。</w:t>
            </w:r>
            <w:r/>
          </w:p>
        </w:tc>
        <w:tc>
          <w:tcPr>
            <w:tcW w:w="422" w:type="pct"/>
            <w:vAlign w:val="center"/>
            <w:textDirection w:val="lrTb"/>
            <w:noWrap w:val="false"/>
          </w:tcPr>
          <w:p>
            <w:pPr>
              <w:jc w:val="center"/>
              <w:spacing w:line="320" w:lineRule="exact"/>
              <w:rPr>
                <w:color w:val="auto"/>
                <w:szCs w:val="21"/>
              </w:rPr>
            </w:pPr>
            <w:r>
              <w:rPr>
                <w:rFonts w:hint="eastAsia"/>
                <w:color w:val="auto"/>
                <w:szCs w:val="21"/>
              </w:rPr>
              <w:t xml:space="preserve">5</w:t>
            </w:r>
            <w:r/>
          </w:p>
        </w:tc>
        <w:tc>
          <w:tcPr>
            <w:tcW w:w="422" w:type="pct"/>
            <w:vAlign w:val="center"/>
            <w:textDirection w:val="lrTb"/>
            <w:noWrap w:val="false"/>
          </w:tcPr>
          <w:p>
            <w:pPr>
              <w:jc w:val="center"/>
              <w:spacing w:line="320" w:lineRule="exact"/>
              <w:rPr>
                <w:color w:val="auto"/>
                <w:szCs w:val="21"/>
              </w:rPr>
            </w:pPr>
            <w:r>
              <w:rPr>
                <w:color w:val="auto"/>
                <w:szCs w:val="21"/>
              </w:rPr>
            </w:r>
            <w:r/>
          </w:p>
        </w:tc>
        <w:tc>
          <w:tcPr>
            <w:tcW w:w="501" w:type="pct"/>
            <w:textDirection w:val="lrTb"/>
            <w:noWrap w:val="false"/>
          </w:tcPr>
          <w:p>
            <w:pPr>
              <w:jc w:val="center"/>
              <w:spacing w:line="320" w:lineRule="exact"/>
              <w:rPr>
                <w:color w:val="auto"/>
                <w:sz w:val="24"/>
              </w:rPr>
            </w:pPr>
            <w:r>
              <w:rPr>
                <w:color w:val="auto"/>
                <w:sz w:val="24"/>
              </w:rPr>
            </w:r>
            <w:r/>
          </w:p>
        </w:tc>
      </w:tr>
      <w:tr>
        <w:trPr>
          <w:trHeight w:val="379"/>
        </w:trPr>
        <w:tc>
          <w:tcPr>
            <w:tcW w:w="275" w:type="pct"/>
            <w:vAlign w:val="center"/>
            <w:vMerge w:val="continue"/>
            <w:textDirection w:val="lrTb"/>
            <w:noWrap w:val="false"/>
          </w:tcPr>
          <w:p>
            <w:pPr>
              <w:jc w:val="center"/>
              <w:spacing w:line="320" w:lineRule="exact"/>
              <w:rPr>
                <w:color w:val="auto"/>
                <w:sz w:val="24"/>
              </w:rPr>
            </w:pPr>
            <w:r>
              <w:rPr>
                <w:color w:val="auto"/>
                <w:sz w:val="24"/>
              </w:rPr>
            </w:r>
            <w:r/>
          </w:p>
        </w:tc>
        <w:tc>
          <w:tcPr>
            <w:tcW w:w="713" w:type="pct"/>
            <w:vAlign w:val="center"/>
            <w:vMerge w:val="continue"/>
            <w:textDirection w:val="lrTb"/>
            <w:noWrap w:val="false"/>
          </w:tcPr>
          <w:p>
            <w:pPr>
              <w:jc w:val="center"/>
              <w:spacing w:line="320" w:lineRule="exact"/>
              <w:rPr>
                <w:color w:val="auto"/>
                <w:sz w:val="24"/>
              </w:rPr>
            </w:pPr>
            <w:r>
              <w:rPr>
                <w:color w:val="auto"/>
                <w:sz w:val="24"/>
              </w:rPr>
            </w:r>
            <w:r/>
          </w:p>
        </w:tc>
        <w:tc>
          <w:tcPr>
            <w:tcW w:w="2667" w:type="pct"/>
            <w:textDirection w:val="lrTb"/>
            <w:noWrap w:val="false"/>
          </w:tcPr>
          <w:p>
            <w:pPr>
              <w:spacing w:line="320" w:lineRule="exact"/>
              <w:rPr>
                <w:color w:val="auto"/>
                <w:szCs w:val="21"/>
              </w:rPr>
            </w:pPr>
            <w:r>
              <w:rPr>
                <w:rFonts w:hint="eastAsia"/>
                <w:color w:val="auto"/>
                <w:szCs w:val="21"/>
              </w:rPr>
              <w:t xml:space="preserve">宣传教育。每月开展安全教育培训，规范巡查。缺少1月扣1分，扣完为止。</w:t>
            </w:r>
            <w:r/>
          </w:p>
        </w:tc>
        <w:tc>
          <w:tcPr>
            <w:tcW w:w="422" w:type="pct"/>
            <w:vAlign w:val="center"/>
            <w:textDirection w:val="lrTb"/>
            <w:noWrap w:val="false"/>
          </w:tcPr>
          <w:p>
            <w:pPr>
              <w:jc w:val="center"/>
              <w:spacing w:line="320" w:lineRule="exact"/>
              <w:rPr>
                <w:color w:val="auto"/>
                <w:szCs w:val="21"/>
              </w:rPr>
            </w:pPr>
            <w:r>
              <w:rPr>
                <w:rFonts w:hint="eastAsia"/>
                <w:color w:val="auto"/>
                <w:szCs w:val="21"/>
              </w:rPr>
              <w:t xml:space="preserve">5</w:t>
            </w:r>
            <w:r/>
          </w:p>
        </w:tc>
        <w:tc>
          <w:tcPr>
            <w:tcW w:w="422" w:type="pct"/>
            <w:vAlign w:val="center"/>
            <w:textDirection w:val="lrTb"/>
            <w:noWrap w:val="false"/>
          </w:tcPr>
          <w:p>
            <w:pPr>
              <w:jc w:val="center"/>
              <w:spacing w:line="320" w:lineRule="exact"/>
              <w:rPr>
                <w:color w:val="auto"/>
                <w:szCs w:val="21"/>
              </w:rPr>
            </w:pPr>
            <w:r>
              <w:rPr>
                <w:color w:val="auto"/>
                <w:szCs w:val="21"/>
              </w:rPr>
            </w:r>
            <w:r/>
          </w:p>
        </w:tc>
        <w:tc>
          <w:tcPr>
            <w:tcW w:w="501" w:type="pct"/>
            <w:textDirection w:val="lrTb"/>
            <w:noWrap w:val="false"/>
          </w:tcPr>
          <w:p>
            <w:pPr>
              <w:jc w:val="center"/>
              <w:spacing w:line="320" w:lineRule="exact"/>
              <w:rPr>
                <w:color w:val="auto"/>
                <w:sz w:val="24"/>
              </w:rPr>
            </w:pPr>
            <w:r>
              <w:rPr>
                <w:color w:val="auto"/>
                <w:sz w:val="24"/>
              </w:rPr>
            </w:r>
            <w:r/>
          </w:p>
        </w:tc>
      </w:tr>
      <w:tr>
        <w:trPr/>
        <w:tc>
          <w:tcPr>
            <w:tcW w:w="275" w:type="pct"/>
            <w:vAlign w:val="center"/>
            <w:vMerge w:val="restart"/>
            <w:textDirection w:val="lrTb"/>
            <w:noWrap w:val="false"/>
          </w:tcPr>
          <w:p>
            <w:pPr>
              <w:jc w:val="center"/>
              <w:spacing w:line="320" w:lineRule="exact"/>
              <w:rPr>
                <w:color w:val="auto"/>
                <w:sz w:val="24"/>
              </w:rPr>
            </w:pPr>
            <w:r>
              <w:rPr>
                <w:rFonts w:hint="eastAsia"/>
                <w:color w:val="auto"/>
                <w:sz w:val="24"/>
              </w:rPr>
              <w:t xml:space="preserve">3</w:t>
            </w:r>
            <w:r/>
          </w:p>
        </w:tc>
        <w:tc>
          <w:tcPr>
            <w:tcW w:w="713" w:type="pct"/>
            <w:vAlign w:val="center"/>
            <w:vMerge w:val="restart"/>
            <w:textDirection w:val="lrTb"/>
            <w:noWrap w:val="false"/>
          </w:tcPr>
          <w:p>
            <w:pPr>
              <w:jc w:val="center"/>
              <w:spacing w:line="320" w:lineRule="exact"/>
              <w:rPr>
                <w:color w:val="auto"/>
                <w:sz w:val="24"/>
              </w:rPr>
            </w:pPr>
            <w:r>
              <w:rPr>
                <w:rFonts w:hint="eastAsia"/>
                <w:color w:val="auto"/>
                <w:sz w:val="24"/>
              </w:rPr>
              <w:t xml:space="preserve">管理效果（90分）</w:t>
            </w:r>
            <w:r/>
          </w:p>
        </w:tc>
        <w:tc>
          <w:tcPr>
            <w:tcW w:w="2667" w:type="pct"/>
            <w:textDirection w:val="lrTb"/>
            <w:noWrap w:val="false"/>
          </w:tcPr>
          <w:p>
            <w:pPr>
              <w:spacing w:line="320" w:lineRule="exact"/>
              <w:tabs>
                <w:tab w:val="left" w:pos="2764" w:leader="none"/>
              </w:tabs>
              <w:rPr>
                <w:color w:val="auto"/>
                <w:szCs w:val="21"/>
              </w:rPr>
            </w:pPr>
            <w:r>
              <w:rPr>
                <w:rFonts w:hint="eastAsia"/>
                <w:color w:val="auto"/>
                <w:szCs w:val="21"/>
              </w:rPr>
              <w:t xml:space="preserve">泵房、管理房、配电房、走廊无灰尘垃圾，无乱堆放，发现一处灰尘垃圾扣2分，泵房、配电房发现一处乱堆放扣5分，管理房、走廊发现一处乱堆放扣3分。扣完为止。</w:t>
            </w:r>
            <w:r/>
          </w:p>
        </w:tc>
        <w:tc>
          <w:tcPr>
            <w:tcW w:w="422" w:type="pct"/>
            <w:vAlign w:val="center"/>
            <w:textDirection w:val="lrTb"/>
            <w:noWrap w:val="false"/>
          </w:tcPr>
          <w:p>
            <w:pPr>
              <w:jc w:val="center"/>
              <w:spacing w:line="320" w:lineRule="exact"/>
              <w:rPr>
                <w:color w:val="auto"/>
                <w:szCs w:val="21"/>
              </w:rPr>
            </w:pPr>
            <w:r>
              <w:rPr>
                <w:rFonts w:hint="eastAsia"/>
                <w:color w:val="auto"/>
                <w:szCs w:val="21"/>
              </w:rPr>
              <w:t xml:space="preserve">10</w:t>
            </w:r>
            <w:r/>
          </w:p>
        </w:tc>
        <w:tc>
          <w:tcPr>
            <w:tcW w:w="422" w:type="pct"/>
            <w:vAlign w:val="center"/>
            <w:textDirection w:val="lrTb"/>
            <w:noWrap w:val="false"/>
          </w:tcPr>
          <w:p>
            <w:pPr>
              <w:jc w:val="center"/>
              <w:spacing w:line="320" w:lineRule="exact"/>
              <w:rPr>
                <w:color w:val="auto"/>
                <w:szCs w:val="21"/>
              </w:rPr>
            </w:pPr>
            <w:r>
              <w:rPr>
                <w:color w:val="auto"/>
                <w:szCs w:val="21"/>
              </w:rPr>
            </w:r>
            <w:r/>
          </w:p>
        </w:tc>
        <w:tc>
          <w:tcPr>
            <w:tcW w:w="501" w:type="pct"/>
            <w:textDirection w:val="lrTb"/>
            <w:noWrap w:val="false"/>
          </w:tcPr>
          <w:p>
            <w:pPr>
              <w:jc w:val="center"/>
              <w:spacing w:line="320" w:lineRule="exact"/>
              <w:rPr>
                <w:color w:val="auto"/>
                <w:sz w:val="24"/>
              </w:rPr>
            </w:pPr>
            <w:r>
              <w:rPr>
                <w:color w:val="auto"/>
                <w:sz w:val="24"/>
              </w:rPr>
            </w:r>
            <w:r/>
          </w:p>
        </w:tc>
      </w:tr>
      <w:tr>
        <w:trPr/>
        <w:tc>
          <w:tcPr>
            <w:tcW w:w="275" w:type="pct"/>
            <w:vAlign w:val="center"/>
            <w:vMerge w:val="continue"/>
            <w:textDirection w:val="lrTb"/>
            <w:noWrap w:val="false"/>
          </w:tcPr>
          <w:p>
            <w:pPr>
              <w:jc w:val="center"/>
              <w:spacing w:line="320" w:lineRule="exact"/>
              <w:rPr>
                <w:color w:val="auto"/>
                <w:sz w:val="24"/>
              </w:rPr>
            </w:pPr>
            <w:r>
              <w:rPr>
                <w:color w:val="auto"/>
                <w:sz w:val="24"/>
              </w:rPr>
            </w:r>
            <w:r/>
          </w:p>
        </w:tc>
        <w:tc>
          <w:tcPr>
            <w:tcW w:w="713" w:type="pct"/>
            <w:vAlign w:val="center"/>
            <w:vMerge w:val="continue"/>
            <w:textDirection w:val="lrTb"/>
            <w:noWrap w:val="false"/>
          </w:tcPr>
          <w:p>
            <w:pPr>
              <w:jc w:val="center"/>
              <w:spacing w:line="320" w:lineRule="exact"/>
              <w:rPr>
                <w:color w:val="auto"/>
                <w:sz w:val="24"/>
              </w:rPr>
            </w:pPr>
            <w:r>
              <w:rPr>
                <w:color w:val="auto"/>
                <w:sz w:val="24"/>
              </w:rPr>
            </w:r>
            <w:r/>
          </w:p>
        </w:tc>
        <w:tc>
          <w:tcPr>
            <w:tcW w:w="2667" w:type="pct"/>
            <w:textDirection w:val="lrTb"/>
            <w:noWrap w:val="false"/>
          </w:tcPr>
          <w:p>
            <w:pPr>
              <w:spacing w:line="320" w:lineRule="exact"/>
              <w:rPr>
                <w:color w:val="auto"/>
                <w:szCs w:val="21"/>
              </w:rPr>
            </w:pPr>
            <w:r>
              <w:rPr>
                <w:rFonts w:hint="eastAsia"/>
                <w:color w:val="auto"/>
                <w:szCs w:val="21"/>
              </w:rPr>
              <w:t xml:space="preserve">迎检、自查自纠。全力配合市第三方考核，建立自查、自纠机制，发现一条扣分单子，每条扣1分，单月累计5条单子追加扣5分，累计8条单子不得分。同时及时整改发现问题。扣完为止。</w:t>
            </w:r>
            <w:r/>
          </w:p>
        </w:tc>
        <w:tc>
          <w:tcPr>
            <w:tcW w:w="422" w:type="pct"/>
            <w:vAlign w:val="center"/>
            <w:textDirection w:val="lrTb"/>
            <w:noWrap w:val="false"/>
          </w:tcPr>
          <w:p>
            <w:pPr>
              <w:jc w:val="center"/>
              <w:spacing w:line="320" w:lineRule="exact"/>
              <w:rPr>
                <w:color w:val="auto"/>
                <w:szCs w:val="21"/>
              </w:rPr>
            </w:pPr>
            <w:r>
              <w:rPr>
                <w:rFonts w:hint="eastAsia"/>
                <w:color w:val="auto"/>
                <w:szCs w:val="21"/>
              </w:rPr>
              <w:t xml:space="preserve">20</w:t>
            </w:r>
            <w:r/>
          </w:p>
        </w:tc>
        <w:tc>
          <w:tcPr>
            <w:tcW w:w="422" w:type="pct"/>
            <w:vAlign w:val="center"/>
            <w:textDirection w:val="lrTb"/>
            <w:noWrap w:val="false"/>
          </w:tcPr>
          <w:p>
            <w:pPr>
              <w:jc w:val="center"/>
              <w:spacing w:line="320" w:lineRule="exact"/>
              <w:rPr>
                <w:color w:val="auto"/>
                <w:szCs w:val="21"/>
              </w:rPr>
            </w:pPr>
            <w:r>
              <w:rPr>
                <w:color w:val="auto"/>
                <w:szCs w:val="21"/>
              </w:rPr>
            </w:r>
            <w:r/>
          </w:p>
        </w:tc>
        <w:tc>
          <w:tcPr>
            <w:tcW w:w="501" w:type="pct"/>
            <w:textDirection w:val="lrTb"/>
            <w:noWrap w:val="false"/>
          </w:tcPr>
          <w:p>
            <w:pPr>
              <w:jc w:val="center"/>
              <w:spacing w:line="320" w:lineRule="exact"/>
              <w:rPr>
                <w:color w:val="auto"/>
                <w:sz w:val="24"/>
              </w:rPr>
            </w:pPr>
            <w:r>
              <w:rPr>
                <w:color w:val="auto"/>
                <w:sz w:val="24"/>
              </w:rPr>
            </w:r>
            <w:r/>
          </w:p>
        </w:tc>
      </w:tr>
      <w:tr>
        <w:trPr>
          <w:trHeight w:val="963"/>
        </w:trPr>
        <w:tc>
          <w:tcPr>
            <w:tcW w:w="275" w:type="pct"/>
            <w:vAlign w:val="center"/>
            <w:vMerge w:val="continue"/>
            <w:textDirection w:val="lrTb"/>
            <w:noWrap w:val="false"/>
          </w:tcPr>
          <w:p>
            <w:pPr>
              <w:jc w:val="center"/>
              <w:spacing w:line="320" w:lineRule="exact"/>
              <w:rPr>
                <w:color w:val="auto"/>
                <w:sz w:val="24"/>
              </w:rPr>
            </w:pPr>
            <w:r>
              <w:rPr>
                <w:color w:val="auto"/>
                <w:sz w:val="24"/>
              </w:rPr>
            </w:r>
            <w:r/>
          </w:p>
        </w:tc>
        <w:tc>
          <w:tcPr>
            <w:tcW w:w="713" w:type="pct"/>
            <w:vAlign w:val="center"/>
            <w:vMerge w:val="continue"/>
            <w:textDirection w:val="lrTb"/>
            <w:noWrap w:val="false"/>
          </w:tcPr>
          <w:p>
            <w:pPr>
              <w:jc w:val="center"/>
              <w:spacing w:line="320" w:lineRule="exact"/>
              <w:rPr>
                <w:color w:val="auto"/>
                <w:sz w:val="24"/>
              </w:rPr>
            </w:pPr>
            <w:r>
              <w:rPr>
                <w:color w:val="auto"/>
                <w:sz w:val="24"/>
              </w:rPr>
            </w:r>
            <w:r/>
          </w:p>
        </w:tc>
        <w:tc>
          <w:tcPr>
            <w:tcW w:w="2667" w:type="pct"/>
            <w:textDirection w:val="lrTb"/>
            <w:noWrap w:val="false"/>
          </w:tcPr>
          <w:p>
            <w:pPr>
              <w:spacing w:line="320" w:lineRule="exact"/>
              <w:rPr>
                <w:color w:val="auto"/>
                <w:szCs w:val="21"/>
              </w:rPr>
            </w:pPr>
            <w:r>
              <w:rPr>
                <w:rFonts w:hint="eastAsia"/>
                <w:color w:val="auto"/>
                <w:szCs w:val="21"/>
              </w:rPr>
              <w:t xml:space="preserve">引排河道通畅，拦污栅内外无漂浮物等，无堵塞现象，拦污栅不洁一处扣2分，因堵塞造成机泵损坏扣10分。扣完为止。</w:t>
            </w:r>
            <w:r/>
          </w:p>
        </w:tc>
        <w:tc>
          <w:tcPr>
            <w:tcW w:w="422" w:type="pct"/>
            <w:vAlign w:val="center"/>
            <w:textDirection w:val="lrTb"/>
            <w:noWrap w:val="false"/>
          </w:tcPr>
          <w:p>
            <w:pPr>
              <w:jc w:val="center"/>
              <w:spacing w:line="320" w:lineRule="exact"/>
              <w:rPr>
                <w:color w:val="auto"/>
                <w:szCs w:val="21"/>
              </w:rPr>
            </w:pPr>
            <w:r>
              <w:rPr>
                <w:rFonts w:hint="eastAsia"/>
                <w:color w:val="auto"/>
                <w:szCs w:val="21"/>
              </w:rPr>
              <w:t xml:space="preserve">10</w:t>
            </w:r>
            <w:r/>
          </w:p>
        </w:tc>
        <w:tc>
          <w:tcPr>
            <w:tcW w:w="422" w:type="pct"/>
            <w:vAlign w:val="center"/>
            <w:textDirection w:val="lrTb"/>
            <w:noWrap w:val="false"/>
          </w:tcPr>
          <w:p>
            <w:pPr>
              <w:jc w:val="center"/>
              <w:spacing w:line="320" w:lineRule="exact"/>
              <w:rPr>
                <w:color w:val="auto"/>
                <w:szCs w:val="21"/>
              </w:rPr>
            </w:pPr>
            <w:r>
              <w:rPr>
                <w:color w:val="auto"/>
                <w:szCs w:val="21"/>
              </w:rPr>
            </w:r>
            <w:r/>
          </w:p>
        </w:tc>
        <w:tc>
          <w:tcPr>
            <w:tcW w:w="501" w:type="pct"/>
            <w:textDirection w:val="lrTb"/>
            <w:noWrap w:val="false"/>
          </w:tcPr>
          <w:p>
            <w:pPr>
              <w:jc w:val="center"/>
              <w:spacing w:line="320" w:lineRule="exact"/>
              <w:rPr>
                <w:color w:val="auto"/>
                <w:sz w:val="24"/>
              </w:rPr>
            </w:pPr>
            <w:r>
              <w:rPr>
                <w:color w:val="auto"/>
                <w:sz w:val="24"/>
              </w:rPr>
            </w:r>
            <w:r/>
          </w:p>
        </w:tc>
      </w:tr>
      <w:tr>
        <w:trPr>
          <w:trHeight w:val="1287"/>
        </w:trPr>
        <w:tc>
          <w:tcPr>
            <w:tcW w:w="275" w:type="pct"/>
            <w:vAlign w:val="center"/>
            <w:vMerge w:val="continue"/>
            <w:textDirection w:val="lrTb"/>
            <w:noWrap w:val="false"/>
          </w:tcPr>
          <w:p>
            <w:pPr>
              <w:jc w:val="center"/>
              <w:spacing w:line="320" w:lineRule="exact"/>
              <w:rPr>
                <w:color w:val="auto"/>
                <w:sz w:val="24"/>
              </w:rPr>
            </w:pPr>
            <w:r>
              <w:rPr>
                <w:color w:val="auto"/>
                <w:sz w:val="24"/>
              </w:rPr>
            </w:r>
            <w:r/>
          </w:p>
        </w:tc>
        <w:tc>
          <w:tcPr>
            <w:tcW w:w="713" w:type="pct"/>
            <w:vAlign w:val="center"/>
            <w:vMerge w:val="continue"/>
            <w:textDirection w:val="lrTb"/>
            <w:noWrap w:val="false"/>
          </w:tcPr>
          <w:p>
            <w:pPr>
              <w:jc w:val="center"/>
              <w:spacing w:line="320" w:lineRule="exact"/>
              <w:rPr>
                <w:color w:val="auto"/>
                <w:sz w:val="24"/>
              </w:rPr>
            </w:pPr>
            <w:r>
              <w:rPr>
                <w:color w:val="auto"/>
                <w:sz w:val="24"/>
              </w:rPr>
            </w:r>
            <w:r/>
          </w:p>
        </w:tc>
        <w:tc>
          <w:tcPr>
            <w:tcW w:w="2667" w:type="pct"/>
            <w:textDirection w:val="lrTb"/>
            <w:noWrap w:val="false"/>
          </w:tcPr>
          <w:p>
            <w:pPr>
              <w:jc w:val="left"/>
              <w:spacing w:line="320" w:lineRule="exact"/>
              <w:rPr>
                <w:color w:val="auto"/>
                <w:szCs w:val="21"/>
              </w:rPr>
            </w:pPr>
            <w:r>
              <w:rPr>
                <w:rFonts w:hint="eastAsia"/>
                <w:color w:val="auto"/>
                <w:szCs w:val="21"/>
              </w:rPr>
              <w:t xml:space="preserve">按规范要求到岗到位，汛期特殊情况24H值守，提前根据指令预降水位，持续关注水位变化情况；定期开展巡查工作，在特殊天气情况下，专人巡查，上报巡查情况；发现一次不在岗扣10分，发现水位预降不到位，一次扣10分。</w:t>
            </w:r>
            <w:r/>
          </w:p>
        </w:tc>
        <w:tc>
          <w:tcPr>
            <w:tcW w:w="422" w:type="pct"/>
            <w:vAlign w:val="center"/>
            <w:textDirection w:val="lrTb"/>
            <w:noWrap w:val="false"/>
          </w:tcPr>
          <w:p>
            <w:pPr>
              <w:jc w:val="center"/>
              <w:spacing w:line="320" w:lineRule="exact"/>
              <w:rPr>
                <w:color w:val="auto"/>
                <w:szCs w:val="21"/>
              </w:rPr>
            </w:pPr>
            <w:r>
              <w:rPr>
                <w:rFonts w:hint="eastAsia"/>
                <w:color w:val="auto"/>
                <w:szCs w:val="21"/>
              </w:rPr>
              <w:t xml:space="preserve">20</w:t>
            </w:r>
            <w:r/>
          </w:p>
        </w:tc>
        <w:tc>
          <w:tcPr>
            <w:tcW w:w="422" w:type="pct"/>
            <w:vAlign w:val="center"/>
            <w:textDirection w:val="lrTb"/>
            <w:noWrap w:val="false"/>
          </w:tcPr>
          <w:p>
            <w:pPr>
              <w:jc w:val="center"/>
              <w:spacing w:line="320" w:lineRule="exact"/>
              <w:rPr>
                <w:color w:val="auto"/>
                <w:szCs w:val="21"/>
              </w:rPr>
            </w:pPr>
            <w:r>
              <w:rPr>
                <w:color w:val="auto"/>
                <w:szCs w:val="21"/>
              </w:rPr>
            </w:r>
            <w:r/>
          </w:p>
        </w:tc>
        <w:tc>
          <w:tcPr>
            <w:tcW w:w="501" w:type="pct"/>
            <w:textDirection w:val="lrTb"/>
            <w:noWrap w:val="false"/>
          </w:tcPr>
          <w:p>
            <w:pPr>
              <w:jc w:val="center"/>
              <w:spacing w:line="320" w:lineRule="exact"/>
              <w:rPr>
                <w:color w:val="auto"/>
                <w:sz w:val="24"/>
              </w:rPr>
            </w:pPr>
            <w:r>
              <w:rPr>
                <w:color w:val="auto"/>
                <w:sz w:val="24"/>
              </w:rPr>
            </w:r>
            <w:r/>
          </w:p>
        </w:tc>
      </w:tr>
      <w:tr>
        <w:trPr>
          <w:trHeight w:val="434"/>
        </w:trPr>
        <w:tc>
          <w:tcPr>
            <w:tcW w:w="275" w:type="pct"/>
            <w:vAlign w:val="center"/>
            <w:vMerge w:val="continue"/>
            <w:textDirection w:val="lrTb"/>
            <w:noWrap w:val="false"/>
          </w:tcPr>
          <w:p>
            <w:pPr>
              <w:jc w:val="center"/>
              <w:spacing w:line="320" w:lineRule="exact"/>
              <w:rPr>
                <w:color w:val="auto"/>
                <w:sz w:val="24"/>
              </w:rPr>
            </w:pPr>
            <w:r>
              <w:rPr>
                <w:color w:val="auto"/>
                <w:sz w:val="24"/>
              </w:rPr>
            </w:r>
            <w:r/>
          </w:p>
        </w:tc>
        <w:tc>
          <w:tcPr>
            <w:tcW w:w="713" w:type="pct"/>
            <w:vAlign w:val="center"/>
            <w:vMerge w:val="continue"/>
            <w:textDirection w:val="lrTb"/>
            <w:noWrap w:val="false"/>
          </w:tcPr>
          <w:p>
            <w:pPr>
              <w:jc w:val="center"/>
              <w:spacing w:line="320" w:lineRule="exact"/>
              <w:rPr>
                <w:color w:val="auto"/>
                <w:sz w:val="24"/>
              </w:rPr>
            </w:pPr>
            <w:r>
              <w:rPr>
                <w:color w:val="auto"/>
                <w:sz w:val="24"/>
              </w:rPr>
            </w:r>
            <w:r/>
          </w:p>
        </w:tc>
        <w:tc>
          <w:tcPr>
            <w:tcW w:w="2667" w:type="pct"/>
            <w:textDirection w:val="lrTb"/>
            <w:noWrap w:val="false"/>
          </w:tcPr>
          <w:p>
            <w:pPr>
              <w:rPr>
                <w:color w:val="auto"/>
                <w:szCs w:val="21"/>
              </w:rPr>
            </w:pPr>
            <w:r>
              <w:rPr>
                <w:rFonts w:hint="eastAsia"/>
                <w:color w:val="auto"/>
                <w:szCs w:val="21"/>
              </w:rPr>
              <w:t xml:space="preserve">保持站容站貌，室内干净整齐，站闸管理范围内禁止“四乱”（乱垦种、乱搭乱建、乱堆乱放、乱晒乱挂）以及畜禽养殖等脏乱差现象，发现一处扣5分。同时定期开展站内绿化养护，绿化未养护（脏乱）一处扣5分。扣完为止。</w:t>
            </w:r>
            <w:r/>
          </w:p>
        </w:tc>
        <w:tc>
          <w:tcPr>
            <w:tcW w:w="422" w:type="pct"/>
            <w:vAlign w:val="center"/>
            <w:textDirection w:val="lrTb"/>
            <w:noWrap w:val="false"/>
          </w:tcPr>
          <w:p>
            <w:pPr>
              <w:jc w:val="center"/>
              <w:spacing w:line="320" w:lineRule="exact"/>
              <w:rPr>
                <w:color w:val="auto"/>
                <w:szCs w:val="21"/>
              </w:rPr>
            </w:pPr>
            <w:r>
              <w:rPr>
                <w:rFonts w:hint="eastAsia"/>
                <w:color w:val="auto"/>
                <w:szCs w:val="21"/>
              </w:rPr>
              <w:t xml:space="preserve">10</w:t>
            </w:r>
            <w:r/>
          </w:p>
        </w:tc>
        <w:tc>
          <w:tcPr>
            <w:tcW w:w="422" w:type="pct"/>
            <w:vAlign w:val="center"/>
            <w:textDirection w:val="lrTb"/>
            <w:noWrap w:val="false"/>
          </w:tcPr>
          <w:p>
            <w:pPr>
              <w:jc w:val="center"/>
              <w:spacing w:line="320" w:lineRule="exact"/>
              <w:rPr>
                <w:color w:val="auto"/>
                <w:szCs w:val="21"/>
              </w:rPr>
            </w:pPr>
            <w:r>
              <w:rPr>
                <w:color w:val="auto"/>
                <w:szCs w:val="21"/>
              </w:rPr>
            </w:r>
            <w:r/>
          </w:p>
        </w:tc>
        <w:tc>
          <w:tcPr>
            <w:tcW w:w="501" w:type="pct"/>
            <w:textDirection w:val="lrTb"/>
            <w:noWrap w:val="false"/>
          </w:tcPr>
          <w:p>
            <w:pPr>
              <w:jc w:val="center"/>
              <w:spacing w:line="320" w:lineRule="exact"/>
              <w:rPr>
                <w:color w:val="auto"/>
                <w:sz w:val="24"/>
              </w:rPr>
            </w:pPr>
            <w:r>
              <w:rPr>
                <w:color w:val="auto"/>
                <w:sz w:val="24"/>
              </w:rPr>
            </w:r>
            <w:r/>
          </w:p>
        </w:tc>
      </w:tr>
      <w:tr>
        <w:trPr>
          <w:trHeight w:val="1065"/>
        </w:trPr>
        <w:tc>
          <w:tcPr>
            <w:tcW w:w="275" w:type="pct"/>
            <w:vAlign w:val="center"/>
            <w:vMerge w:val="continue"/>
            <w:textDirection w:val="lrTb"/>
            <w:noWrap w:val="false"/>
          </w:tcPr>
          <w:p>
            <w:pPr>
              <w:jc w:val="center"/>
              <w:spacing w:line="320" w:lineRule="exact"/>
              <w:rPr>
                <w:color w:val="auto"/>
                <w:sz w:val="24"/>
              </w:rPr>
            </w:pPr>
            <w:r>
              <w:rPr>
                <w:color w:val="auto"/>
                <w:sz w:val="24"/>
              </w:rPr>
            </w:r>
            <w:r/>
          </w:p>
        </w:tc>
        <w:tc>
          <w:tcPr>
            <w:tcW w:w="713" w:type="pct"/>
            <w:vAlign w:val="center"/>
            <w:vMerge w:val="continue"/>
            <w:textDirection w:val="lrTb"/>
            <w:noWrap w:val="false"/>
          </w:tcPr>
          <w:p>
            <w:pPr>
              <w:jc w:val="center"/>
              <w:spacing w:line="320" w:lineRule="exact"/>
              <w:rPr>
                <w:color w:val="auto"/>
                <w:sz w:val="24"/>
              </w:rPr>
            </w:pPr>
            <w:r>
              <w:rPr>
                <w:color w:val="auto"/>
                <w:sz w:val="24"/>
              </w:rPr>
            </w:r>
            <w:r/>
          </w:p>
        </w:tc>
        <w:tc>
          <w:tcPr>
            <w:tcW w:w="2667" w:type="pct"/>
            <w:textDirection w:val="lrTb"/>
            <w:noWrap w:val="false"/>
          </w:tcPr>
          <w:p>
            <w:pPr>
              <w:spacing w:line="320" w:lineRule="exact"/>
              <w:rPr>
                <w:color w:val="auto"/>
                <w:szCs w:val="21"/>
              </w:rPr>
            </w:pPr>
            <w:r>
              <w:rPr>
                <w:rFonts w:hint="eastAsia"/>
                <w:color w:val="auto"/>
                <w:szCs w:val="21"/>
              </w:rPr>
              <w:t xml:space="preserve">各类工程管理标志、标牌（里程桩、禁行杆、界牌、警示牌、工程简介牌等）齐全、醒目美观。发现问题及时上报，发现1处未上报扣2分，扣完为止。</w:t>
            </w:r>
            <w:r/>
          </w:p>
        </w:tc>
        <w:tc>
          <w:tcPr>
            <w:tcW w:w="422" w:type="pct"/>
            <w:vAlign w:val="center"/>
            <w:textDirection w:val="lrTb"/>
            <w:noWrap w:val="false"/>
          </w:tcPr>
          <w:p>
            <w:pPr>
              <w:jc w:val="center"/>
              <w:spacing w:line="320" w:lineRule="exact"/>
              <w:rPr>
                <w:color w:val="auto"/>
                <w:szCs w:val="21"/>
              </w:rPr>
            </w:pPr>
            <w:r>
              <w:rPr>
                <w:rFonts w:hint="eastAsia"/>
                <w:color w:val="auto"/>
                <w:szCs w:val="21"/>
              </w:rPr>
              <w:t xml:space="preserve">10</w:t>
            </w:r>
            <w:r/>
          </w:p>
          <w:p>
            <w:pPr>
              <w:jc w:val="center"/>
              <w:spacing w:line="320" w:lineRule="exact"/>
              <w:rPr>
                <w:color w:val="auto"/>
                <w:szCs w:val="21"/>
              </w:rPr>
            </w:pPr>
            <w:r>
              <w:rPr>
                <w:color w:val="auto"/>
                <w:szCs w:val="21"/>
              </w:rPr>
            </w:r>
            <w:r/>
          </w:p>
        </w:tc>
        <w:tc>
          <w:tcPr>
            <w:tcW w:w="422" w:type="pct"/>
            <w:vAlign w:val="center"/>
            <w:textDirection w:val="lrTb"/>
            <w:noWrap w:val="false"/>
          </w:tcPr>
          <w:p>
            <w:pPr>
              <w:jc w:val="center"/>
              <w:spacing w:line="320" w:lineRule="exact"/>
              <w:rPr>
                <w:color w:val="auto"/>
                <w:szCs w:val="21"/>
              </w:rPr>
            </w:pPr>
            <w:r>
              <w:rPr>
                <w:color w:val="auto"/>
                <w:szCs w:val="21"/>
              </w:rPr>
            </w:r>
            <w:r/>
          </w:p>
        </w:tc>
        <w:tc>
          <w:tcPr>
            <w:tcW w:w="501" w:type="pct"/>
            <w:textDirection w:val="lrTb"/>
            <w:noWrap w:val="false"/>
          </w:tcPr>
          <w:p>
            <w:pPr>
              <w:jc w:val="center"/>
              <w:spacing w:line="320" w:lineRule="exact"/>
              <w:rPr>
                <w:color w:val="auto"/>
                <w:sz w:val="24"/>
              </w:rPr>
            </w:pPr>
            <w:r>
              <w:rPr>
                <w:color w:val="auto"/>
                <w:sz w:val="24"/>
              </w:rPr>
            </w:r>
            <w:r/>
          </w:p>
        </w:tc>
      </w:tr>
      <w:tr>
        <w:trPr>
          <w:trHeight w:val="911"/>
        </w:trPr>
        <w:tc>
          <w:tcPr>
            <w:tcW w:w="275" w:type="pct"/>
            <w:vAlign w:val="center"/>
            <w:vMerge w:val="continue"/>
            <w:textDirection w:val="lrTb"/>
            <w:noWrap w:val="false"/>
          </w:tcPr>
          <w:p>
            <w:pPr>
              <w:jc w:val="center"/>
              <w:spacing w:line="320" w:lineRule="exact"/>
              <w:rPr>
                <w:color w:val="auto"/>
                <w:sz w:val="24"/>
              </w:rPr>
            </w:pPr>
            <w:r>
              <w:rPr>
                <w:color w:val="auto"/>
                <w:sz w:val="24"/>
              </w:rPr>
            </w:r>
            <w:r/>
          </w:p>
        </w:tc>
        <w:tc>
          <w:tcPr>
            <w:tcW w:w="713" w:type="pct"/>
            <w:vAlign w:val="center"/>
            <w:vMerge w:val="continue"/>
            <w:textDirection w:val="lrTb"/>
            <w:noWrap w:val="false"/>
          </w:tcPr>
          <w:p>
            <w:pPr>
              <w:jc w:val="center"/>
              <w:spacing w:line="320" w:lineRule="exact"/>
              <w:rPr>
                <w:color w:val="auto"/>
                <w:sz w:val="24"/>
              </w:rPr>
            </w:pPr>
            <w:r>
              <w:rPr>
                <w:color w:val="auto"/>
                <w:sz w:val="24"/>
              </w:rPr>
            </w:r>
            <w:r/>
          </w:p>
        </w:tc>
        <w:tc>
          <w:tcPr>
            <w:tcW w:w="2667" w:type="pct"/>
            <w:textDirection w:val="lrTb"/>
            <w:noWrap w:val="false"/>
          </w:tcPr>
          <w:p>
            <w:pPr>
              <w:spacing w:line="320" w:lineRule="exact"/>
              <w:rPr>
                <w:rFonts w:eastAsia="仿宋_GB2312"/>
                <w:color w:val="auto"/>
                <w:szCs w:val="21"/>
              </w:rPr>
            </w:pPr>
            <w:r>
              <w:rPr>
                <w:rFonts w:hint="eastAsia"/>
                <w:color w:val="auto"/>
                <w:szCs w:val="21"/>
              </w:rPr>
              <w:t xml:space="preserve">应急措施完备，服从调配，媒体负面曝光及各平台交办件处理情况。投诉或负面曝光、不服从调配不得分。</w:t>
            </w:r>
            <w:r/>
          </w:p>
        </w:tc>
        <w:tc>
          <w:tcPr>
            <w:tcW w:w="422" w:type="pct"/>
            <w:vAlign w:val="center"/>
            <w:textDirection w:val="lrTb"/>
            <w:noWrap w:val="false"/>
          </w:tcPr>
          <w:p>
            <w:pPr>
              <w:jc w:val="center"/>
              <w:spacing w:line="320" w:lineRule="exact"/>
              <w:rPr>
                <w:color w:val="auto"/>
                <w:szCs w:val="21"/>
              </w:rPr>
            </w:pPr>
            <w:r>
              <w:rPr>
                <w:rFonts w:hint="eastAsia"/>
                <w:color w:val="auto"/>
                <w:szCs w:val="21"/>
              </w:rPr>
              <w:t xml:space="preserve">10</w:t>
            </w:r>
            <w:r/>
          </w:p>
        </w:tc>
        <w:tc>
          <w:tcPr>
            <w:tcW w:w="422" w:type="pct"/>
            <w:vAlign w:val="center"/>
            <w:textDirection w:val="lrTb"/>
            <w:noWrap w:val="false"/>
          </w:tcPr>
          <w:p>
            <w:pPr>
              <w:jc w:val="center"/>
              <w:spacing w:line="320" w:lineRule="exact"/>
              <w:rPr>
                <w:color w:val="auto"/>
                <w:szCs w:val="21"/>
              </w:rPr>
            </w:pPr>
            <w:r>
              <w:rPr>
                <w:color w:val="auto"/>
                <w:szCs w:val="21"/>
              </w:rPr>
            </w:r>
            <w:r/>
          </w:p>
        </w:tc>
        <w:tc>
          <w:tcPr>
            <w:tcW w:w="501" w:type="pct"/>
            <w:textDirection w:val="lrTb"/>
            <w:noWrap w:val="false"/>
          </w:tcPr>
          <w:p>
            <w:pPr>
              <w:jc w:val="center"/>
              <w:spacing w:line="320" w:lineRule="exact"/>
              <w:rPr>
                <w:color w:val="auto"/>
                <w:sz w:val="24"/>
              </w:rPr>
            </w:pPr>
            <w:r>
              <w:rPr>
                <w:color w:val="auto"/>
                <w:sz w:val="24"/>
              </w:rPr>
            </w:r>
            <w:r/>
          </w:p>
        </w:tc>
      </w:tr>
      <w:tr>
        <w:trPr>
          <w:trHeight w:val="714"/>
        </w:trPr>
        <w:tc>
          <w:tcPr>
            <w:gridSpan w:val="2"/>
            <w:tcW w:w="987" w:type="pct"/>
            <w:vAlign w:val="center"/>
            <w:textDirection w:val="lrTb"/>
            <w:noWrap w:val="false"/>
          </w:tcPr>
          <w:p>
            <w:pPr>
              <w:jc w:val="center"/>
              <w:spacing w:line="320" w:lineRule="exact"/>
              <w:rPr>
                <w:color w:val="auto"/>
                <w:sz w:val="24"/>
              </w:rPr>
            </w:pPr>
            <w:r>
              <w:rPr>
                <w:rFonts w:hint="eastAsia"/>
                <w:color w:val="auto"/>
                <w:sz w:val="24"/>
              </w:rPr>
              <w:t xml:space="preserve">合计</w:t>
            </w:r>
            <w:r/>
          </w:p>
        </w:tc>
        <w:tc>
          <w:tcPr>
            <w:tcW w:w="2667" w:type="pct"/>
            <w:textDirection w:val="lrTb"/>
            <w:noWrap w:val="false"/>
          </w:tcPr>
          <w:p>
            <w:pPr>
              <w:jc w:val="center"/>
              <w:spacing w:line="320" w:lineRule="exact"/>
              <w:rPr>
                <w:color w:val="auto"/>
                <w:szCs w:val="21"/>
              </w:rPr>
            </w:pPr>
            <w:r>
              <w:rPr>
                <w:color w:val="auto"/>
                <w:szCs w:val="21"/>
              </w:rPr>
            </w:r>
            <w:r/>
          </w:p>
        </w:tc>
        <w:tc>
          <w:tcPr>
            <w:tcW w:w="422" w:type="pct"/>
            <w:vAlign w:val="center"/>
            <w:textDirection w:val="lrTb"/>
            <w:noWrap w:val="false"/>
          </w:tcPr>
          <w:p>
            <w:pPr>
              <w:jc w:val="center"/>
              <w:spacing w:line="320" w:lineRule="exact"/>
              <w:rPr>
                <w:color w:val="auto"/>
                <w:szCs w:val="21"/>
              </w:rPr>
            </w:pPr>
            <w:r>
              <w:rPr>
                <w:rFonts w:hint="eastAsia"/>
                <w:color w:val="auto"/>
                <w:szCs w:val="21"/>
              </w:rPr>
              <w:t xml:space="preserve">100</w:t>
            </w:r>
            <w:r/>
          </w:p>
        </w:tc>
        <w:tc>
          <w:tcPr>
            <w:tcW w:w="422" w:type="pct"/>
            <w:vAlign w:val="center"/>
            <w:textDirection w:val="lrTb"/>
            <w:noWrap w:val="false"/>
          </w:tcPr>
          <w:p>
            <w:pPr>
              <w:jc w:val="center"/>
              <w:spacing w:line="320" w:lineRule="exact"/>
              <w:rPr>
                <w:color w:val="auto"/>
                <w:szCs w:val="21"/>
              </w:rPr>
            </w:pPr>
            <w:r>
              <w:rPr>
                <w:color w:val="auto"/>
                <w:szCs w:val="21"/>
              </w:rPr>
            </w:r>
            <w:r/>
          </w:p>
        </w:tc>
        <w:tc>
          <w:tcPr>
            <w:tcW w:w="501" w:type="pct"/>
            <w:textDirection w:val="lrTb"/>
            <w:noWrap w:val="false"/>
          </w:tcPr>
          <w:p>
            <w:pPr>
              <w:jc w:val="center"/>
              <w:spacing w:line="320" w:lineRule="exact"/>
              <w:rPr>
                <w:color w:val="auto"/>
                <w:sz w:val="24"/>
              </w:rPr>
            </w:pPr>
            <w:r>
              <w:rPr>
                <w:color w:val="auto"/>
                <w:sz w:val="24"/>
              </w:rPr>
            </w:r>
            <w:r/>
          </w:p>
        </w:tc>
      </w:tr>
    </w:tbl>
    <w:p>
      <w:pPr>
        <w:spacing w:line="500" w:lineRule="exact"/>
        <w:rPr>
          <w:color w:val="auto"/>
        </w:rPr>
      </w:pPr>
      <w:r>
        <w:rPr>
          <w:rFonts w:hint="eastAsia"/>
          <w:color w:val="auto"/>
          <w:sz w:val="24"/>
        </w:rPr>
        <w:t xml:space="preserve">考核人员（签名）：</w:t>
      </w:r>
      <w:r/>
    </w:p>
    <w:p>
      <w:pPr>
        <w:rPr>
          <w:color w:val="auto"/>
        </w:rPr>
      </w:pPr>
      <w:r>
        <w:rPr>
          <w:color w:val="auto"/>
        </w:rPr>
      </w:r>
      <w:r/>
    </w:p>
    <w:p>
      <w:pPr>
        <w:ind w:firstLine="198"/>
        <w:spacing w:line="480" w:lineRule="auto"/>
        <w:rPr>
          <w:color w:val="auto"/>
        </w:rPr>
      </w:pPr>
      <w:r>
        <w:rPr>
          <w:b/>
          <w:color w:val="auto"/>
          <w:sz w:val="36"/>
          <w:szCs w:val="36"/>
        </w:rPr>
        <w:br w:type="page" w:clear="all"/>
      </w:r>
      <w:bookmarkEnd w:id="56"/>
      <w:r/>
      <w:r/>
    </w:p>
    <w:p>
      <w:pPr>
        <w:pStyle w:val="818"/>
        <w:jc w:val="center"/>
        <w:rPr>
          <w:b/>
          <w:bCs/>
          <w:color w:val="auto"/>
        </w:rPr>
      </w:pPr>
      <w:r/>
      <w:bookmarkStart w:id="58" w:name="_Toc204332812"/>
      <w:r>
        <w:rPr>
          <w:rFonts w:hint="eastAsia"/>
          <w:b/>
          <w:bCs/>
          <w:color w:val="auto"/>
        </w:rPr>
        <w:t xml:space="preserve">第六章 合格性评审办法</w:t>
      </w:r>
      <w:bookmarkEnd w:id="58"/>
      <w:r/>
      <w:r/>
    </w:p>
    <w:p>
      <w:pPr>
        <w:ind w:firstLine="420"/>
        <w:spacing w:line="360" w:lineRule="auto"/>
        <w:rPr>
          <w:rFonts w:ascii="宋体" w:hAnsi="宋体" w:cs="仿宋_GB2312"/>
          <w:color w:val="auto"/>
          <w:szCs w:val="21"/>
        </w:rPr>
      </w:pPr>
      <w:r>
        <w:rPr>
          <w:rFonts w:hint="eastAsia" w:ascii="宋体" w:hAnsi="宋体" w:cs="仿宋_GB2312"/>
          <w:color w:val="auto"/>
          <w:szCs w:val="21"/>
        </w:rPr>
        <w:t xml:space="preserve">一、评审办法</w:t>
      </w:r>
      <w:r/>
    </w:p>
    <w:p>
      <w:pPr>
        <w:ind w:firstLine="420"/>
        <w:spacing w:line="360" w:lineRule="auto"/>
        <w:tabs>
          <w:tab w:val="left" w:pos="2870" w:leader="none"/>
        </w:tabs>
        <w:rPr>
          <w:rFonts w:ascii="宋体" w:hAnsi="宋体"/>
          <w:color w:val="auto"/>
          <w:szCs w:val="21"/>
        </w:rPr>
      </w:pPr>
      <w:r>
        <w:rPr>
          <w:rFonts w:hint="eastAsia" w:ascii="宋体" w:hAnsi="宋体"/>
          <w:color w:val="auto"/>
          <w:szCs w:val="21"/>
        </w:rPr>
        <w:t xml:space="preserve">1、本次中标，谈判响应报价共有两次报价机会，</w:t>
      </w:r>
      <w:r>
        <w:rPr>
          <w:rFonts w:hint="eastAsia" w:ascii="宋体" w:hAnsi="宋体"/>
          <w:b/>
          <w:bCs/>
          <w:color w:val="auto"/>
          <w:szCs w:val="21"/>
        </w:rPr>
        <w:t xml:space="preserve">第二次报价为最终总报价</w:t>
      </w:r>
      <w:r>
        <w:rPr>
          <w:rFonts w:hint="eastAsia" w:ascii="宋体" w:hAnsi="宋体"/>
          <w:color w:val="auto"/>
          <w:szCs w:val="21"/>
        </w:rPr>
        <w:t xml:space="preserve">；若谈判响应单位未在最后一次报价中分别报各个产品单价的，则其各个产品的单价按最终总报价与首次报价之比同比例下浮。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本次</w:t>
      </w:r>
      <w:r>
        <w:rPr>
          <w:rFonts w:hint="eastAsia" w:ascii="宋体" w:hAnsi="宋体"/>
          <w:color w:val="auto"/>
          <w:szCs w:val="21"/>
        </w:rPr>
        <w:t xml:space="preserve">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ascii="宋体" w:hAnsi="宋体"/>
          <w:color w:val="auto"/>
          <w:szCs w:val="21"/>
        </w:rPr>
      </w:pPr>
      <w:r>
        <w:rPr>
          <w:rFonts w:hint="eastAsia" w:ascii="宋体" w:hAnsi="宋体"/>
          <w:color w:val="auto"/>
          <w:szCs w:val="21"/>
        </w:rPr>
        <w:t xml:space="preserve">3、评标委员会各成员独立对每个进入合格性评审程序的谈判供应商的谈判响应文件按合格性评审办法进行评审和评价。</w:t>
      </w:r>
      <w:r/>
    </w:p>
    <w:p>
      <w:pPr>
        <w:ind w:firstLine="420"/>
        <w:spacing w:line="360" w:lineRule="auto"/>
        <w:rPr>
          <w:rFonts w:ascii="宋体" w:hAnsi="宋体"/>
          <w:color w:val="auto"/>
          <w:szCs w:val="21"/>
        </w:rPr>
      </w:pPr>
      <w:r>
        <w:rPr>
          <w:rFonts w:hint="eastAsia" w:ascii="宋体" w:hAnsi="宋体"/>
          <w:color w:val="auto"/>
          <w:szCs w:val="21"/>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olor w:val="auto"/>
          <w:szCs w:val="21"/>
        </w:rPr>
      </w:pPr>
      <w:r>
        <w:rPr>
          <w:rFonts w:hint="eastAsia" w:ascii="宋体" w:hAnsi="宋体"/>
          <w:color w:val="auto"/>
          <w:szCs w:val="21"/>
        </w:rPr>
        <w:t xml:space="preserve">5、评委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auto"/>
          <w:szCs w:val="21"/>
        </w:rPr>
        <w:t xml:space="preserve">如果</w:t>
      </w:r>
      <w:r>
        <w:rPr>
          <w:rFonts w:hint="eastAsia" w:ascii="宋体" w:hAnsi="宋体"/>
          <w:color w:val="auto"/>
          <w:szCs w:val="21"/>
        </w:rPr>
        <w:t xml:space="preserve">两个或两个以上谈判供应商的最终谈判报</w:t>
      </w:r>
      <w:r>
        <w:rPr>
          <w:rFonts w:ascii="宋体" w:hAnsi="宋体"/>
          <w:color w:val="auto"/>
          <w:szCs w:val="21"/>
        </w:rPr>
        <w:t xml:space="preserve">价相同</w:t>
      </w:r>
      <w:r>
        <w:rPr>
          <w:rFonts w:hint="eastAsia" w:ascii="宋体" w:hAnsi="宋体"/>
          <w:color w:val="auto"/>
          <w:szCs w:val="21"/>
        </w:rPr>
        <w:t xml:space="preserve">且均最低</w:t>
      </w:r>
      <w:r>
        <w:rPr>
          <w:rFonts w:ascii="宋体" w:hAnsi="宋体"/>
          <w:color w:val="auto"/>
          <w:szCs w:val="21"/>
        </w:rPr>
        <w:t xml:space="preserve">的，则由</w:t>
      </w:r>
      <w:r>
        <w:rPr>
          <w:rFonts w:hint="eastAsia" w:ascii="宋体" w:hAnsi="宋体"/>
          <w:color w:val="auto"/>
          <w:szCs w:val="21"/>
        </w:rPr>
        <w:t xml:space="preserve">采购方</w:t>
      </w:r>
      <w:r>
        <w:rPr>
          <w:rFonts w:ascii="宋体" w:hAnsi="宋体"/>
          <w:color w:val="auto"/>
          <w:szCs w:val="21"/>
        </w:rPr>
        <w:t xml:space="preserve">以抽签方式</w:t>
      </w:r>
      <w:r>
        <w:rPr>
          <w:rFonts w:hint="eastAsia" w:ascii="宋体" w:hAnsi="宋体"/>
          <w:color w:val="auto"/>
          <w:szCs w:val="21"/>
        </w:rPr>
        <w:t xml:space="preserve">在提出最低报价的供应商中</w:t>
      </w:r>
      <w:r>
        <w:rPr>
          <w:rFonts w:ascii="宋体" w:hAnsi="宋体"/>
          <w:color w:val="auto"/>
          <w:szCs w:val="21"/>
        </w:rPr>
        <w:t xml:space="preserve">确定</w:t>
      </w:r>
      <w:r>
        <w:rPr>
          <w:rFonts w:hint="eastAsia" w:ascii="宋体" w:hAnsi="宋体"/>
          <w:color w:val="auto"/>
          <w:szCs w:val="21"/>
        </w:rPr>
        <w:t xml:space="preserve">成交</w:t>
      </w:r>
      <w:r>
        <w:rPr>
          <w:rFonts w:ascii="宋体" w:hAnsi="宋体"/>
          <w:color w:val="auto"/>
          <w:szCs w:val="21"/>
        </w:rPr>
        <w:t xml:space="preserve">候选人。</w:t>
      </w:r>
      <w:r/>
    </w:p>
    <w:p>
      <w:pPr>
        <w:pStyle w:val="829"/>
        <w:rPr>
          <w:rFonts w:hint="eastAsia"/>
          <w:b/>
          <w:bCs/>
          <w:color w:val="auto"/>
        </w:rPr>
      </w:pPr>
      <w:r>
        <w:rPr>
          <w:rFonts w:hint="eastAsia" w:ascii="宋体" w:hAnsi="宋体"/>
          <w:b/>
          <w:bCs/>
          <w:color w:val="auto"/>
          <w:szCs w:val="21"/>
        </w:rPr>
        <w:t xml:space="preserve">6、</w:t>
      </w:r>
      <w:r>
        <w:rPr>
          <w:rFonts w:hint="eastAsia"/>
          <w:b/>
          <w:bCs/>
          <w:color w:val="auto"/>
        </w:rPr>
        <w:t xml:space="preserve">评审过程中出现下列情形之一的，评审委员会应当启动异常低价投标(响应）审查程序：</w:t>
      </w:r>
      <w:r/>
    </w:p>
    <w:p>
      <w:pPr>
        <w:pStyle w:val="829"/>
        <w:rPr>
          <w:rFonts w:hint="eastAsia"/>
          <w:b/>
          <w:bCs/>
          <w:color w:val="auto"/>
        </w:rPr>
      </w:pPr>
      <w:r>
        <w:rPr>
          <w:rFonts w:hint="eastAsia"/>
          <w:b/>
          <w:bCs/>
          <w:color w:val="auto"/>
        </w:rPr>
        <w:t xml:space="preserve">1</w:t>
      </w:r>
      <w:r>
        <w:rPr>
          <w:rFonts w:hint="eastAsia"/>
          <w:b/>
          <w:bCs/>
          <w:color w:val="auto"/>
          <w:lang w:val="en-US" w:eastAsia="zh-CN"/>
        </w:rPr>
        <w:t xml:space="preserve">.</w:t>
      </w:r>
      <w:r>
        <w:rPr>
          <w:rFonts w:hint="eastAsia"/>
          <w:b/>
          <w:bCs/>
          <w:color w:val="auto"/>
        </w:rPr>
        <w:t xml:space="preserve">投标(响应)报价低于全部通过符合性审查供应商投标(响应)报价平均值50%的，即投标(响应)报价＜全部通过符合性审查供应商投标(响应)报价平均值*50%;</w:t>
      </w:r>
      <w:r/>
    </w:p>
    <w:p>
      <w:pPr>
        <w:pStyle w:val="829"/>
        <w:rPr>
          <w:rFonts w:hint="eastAsia"/>
          <w:b/>
          <w:bCs/>
          <w:color w:val="auto"/>
        </w:rPr>
      </w:pPr>
      <w:r>
        <w:rPr>
          <w:rFonts w:hint="eastAsia"/>
          <w:b/>
          <w:bCs/>
          <w:color w:val="auto"/>
        </w:rPr>
        <w:t xml:space="preserve">2</w:t>
      </w:r>
      <w:r>
        <w:rPr>
          <w:rFonts w:hint="eastAsia"/>
          <w:b/>
          <w:bCs/>
          <w:color w:val="auto"/>
          <w:lang w:val="en-US" w:eastAsia="zh-CN"/>
        </w:rPr>
        <w:t xml:space="preserve">.</w:t>
      </w:r>
      <w:r>
        <w:rPr>
          <w:rFonts w:hint="eastAsia"/>
          <w:b/>
          <w:bCs/>
          <w:color w:val="auto"/>
        </w:rPr>
        <w:t xml:space="preserve">投标(响应)报价低于通过符合性审查的次低报价供应商投标(响应)报价50%的，即投标(响应)报价＜通过符合性审查的次低报价供应商投标(响应)报价*50%;</w:t>
      </w:r>
      <w:r/>
    </w:p>
    <w:p>
      <w:pPr>
        <w:pStyle w:val="829"/>
        <w:rPr>
          <w:rFonts w:hint="eastAsia"/>
          <w:b/>
          <w:bCs/>
          <w:color w:val="auto"/>
        </w:rPr>
      </w:pPr>
      <w:r>
        <w:rPr>
          <w:rFonts w:hint="eastAsia"/>
          <w:b/>
          <w:bCs/>
          <w:color w:val="auto"/>
        </w:rPr>
        <w:t xml:space="preserve">3</w:t>
      </w:r>
      <w:r>
        <w:rPr>
          <w:rFonts w:hint="eastAsia"/>
          <w:b/>
          <w:bCs/>
          <w:color w:val="auto"/>
          <w:lang w:val="en-US" w:eastAsia="zh-CN"/>
        </w:rPr>
        <w:t xml:space="preserve">.</w:t>
      </w:r>
      <w:r>
        <w:rPr>
          <w:rFonts w:hint="eastAsia"/>
          <w:b/>
          <w:bCs/>
          <w:color w:val="auto"/>
        </w:rPr>
        <w:t xml:space="preserve">投标（响应）报价低于采购项目最高限价45%的，即投标（响应）报价＜采购项目最高限价*45%；</w:t>
      </w:r>
      <w:r/>
    </w:p>
    <w:p>
      <w:pPr>
        <w:pStyle w:val="829"/>
        <w:rPr>
          <w:rFonts w:hint="eastAsia"/>
          <w:b/>
          <w:bCs/>
          <w:color w:val="auto"/>
        </w:rPr>
      </w:pPr>
      <w:r>
        <w:rPr>
          <w:rFonts w:hint="eastAsia"/>
          <w:b/>
          <w:bCs/>
          <w:color w:val="auto"/>
        </w:rPr>
        <w:t xml:space="preserve">4</w:t>
      </w:r>
      <w:r>
        <w:rPr>
          <w:rFonts w:hint="eastAsia"/>
          <w:b/>
          <w:bCs/>
          <w:color w:val="auto"/>
          <w:lang w:val="en-US" w:eastAsia="zh-CN"/>
        </w:rPr>
        <w:t xml:space="preserve">.</w:t>
      </w:r>
      <w:r>
        <w:rPr>
          <w:rFonts w:hint="eastAsia"/>
          <w:b/>
          <w:bCs/>
          <w:color w:val="auto"/>
        </w:rPr>
        <w:t xml:space="preserve">评审委员会基于专业判断，认为供应商报价过低，有可能影响产品质量或者不能诚信履约的其他情形。</w:t>
      </w:r>
      <w:r/>
    </w:p>
    <w:p>
      <w:pPr>
        <w:pStyle w:val="829"/>
        <w:rPr>
          <w:b/>
          <w:bCs/>
          <w:color w:val="auto"/>
          <w:u w:val="none"/>
        </w:rPr>
      </w:pPr>
      <w:r>
        <w:rPr>
          <w:rFonts w:hint="eastAsia"/>
          <w:b/>
          <w:bCs/>
          <w:color w:val="auto"/>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cs="仿宋_GB2312"/>
          <w:color w:val="auto"/>
          <w:szCs w:val="21"/>
        </w:rPr>
      </w:pPr>
      <w:r>
        <w:rPr>
          <w:rFonts w:hint="eastAsia" w:ascii="宋体" w:hAnsi="宋体" w:cs="仿宋_GB2312"/>
          <w:color w:val="auto"/>
          <w:szCs w:val="21"/>
        </w:rPr>
        <w:t xml:space="preserve">二、采购政策</w:t>
      </w:r>
      <w:r/>
    </w:p>
    <w:p>
      <w:pPr>
        <w:ind w:firstLine="420"/>
        <w:spacing w:line="360" w:lineRule="auto"/>
        <w:rPr>
          <w:rFonts w:ascii="宋体" w:hAnsi="宋体"/>
          <w:color w:val="auto"/>
          <w:szCs w:val="21"/>
        </w:rPr>
      </w:pPr>
      <w:r>
        <w:rPr>
          <w:rFonts w:hint="eastAsia" w:ascii="宋体" w:hAnsi="宋体"/>
          <w:color w:val="auto"/>
          <w:szCs w:val="21"/>
        </w:rPr>
        <w:t xml:space="preserve">（一）中、小、微企业</w:t>
      </w:r>
      <w:r/>
    </w:p>
    <w:p>
      <w:pPr>
        <w:ind w:firstLine="420"/>
        <w:spacing w:line="360" w:lineRule="auto"/>
        <w:rPr>
          <w:rFonts w:ascii="宋体" w:hAnsi="宋体"/>
          <w:color w:val="auto"/>
          <w:szCs w:val="21"/>
        </w:rPr>
      </w:pPr>
      <w:r>
        <w:rPr>
          <w:rFonts w:hint="eastAsia" w:ascii="宋体" w:hAnsi="宋体"/>
          <w:color w:val="auto"/>
          <w:szCs w:val="21"/>
        </w:rPr>
        <w:t xml:space="preserve">1、专门面向中小企业采购的</w:t>
      </w:r>
      <w:r/>
    </w:p>
    <w:p>
      <w:pPr>
        <w:spacing w:line="360" w:lineRule="auto"/>
        <w:rPr>
          <w:rFonts w:ascii="宋体" w:hAnsi="宋体"/>
          <w:color w:val="auto"/>
        </w:rPr>
      </w:pPr>
      <w:r>
        <w:rPr>
          <w:rFonts w:hint="eastAsia" w:ascii="宋体" w:hAnsi="宋体"/>
          <w:color w:val="auto"/>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ascii="宋体" w:hAnsi="宋体"/>
          <w:color w:val="auto"/>
          <w:szCs w:val="21"/>
        </w:rPr>
      </w:pPr>
      <w:r>
        <w:rPr>
          <w:rFonts w:hint="eastAsia" w:ascii="宋体" w:hAnsi="宋体"/>
          <w:color w:val="auto"/>
          <w:szCs w:val="21"/>
        </w:rPr>
        <w:t xml:space="preserve">2、</w:t>
      </w:r>
      <w:bookmarkStart w:id="59" w:name="_Hlk167786003"/>
      <w:r>
        <w:rPr>
          <w:rFonts w:hint="eastAsia" w:ascii="宋体" w:hAnsi="宋体"/>
          <w:color w:val="auto"/>
          <w:szCs w:val="21"/>
        </w:rPr>
        <w:t xml:space="preserve">非专门面向中小企业采购的</w:t>
      </w:r>
      <w:bookmarkEnd w:id="59"/>
      <w:r/>
      <w:r/>
    </w:p>
    <w:p>
      <w:pPr>
        <w:ind w:firstLine="420"/>
        <w:spacing w:line="360" w:lineRule="auto"/>
        <w:rPr>
          <w:rFonts w:ascii="宋体" w:hAnsi="宋体"/>
          <w:color w:val="auto"/>
          <w:szCs w:val="21"/>
        </w:rPr>
      </w:pPr>
      <w:r>
        <w:rPr>
          <w:rFonts w:hint="eastAsia" w:ascii="宋体" w:hAnsi="宋体"/>
          <w:color w:val="auto"/>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ascii="宋体" w:hAnsi="宋体"/>
          <w:color w:val="auto"/>
          <w:szCs w:val="21"/>
        </w:rPr>
      </w:pPr>
      <w:r>
        <w:rPr>
          <w:rFonts w:hint="eastAsia" w:ascii="宋体" w:hAnsi="宋体"/>
          <w:color w:val="auto"/>
          <w:szCs w:val="21"/>
        </w:rPr>
        <w:t xml:space="preserve">②根据《苏州市政府采购促进中小企业发展实施意见》（苏财购〔2022〕16号）的相关规定，如大中型企业与小微企业组成联合体，对于联合协议或者分包意向协议约定小微企业的合同份额占到合同总金额30%以上的且根据《中小企业划型标准规定》（工信部联企业〔2011〕300号）填报《中小企业声明函》，对其报价给予6%的扣除，扣除后的价格参与价格评审。</w:t>
      </w:r>
      <w:r/>
    </w:p>
    <w:p>
      <w:pPr>
        <w:ind w:firstLine="420"/>
        <w:spacing w:line="360" w:lineRule="auto"/>
        <w:rPr>
          <w:rFonts w:ascii="宋体" w:hAnsi="宋体"/>
          <w:color w:val="auto"/>
          <w:szCs w:val="21"/>
        </w:rPr>
      </w:pPr>
      <w:r>
        <w:rPr>
          <w:rFonts w:hint="eastAsia" w:ascii="宋体" w:hAnsi="宋体"/>
          <w:color w:val="auto"/>
          <w:szCs w:val="21"/>
        </w:rPr>
        <w:t xml:space="preserve">3、加盖公章后的《中小企业声明函》电子件放置于投标文件中提交，未提交则不享受预留采购份额政策。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（二）残疾人福利性单位</w:t>
      </w:r>
      <w:r/>
    </w:p>
    <w:p>
      <w:pPr>
        <w:ind w:firstLine="420"/>
        <w:spacing w:line="360" w:lineRule="auto"/>
        <w:rPr>
          <w:rFonts w:ascii="宋体" w:hAnsi="宋体"/>
          <w:color w:val="auto"/>
          <w:szCs w:val="21"/>
        </w:rPr>
      </w:pPr>
      <w:r>
        <w:rPr>
          <w:rFonts w:hint="eastAsia" w:ascii="宋体" w:hAnsi="宋体"/>
          <w:color w:val="auto"/>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（三）监狱企业</w:t>
      </w:r>
      <w:r/>
    </w:p>
    <w:p>
      <w:pPr>
        <w:ind w:firstLine="420"/>
        <w:spacing w:line="360" w:lineRule="auto"/>
        <w:rPr>
          <w:rFonts w:ascii="宋体" w:hAnsi="宋体"/>
          <w:b/>
          <w:bCs/>
          <w:color w:val="auto"/>
          <w:szCs w:val="21"/>
        </w:rPr>
      </w:pPr>
      <w:r>
        <w:rPr>
          <w:rFonts w:hint="eastAsia" w:ascii="宋体" w:hAnsi="宋体"/>
          <w:color w:val="auto"/>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ascii="宋体" w:hAnsi="宋体"/>
          <w:color w:val="auto"/>
          <w:szCs w:val="21"/>
        </w:rPr>
      </w:pPr>
      <w:r>
        <w:rPr>
          <w:rFonts w:ascii="宋体" w:hAnsi="宋体"/>
          <w:color w:val="auto"/>
          <w:szCs w:val="21"/>
        </w:rPr>
        <w:t xml:space="preserve">（四）绿色采购</w:t>
      </w:r>
      <w:r/>
    </w:p>
    <w:p>
      <w:pPr>
        <w:ind w:firstLine="420"/>
        <w:spacing w:line="360" w:lineRule="auto"/>
        <w:rPr>
          <w:rFonts w:ascii="宋体" w:hAnsi="宋体"/>
          <w:bCs/>
          <w:color w:val="auto"/>
          <w:szCs w:val="21"/>
        </w:rPr>
      </w:pPr>
      <w:r>
        <w:rPr>
          <w:rFonts w:ascii="宋体" w:hAnsi="宋体"/>
          <w:color w:val="auto"/>
          <w:szCs w:val="21"/>
        </w:rPr>
        <w:t xml:space="preserve">根据《关于调整优化节能产品、环境标志产品政府采购执行机制的通知》（财库〔2019〕9号）等相关文件的规定，</w:t>
      </w:r>
      <w:r>
        <w:rPr>
          <w:rFonts w:ascii="宋体" w:hAnsi="宋体"/>
          <w:bCs/>
          <w:color w:val="auto"/>
          <w:szCs w:val="21"/>
        </w:rPr>
        <w:t xml:space="preserve">对属于《节能产品政府采购品目清单》政府强制采购产品的，投标人需提供该产品有效期内的认证等相关证明材料，证明材料电子件放置于</w:t>
      </w:r>
      <w:r>
        <w:rPr>
          <w:rFonts w:hint="eastAsia" w:ascii="宋体" w:hAnsi="宋体"/>
          <w:bCs/>
          <w:color w:val="auto"/>
          <w:szCs w:val="21"/>
        </w:rPr>
        <w:t xml:space="preserve">投标文件</w:t>
      </w:r>
      <w:r>
        <w:rPr>
          <w:rFonts w:ascii="宋体" w:hAnsi="宋体"/>
          <w:bCs/>
          <w:color w:val="auto"/>
          <w:szCs w:val="21"/>
        </w:rPr>
        <w:t xml:space="preserve">中提交。</w:t>
      </w:r>
      <w:r/>
    </w:p>
    <w:p>
      <w:pPr>
        <w:numPr>
          <w:ilvl w:val="0"/>
          <w:numId w:val="11"/>
        </w:numPr>
        <w:ind w:firstLine="420"/>
        <w:spacing w:line="360" w:lineRule="auto"/>
        <w:rPr>
          <w:rFonts w:ascii="宋体" w:hAnsi="宋体"/>
          <w:color w:val="auto"/>
          <w:szCs w:val="21"/>
        </w:rPr>
      </w:pPr>
      <w:r>
        <w:rPr>
          <w:rFonts w:ascii="宋体" w:hAnsi="宋体"/>
          <w:color w:val="auto"/>
          <w:szCs w:val="21"/>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pStyle w:val="829"/>
        <w:numPr>
          <w:ilvl w:val="0"/>
          <w:numId w:val="11"/>
        </w:numPr>
      </w:pPr>
      <w:r>
        <w:rPr>
          <w:rFonts w:hint="eastAsia"/>
        </w:rPr>
        <w:t xml:space="preserve">《根据国务院办</w:t>
      </w:r>
      <w:r>
        <w:rPr>
          <w:rFonts w:hint="eastAsia"/>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cs="仿宋_GB2312"/>
          <w:color w:val="auto"/>
          <w:szCs w:val="21"/>
        </w:rPr>
      </w:pPr>
      <w:r>
        <w:rPr>
          <w:rFonts w:hint="eastAsia" w:ascii="宋体" w:hAnsi="宋体" w:cs="仿宋_GB2312"/>
          <w:color w:val="auto"/>
          <w:szCs w:val="21"/>
        </w:rPr>
        <w:t xml:space="preserve">三、评审内容表</w:t>
      </w:r>
      <w:r/>
    </w:p>
    <w:tbl>
      <w:tblPr>
        <w:tblStyle w:val="828"/>
        <w:tblW w:w="49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9"/>
        <w:gridCol w:w="1328"/>
        <w:gridCol w:w="917"/>
      </w:tblGrid>
      <w:tr>
        <w:trPr>
          <w:jc w:val="center"/>
          <w:trHeight w:val="567"/>
        </w:trPr>
        <w:tc>
          <w:tcPr>
            <w:tcW w:w="3716" w:type="pct"/>
            <w:vAlign w:val="center"/>
            <w:textDirection w:val="lrTb"/>
            <w:noWrap w:val="false"/>
          </w:tcPr>
          <w:p>
            <w:pPr>
              <w:ind w:right="-252"/>
              <w:rPr>
                <w:rFonts w:ascii="宋体" w:hAnsi="宋体"/>
                <w:color w:val="auto"/>
                <w:szCs w:val="21"/>
              </w:rPr>
            </w:pPr>
            <w:r/>
            <w:bookmarkStart w:id="60" w:name="gpc_accord_horizontal_1"/>
            <w:r>
              <w:rPr>
                <w:rFonts w:hint="eastAsia" w:ascii="宋体" w:hAnsi="宋体"/>
                <w:color w:val="auto"/>
                <w:szCs w:val="21"/>
              </w:rPr>
              <w:t xml:space="preserve">评审内容</w:t>
            </w:r>
            <w:r/>
          </w:p>
        </w:tc>
        <w:tc>
          <w:tcPr>
            <w:tcW w:w="759" w:type="pct"/>
            <w:vAlign w:val="center"/>
            <w:textDirection w:val="lrTb"/>
            <w:noWrap w:val="false"/>
          </w:tcPr>
          <w:p>
            <w:pPr>
              <w:ind w:right="-252"/>
              <w:jc w:val="center"/>
              <w:rPr>
                <w:rFonts w:hint="eastAsia" w:ascii="宋体" w:hAnsi="宋体"/>
                <w:color w:val="auto"/>
                <w:szCs w:val="21"/>
              </w:rPr>
            </w:pPr>
            <w:r>
              <w:rPr>
                <w:rFonts w:hint="eastAsia" w:ascii="宋体" w:hAnsi="宋体"/>
                <w:color w:val="auto"/>
                <w:szCs w:val="21"/>
              </w:rPr>
              <w:t xml:space="preserve">是否合格</w:t>
            </w:r>
            <w:r/>
          </w:p>
          <w:p>
            <w:pPr>
              <w:ind w:right="-252"/>
              <w:jc w:val="center"/>
              <w:rPr>
                <w:rFonts w:ascii="宋体" w:hAnsi="宋体"/>
                <w:color w:val="auto"/>
                <w:szCs w:val="21"/>
              </w:rPr>
            </w:pPr>
            <w:r>
              <w:rPr>
                <w:rFonts w:hint="eastAsia" w:ascii="宋体" w:hAnsi="宋体"/>
                <w:color w:val="auto"/>
                <w:szCs w:val="21"/>
              </w:rPr>
              <w:t xml:space="preserve">（是/否）</w:t>
            </w:r>
            <w:r/>
          </w:p>
        </w:tc>
        <w:tc>
          <w:tcPr>
            <w:tcW w:w="524" w:type="pct"/>
            <w:vAlign w:val="center"/>
            <w:textDirection w:val="lrTb"/>
            <w:noWrap w:val="false"/>
          </w:tcPr>
          <w:p>
            <w:pPr>
              <w:ind w:right="-252"/>
              <w:rPr>
                <w:rFonts w:ascii="宋体" w:hAnsi="宋体"/>
                <w:color w:val="auto"/>
                <w:szCs w:val="21"/>
              </w:rPr>
            </w:pPr>
            <w:r>
              <w:rPr>
                <w:rFonts w:hint="eastAsia" w:ascii="宋体" w:hAnsi="宋体"/>
                <w:color w:val="auto"/>
                <w:szCs w:val="21"/>
              </w:rPr>
              <w:t xml:space="preserve">备注</w:t>
            </w:r>
            <w:r/>
          </w:p>
        </w:tc>
      </w:tr>
      <w:tr>
        <w:trPr>
          <w:jc w:val="center"/>
          <w:trHeight w:val="567"/>
        </w:trPr>
        <w:tc>
          <w:tcPr>
            <w:tcW w:w="3716" w:type="pct"/>
            <w:vAlign w:val="center"/>
            <w:textDirection w:val="lrTb"/>
            <w:noWrap w:val="false"/>
          </w:tcPr>
          <w:p>
            <w:pPr>
              <w:ind w:right="-252"/>
              <w:rPr>
                <w:rFonts w:ascii="宋体" w:hAnsi="宋体"/>
                <w:color w:val="auto"/>
                <w:szCs w:val="21"/>
              </w:rPr>
            </w:pPr>
            <w:r>
              <w:rPr>
                <w:rFonts w:hint="eastAsia" w:ascii="宋体" w:hAnsi="宋体"/>
                <w:color w:val="auto"/>
                <w:szCs w:val="21"/>
              </w:rPr>
              <w:t xml:space="preserve">1.合格谈判供应商的资格条件</w:t>
            </w:r>
            <w:r/>
          </w:p>
        </w:tc>
        <w:tc>
          <w:tcPr>
            <w:tcW w:w="759" w:type="pct"/>
            <w:textDirection w:val="lrTb"/>
            <w:noWrap w:val="false"/>
          </w:tcPr>
          <w:p>
            <w:pPr>
              <w:ind w:right="-252"/>
              <w:rPr>
                <w:rFonts w:ascii="宋体" w:hAnsi="宋体"/>
                <w:color w:val="auto"/>
                <w:szCs w:val="21"/>
              </w:rPr>
            </w:pPr>
            <w:r/>
            <w:bookmarkStart w:id="61" w:name="_GoBack"/>
            <w:r/>
            <w:bookmarkEnd w:id="61"/>
            <w:r/>
            <w:r/>
          </w:p>
        </w:tc>
        <w:tc>
          <w:tcPr>
            <w:tcW w:w="524" w:type="pct"/>
            <w:textDirection w:val="lrTb"/>
            <w:noWrap w:val="false"/>
          </w:tcPr>
          <w:p>
            <w:pPr>
              <w:ind w:right="-252"/>
              <w:rPr>
                <w:rFonts w:ascii="宋体" w:hAnsi="宋体"/>
                <w:color w:val="auto"/>
                <w:szCs w:val="21"/>
              </w:rPr>
            </w:pPr>
            <w:r>
              <w:rPr>
                <w:rFonts w:ascii="宋体" w:hAnsi="宋体"/>
                <w:color w:val="auto"/>
                <w:szCs w:val="21"/>
              </w:rPr>
            </w:r>
            <w:r/>
          </w:p>
        </w:tc>
      </w:tr>
      <w:tr>
        <w:trPr>
          <w:jc w:val="center"/>
          <w:trHeight w:val="567"/>
        </w:trPr>
        <w:tc>
          <w:tcPr>
            <w:tcW w:w="3716" w:type="pct"/>
            <w:vAlign w:val="center"/>
            <w:textDirection w:val="lrTb"/>
            <w:noWrap w:val="false"/>
          </w:tcPr>
          <w:p>
            <w:pPr>
              <w:ind w:right="-252"/>
              <w:rPr>
                <w:rFonts w:ascii="宋体" w:hAnsi="宋体"/>
                <w:color w:val="auto"/>
                <w:szCs w:val="21"/>
              </w:rPr>
            </w:pPr>
            <w:r>
              <w:rPr>
                <w:rFonts w:hint="eastAsia" w:ascii="宋体" w:hAnsi="宋体"/>
                <w:color w:val="auto"/>
                <w:szCs w:val="21"/>
              </w:rPr>
              <w:t xml:space="preserve">2.谈判响应服务的数量、技术要求等是否</w:t>
            </w:r>
            <w:r>
              <w:rPr>
                <w:rFonts w:ascii="宋体" w:hAnsi="宋体"/>
                <w:color w:val="auto"/>
                <w:szCs w:val="21"/>
              </w:rPr>
              <w:t xml:space="preserve">符合谈判文件</w:t>
            </w:r>
            <w:r>
              <w:rPr>
                <w:rFonts w:hint="eastAsia" w:ascii="宋体" w:hAnsi="宋体"/>
                <w:color w:val="auto"/>
                <w:szCs w:val="21"/>
              </w:rPr>
              <w:t xml:space="preserve">要求</w:t>
            </w:r>
            <w:r/>
          </w:p>
        </w:tc>
        <w:tc>
          <w:tcPr>
            <w:tcW w:w="759" w:type="pct"/>
            <w:textDirection w:val="lrTb"/>
            <w:noWrap w:val="false"/>
          </w:tcPr>
          <w:p>
            <w:pPr>
              <w:ind w:right="-252"/>
              <w:rPr>
                <w:rFonts w:ascii="宋体" w:hAnsi="宋体"/>
                <w:color w:val="auto"/>
                <w:szCs w:val="21"/>
              </w:rPr>
            </w:pPr>
            <w:r>
              <w:rPr>
                <w:rFonts w:ascii="宋体" w:hAnsi="宋体"/>
                <w:color w:val="auto"/>
                <w:szCs w:val="21"/>
              </w:rPr>
            </w:r>
            <w:r/>
          </w:p>
        </w:tc>
        <w:tc>
          <w:tcPr>
            <w:tcW w:w="524" w:type="pct"/>
            <w:textDirection w:val="lrTb"/>
            <w:noWrap w:val="false"/>
          </w:tcPr>
          <w:p>
            <w:pPr>
              <w:ind w:right="-252"/>
              <w:rPr>
                <w:rFonts w:ascii="宋体" w:hAnsi="宋体"/>
                <w:color w:val="auto"/>
                <w:szCs w:val="21"/>
              </w:rPr>
            </w:pPr>
            <w:r>
              <w:rPr>
                <w:rFonts w:ascii="宋体" w:hAnsi="宋体"/>
                <w:color w:val="auto"/>
                <w:szCs w:val="21"/>
              </w:rPr>
            </w:r>
            <w:r/>
          </w:p>
        </w:tc>
      </w:tr>
      <w:tr>
        <w:trPr>
          <w:jc w:val="center"/>
          <w:trHeight w:val="567"/>
        </w:trPr>
        <w:tc>
          <w:tcPr>
            <w:tcW w:w="3716" w:type="pct"/>
            <w:vAlign w:val="center"/>
            <w:textDirection w:val="lrTb"/>
            <w:noWrap w:val="false"/>
          </w:tcPr>
          <w:p>
            <w:pPr>
              <w:ind w:right="-252"/>
              <w:rPr>
                <w:rFonts w:ascii="宋体" w:hAnsi="宋体"/>
                <w:color w:val="auto"/>
                <w:szCs w:val="21"/>
              </w:rPr>
            </w:pPr>
            <w:r>
              <w:rPr>
                <w:rFonts w:hint="eastAsia" w:ascii="宋体" w:hAnsi="宋体"/>
                <w:color w:val="auto"/>
                <w:szCs w:val="21"/>
              </w:rPr>
              <w:t xml:space="preserve">3.服务时间、付款方式、服务期限等其他综合内容承诺</w:t>
            </w:r>
            <w:r/>
          </w:p>
        </w:tc>
        <w:tc>
          <w:tcPr>
            <w:tcW w:w="759" w:type="pct"/>
            <w:textDirection w:val="lrTb"/>
            <w:noWrap w:val="false"/>
          </w:tcPr>
          <w:p>
            <w:pPr>
              <w:ind w:right="-252"/>
              <w:rPr>
                <w:rFonts w:ascii="宋体" w:hAnsi="宋体"/>
                <w:color w:val="auto"/>
                <w:szCs w:val="21"/>
              </w:rPr>
            </w:pPr>
            <w:r>
              <w:rPr>
                <w:rFonts w:ascii="宋体" w:hAnsi="宋体"/>
                <w:color w:val="auto"/>
                <w:szCs w:val="21"/>
              </w:rPr>
            </w:r>
            <w:r/>
          </w:p>
        </w:tc>
        <w:tc>
          <w:tcPr>
            <w:tcW w:w="524" w:type="pct"/>
            <w:textDirection w:val="lrTb"/>
            <w:noWrap w:val="false"/>
          </w:tcPr>
          <w:p>
            <w:pPr>
              <w:ind w:right="-252"/>
              <w:rPr>
                <w:rFonts w:ascii="宋体" w:hAnsi="宋体"/>
                <w:color w:val="auto"/>
                <w:szCs w:val="21"/>
              </w:rPr>
            </w:pPr>
            <w:r>
              <w:rPr>
                <w:rFonts w:ascii="宋体" w:hAnsi="宋体"/>
                <w:color w:val="auto"/>
                <w:szCs w:val="21"/>
              </w:rPr>
            </w:r>
            <w:r/>
          </w:p>
        </w:tc>
      </w:tr>
      <w:tr>
        <w:trPr>
          <w:jc w:val="center"/>
          <w:trHeight w:val="567"/>
        </w:trPr>
        <w:tc>
          <w:tcPr>
            <w:tcW w:w="3716" w:type="pct"/>
            <w:vAlign w:val="center"/>
            <w:textDirection w:val="lrTb"/>
            <w:noWrap w:val="false"/>
          </w:tcPr>
          <w:p>
            <w:pPr>
              <w:rPr>
                <w:rFonts w:ascii="宋体" w:hAnsi="宋体"/>
                <w:color w:val="auto"/>
                <w:szCs w:val="21"/>
              </w:rPr>
            </w:pPr>
            <w:r>
              <w:rPr>
                <w:rFonts w:hint="eastAsia" w:ascii="宋体" w:hAnsi="宋体"/>
                <w:color w:val="auto"/>
                <w:szCs w:val="21"/>
              </w:rPr>
              <w:t xml:space="preserve">4.其他（除供应商资格条件及采购技术内容以外的其他涉及实质性响应谈判文件的条款内容）</w:t>
            </w:r>
            <w:r/>
          </w:p>
        </w:tc>
        <w:tc>
          <w:tcPr>
            <w:tcW w:w="759" w:type="pct"/>
            <w:textDirection w:val="lrTb"/>
            <w:noWrap w:val="false"/>
          </w:tcPr>
          <w:p>
            <w:pPr>
              <w:ind w:right="-252"/>
              <w:rPr>
                <w:rFonts w:ascii="宋体" w:hAnsi="宋体"/>
                <w:color w:val="auto"/>
                <w:szCs w:val="21"/>
              </w:rPr>
            </w:pPr>
            <w:r>
              <w:rPr>
                <w:rFonts w:ascii="宋体" w:hAnsi="宋体"/>
                <w:color w:val="auto"/>
                <w:szCs w:val="21"/>
              </w:rPr>
            </w:r>
            <w:r/>
          </w:p>
        </w:tc>
        <w:tc>
          <w:tcPr>
            <w:tcW w:w="524" w:type="pct"/>
            <w:textDirection w:val="lrTb"/>
            <w:noWrap w:val="false"/>
          </w:tcPr>
          <w:p>
            <w:pPr>
              <w:ind w:right="-252"/>
              <w:rPr>
                <w:rFonts w:ascii="宋体" w:hAnsi="宋体"/>
                <w:color w:val="auto"/>
                <w:szCs w:val="21"/>
              </w:rPr>
            </w:pPr>
            <w:r>
              <w:rPr>
                <w:rFonts w:ascii="宋体" w:hAnsi="宋体"/>
                <w:color w:val="auto"/>
                <w:szCs w:val="21"/>
              </w:rPr>
            </w:r>
            <w:bookmarkEnd w:id="60"/>
            <w:r/>
            <w:r/>
          </w:p>
        </w:tc>
      </w:tr>
    </w:tbl>
    <w:p>
      <w:pPr>
        <w:ind w:firstLine="420"/>
        <w:spacing w:line="360" w:lineRule="auto"/>
        <w:rPr>
          <w:rFonts w:ascii="宋体" w:hAnsi="宋体" w:cs="仿宋_GB2312"/>
          <w:color w:val="auto"/>
          <w:szCs w:val="21"/>
        </w:rPr>
      </w:pPr>
      <w:r>
        <w:rPr>
          <w:rFonts w:hint="eastAsia" w:ascii="宋体" w:hAnsi="宋体" w:cs="仿宋_GB2312"/>
          <w:color w:val="auto"/>
          <w:szCs w:val="21"/>
        </w:rPr>
        <w:t xml:space="preserve">备注：</w:t>
      </w:r>
      <w:r/>
    </w:p>
    <w:p>
      <w:pPr>
        <w:ind w:firstLine="420"/>
        <w:spacing w:line="360" w:lineRule="auto"/>
        <w:rPr>
          <w:rFonts w:ascii="宋体" w:hAnsi="宋体" w:cs="仿宋_GB2312"/>
          <w:color w:val="auto"/>
          <w:szCs w:val="21"/>
        </w:rPr>
      </w:pPr>
      <w:r>
        <w:rPr>
          <w:rFonts w:hint="eastAsia" w:ascii="宋体" w:hAnsi="宋体" w:cs="仿宋_GB2312"/>
          <w:color w:val="auto"/>
          <w:szCs w:val="21"/>
        </w:rPr>
        <w:t xml:space="preserve">1.各供应商必须通过苏采云系统进行网上电子响应，否则视为无效响应。</w:t>
      </w:r>
      <w:r/>
    </w:p>
    <w:p>
      <w:pPr>
        <w:ind w:firstLine="420"/>
        <w:spacing w:line="360" w:lineRule="auto"/>
        <w:rPr>
          <w:rFonts w:ascii="宋体" w:hAnsi="宋体" w:cs="仿宋_GB2312"/>
          <w:color w:val="auto"/>
          <w:szCs w:val="21"/>
        </w:rPr>
      </w:pPr>
      <w:r>
        <w:rPr>
          <w:rFonts w:hint="eastAsia" w:ascii="宋体" w:hAnsi="宋体" w:cs="仿宋_GB2312"/>
          <w:color w:val="auto"/>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auto"/>
          <w:szCs w:val="21"/>
        </w:rPr>
        <w:t xml:space="preserve">提交最后报价的规定时间为十分钟，超过规定的时间视为放弃提交最后报价</w:t>
      </w:r>
      <w:r>
        <w:rPr>
          <w:rFonts w:hint="eastAsia" w:ascii="宋体" w:hAnsi="宋体" w:cs="仿宋_GB2312"/>
          <w:color w:val="auto"/>
          <w:szCs w:val="21"/>
        </w:rPr>
        <w:t xml:space="preserve">。</w:t>
      </w:r>
      <w:r/>
    </w:p>
    <w:sectPr>
      <w:headerReference w:type="first" r:id="rId11"/>
      <w:footerReference w:type="default" r:id="rId14"/>
      <w:footerReference w:type="first" r:id="rId15"/>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PMingLiU">
    <w:panose1 w:val="02020500000000000000"/>
  </w:font>
  <w:font w:name="Arial Unicode MS">
    <w:panose1 w:val="020B0604020202020204"/>
  </w:font>
  <w:font w:name="长城仿宋">
    <w:panose1 w:val="020B0503020202020204"/>
  </w:font>
  <w:font w:name="Arial">
    <w:panose1 w:val="020B0604020202020204"/>
  </w:font>
  <w:font w:name="Arial Black">
    <w:panose1 w:val="020B0A04020102020204"/>
  </w:font>
  <w:font w:name="宋体">
    <w:panose1 w:val="02010600030101010101"/>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14</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44</w:t>
    </w:r>
    <w:r>
      <w:rPr>
        <w:rFonts w:ascii="宋体" w:hAnsi="宋体" w:eastAsia="宋体"/>
        <w:szCs w:val="21"/>
      </w:rPr>
      <w:fldChar w:fldCharType="end"/>
    </w:r>
    <w:r>
      <w:rPr>
        <w:rFonts w:hint="eastAsia" w:ascii="宋体" w:hAnsi="宋体" w:eastAsia="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46</w:t>
    </w:r>
    <w:r>
      <w:rPr>
        <w:rFonts w:ascii="宋体" w:hAnsi="宋体" w:eastAsia="宋体"/>
        <w:szCs w:val="21"/>
      </w:rPr>
      <w:fldChar w:fldCharType="end"/>
    </w:r>
    <w:r>
      <w:rPr>
        <w:rFonts w:hint="eastAsia" w:ascii="宋体" w:hAnsi="宋体" w:eastAsia="宋体"/>
        <w:szCs w:val="21"/>
      </w:rPr>
      <w:t xml:space="preserve"> 页</w:t>
    </w:r>
    <w:r/>
  </w:p>
  <w:p>
    <w:pPr>
      <w:pStyle w:val="8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34</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44</w:t>
    </w:r>
    <w:r>
      <w:rPr>
        <w:rFonts w:ascii="宋体" w:hAnsi="宋体" w:eastAsia="宋体"/>
        <w:szCs w:val="21"/>
      </w:rPr>
      <w:fldChar w:fldCharType="end"/>
    </w:r>
    <w:r>
      <w:rPr>
        <w:rFonts w:hint="eastAsia" w:ascii="宋体" w:hAnsi="宋体" w:eastAsia="宋体"/>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38</w:t>
    </w:r>
    <w:r>
      <w:rPr>
        <w:rFonts w:ascii="宋体" w:hAnsi="宋体" w:eastAsia="宋体"/>
        <w:szCs w:val="21"/>
      </w:rPr>
      <w:fldChar w:fldCharType="end"/>
    </w:r>
    <w:r>
      <w:rPr>
        <w:rFonts w:hint="eastAsia" w:ascii="宋体" w:hAnsi="宋体" w:eastAsia="宋体"/>
        <w:szCs w:val="21"/>
      </w:rPr>
      <w:t xml:space="preserve"> 页</w:t>
    </w:r>
    <w:r/>
  </w:p>
  <w:p>
    <w:pPr>
      <w:pStyle w:val="8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lear" w:pos="4153" w:leader="none"/>
        <w:tab w:val="center" w:pos="4393" w:leader="none"/>
        <w:tab w:val="clear" w:pos="8306" w:leader="none"/>
        <w:tab w:val="right" w:pos="8787" w:leader="none"/>
      </w:tabs>
      <w:rPr>
        <w:rFonts w:ascii="宋体" w:hAnsi="宋体" w:eastAsia="宋体"/>
      </w:rPr>
    </w:pPr>
    <w:r>
      <w:rPr>
        <w:rFonts w:hint="eastAsia" w:ascii="宋体" w:hAnsi="宋体" w:eastAsia="宋体"/>
      </w:rPr>
      <w:t xml:space="preserve">苏州公正招标</w:t>
    </w:r>
    <w:r>
      <w:rPr>
        <w:rFonts w:ascii="宋体" w:hAnsi="宋体" w:eastAsia="宋体"/>
      </w:rPr>
      <w:tab/>
    </w:r>
    <w:r>
      <w:rPr>
        <w:rFonts w:ascii="宋体" w:hAnsi="宋体" w:eastAsia="宋体"/>
      </w:rPr>
      <w:tab/>
    </w:r>
    <w:r>
      <w:rPr>
        <w:rFonts w:hint="eastAsia" w:ascii="宋体" w:hAnsi="宋体" w:eastAsia="宋体"/>
        <w:lang w:val="zh-CN"/>
      </w:rPr>
      <w:t xml:space="preserve">JSZC-320583-SZGZ-T2026-0066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both"/>
    </w:pPr>
    <w:r>
      <w:rPr>
        <w:rFonts w:hint="eastAsia" w:ascii="宋体" w:hAnsi="宋体" w:eastAsia="宋体"/>
      </w:rPr>
      <w:t xml:space="preserve">昆山公正招标                                                             采购标号：KSGZ2016-T-011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both"/>
    </w:pPr>
    <w:r>
      <w:rPr>
        <w:rFonts w:hint="eastAsia" w:ascii="宋体" w:hAnsi="宋体" w:eastAsia="宋体"/>
      </w:rPr>
      <w:t xml:space="preserve">昆山公正招标                                                             采购标号：KSGZ2016-T-011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992" w:hanging="51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nothing"/>
        <w:lvlText w:val="%1.%2"/>
        <w:lvlJc w:val="left"/>
        <w:pPr>
          <w:ind w:left="737" w:hanging="312"/>
        </w:pPr>
        <w:rPr>
          <w:rFonts w:hint="eastAsia"/>
        </w:rPr>
      </w:lvl>
    </w:lvlOverride>
    <w:lvlOverride w:ilvl="2">
      <w:lvl w:ilvl="2">
        <w:start w:val="1"/>
        <w:numFmt w:val="decimal"/>
        <w:isLgl w:val="false"/>
        <w:suff w:val="tab"/>
        <w:lvlText w:val="%1.%2.%3"/>
        <w:lvlJc w:val="left"/>
        <w:pPr>
          <w:ind w:left="567" w:hanging="567"/>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4">
    <w:abstractNumId w:val="4"/>
  </w:num>
  <w:num w:numId="5">
    <w:abstractNumId w:val="6"/>
  </w:num>
  <w:num w:numId="6">
    <w:abstractNumId w:val="9"/>
  </w:num>
  <w:num w:numId="7">
    <w:abstractNumId w:val="8"/>
  </w:num>
  <w:num w:numId="8">
    <w:abstractNumId w:val="7"/>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827"/>
    <w:link w:val="818"/>
    <w:uiPriority w:val="9"/>
    <w:rPr>
      <w:rFonts w:ascii="Arial" w:hAnsi="Arial" w:eastAsia="Arial" w:cs="Arial"/>
      <w:sz w:val="40"/>
      <w:szCs w:val="40"/>
    </w:rPr>
  </w:style>
  <w:style w:type="character" w:styleId="785">
    <w:name w:val="Heading 2 Char"/>
    <w:basedOn w:val="827"/>
    <w:link w:val="819"/>
    <w:uiPriority w:val="9"/>
    <w:rPr>
      <w:rFonts w:ascii="Arial" w:hAnsi="Arial" w:eastAsia="Arial" w:cs="Arial"/>
      <w:sz w:val="34"/>
    </w:rPr>
  </w:style>
  <w:style w:type="character" w:styleId="786">
    <w:name w:val="Heading 3 Char"/>
    <w:basedOn w:val="827"/>
    <w:link w:val="820"/>
    <w:uiPriority w:val="9"/>
    <w:rPr>
      <w:rFonts w:ascii="Arial" w:hAnsi="Arial" w:eastAsia="Arial" w:cs="Arial"/>
      <w:sz w:val="30"/>
      <w:szCs w:val="30"/>
    </w:rPr>
  </w:style>
  <w:style w:type="character" w:styleId="787">
    <w:name w:val="Heading 4 Char"/>
    <w:basedOn w:val="827"/>
    <w:link w:val="821"/>
    <w:uiPriority w:val="9"/>
    <w:rPr>
      <w:rFonts w:ascii="Arial" w:hAnsi="Arial" w:eastAsia="Arial" w:cs="Arial"/>
      <w:b/>
      <w:bCs/>
      <w:sz w:val="26"/>
      <w:szCs w:val="26"/>
    </w:rPr>
  </w:style>
  <w:style w:type="character" w:styleId="788">
    <w:name w:val="Heading 5 Char"/>
    <w:basedOn w:val="827"/>
    <w:link w:val="822"/>
    <w:uiPriority w:val="9"/>
    <w:rPr>
      <w:rFonts w:ascii="Arial" w:hAnsi="Arial" w:eastAsia="Arial" w:cs="Arial"/>
      <w:b/>
      <w:bCs/>
      <w:sz w:val="24"/>
      <w:szCs w:val="24"/>
    </w:rPr>
  </w:style>
  <w:style w:type="character" w:styleId="789">
    <w:name w:val="Heading 6 Char"/>
    <w:basedOn w:val="827"/>
    <w:link w:val="823"/>
    <w:uiPriority w:val="9"/>
    <w:rPr>
      <w:rFonts w:ascii="Arial" w:hAnsi="Arial" w:eastAsia="Arial" w:cs="Arial"/>
      <w:b/>
      <w:bCs/>
      <w:sz w:val="22"/>
      <w:szCs w:val="22"/>
    </w:rPr>
  </w:style>
  <w:style w:type="character" w:styleId="790">
    <w:name w:val="Heading 7 Char"/>
    <w:basedOn w:val="827"/>
    <w:link w:val="824"/>
    <w:uiPriority w:val="9"/>
    <w:rPr>
      <w:rFonts w:ascii="Arial" w:hAnsi="Arial" w:eastAsia="Arial" w:cs="Arial"/>
      <w:b/>
      <w:bCs/>
      <w:i/>
      <w:iCs/>
      <w:sz w:val="22"/>
      <w:szCs w:val="22"/>
    </w:rPr>
  </w:style>
  <w:style w:type="character" w:styleId="791">
    <w:name w:val="Heading 8 Char"/>
    <w:basedOn w:val="827"/>
    <w:link w:val="825"/>
    <w:uiPriority w:val="9"/>
    <w:rPr>
      <w:rFonts w:ascii="Arial" w:hAnsi="Arial" w:eastAsia="Arial" w:cs="Arial"/>
      <w:i/>
      <w:iCs/>
      <w:sz w:val="22"/>
      <w:szCs w:val="22"/>
    </w:rPr>
  </w:style>
  <w:style w:type="character" w:styleId="792">
    <w:name w:val="Heading 9 Char"/>
    <w:basedOn w:val="827"/>
    <w:link w:val="826"/>
    <w:uiPriority w:val="9"/>
    <w:rPr>
      <w:rFonts w:ascii="Arial" w:hAnsi="Arial" w:eastAsia="Arial" w:cs="Arial"/>
      <w:i/>
      <w:iCs/>
      <w:sz w:val="21"/>
      <w:szCs w:val="21"/>
    </w:rPr>
  </w:style>
  <w:style w:type="character" w:styleId="793">
    <w:name w:val="Subtitle Char"/>
    <w:basedOn w:val="827"/>
    <w:link w:val="855"/>
    <w:uiPriority w:val="11"/>
    <w:rPr>
      <w:sz w:val="24"/>
      <w:szCs w:val="24"/>
    </w:rPr>
  </w:style>
  <w:style w:type="character" w:styleId="794">
    <w:name w:val="Intense Quote Char"/>
    <w:link w:val="891"/>
    <w:uiPriority w:val="30"/>
    <w:rPr>
      <w:i/>
    </w:rPr>
  </w:style>
  <w:style w:type="table" w:styleId="795">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4">
    <w:name w:val="Footnote Text Char"/>
    <w:link w:val="857"/>
    <w:uiPriority w:val="99"/>
    <w:rPr>
      <w:sz w:val="18"/>
    </w:rPr>
  </w:style>
  <w:style w:type="character" w:styleId="815">
    <w:name w:val="Endnote Text Char"/>
    <w:link w:val="849"/>
    <w:uiPriority w:val="99"/>
    <w:rPr>
      <w:sz w:val="20"/>
    </w:rPr>
  </w:style>
  <w:style w:type="paragraph" w:styleId="816">
    <w:name w:val="TOC Heading"/>
    <w:uiPriority w:val="39"/>
    <w:unhideWhenUsed/>
  </w:style>
  <w:style w:type="paragraph" w:styleId="817" w:default="1">
    <w:name w:val="Normal"/>
    <w:next w:val="829"/>
    <w:uiPriority w:val="0"/>
    <w:qFormat/>
    <w:pPr>
      <w:jc w:val="both"/>
      <w:widowControl w:val="off"/>
    </w:pPr>
    <w:rPr>
      <w:rFonts w:ascii="Calibri" w:hAnsi="Calibri" w:eastAsia="宋体" w:cs="Times New Roman"/>
      <w:sz w:val="21"/>
      <w:lang w:val="en-US" w:eastAsia="zh-CN" w:bidi="ar-SA"/>
    </w:rPr>
  </w:style>
  <w:style w:type="paragraph" w:styleId="818">
    <w:name w:val="Heading 1"/>
    <w:basedOn w:val="817"/>
    <w:next w:val="817"/>
    <w:link w:val="876"/>
    <w:uiPriority w:val="0"/>
    <w:qFormat/>
    <w:pPr>
      <w:jc w:val="left"/>
      <w:keepNext/>
      <w:spacing w:line="300" w:lineRule="auto"/>
      <w:outlineLvl w:val="0"/>
    </w:pPr>
    <w:rPr>
      <w:sz w:val="28"/>
    </w:rPr>
  </w:style>
  <w:style w:type="paragraph" w:styleId="819">
    <w:name w:val="Heading 2"/>
    <w:basedOn w:val="817"/>
    <w:link w:val="877"/>
    <w:uiPriority w:val="0"/>
    <w:qFormat/>
    <w:pPr>
      <w:ind w:left="360" w:hanging="360"/>
      <w:jc w:val="left"/>
      <w:widowControl/>
      <w:tabs>
        <w:tab w:val="left" w:pos="360" w:leader="none"/>
      </w:tabs>
      <w:outlineLvl w:val="1"/>
    </w:pPr>
    <w:rPr>
      <w:rFonts w:ascii="Arial" w:hAnsi="Arial" w:eastAsia="PMingLiU"/>
      <w:sz w:val="22"/>
      <w:lang w:eastAsia="zh-TW"/>
    </w:rPr>
  </w:style>
  <w:style w:type="paragraph" w:styleId="820">
    <w:name w:val="Heading 3"/>
    <w:basedOn w:val="817"/>
    <w:next w:val="817"/>
    <w:link w:val="878"/>
    <w:uiPriority w:val="0"/>
    <w:qFormat/>
    <w:pPr>
      <w:keepLines/>
      <w:keepNext/>
      <w:spacing w:before="260" w:after="260" w:line="413" w:lineRule="auto"/>
      <w:outlineLvl w:val="2"/>
    </w:pPr>
    <w:rPr>
      <w:b/>
      <w:sz w:val="32"/>
    </w:rPr>
  </w:style>
  <w:style w:type="paragraph" w:styleId="821">
    <w:name w:val="Heading 4"/>
    <w:basedOn w:val="817"/>
    <w:next w:val="817"/>
    <w:link w:val="879"/>
    <w:uiPriority w:val="0"/>
    <w:qFormat/>
    <w:pPr>
      <w:ind w:left="600" w:firstLine="357"/>
      <w:spacing w:before="468" w:after="468"/>
      <w:outlineLvl w:val="3"/>
    </w:pPr>
    <w:rPr>
      <w:rFonts w:ascii="宋体" w:hAnsi="宋体"/>
      <w:color w:val="000000"/>
      <w:sz w:val="24"/>
      <w:u w:val="single"/>
    </w:rPr>
  </w:style>
  <w:style w:type="paragraph" w:styleId="822">
    <w:name w:val="Heading 5"/>
    <w:basedOn w:val="817"/>
    <w:next w:val="831"/>
    <w:link w:val="880"/>
    <w:uiPriority w:val="0"/>
    <w:qFormat/>
    <w:pPr>
      <w:ind w:firstLine="420"/>
      <w:keepLines/>
      <w:keepNext/>
      <w:spacing w:before="100" w:after="100" w:line="376" w:lineRule="atLeast"/>
      <w:outlineLvl w:val="4"/>
    </w:pPr>
    <w:rPr>
      <w:rFonts w:ascii="宋体"/>
      <w:b/>
      <w:i/>
      <w:sz w:val="24"/>
    </w:rPr>
  </w:style>
  <w:style w:type="paragraph" w:styleId="823">
    <w:name w:val="Heading 6"/>
    <w:basedOn w:val="817"/>
    <w:next w:val="817"/>
    <w:link w:val="881"/>
    <w:uiPriority w:val="0"/>
    <w:qFormat/>
    <w:pPr>
      <w:ind w:left="420"/>
      <w:keepNext/>
      <w:outlineLvl w:val="5"/>
    </w:pPr>
    <w:rPr>
      <w:rFonts w:ascii="Arial" w:hAnsi="Arial" w:eastAsia="黑体"/>
      <w:b/>
    </w:rPr>
  </w:style>
  <w:style w:type="paragraph" w:styleId="824">
    <w:name w:val="Heading 7"/>
    <w:basedOn w:val="817"/>
    <w:next w:val="831"/>
    <w:link w:val="882"/>
    <w:uiPriority w:val="0"/>
    <w:qFormat/>
    <w:pPr>
      <w:keepNext/>
      <w:outlineLvl w:val="6"/>
    </w:pPr>
    <w:rPr>
      <w:rFonts w:ascii="Arial" w:hAnsi="Arial" w:eastAsia="黑体"/>
      <w:b/>
      <w:sz w:val="24"/>
    </w:rPr>
  </w:style>
  <w:style w:type="paragraph" w:styleId="825">
    <w:name w:val="Heading 8"/>
    <w:basedOn w:val="817"/>
    <w:next w:val="817"/>
    <w:link w:val="883"/>
    <w:uiPriority w:val="0"/>
    <w:qFormat/>
    <w:pPr>
      <w:keepNext/>
      <w:outlineLvl w:val="7"/>
    </w:pPr>
    <w:rPr>
      <w:rFonts w:ascii="Arial" w:hAnsi="Arial"/>
      <w:b/>
      <w:color w:val="000000"/>
      <w:sz w:val="16"/>
    </w:rPr>
  </w:style>
  <w:style w:type="paragraph" w:styleId="826">
    <w:name w:val="Heading 9"/>
    <w:basedOn w:val="817"/>
    <w:next w:val="831"/>
    <w:link w:val="884"/>
    <w:uiPriority w:val="0"/>
    <w:qFormat/>
    <w:pPr>
      <w:keepLines/>
      <w:keepNext/>
      <w:spacing w:before="240" w:after="64" w:line="317" w:lineRule="auto"/>
      <w:outlineLvl w:val="8"/>
    </w:pPr>
    <w:rPr>
      <w:rFonts w:ascii="Arial" w:hAnsi="Arial" w:eastAsia="黑体"/>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Body Text Indent"/>
    <w:basedOn w:val="817"/>
    <w:next w:val="830"/>
    <w:link w:val="1045"/>
    <w:uiPriority w:val="0"/>
    <w:qFormat/>
    <w:pPr>
      <w:ind w:firstLine="420"/>
      <w:spacing w:line="360" w:lineRule="auto"/>
    </w:pPr>
    <w:rPr>
      <w:rFonts w:ascii="宋体" w:hAnsi="宋体"/>
    </w:rPr>
  </w:style>
  <w:style w:type="paragraph" w:styleId="830">
    <w:name w:val="envelope return"/>
    <w:basedOn w:val="817"/>
    <w:uiPriority w:val="0"/>
    <w:qFormat/>
    <w:rPr>
      <w:rFonts w:ascii="Arial" w:hAnsi="Arial"/>
    </w:rPr>
  </w:style>
  <w:style w:type="paragraph" w:styleId="831">
    <w:name w:val="Normal Indent"/>
    <w:basedOn w:val="817"/>
    <w:link w:val="1029"/>
    <w:uiPriority w:val="0"/>
    <w:qFormat/>
    <w:pPr>
      <w:ind w:firstLine="420"/>
      <w:jc w:val="left"/>
    </w:pPr>
    <w:rPr>
      <w:rFonts w:eastAsia="楷体_GB2312"/>
      <w:sz w:val="24"/>
    </w:rPr>
  </w:style>
  <w:style w:type="paragraph" w:styleId="832">
    <w:name w:val="toc 7"/>
    <w:basedOn w:val="817"/>
    <w:next w:val="817"/>
    <w:uiPriority w:val="39"/>
    <w:unhideWhenUsed/>
    <w:qFormat/>
    <w:pPr>
      <w:ind w:left="1701"/>
      <w:spacing w:after="57"/>
    </w:pPr>
  </w:style>
  <w:style w:type="paragraph" w:styleId="833">
    <w:name w:val="List Bullet 4"/>
    <w:basedOn w:val="817"/>
    <w:uiPriority w:val="0"/>
    <w:qFormat/>
    <w:pPr>
      <w:ind w:left="381" w:hanging="360"/>
      <w:spacing w:after="120"/>
      <w:tabs>
        <w:tab w:val="left" w:pos="381" w:leader="none"/>
      </w:tabs>
    </w:pPr>
    <w:rPr>
      <w:sz w:val="28"/>
    </w:rPr>
  </w:style>
  <w:style w:type="paragraph" w:styleId="834">
    <w:name w:val="List Number"/>
    <w:basedOn w:val="817"/>
    <w:uiPriority w:val="0"/>
    <w:qFormat/>
    <w:pPr>
      <w:ind w:left="720" w:hanging="360"/>
      <w:jc w:val="left"/>
      <w:widowControl/>
      <w:tabs>
        <w:tab w:val="left" w:pos="839" w:leader="none"/>
      </w:tabs>
    </w:pPr>
    <w:rPr>
      <w:sz w:val="24"/>
    </w:rPr>
  </w:style>
  <w:style w:type="paragraph" w:styleId="835">
    <w:name w:val="Caption"/>
    <w:basedOn w:val="817"/>
    <w:next w:val="817"/>
    <w:uiPriority w:val="0"/>
    <w:qFormat/>
    <w:pPr>
      <w:ind w:left="1260" w:hanging="720"/>
      <w:tabs>
        <w:tab w:val="left" w:pos="180" w:leader="none"/>
        <w:tab w:val="left" w:pos="840" w:leader="none"/>
      </w:tabs>
    </w:pPr>
    <w:rPr>
      <w:rFonts w:ascii="宋体" w:hAnsi="宋体"/>
      <w:b/>
    </w:rPr>
  </w:style>
  <w:style w:type="paragraph" w:styleId="836">
    <w:name w:val="Document Map"/>
    <w:basedOn w:val="817"/>
    <w:uiPriority w:val="0"/>
    <w:qFormat/>
    <w:pPr>
      <w:shd w:val="clear" w:color="auto" w:fill="000080"/>
    </w:pPr>
  </w:style>
  <w:style w:type="paragraph" w:styleId="837">
    <w:name w:val="annotation text"/>
    <w:basedOn w:val="817"/>
    <w:link w:val="1039"/>
    <w:uiPriority w:val="0"/>
    <w:qFormat/>
    <w:pPr>
      <w:jc w:val="left"/>
    </w:pPr>
  </w:style>
  <w:style w:type="paragraph" w:styleId="838">
    <w:name w:val="Body Text 3"/>
    <w:basedOn w:val="817"/>
    <w:uiPriority w:val="0"/>
    <w:qFormat/>
    <w:rPr>
      <w:color w:val="0000ff"/>
    </w:rPr>
  </w:style>
  <w:style w:type="paragraph" w:styleId="839">
    <w:name w:val="List Bullet 3"/>
    <w:basedOn w:val="817"/>
    <w:uiPriority w:val="0"/>
    <w:qFormat/>
    <w:pPr>
      <w:ind w:left="360" w:hanging="360"/>
      <w:spacing w:after="120"/>
      <w:tabs>
        <w:tab w:val="left" w:pos="360" w:leader="none"/>
      </w:tabs>
    </w:pPr>
    <w:rPr>
      <w:sz w:val="28"/>
    </w:rPr>
  </w:style>
  <w:style w:type="paragraph" w:styleId="840">
    <w:name w:val="Body Text"/>
    <w:basedOn w:val="817"/>
    <w:uiPriority w:val="0"/>
    <w:qFormat/>
    <w:pPr>
      <w:tabs>
        <w:tab w:val="left" w:pos="5250" w:leader="none"/>
      </w:tabs>
    </w:pPr>
    <w:rPr>
      <w:sz w:val="28"/>
    </w:rPr>
  </w:style>
  <w:style w:type="paragraph" w:styleId="841">
    <w:name w:val="Block Text"/>
    <w:basedOn w:val="817"/>
    <w:uiPriority w:val="0"/>
    <w:qFormat/>
    <w:pPr>
      <w:ind w:left="630" w:right="-609" w:firstLine="420"/>
      <w:spacing w:line="360" w:lineRule="auto"/>
    </w:pPr>
    <w:rPr>
      <w:rFonts w:hint="eastAsia" w:ascii="仿宋_GB2312" w:eastAsia="仿宋_GB2312"/>
    </w:rPr>
  </w:style>
  <w:style w:type="paragraph" w:styleId="842">
    <w:name w:val="List Bullet 2"/>
    <w:basedOn w:val="817"/>
    <w:uiPriority w:val="0"/>
    <w:qFormat/>
    <w:pPr>
      <w:ind w:left="780" w:hanging="360"/>
      <w:spacing w:after="120"/>
      <w:tabs>
        <w:tab w:val="left" w:pos="780" w:leader="none"/>
      </w:tabs>
    </w:pPr>
    <w:rPr>
      <w:sz w:val="28"/>
    </w:rPr>
  </w:style>
  <w:style w:type="paragraph" w:styleId="843">
    <w:name w:val="toc 5"/>
    <w:basedOn w:val="817"/>
    <w:next w:val="817"/>
    <w:uiPriority w:val="39"/>
    <w:unhideWhenUsed/>
    <w:qFormat/>
    <w:pPr>
      <w:ind w:left="1134"/>
      <w:spacing w:after="57"/>
    </w:pPr>
  </w:style>
  <w:style w:type="paragraph" w:styleId="844">
    <w:name w:val="toc 3"/>
    <w:basedOn w:val="817"/>
    <w:next w:val="817"/>
    <w:uiPriority w:val="39"/>
    <w:unhideWhenUsed/>
    <w:qFormat/>
    <w:pPr>
      <w:ind w:left="567"/>
      <w:spacing w:after="57"/>
    </w:pPr>
  </w:style>
  <w:style w:type="paragraph" w:styleId="845">
    <w:name w:val="Plain Text"/>
    <w:basedOn w:val="817"/>
    <w:link w:val="1055"/>
    <w:uiPriority w:val="0"/>
    <w:qFormat/>
    <w:rPr>
      <w:rFonts w:ascii="宋体" w:hAnsi="Courier New" w:eastAsia="楷体_GB2312"/>
      <w:sz w:val="28"/>
    </w:rPr>
  </w:style>
  <w:style w:type="paragraph" w:styleId="846">
    <w:name w:val="toc 8"/>
    <w:basedOn w:val="817"/>
    <w:next w:val="817"/>
    <w:uiPriority w:val="39"/>
    <w:unhideWhenUsed/>
    <w:qFormat/>
    <w:pPr>
      <w:ind w:left="1984"/>
      <w:spacing w:after="57"/>
    </w:pPr>
  </w:style>
  <w:style w:type="paragraph" w:styleId="847">
    <w:name w:val="Date"/>
    <w:basedOn w:val="817"/>
    <w:next w:val="817"/>
    <w:link w:val="1067"/>
    <w:uiPriority w:val="0"/>
    <w:qFormat/>
  </w:style>
  <w:style w:type="paragraph" w:styleId="848">
    <w:name w:val="Body Text Indent 2"/>
    <w:basedOn w:val="817"/>
    <w:uiPriority w:val="0"/>
    <w:qFormat/>
    <w:pPr>
      <w:ind w:firstLine="540"/>
      <w:spacing w:line="360" w:lineRule="auto"/>
    </w:pPr>
    <w:rPr>
      <w:rFonts w:ascii="宋体" w:hAnsi="宋体"/>
      <w:sz w:val="24"/>
    </w:rPr>
  </w:style>
  <w:style w:type="paragraph" w:styleId="849">
    <w:name w:val="endnote text"/>
    <w:basedOn w:val="817"/>
    <w:link w:val="1022"/>
    <w:uiPriority w:val="99"/>
    <w:semiHidden/>
    <w:unhideWhenUsed/>
    <w:qFormat/>
    <w:rPr>
      <w:sz w:val="20"/>
    </w:rPr>
  </w:style>
  <w:style w:type="paragraph" w:styleId="850">
    <w:name w:val="Balloon Text"/>
    <w:basedOn w:val="817"/>
    <w:link w:val="1024"/>
    <w:uiPriority w:val="0"/>
    <w:qFormat/>
    <w:rPr>
      <w:sz w:val="18"/>
    </w:rPr>
  </w:style>
  <w:style w:type="paragraph" w:styleId="851">
    <w:name w:val="Footer"/>
    <w:basedOn w:val="817"/>
    <w:link w:val="1041"/>
    <w:uiPriority w:val="0"/>
    <w:qFormat/>
    <w:pPr>
      <w:jc w:val="left"/>
      <w:tabs>
        <w:tab w:val="center" w:pos="4153" w:leader="none"/>
        <w:tab w:val="right" w:pos="8306" w:leader="none"/>
      </w:tabs>
    </w:pPr>
    <w:rPr>
      <w:rFonts w:eastAsia="楷体_GB2312"/>
      <w:sz w:val="18"/>
    </w:rPr>
  </w:style>
  <w:style w:type="paragraph" w:styleId="852">
    <w:name w:val="Header"/>
    <w:basedOn w:val="817"/>
    <w:link w:val="1050"/>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853">
    <w:name w:val="toc 1"/>
    <w:basedOn w:val="817"/>
    <w:next w:val="817"/>
    <w:uiPriority w:val="39"/>
    <w:unhideWhenUsed/>
    <w:qFormat/>
    <w:pPr>
      <w:spacing w:after="57"/>
    </w:pPr>
  </w:style>
  <w:style w:type="paragraph" w:styleId="854">
    <w:name w:val="toc 4"/>
    <w:basedOn w:val="817"/>
    <w:next w:val="817"/>
    <w:uiPriority w:val="39"/>
    <w:unhideWhenUsed/>
    <w:qFormat/>
    <w:pPr>
      <w:ind w:left="850"/>
      <w:spacing w:after="57"/>
    </w:pPr>
  </w:style>
  <w:style w:type="paragraph" w:styleId="855">
    <w:name w:val="Subtitle"/>
    <w:basedOn w:val="817"/>
    <w:next w:val="817"/>
    <w:link w:val="888"/>
    <w:uiPriority w:val="11"/>
    <w:qFormat/>
    <w:pPr>
      <w:spacing w:before="200" w:after="200"/>
    </w:pPr>
    <w:rPr>
      <w:sz w:val="24"/>
      <w:szCs w:val="24"/>
    </w:rPr>
  </w:style>
  <w:style w:type="paragraph" w:styleId="856">
    <w:name w:val="List"/>
    <w:basedOn w:val="817"/>
    <w:uiPriority w:val="0"/>
    <w:qFormat/>
    <w:pPr>
      <w:ind w:left="420" w:hanging="420"/>
      <w:spacing w:line="360" w:lineRule="auto"/>
    </w:pPr>
    <w:rPr>
      <w:rFonts w:eastAsia="仿宋_GB2312"/>
      <w:sz w:val="24"/>
    </w:rPr>
  </w:style>
  <w:style w:type="paragraph" w:styleId="857">
    <w:name w:val="footnote text"/>
    <w:basedOn w:val="817"/>
    <w:link w:val="1021"/>
    <w:uiPriority w:val="99"/>
    <w:semiHidden/>
    <w:unhideWhenUsed/>
    <w:qFormat/>
    <w:pPr>
      <w:spacing w:after="40"/>
    </w:pPr>
    <w:rPr>
      <w:sz w:val="18"/>
    </w:rPr>
  </w:style>
  <w:style w:type="paragraph" w:styleId="858">
    <w:name w:val="toc 6"/>
    <w:basedOn w:val="817"/>
    <w:next w:val="817"/>
    <w:uiPriority w:val="39"/>
    <w:unhideWhenUsed/>
    <w:qFormat/>
    <w:pPr>
      <w:ind w:left="1417"/>
      <w:spacing w:after="57"/>
    </w:pPr>
  </w:style>
  <w:style w:type="paragraph" w:styleId="859">
    <w:name w:val="Body Text Indent 3"/>
    <w:basedOn w:val="817"/>
    <w:uiPriority w:val="0"/>
    <w:qFormat/>
    <w:pPr>
      <w:ind w:firstLine="480"/>
      <w:spacing w:line="360" w:lineRule="auto"/>
      <w:widowControl/>
    </w:pPr>
    <w:rPr>
      <w:sz w:val="24"/>
    </w:rPr>
  </w:style>
  <w:style w:type="paragraph" w:styleId="860">
    <w:name w:val="table of figures"/>
    <w:basedOn w:val="817"/>
    <w:next w:val="817"/>
    <w:uiPriority w:val="99"/>
    <w:unhideWhenUsed/>
    <w:qFormat/>
  </w:style>
  <w:style w:type="paragraph" w:styleId="861">
    <w:name w:val="toc 2"/>
    <w:basedOn w:val="817"/>
    <w:next w:val="817"/>
    <w:uiPriority w:val="39"/>
    <w:unhideWhenUsed/>
    <w:qFormat/>
    <w:pPr>
      <w:ind w:left="283"/>
      <w:spacing w:after="57"/>
    </w:pPr>
  </w:style>
  <w:style w:type="paragraph" w:styleId="862">
    <w:name w:val="toc 9"/>
    <w:basedOn w:val="817"/>
    <w:next w:val="817"/>
    <w:uiPriority w:val="39"/>
    <w:unhideWhenUsed/>
    <w:qFormat/>
    <w:pPr>
      <w:ind w:left="2268"/>
      <w:spacing w:after="57"/>
    </w:pPr>
  </w:style>
  <w:style w:type="paragraph" w:styleId="863">
    <w:name w:val="Body Text 2"/>
    <w:basedOn w:val="817"/>
    <w:link w:val="1200"/>
    <w:uiPriority w:val="0"/>
    <w:qFormat/>
    <w:pPr>
      <w:spacing w:line="360" w:lineRule="auto"/>
      <w:tabs>
        <w:tab w:val="left" w:pos="630" w:leader="none"/>
      </w:tabs>
    </w:pPr>
    <w:rPr>
      <w:rFonts w:ascii="宋体" w:hAnsi="宋体"/>
      <w:sz w:val="24"/>
    </w:rPr>
  </w:style>
  <w:style w:type="paragraph" w:styleId="864">
    <w:name w:val="Normal (Web)"/>
    <w:basedOn w:val="817"/>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65">
    <w:name w:val="Title"/>
    <w:basedOn w:val="817"/>
    <w:link w:val="1075"/>
    <w:uiPriority w:val="0"/>
    <w:qFormat/>
    <w:pPr>
      <w:jc w:val="center"/>
      <w:spacing w:before="156"/>
    </w:pPr>
    <w:rPr>
      <w:rFonts w:eastAsia="黑体"/>
      <w:b/>
      <w:sz w:val="32"/>
    </w:rPr>
  </w:style>
  <w:style w:type="paragraph" w:styleId="866">
    <w:name w:val="annotation subject"/>
    <w:basedOn w:val="837"/>
    <w:next w:val="837"/>
    <w:uiPriority w:val="0"/>
    <w:qFormat/>
    <w:rPr>
      <w:b/>
      <w:bCs/>
    </w:rPr>
  </w:style>
  <w:style w:type="table" w:styleId="867">
    <w:name w:val="Table Grid"/>
    <w:basedOn w:val="82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Strong"/>
    <w:uiPriority w:val="22"/>
    <w:qFormat/>
    <w:rPr>
      <w:b/>
    </w:rPr>
  </w:style>
  <w:style w:type="character" w:styleId="869">
    <w:name w:val="endnote reference"/>
    <w:uiPriority w:val="99"/>
    <w:semiHidden/>
    <w:unhideWhenUsed/>
    <w:qFormat/>
    <w:rPr>
      <w:vertAlign w:val="superscript"/>
    </w:rPr>
  </w:style>
  <w:style w:type="character" w:styleId="870">
    <w:name w:val="page number"/>
    <w:uiPriority w:val="0"/>
    <w:qFormat/>
  </w:style>
  <w:style w:type="character" w:styleId="871">
    <w:name w:val="FollowedHyperlink"/>
    <w:uiPriority w:val="0"/>
    <w:qFormat/>
    <w:rPr>
      <w:color w:val="800080"/>
      <w:u w:val="single"/>
    </w:rPr>
  </w:style>
  <w:style w:type="character" w:styleId="872">
    <w:name w:val="HTML Typewriter"/>
    <w:uiPriority w:val="0"/>
    <w:qFormat/>
    <w:rPr>
      <w:rFonts w:ascii="黑体" w:hAnsi="Courier New" w:eastAsia="黑体" w:cs="Courier New"/>
      <w:sz w:val="14"/>
      <w:szCs w:val="14"/>
      <w:lang w:val="en-US" w:eastAsia="zh-CN" w:bidi="ar-SA"/>
    </w:rPr>
  </w:style>
  <w:style w:type="character" w:styleId="873">
    <w:name w:val="Hyperlink"/>
    <w:uiPriority w:val="99"/>
    <w:qFormat/>
    <w:rPr>
      <w:color w:val="0000ff"/>
      <w:u w:val="single"/>
    </w:rPr>
  </w:style>
  <w:style w:type="character" w:styleId="874">
    <w:name w:val="annotation reference"/>
    <w:uiPriority w:val="0"/>
    <w:qFormat/>
    <w:rPr>
      <w:sz w:val="21"/>
      <w:szCs w:val="21"/>
    </w:rPr>
  </w:style>
  <w:style w:type="character" w:styleId="875">
    <w:name w:val="footnote reference"/>
    <w:uiPriority w:val="99"/>
    <w:unhideWhenUsed/>
    <w:qFormat/>
    <w:rPr>
      <w:vertAlign w:val="superscript"/>
    </w:rPr>
  </w:style>
  <w:style w:type="character" w:styleId="876" w:customStyle="1">
    <w:name w:val="标题 1 字符"/>
    <w:link w:val="818"/>
    <w:uiPriority w:val="9"/>
    <w:qFormat/>
    <w:rPr>
      <w:rFonts w:ascii="Arial" w:hAnsi="Arial" w:eastAsia="Arial" w:cs="Arial"/>
      <w:sz w:val="40"/>
      <w:szCs w:val="40"/>
    </w:rPr>
  </w:style>
  <w:style w:type="character" w:styleId="877" w:customStyle="1">
    <w:name w:val="标题 2 字符"/>
    <w:link w:val="819"/>
    <w:uiPriority w:val="0"/>
    <w:qFormat/>
    <w:rPr>
      <w:rFonts w:ascii="Arial" w:hAnsi="Arial" w:eastAsia="Arial" w:cs="Arial"/>
      <w:sz w:val="34"/>
    </w:rPr>
  </w:style>
  <w:style w:type="character" w:styleId="878" w:customStyle="1">
    <w:name w:val="标题 3 字符"/>
    <w:link w:val="820"/>
    <w:uiPriority w:val="9"/>
    <w:qFormat/>
    <w:rPr>
      <w:rFonts w:ascii="Arial" w:hAnsi="Arial" w:eastAsia="Arial" w:cs="Arial"/>
      <w:sz w:val="30"/>
      <w:szCs w:val="30"/>
    </w:rPr>
  </w:style>
  <w:style w:type="character" w:styleId="879" w:customStyle="1">
    <w:name w:val="标题 4 字符"/>
    <w:link w:val="821"/>
    <w:uiPriority w:val="9"/>
    <w:qFormat/>
    <w:rPr>
      <w:rFonts w:ascii="Arial" w:hAnsi="Arial" w:eastAsia="Arial" w:cs="Arial"/>
      <w:b/>
      <w:bCs/>
      <w:sz w:val="26"/>
      <w:szCs w:val="26"/>
    </w:rPr>
  </w:style>
  <w:style w:type="character" w:styleId="880" w:customStyle="1">
    <w:name w:val="标题 5 字符"/>
    <w:link w:val="822"/>
    <w:uiPriority w:val="9"/>
    <w:qFormat/>
    <w:rPr>
      <w:rFonts w:ascii="Arial" w:hAnsi="Arial" w:eastAsia="Arial" w:cs="Arial"/>
      <w:b/>
      <w:bCs/>
      <w:sz w:val="24"/>
      <w:szCs w:val="24"/>
    </w:rPr>
  </w:style>
  <w:style w:type="character" w:styleId="881" w:customStyle="1">
    <w:name w:val="标题 6 字符"/>
    <w:link w:val="823"/>
    <w:uiPriority w:val="9"/>
    <w:qFormat/>
    <w:rPr>
      <w:rFonts w:ascii="Arial" w:hAnsi="Arial" w:eastAsia="Arial" w:cs="Arial"/>
      <w:b/>
      <w:bCs/>
      <w:sz w:val="22"/>
      <w:szCs w:val="22"/>
    </w:rPr>
  </w:style>
  <w:style w:type="character" w:styleId="882" w:customStyle="1">
    <w:name w:val="标题 7 字符"/>
    <w:link w:val="824"/>
    <w:uiPriority w:val="9"/>
    <w:qFormat/>
    <w:rPr>
      <w:rFonts w:ascii="Arial" w:hAnsi="Arial" w:eastAsia="Arial" w:cs="Arial"/>
      <w:b/>
      <w:bCs/>
      <w:i/>
      <w:iCs/>
      <w:sz w:val="22"/>
      <w:szCs w:val="22"/>
    </w:rPr>
  </w:style>
  <w:style w:type="character" w:styleId="883" w:customStyle="1">
    <w:name w:val="标题 8 字符"/>
    <w:link w:val="825"/>
    <w:uiPriority w:val="9"/>
    <w:qFormat/>
    <w:rPr>
      <w:rFonts w:ascii="Arial" w:hAnsi="Arial" w:eastAsia="Arial" w:cs="Arial"/>
      <w:i/>
      <w:iCs/>
      <w:sz w:val="22"/>
      <w:szCs w:val="22"/>
    </w:rPr>
  </w:style>
  <w:style w:type="character" w:styleId="884" w:customStyle="1">
    <w:name w:val="标题 9 字符"/>
    <w:link w:val="826"/>
    <w:uiPriority w:val="9"/>
    <w:qFormat/>
    <w:rPr>
      <w:rFonts w:ascii="Arial" w:hAnsi="Arial" w:eastAsia="Arial" w:cs="Arial"/>
      <w:i/>
      <w:iCs/>
      <w:sz w:val="21"/>
      <w:szCs w:val="21"/>
    </w:rPr>
  </w:style>
  <w:style w:type="paragraph" w:styleId="885">
    <w:name w:val="List Paragraph"/>
    <w:basedOn w:val="817"/>
    <w:uiPriority w:val="34"/>
    <w:qFormat/>
    <w:pPr>
      <w:contextualSpacing/>
      <w:ind w:left="720"/>
    </w:pPr>
  </w:style>
  <w:style w:type="paragraph" w:styleId="886">
    <w:name w:val="No Spacing"/>
    <w:uiPriority w:val="1"/>
    <w:qFormat/>
    <w:rPr>
      <w:rFonts w:ascii="Calibri" w:hAnsi="Calibri" w:eastAsia="宋体" w:cs="Times New Roman"/>
      <w:lang w:val="en-US" w:eastAsia="zh-CN" w:bidi="ar-SA"/>
    </w:rPr>
  </w:style>
  <w:style w:type="character" w:styleId="887" w:customStyle="1">
    <w:name w:val="Title Char"/>
    <w:uiPriority w:val="10"/>
    <w:qFormat/>
    <w:rPr>
      <w:sz w:val="48"/>
      <w:szCs w:val="48"/>
    </w:rPr>
  </w:style>
  <w:style w:type="character" w:styleId="888" w:customStyle="1">
    <w:name w:val="副标题 字符"/>
    <w:link w:val="855"/>
    <w:uiPriority w:val="11"/>
    <w:qFormat/>
    <w:rPr>
      <w:sz w:val="24"/>
      <w:szCs w:val="24"/>
    </w:rPr>
  </w:style>
  <w:style w:type="paragraph" w:styleId="889">
    <w:name w:val="Quote"/>
    <w:basedOn w:val="817"/>
    <w:next w:val="817"/>
    <w:link w:val="1052"/>
    <w:uiPriority w:val="29"/>
    <w:qFormat/>
    <w:rPr>
      <w:i/>
      <w:iCs/>
      <w:color w:val="000000"/>
      <w:szCs w:val="24"/>
    </w:rPr>
  </w:style>
  <w:style w:type="character" w:styleId="890" w:customStyle="1">
    <w:name w:val="Quote Char"/>
    <w:uiPriority w:val="29"/>
    <w:qFormat/>
    <w:rPr>
      <w:i/>
    </w:rPr>
  </w:style>
  <w:style w:type="paragraph" w:styleId="891">
    <w:name w:val="Intense Quote"/>
    <w:basedOn w:val="817"/>
    <w:next w:val="817"/>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字符"/>
    <w:link w:val="891"/>
    <w:uiPriority w:val="30"/>
    <w:qFormat/>
    <w:rPr>
      <w:i/>
    </w:rPr>
  </w:style>
  <w:style w:type="character" w:styleId="893" w:customStyle="1">
    <w:name w:val="Header Char"/>
    <w:uiPriority w:val="99"/>
    <w:qFormat/>
  </w:style>
  <w:style w:type="character" w:styleId="894" w:customStyle="1">
    <w:name w:val="Footer Char"/>
    <w:uiPriority w:val="99"/>
    <w:qFormat/>
  </w:style>
  <w:style w:type="character" w:styleId="895" w:customStyle="1">
    <w:name w:val="Caption Char"/>
    <w:uiPriority w:val="99"/>
    <w:qFormat/>
  </w:style>
  <w:style w:type="table" w:styleId="8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1" w:customStyle="1">
    <w:name w:val="脚注文本 字符"/>
    <w:link w:val="857"/>
    <w:uiPriority w:val="99"/>
    <w:qFormat/>
    <w:rPr>
      <w:sz w:val="18"/>
    </w:rPr>
  </w:style>
  <w:style w:type="character" w:styleId="1022" w:customStyle="1">
    <w:name w:val="尾注文本 字符"/>
    <w:link w:val="849"/>
    <w:uiPriority w:val="99"/>
    <w:qFormat/>
    <w:rPr>
      <w:sz w:val="20"/>
    </w:rPr>
  </w:style>
  <w:style w:type="paragraph" w:styleId="1023" w:customStyle="1">
    <w:name w:val="TOC 标题1"/>
    <w:uiPriority w:val="39"/>
    <w:unhideWhenUsed/>
    <w:qFormat/>
    <w:rPr>
      <w:rFonts w:ascii="Calibri" w:hAnsi="Calibri" w:eastAsia="宋体" w:cs="Times New Roman"/>
      <w:lang w:val="en-US" w:eastAsia="zh-CN" w:bidi="ar-SA"/>
    </w:rPr>
  </w:style>
  <w:style w:type="character" w:styleId="1024" w:customStyle="1">
    <w:name w:val="批注框文本 字符"/>
    <w:link w:val="850"/>
    <w:uiPriority w:val="0"/>
    <w:qFormat/>
    <w:rPr>
      <w:sz w:val="18"/>
    </w:rPr>
  </w:style>
  <w:style w:type="character" w:styleId="1025" w:customStyle="1">
    <w:name w:val="+正文 Char Char"/>
    <w:link w:val="1026"/>
    <w:uiPriority w:val="0"/>
    <w:qFormat/>
    <w:rPr>
      <w:rFonts w:ascii="宋体" w:hAnsi="宋体"/>
      <w:sz w:val="24"/>
      <w:szCs w:val="28"/>
    </w:rPr>
  </w:style>
  <w:style w:type="paragraph" w:styleId="1026" w:customStyle="1">
    <w:name w:val="+正文 Char"/>
    <w:basedOn w:val="817"/>
    <w:link w:val="1025"/>
    <w:uiPriority w:val="0"/>
    <w:qFormat/>
    <w:pPr>
      <w:ind w:firstLine="200"/>
      <w:spacing w:line="360" w:lineRule="auto"/>
    </w:pPr>
    <w:rPr>
      <w:rFonts w:ascii="宋体" w:hAnsi="宋体"/>
      <w:sz w:val="24"/>
      <w:szCs w:val="28"/>
    </w:rPr>
  </w:style>
  <w:style w:type="character" w:styleId="1027" w:customStyle="1">
    <w:name w:val="font31"/>
    <w:uiPriority w:val="0"/>
    <w:qFormat/>
    <w:rPr>
      <w:rFonts w:ascii="Times New Roman" w:hAnsi="Times New Roman" w:cs="Times New Roman"/>
      <w:color w:val="000000"/>
      <w:sz w:val="16"/>
      <w:szCs w:val="16"/>
      <w:u w:val="none"/>
    </w:rPr>
  </w:style>
  <w:style w:type="character" w:styleId="1028" w:customStyle="1">
    <w:name w:val="9font1"/>
    <w:uiPriority w:val="0"/>
    <w:qFormat/>
    <w:rPr>
      <w:rFonts w:hint="eastAsia" w:ascii="黑体" w:eastAsia="黑体"/>
      <w:color w:val="000000"/>
      <w:sz w:val="20"/>
    </w:rPr>
  </w:style>
  <w:style w:type="character" w:styleId="1029" w:customStyle="1">
    <w:name w:val="正文缩进 字符"/>
    <w:link w:val="831"/>
    <w:uiPriority w:val="0"/>
    <w:qFormat/>
    <w:rPr>
      <w:rFonts w:eastAsia="楷体_GB2312"/>
      <w:sz w:val="24"/>
    </w:rPr>
  </w:style>
  <w:style w:type="character" w:styleId="1030" w:customStyle="1">
    <w:name w:val="font61"/>
    <w:uiPriority w:val="0"/>
    <w:qFormat/>
    <w:rPr>
      <w:rFonts w:ascii="Times New Roman" w:hAnsi="Times New Roman" w:cs="Times New Roman"/>
      <w:color w:val="000000"/>
      <w:sz w:val="16"/>
      <w:szCs w:val="16"/>
      <w:u w:val="none"/>
    </w:rPr>
  </w:style>
  <w:style w:type="character" w:styleId="1031" w:customStyle="1">
    <w:name w:val="cn21"/>
    <w:uiPriority w:val="0"/>
    <w:qFormat/>
    <w:rPr>
      <w:color w:val="ffffff"/>
      <w:sz w:val="18"/>
      <w:u w:val="none"/>
    </w:rPr>
  </w:style>
  <w:style w:type="character" w:styleId="1032" w:customStyle="1">
    <w:name w:val="SANGFOR_6_正文 Char"/>
    <w:link w:val="1033"/>
    <w:uiPriority w:val="0"/>
    <w:qFormat/>
    <w:rPr>
      <w:rFonts w:ascii="微软雅黑" w:hAnsi="微软雅黑" w:eastAsia="微软雅黑"/>
      <w:sz w:val="21"/>
      <w:szCs w:val="21"/>
    </w:rPr>
  </w:style>
  <w:style w:type="paragraph" w:styleId="1033" w:customStyle="1">
    <w:name w:val="SANGFOR_6_正文"/>
    <w:basedOn w:val="817"/>
    <w:link w:val="1032"/>
    <w:uiPriority w:val="0"/>
    <w:qFormat/>
    <w:pPr>
      <w:ind w:firstLine="420"/>
      <w:jc w:val="left"/>
      <w:spacing w:line="360" w:lineRule="auto"/>
    </w:pPr>
    <w:rPr>
      <w:rFonts w:ascii="微软雅黑" w:hAnsi="微软雅黑" w:eastAsia="微软雅黑"/>
      <w:szCs w:val="21"/>
    </w:rPr>
  </w:style>
  <w:style w:type="character" w:styleId="1034" w:customStyle="1">
    <w:name w:val="font11"/>
    <w:uiPriority w:val="0"/>
    <w:qFormat/>
    <w:rPr>
      <w:rFonts w:hint="eastAsia" w:ascii="宋体" w:hAnsi="宋体" w:eastAsia="宋体" w:cs="宋体"/>
      <w:color w:val="000000"/>
      <w:sz w:val="20"/>
      <w:szCs w:val="20"/>
      <w:u w:val="none"/>
    </w:rPr>
  </w:style>
  <w:style w:type="character" w:styleId="1035" w:customStyle="1">
    <w:name w:val="new1"/>
    <w:uiPriority w:val="0"/>
    <w:qFormat/>
    <w:rPr>
      <w:rFonts w:ascii="Verdana" w:hAnsi="Verdana"/>
      <w:color w:val="333333"/>
      <w:sz w:val="18"/>
      <w:shd w:val="clear" w:color="auto" w:fill="ffffff"/>
    </w:rPr>
  </w:style>
  <w:style w:type="character" w:styleId="1036" w:customStyle="1">
    <w:name w:val="列出段落 Char Char"/>
    <w:link w:val="1037"/>
    <w:uiPriority w:val="34"/>
    <w:qFormat/>
    <w:rPr>
      <w:sz w:val="21"/>
    </w:rPr>
  </w:style>
  <w:style w:type="paragraph" w:styleId="1037" w:customStyle="1">
    <w:name w:val="列出段落1"/>
    <w:basedOn w:val="817"/>
    <w:link w:val="1036"/>
    <w:uiPriority w:val="0"/>
    <w:qFormat/>
    <w:pPr>
      <w:ind w:left="720"/>
    </w:pPr>
  </w:style>
  <w:style w:type="character" w:styleId="1038" w:customStyle="1">
    <w:name w:val="批注文字 Char1"/>
    <w:uiPriority w:val="99"/>
    <w:semiHidden/>
    <w:qFormat/>
    <w:rPr>
      <w:rFonts w:ascii="Times New Roman" w:hAnsi="Times New Roman"/>
      <w:sz w:val="21"/>
      <w:szCs w:val="24"/>
    </w:rPr>
  </w:style>
  <w:style w:type="character" w:styleId="1039" w:customStyle="1">
    <w:name w:val="批注文字 字符"/>
    <w:link w:val="837"/>
    <w:uiPriority w:val="0"/>
    <w:qFormat/>
    <w:rPr>
      <w:sz w:val="21"/>
    </w:rPr>
  </w:style>
  <w:style w:type="character" w:styleId="1040" w:customStyle="1">
    <w:name w:val="body"/>
    <w:uiPriority w:val="0"/>
    <w:qFormat/>
  </w:style>
  <w:style w:type="character" w:styleId="1041" w:customStyle="1">
    <w:name w:val="页脚 字符"/>
    <w:link w:val="851"/>
    <w:uiPriority w:val="0"/>
    <w:qFormat/>
    <w:rPr>
      <w:rFonts w:eastAsia="楷体_GB2312"/>
      <w:sz w:val="18"/>
    </w:rPr>
  </w:style>
  <w:style w:type="character" w:styleId="1042" w:customStyle="1">
    <w:name w:val="明显参考1"/>
    <w:uiPriority w:val="32"/>
    <w:qFormat/>
    <w:rPr>
      <w:b/>
      <w:bCs/>
      <w:color w:val="76923c"/>
      <w:u w:val="single"/>
    </w:rPr>
  </w:style>
  <w:style w:type="character" w:styleId="1043" w:customStyle="1">
    <w:name w:val="列出段落 Char"/>
    <w:link w:val="1044"/>
    <w:uiPriority w:val="34"/>
    <w:qFormat/>
    <w:rPr>
      <w:rFonts w:ascii="Calibri" w:hAnsi="Calibri"/>
      <w:sz w:val="21"/>
      <w:szCs w:val="22"/>
    </w:rPr>
  </w:style>
  <w:style w:type="paragraph" w:styleId="1044" w:customStyle="1">
    <w:name w:val="列出段落"/>
    <w:basedOn w:val="817"/>
    <w:link w:val="1043"/>
    <w:uiPriority w:val="34"/>
    <w:qFormat/>
    <w:pPr>
      <w:ind w:firstLine="420"/>
    </w:pPr>
    <w:rPr>
      <w:szCs w:val="22"/>
    </w:rPr>
  </w:style>
  <w:style w:type="character" w:styleId="1045" w:customStyle="1">
    <w:name w:val="正文文本缩进 字符"/>
    <w:link w:val="829"/>
    <w:uiPriority w:val="0"/>
    <w:qFormat/>
    <w:rPr>
      <w:rFonts w:ascii="宋体" w:hAnsi="宋体"/>
      <w:sz w:val="21"/>
    </w:rPr>
  </w:style>
  <w:style w:type="character" w:styleId="1046" w:customStyle="1">
    <w:name w:val="fs1"/>
    <w:uiPriority w:val="0"/>
    <w:qFormat/>
    <w:rPr>
      <w:rFonts w:ascii="Verdana" w:hAnsi="Verdana"/>
      <w:color w:val="003366"/>
      <w:sz w:val="18"/>
      <w:u w:val="none"/>
    </w:rPr>
  </w:style>
  <w:style w:type="character" w:styleId="1047" w:customStyle="1">
    <w:name w:val="段落正文 Char Char"/>
    <w:link w:val="1048"/>
    <w:uiPriority w:val="0"/>
    <w:qFormat/>
    <w:rPr>
      <w:rFonts w:eastAsia="宋体"/>
      <w:sz w:val="24"/>
      <w:szCs w:val="24"/>
      <w:lang w:val="en-US" w:eastAsia="zh-CN" w:bidi="ar-SA"/>
    </w:rPr>
  </w:style>
  <w:style w:type="paragraph" w:styleId="1048" w:customStyle="1">
    <w:name w:val="段落正文"/>
    <w:basedOn w:val="817"/>
    <w:link w:val="1047"/>
    <w:uiPriority w:val="0"/>
    <w:qFormat/>
    <w:pPr>
      <w:ind w:firstLine="200"/>
      <w:spacing w:line="360" w:lineRule="auto"/>
    </w:pPr>
    <w:rPr>
      <w:sz w:val="24"/>
      <w:szCs w:val="24"/>
    </w:rPr>
  </w:style>
  <w:style w:type="character" w:styleId="1049" w:customStyle="1">
    <w:name w:val="font01"/>
    <w:uiPriority w:val="0"/>
    <w:qFormat/>
    <w:rPr>
      <w:rFonts w:hint="eastAsia" w:ascii="仿宋_GB2312" w:eastAsia="仿宋_GB2312" w:cs="仿宋_GB2312"/>
      <w:color w:val="000000"/>
      <w:sz w:val="16"/>
      <w:szCs w:val="16"/>
      <w:u w:val="none"/>
    </w:rPr>
  </w:style>
  <w:style w:type="character" w:styleId="1050" w:customStyle="1">
    <w:name w:val="页眉 字符"/>
    <w:link w:val="852"/>
    <w:uiPriority w:val="0"/>
    <w:qFormat/>
    <w:rPr>
      <w:rFonts w:eastAsia="楷体_GB2312"/>
      <w:sz w:val="18"/>
    </w:rPr>
  </w:style>
  <w:style w:type="character" w:styleId="1051" w:customStyle="1">
    <w:name w:val="span21"/>
    <w:uiPriority w:val="0"/>
    <w:qFormat/>
    <w:rPr>
      <w:color w:val="c00000"/>
    </w:rPr>
  </w:style>
  <w:style w:type="character" w:styleId="1052" w:customStyle="1">
    <w:name w:val="引用 字符"/>
    <w:link w:val="889"/>
    <w:uiPriority w:val="29"/>
    <w:qFormat/>
    <w:rPr>
      <w:i/>
      <w:iCs/>
      <w:color w:val="000000"/>
      <w:sz w:val="21"/>
      <w:szCs w:val="24"/>
    </w:rPr>
  </w:style>
  <w:style w:type="character" w:styleId="1053" w:customStyle="1">
    <w:name w:val="text"/>
    <w:uiPriority w:val="0"/>
    <w:qFormat/>
  </w:style>
  <w:style w:type="character" w:styleId="1054" w:customStyle="1">
    <w:name w:val="nr"/>
    <w:uiPriority w:val="0"/>
    <w:qFormat/>
  </w:style>
  <w:style w:type="character" w:styleId="1055" w:customStyle="1">
    <w:name w:val="纯文本 字符"/>
    <w:link w:val="845"/>
    <w:uiPriority w:val="0"/>
    <w:qFormat/>
    <w:rPr>
      <w:rFonts w:ascii="宋体" w:hAnsi="Courier New" w:eastAsia="楷体_GB2312"/>
      <w:sz w:val="28"/>
    </w:rPr>
  </w:style>
  <w:style w:type="character" w:styleId="1056" w:customStyle="1">
    <w:name w:val="正文首行缩进 2 Char"/>
    <w:link w:val="1057"/>
    <w:uiPriority w:val="99"/>
    <w:semiHidden/>
    <w:qFormat/>
  </w:style>
  <w:style w:type="paragraph" w:styleId="1057" w:customStyle="1">
    <w:name w:val="正文首行缩进 21"/>
    <w:basedOn w:val="829"/>
    <w:link w:val="1056"/>
    <w:uiPriority w:val="99"/>
    <w:unhideWhenUsed/>
    <w:qFormat/>
    <w:pPr>
      <w:ind w:left="420"/>
      <w:spacing w:after="120" w:line="240" w:lineRule="auto"/>
    </w:pPr>
    <w:rPr>
      <w:rFonts w:ascii="Times New Roman" w:hAnsi="Times New Roman"/>
    </w:rPr>
  </w:style>
  <w:style w:type="character" w:styleId="1058" w:customStyle="1">
    <w:name w:val="unnamed21"/>
    <w:uiPriority w:val="0"/>
    <w:qFormat/>
    <w:rPr>
      <w:color w:val="000000"/>
      <w:sz w:val="22"/>
    </w:rPr>
  </w:style>
  <w:style w:type="character" w:styleId="1059" w:customStyle="1">
    <w:name w:val="font71"/>
    <w:uiPriority w:val="0"/>
    <w:qFormat/>
    <w:rPr>
      <w:rFonts w:ascii="Times New Roman" w:hAnsi="Times New Roman" w:cs="Times New Roman"/>
      <w:color w:val="000000"/>
      <w:sz w:val="21"/>
      <w:szCs w:val="21"/>
      <w:u w:val="single"/>
    </w:rPr>
  </w:style>
  <w:style w:type="character" w:styleId="1060" w:customStyle="1">
    <w:name w:val="无间隔 Char"/>
    <w:link w:val="1061"/>
    <w:uiPriority w:val="1"/>
    <w:qFormat/>
    <w:rPr>
      <w:rFonts w:ascii="Calibri" w:hAnsi="Calibri" w:eastAsia="宋体" w:cs="Times New Roman"/>
      <w:sz w:val="22"/>
      <w:szCs w:val="22"/>
    </w:rPr>
  </w:style>
  <w:style w:type="paragraph" w:styleId="1061" w:customStyle="1">
    <w:name w:val="无间隔1"/>
    <w:basedOn w:val="817"/>
    <w:link w:val="1060"/>
    <w:uiPriority w:val="1"/>
    <w:qFormat/>
    <w:pPr>
      <w:jc w:val="left"/>
      <w:widowControl/>
    </w:pPr>
    <w:rPr>
      <w:sz w:val="22"/>
      <w:szCs w:val="22"/>
    </w:rPr>
  </w:style>
  <w:style w:type="character" w:styleId="1062" w:customStyle="1">
    <w:name w:val="Char Char Char Char Char Char Char Char"/>
    <w:uiPriority w:val="0"/>
    <w:qFormat/>
    <w:rPr>
      <w:rFonts w:ascii="Tahoma" w:hAnsi="Tahoma" w:eastAsia="宋体"/>
      <w:sz w:val="24"/>
      <w:lang w:bidi="ar-SA"/>
    </w:rPr>
  </w:style>
  <w:style w:type="character" w:styleId="1063" w:customStyle="1">
    <w:name w:val="big1"/>
    <w:uiPriority w:val="0"/>
    <w:qFormat/>
    <w:rPr>
      <w:color w:val="000000"/>
      <w:sz w:val="36"/>
      <w:szCs w:val="36"/>
      <w:u w:val="none"/>
    </w:rPr>
  </w:style>
  <w:style w:type="character" w:styleId="1064" w:customStyle="1">
    <w:name w:val="标题 3 Char Char Char"/>
    <w:uiPriority w:val="0"/>
    <w:qFormat/>
    <w:rPr>
      <w:rFonts w:eastAsia="宋体"/>
      <w:b/>
      <w:color w:val="000000"/>
      <w:sz w:val="28"/>
      <w:lang w:val="en-US" w:eastAsia="zh-CN"/>
    </w:rPr>
  </w:style>
  <w:style w:type="character" w:styleId="1065" w:customStyle="1">
    <w:name w:val="text1"/>
    <w:uiPriority w:val="0"/>
    <w:qFormat/>
    <w:rPr>
      <w:color w:val="cccccc"/>
      <w:sz w:val="18"/>
    </w:rPr>
  </w:style>
  <w:style w:type="character" w:styleId="1066" w:customStyle="1">
    <w:name w:val="style14"/>
    <w:uiPriority w:val="0"/>
    <w:qFormat/>
  </w:style>
  <w:style w:type="character" w:styleId="1067" w:customStyle="1">
    <w:name w:val="日期 字符"/>
    <w:link w:val="847"/>
    <w:uiPriority w:val="0"/>
    <w:qFormat/>
    <w:rPr>
      <w:sz w:val="21"/>
    </w:rPr>
  </w:style>
  <w:style w:type="character" w:styleId="1068" w:customStyle="1">
    <w:name w:val="t31"/>
    <w:uiPriority w:val="0"/>
    <w:qFormat/>
    <w:rPr>
      <w:sz w:val="21"/>
      <w:szCs w:val="21"/>
    </w:rPr>
  </w:style>
  <w:style w:type="character" w:styleId="1069" w:customStyle="1">
    <w:name w:val="Plain Text Char"/>
    <w:link w:val="1070"/>
    <w:uiPriority w:val="0"/>
    <w:qFormat/>
    <w:rPr>
      <w:rFonts w:ascii="宋体" w:hAnsi="Courier New" w:eastAsia="楷体_GB2312"/>
      <w:sz w:val="26"/>
    </w:rPr>
  </w:style>
  <w:style w:type="paragraph" w:styleId="1070" w:customStyle="1">
    <w:name w:val="纯文本2"/>
    <w:basedOn w:val="817"/>
    <w:link w:val="1069"/>
    <w:uiPriority w:val="0"/>
    <w:qFormat/>
    <w:rPr>
      <w:rFonts w:ascii="宋体" w:hAnsi="Courier New" w:eastAsia="楷体_GB2312"/>
      <w:sz w:val="26"/>
    </w:rPr>
  </w:style>
  <w:style w:type="character" w:styleId="1071" w:customStyle="1">
    <w:name w:val="font51"/>
    <w:uiPriority w:val="0"/>
    <w:qFormat/>
    <w:rPr>
      <w:rFonts w:hint="eastAsia" w:ascii="宋体" w:hAnsi="宋体" w:eastAsia="宋体" w:cs="宋体"/>
      <w:color w:val="000000"/>
      <w:sz w:val="21"/>
      <w:szCs w:val="21"/>
      <w:u w:val="none"/>
    </w:rPr>
  </w:style>
  <w:style w:type="character" w:styleId="1072" w:customStyle="1">
    <w:name w:val="msonormal"/>
    <w:uiPriority w:val="0"/>
    <w:qFormat/>
  </w:style>
  <w:style w:type="character" w:styleId="1073" w:customStyle="1">
    <w:name w:val="txt1"/>
    <w:uiPriority w:val="0"/>
    <w:qFormat/>
    <w:rPr>
      <w:color w:val="000099"/>
      <w:sz w:val="20"/>
      <w:u w:val="none"/>
    </w:rPr>
  </w:style>
  <w:style w:type="character" w:styleId="1074" w:customStyle="1">
    <w:name w:val="font21"/>
    <w:uiPriority w:val="0"/>
    <w:qFormat/>
    <w:rPr>
      <w:rFonts w:hint="eastAsia" w:ascii="宋体" w:hAnsi="宋体" w:eastAsia="宋体" w:cs="宋体"/>
      <w:color w:val="000000"/>
      <w:sz w:val="20"/>
      <w:szCs w:val="20"/>
      <w:u w:val="none"/>
    </w:rPr>
  </w:style>
  <w:style w:type="character" w:styleId="1075" w:customStyle="1">
    <w:name w:val="标题 字符"/>
    <w:link w:val="865"/>
    <w:uiPriority w:val="0"/>
    <w:qFormat/>
    <w:rPr>
      <w:rFonts w:eastAsia="黑体"/>
      <w:b/>
      <w:sz w:val="32"/>
    </w:rPr>
  </w:style>
  <w:style w:type="character" w:styleId="1076" w:customStyle="1">
    <w:name w:val="diy Char Char"/>
    <w:link w:val="1077"/>
    <w:uiPriority w:val="0"/>
    <w:qFormat/>
    <w:rPr>
      <w:rFonts w:ascii="宋体" w:hAnsi="宋体" w:eastAsia="宋体"/>
      <w:sz w:val="24"/>
      <w:lang w:val="en-US" w:eastAsia="zh-CN"/>
    </w:rPr>
  </w:style>
  <w:style w:type="paragraph" w:styleId="1077" w:customStyle="1">
    <w:name w:val="diy"/>
    <w:basedOn w:val="817"/>
    <w:link w:val="1076"/>
    <w:uiPriority w:val="0"/>
    <w:qFormat/>
    <w:pPr>
      <w:ind w:firstLine="480"/>
      <w:spacing w:before="156" w:after="156" w:line="300" w:lineRule="auto"/>
      <w:tabs>
        <w:tab w:val="right" w:pos="9030" w:leader="middleDot"/>
      </w:tabs>
    </w:pPr>
    <w:rPr>
      <w:rFonts w:ascii="宋体" w:hAnsi="宋体"/>
      <w:sz w:val="24"/>
    </w:rPr>
  </w:style>
  <w:style w:type="character" w:styleId="1078" w:customStyle="1">
    <w:name w:val="Char Char Char Char Char Char Char Char Char"/>
    <w:link w:val="1079"/>
    <w:uiPriority w:val="0"/>
    <w:qFormat/>
    <w:rPr>
      <w:rFonts w:ascii="Tahoma" w:hAnsi="Tahoma" w:eastAsia="宋体"/>
      <w:sz w:val="24"/>
      <w:lang w:val="en-US" w:eastAsia="zh-CN" w:bidi="ar-SA"/>
    </w:rPr>
  </w:style>
  <w:style w:type="paragraph" w:styleId="1079" w:customStyle="1">
    <w:name w:val="Char Char Char Char Char Char Char"/>
    <w:basedOn w:val="817"/>
    <w:link w:val="1078"/>
    <w:uiPriority w:val="0"/>
    <w:qFormat/>
    <w:pPr>
      <w:ind w:firstLine="480"/>
      <w:spacing w:line="360" w:lineRule="auto"/>
    </w:pPr>
    <w:rPr>
      <w:rFonts w:ascii="Tahoma" w:hAnsi="Tahoma"/>
      <w:sz w:val="24"/>
    </w:rPr>
  </w:style>
  <w:style w:type="character" w:styleId="1080" w:customStyle="1">
    <w:name w:val="porttext"/>
    <w:uiPriority w:val="0"/>
    <w:qFormat/>
  </w:style>
  <w:style w:type="character" w:styleId="1081" w:customStyle="1">
    <w:name w:val="DIY文本正文 Char Char"/>
    <w:link w:val="1082"/>
    <w:uiPriority w:val="0"/>
    <w:qFormat/>
    <w:rPr>
      <w:rFonts w:ascii="长城仿宋" w:eastAsia="宋体"/>
      <w:sz w:val="24"/>
      <w:lang w:val="en-US" w:eastAsia="zh-CN"/>
    </w:rPr>
  </w:style>
  <w:style w:type="paragraph" w:styleId="1082" w:customStyle="1">
    <w:name w:val="DIY文本正文"/>
    <w:basedOn w:val="817"/>
    <w:link w:val="1081"/>
    <w:uiPriority w:val="0"/>
    <w:qFormat/>
    <w:pPr>
      <w:ind w:firstLine="454"/>
      <w:spacing w:line="300" w:lineRule="auto"/>
    </w:pPr>
    <w:rPr>
      <w:rFonts w:ascii="长城仿宋"/>
      <w:sz w:val="24"/>
    </w:rPr>
  </w:style>
  <w:style w:type="character" w:styleId="1083" w:customStyle="1">
    <w:name w:val="正文缩进 Char1"/>
    <w:uiPriority w:val="0"/>
    <w:qFormat/>
    <w:rPr>
      <w:rFonts w:eastAsia="楷体_GB2312"/>
      <w:sz w:val="24"/>
    </w:rPr>
  </w:style>
  <w:style w:type="paragraph" w:styleId="1084" w:customStyle="1">
    <w:name w:val="纯文本12"/>
    <w:basedOn w:val="817"/>
    <w:uiPriority w:val="0"/>
    <w:qFormat/>
    <w:rPr>
      <w:rFonts w:hint="eastAsia" w:ascii="宋体" w:hAnsi="Courier New" w:eastAsia="楷体_GB2312"/>
      <w:sz w:val="28"/>
    </w:rPr>
  </w:style>
  <w:style w:type="paragraph" w:styleId="1085" w:customStyle="1">
    <w:name w:val="font6"/>
    <w:basedOn w:val="817"/>
    <w:uiPriority w:val="0"/>
    <w:qFormat/>
    <w:pPr>
      <w:jc w:val="left"/>
      <w:spacing w:before="100" w:beforeAutospacing="1" w:after="100" w:afterAutospacing="1"/>
      <w:widowControl/>
    </w:pPr>
    <w:rPr>
      <w:rFonts w:hint="eastAsia" w:ascii="宋体" w:hAnsi="宋体"/>
      <w:sz w:val="20"/>
    </w:rPr>
  </w:style>
  <w:style w:type="paragraph" w:styleId="1086" w:customStyle="1">
    <w:name w:val="文档正文"/>
    <w:basedOn w:val="817"/>
    <w:uiPriority w:val="0"/>
    <w:qFormat/>
    <w:pPr>
      <w:ind w:firstLine="567"/>
      <w:spacing w:line="480" w:lineRule="atLeast"/>
    </w:pPr>
    <w:rPr>
      <w:rFonts w:ascii="长城仿宋"/>
      <w:sz w:val="24"/>
    </w:rPr>
  </w:style>
  <w:style w:type="paragraph" w:styleId="1087" w:customStyle="1">
    <w:name w:val="Char Char Char"/>
    <w:basedOn w:val="817"/>
    <w:uiPriority w:val="0"/>
    <w:qFormat/>
    <w:rPr>
      <w:rFonts w:ascii="Tahoma" w:hAnsi="Tahoma"/>
      <w:sz w:val="24"/>
    </w:rPr>
  </w:style>
  <w:style w:type="paragraph" w:styleId="1088" w:customStyle="1">
    <w:name w:val="H2]"/>
    <w:basedOn w:val="818"/>
    <w:uiPriority w:val="0"/>
    <w:qFormat/>
    <w:pPr>
      <w:jc w:val="both"/>
      <w:keepLines/>
      <w:spacing w:before="340" w:after="330" w:line="576" w:lineRule="auto"/>
      <w:tabs>
        <w:tab w:val="left" w:pos="405" w:leader="none"/>
      </w:tabs>
    </w:pPr>
    <w:rPr>
      <w:b/>
      <w:sz w:val="36"/>
    </w:rPr>
  </w:style>
  <w:style w:type="paragraph" w:styleId="1089" w:customStyle="1">
    <w:name w:val="目录 11"/>
    <w:basedOn w:val="817"/>
    <w:next w:val="817"/>
    <w:uiPriority w:val="39"/>
    <w:unhideWhenUsed/>
    <w:qFormat/>
    <w:pPr>
      <w:jc w:val="left"/>
      <w:spacing w:before="120" w:after="120"/>
      <w:tabs>
        <w:tab w:val="right" w:pos="8777" w:leader="dot"/>
      </w:tabs>
    </w:pPr>
    <w:rPr>
      <w:b/>
      <w:bCs/>
      <w:caps/>
      <w:sz w:val="20"/>
    </w:rPr>
  </w:style>
  <w:style w:type="paragraph" w:styleId="1090" w:customStyle="1">
    <w:name w:val="xl32"/>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091" w:customStyle="1">
    <w:name w:val="表格栏头"/>
    <w:basedOn w:val="1092"/>
    <w:next w:val="1092"/>
    <w:uiPriority w:val="0"/>
    <w:qFormat/>
    <w:rPr>
      <w:b/>
    </w:rPr>
  </w:style>
  <w:style w:type="paragraph" w:styleId="1092" w:customStyle="1">
    <w:name w:val="表格正文"/>
    <w:basedOn w:val="817"/>
    <w:uiPriority w:val="0"/>
    <w:qFormat/>
    <w:pPr>
      <w:ind w:hanging="108"/>
      <w:jc w:val="center"/>
      <w:spacing w:before="60" w:after="60" w:line="360" w:lineRule="auto"/>
      <w:widowControl/>
    </w:pPr>
    <w:rPr>
      <w:rFonts w:ascii="宋体" w:hAnsi="宋体"/>
      <w:color w:val="ff0000"/>
    </w:rPr>
  </w:style>
  <w:style w:type="paragraph" w:styleId="1093" w:customStyle="1">
    <w:name w:val="_Style 31"/>
    <w:basedOn w:val="817"/>
    <w:next w:val="845"/>
    <w:uiPriority w:val="0"/>
    <w:qFormat/>
    <w:rPr>
      <w:rFonts w:ascii="宋体" w:hAnsi="Courier New"/>
    </w:rPr>
  </w:style>
  <w:style w:type="paragraph" w:styleId="1094" w:customStyle="1">
    <w:name w:val="Plain Text2"/>
    <w:basedOn w:val="817"/>
    <w:uiPriority w:val="0"/>
    <w:qFormat/>
    <w:rPr>
      <w:rFonts w:hint="eastAsia" w:ascii="宋体" w:hAnsi="Courier New" w:eastAsia="楷体_GB2312"/>
      <w:sz w:val="28"/>
    </w:rPr>
  </w:style>
  <w:style w:type="paragraph" w:styleId="1095" w:customStyle="1">
    <w:name w:val="Command"/>
    <w:uiPriority w:val="0"/>
    <w:qFormat/>
    <w:pPr>
      <w:spacing w:before="160" w:after="160"/>
    </w:pPr>
    <w:rPr>
      <w:rFonts w:ascii="Arial" w:hAnsi="Arial" w:eastAsia="黑体" w:cs="Times New Roman"/>
      <w:sz w:val="21"/>
      <w:lang w:val="en-US" w:eastAsia="zh-CN" w:bidi="ar-SA"/>
    </w:rPr>
  </w:style>
  <w:style w:type="paragraph" w:styleId="1096" w:customStyle="1">
    <w:name w:val="版权"/>
    <w:basedOn w:val="817"/>
    <w:uiPriority w:val="0"/>
    <w:qFormat/>
    <w:pPr>
      <w:ind w:hanging="108"/>
      <w:jc w:val="center"/>
      <w:spacing w:before="120" w:line="400" w:lineRule="exact"/>
    </w:pPr>
    <w:rPr>
      <w:rFonts w:ascii="楷体_GB2312" w:hAnsi="Tahoma" w:eastAsia="楷体_GB2312"/>
      <w:b/>
      <w:sz w:val="24"/>
    </w:rPr>
  </w:style>
  <w:style w:type="paragraph" w:styleId="1097" w:customStyle="1">
    <w:name w:val="Char Char"/>
    <w:basedOn w:val="817"/>
    <w:uiPriority w:val="0"/>
    <w:qFormat/>
    <w:pPr>
      <w:jc w:val="left"/>
      <w:spacing w:after="160" w:line="240" w:lineRule="exact"/>
      <w:widowControl/>
    </w:pPr>
  </w:style>
  <w:style w:type="paragraph" w:styleId="1098" w:customStyle="1">
    <w:name w:val="Í¼ºÅ"/>
    <w:basedOn w:val="817"/>
    <w:uiPriority w:val="0"/>
    <w:qFormat/>
    <w:pPr>
      <w:jc w:val="center"/>
      <w:spacing w:after="210"/>
      <w:widowControl/>
    </w:pPr>
    <w:rPr>
      <w:rFonts w:ascii="宋体"/>
    </w:rPr>
  </w:style>
  <w:style w:type="paragraph" w:styleId="1099" w:customStyle="1">
    <w:name w:val="Plain Text11"/>
    <w:basedOn w:val="817"/>
    <w:uiPriority w:val="0"/>
    <w:qFormat/>
    <w:rPr>
      <w:rFonts w:ascii="宋体" w:hAnsi="Courier New" w:eastAsia="楷体_GB2312"/>
      <w:sz w:val="28"/>
    </w:rPr>
  </w:style>
  <w:style w:type="paragraph" w:styleId="1100" w:customStyle="1">
    <w:name w:val="新正文"/>
    <w:basedOn w:val="817"/>
    <w:uiPriority w:val="0"/>
    <w:qFormat/>
    <w:pPr>
      <w:ind w:firstLine="510"/>
      <w:spacing w:line="360" w:lineRule="auto"/>
    </w:pPr>
    <w:rPr>
      <w:rFonts w:eastAsia="仿宋_GB2312"/>
      <w:sz w:val="24"/>
    </w:rPr>
  </w:style>
  <w:style w:type="paragraph" w:styleId="1101" w:customStyle="1">
    <w:name w:val="Char Char1"/>
    <w:basedOn w:val="817"/>
    <w:uiPriority w:val="0"/>
    <w:qFormat/>
    <w:pPr>
      <w:jc w:val="left"/>
      <w:spacing w:after="160" w:line="240" w:lineRule="exact"/>
      <w:widowControl/>
    </w:pPr>
    <w:rPr>
      <w:sz w:val="24"/>
      <w:szCs w:val="24"/>
    </w:rPr>
  </w:style>
  <w:style w:type="paragraph" w:styleId="1102" w:customStyle="1">
    <w:name w:val="重点条目"/>
    <w:basedOn w:val="840"/>
    <w:next w:val="840"/>
    <w:uiPriority w:val="0"/>
    <w:qFormat/>
    <w:pPr>
      <w:spacing w:before="240" w:after="120" w:line="360" w:lineRule="auto"/>
      <w:widowControl/>
      <w:tabs>
        <w:tab w:val="clear" w:pos="5250" w:leader="none"/>
      </w:tabs>
    </w:pPr>
    <w:rPr>
      <w:rFonts w:ascii="宋体" w:eastAsia="楷体_GB2312"/>
      <w:b/>
      <w:spacing w:val="20"/>
    </w:rPr>
  </w:style>
  <w:style w:type="paragraph" w:styleId="1103" w:customStyle="1">
    <w:name w:val="Plain Text1"/>
    <w:basedOn w:val="817"/>
    <w:uiPriority w:val="0"/>
    <w:qFormat/>
    <w:rPr>
      <w:rFonts w:ascii="宋体" w:hAnsi="Courier New" w:eastAsia="楷体_GB2312"/>
      <w:sz w:val="26"/>
    </w:rPr>
  </w:style>
  <w:style w:type="paragraph" w:styleId="1104" w:customStyle="1">
    <w:name w:val="标书正文格式"/>
    <w:uiPriority w:val="0"/>
    <w:qFormat/>
    <w:pPr>
      <w:ind w:firstLine="200"/>
      <w:spacing w:line="360" w:lineRule="auto"/>
    </w:pPr>
    <w:rPr>
      <w:rFonts w:ascii="Calibri" w:hAnsi="Calibri" w:eastAsia="仿宋_GB2312" w:cs="Times New Roman"/>
      <w:sz w:val="28"/>
      <w:lang w:val="en-US" w:eastAsia="zh-CN" w:bidi="ar-SA"/>
    </w:rPr>
  </w:style>
  <w:style w:type="paragraph" w:styleId="1105" w:customStyle="1">
    <w:name w:val="Txt."/>
    <w:basedOn w:val="821"/>
    <w:uiPriority w:val="0"/>
    <w:qFormat/>
    <w:pPr>
      <w:ind w:left="0" w:firstLine="0"/>
      <w:keepLines/>
      <w:keepNext/>
      <w:spacing w:before="280" w:after="290" w:line="372" w:lineRule="auto"/>
    </w:pPr>
    <w:rPr>
      <w:rFonts w:ascii="Arial" w:hAnsi="Arial" w:eastAsia="黑体"/>
      <w:b/>
      <w:sz w:val="28"/>
      <w:u w:val="none"/>
    </w:rPr>
  </w:style>
  <w:style w:type="paragraph" w:styleId="1106" w:customStyle="1">
    <w:name w:val="纯文本111"/>
    <w:basedOn w:val="817"/>
    <w:uiPriority w:val="0"/>
    <w:qFormat/>
    <w:pPr>
      <w:jc w:val="left"/>
      <w:widowControl/>
    </w:pPr>
    <w:rPr>
      <w:rFonts w:ascii="宋体" w:hAnsi="Courier New" w:eastAsia="楷体_GB2312"/>
      <w:sz w:val="26"/>
    </w:rPr>
  </w:style>
  <w:style w:type="paragraph" w:styleId="1107" w:customStyle="1">
    <w:name w:val="正文文字1"/>
    <w:basedOn w:val="840"/>
    <w:uiPriority w:val="0"/>
    <w:qFormat/>
    <w:pPr>
      <w:ind w:firstLine="560"/>
      <w:spacing w:before="156" w:after="156" w:line="360" w:lineRule="auto"/>
      <w:tabs>
        <w:tab w:val="clear" w:pos="5250" w:leader="none"/>
      </w:tabs>
    </w:pPr>
    <w:rPr>
      <w:rFonts w:ascii="Arial" w:hAnsi="宋体"/>
      <w:sz w:val="24"/>
    </w:rPr>
  </w:style>
  <w:style w:type="paragraph" w:styleId="1108" w:customStyle="1">
    <w:name w:val="dit"/>
    <w:basedOn w:val="821"/>
    <w:uiPriority w:val="0"/>
    <w:qFormat/>
    <w:pPr>
      <w:ind w:left="0" w:firstLine="0"/>
      <w:keepLines/>
      <w:keepNext/>
      <w:spacing w:before="0" w:after="0" w:line="300" w:lineRule="auto"/>
    </w:pPr>
    <w:rPr>
      <w:b/>
      <w:u w:val="none"/>
    </w:rPr>
  </w:style>
  <w:style w:type="paragraph" w:styleId="1109" w:customStyle="1">
    <w:name w:val="信息标题2"/>
    <w:basedOn w:val="835"/>
    <w:next w:val="835"/>
    <w:uiPriority w:val="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10" w:customStyle="1">
    <w:name w:val="纯文本11"/>
    <w:basedOn w:val="817"/>
    <w:uiPriority w:val="0"/>
    <w:qFormat/>
    <w:rPr>
      <w:rFonts w:ascii="宋体" w:hAnsi="Courier New" w:eastAsia="楷体_GB2312"/>
      <w:sz w:val="28"/>
    </w:rPr>
  </w:style>
  <w:style w:type="paragraph" w:styleId="1111" w:customStyle="1">
    <w:name w:val="xl41"/>
    <w:basedOn w:val="817"/>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12" w:customStyle="1">
    <w:name w:val="标题2"/>
    <w:basedOn w:val="819"/>
    <w:uiPriority w:val="0"/>
    <w:qFormat/>
    <w:pPr>
      <w:ind w:left="0" w:firstLine="0"/>
      <w:keepLines/>
      <w:spacing w:before="78" w:after="78" w:line="440" w:lineRule="exact"/>
      <w:tabs>
        <w:tab w:val="left" w:pos="420" w:leader="none"/>
      </w:tabs>
    </w:pPr>
    <w:rPr>
      <w:sz w:val="32"/>
    </w:rPr>
  </w:style>
  <w:style w:type="paragraph" w:styleId="1113" w:customStyle="1">
    <w:name w:val="xl28"/>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4" w:customStyle="1">
    <w:name w:val="标题3"/>
    <w:basedOn w:val="817"/>
    <w:uiPriority w:val="0"/>
    <w:qFormat/>
    <w:pPr>
      <w:spacing w:before="78" w:after="78" w:line="300" w:lineRule="auto"/>
    </w:pPr>
    <w:rPr>
      <w:rFonts w:ascii="宋体" w:hAnsi="宋体"/>
      <w:b/>
      <w:sz w:val="28"/>
    </w:rPr>
  </w:style>
  <w:style w:type="paragraph" w:styleId="1115" w:customStyle="1">
    <w:name w:val="Table bold"/>
    <w:basedOn w:val="817"/>
    <w:uiPriority w:val="0"/>
    <w:qFormat/>
    <w:pPr>
      <w:ind w:left="420" w:hanging="420"/>
      <w:tabs>
        <w:tab w:val="left" w:pos="420" w:leader="none"/>
      </w:tabs>
    </w:pPr>
    <w:rPr>
      <w:rFonts w:ascii="宋体" w:hAnsi="宋体"/>
      <w:b/>
      <w:sz w:val="28"/>
    </w:rPr>
  </w:style>
  <w:style w:type="paragraph" w:styleId="1116" w:customStyle="1">
    <w:name w:val="xl34"/>
    <w:basedOn w:val="81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17" w:customStyle="1">
    <w:name w:val="_Style 29"/>
    <w:basedOn w:val="817"/>
    <w:next w:val="845"/>
    <w:uiPriority w:val="0"/>
    <w:qFormat/>
    <w:rPr>
      <w:rFonts w:ascii="宋体" w:hAnsi="Courier New"/>
    </w:rPr>
  </w:style>
  <w:style w:type="paragraph" w:styleId="1118" w:customStyle="1">
    <w:name w:val="目录 81"/>
    <w:basedOn w:val="817"/>
    <w:next w:val="817"/>
    <w:uiPriority w:val="39"/>
    <w:unhideWhenUsed/>
    <w:qFormat/>
    <w:pPr>
      <w:ind w:left="1470"/>
      <w:jc w:val="left"/>
    </w:pPr>
    <w:rPr>
      <w:sz w:val="18"/>
      <w:szCs w:val="18"/>
    </w:rPr>
  </w:style>
  <w:style w:type="paragraph" w:styleId="1119" w:customStyle="1">
    <w:name w:val="声明文字"/>
    <w:basedOn w:val="817"/>
    <w:uiPriority w:val="0"/>
    <w:qFormat/>
    <w:pPr>
      <w:ind w:hanging="108"/>
      <w:spacing w:before="60" w:after="240" w:line="400" w:lineRule="exact"/>
      <w:widowControl/>
    </w:pPr>
    <w:rPr>
      <w:rFonts w:eastAsia="楷体_GB2312"/>
      <w:sz w:val="24"/>
    </w:rPr>
  </w:style>
  <w:style w:type="paragraph" w:styleId="1120" w:customStyle="1">
    <w:name w:val="Table Art"/>
    <w:basedOn w:val="817"/>
    <w:next w:val="817"/>
    <w:uiPriority w:val="0"/>
    <w:qFormat/>
    <w:pPr>
      <w:jc w:val="left"/>
      <w:spacing w:before="40"/>
      <w:widowControl/>
    </w:pPr>
    <w:rPr>
      <w:rFonts w:eastAsia="PMingLiU"/>
      <w:sz w:val="20"/>
      <w:lang w:eastAsia="en-US"/>
    </w:rPr>
  </w:style>
  <w:style w:type="paragraph" w:styleId="1121" w:customStyle="1">
    <w:name w:val="È±Ê¡ÎÄ±¾"/>
    <w:basedOn w:val="817"/>
    <w:uiPriority w:val="0"/>
    <w:qFormat/>
    <w:pPr>
      <w:widowControl/>
    </w:pPr>
    <w:rPr>
      <w:sz w:val="24"/>
    </w:rPr>
  </w:style>
  <w:style w:type="paragraph" w:styleId="1122" w:customStyle="1">
    <w:name w:val="声明标题"/>
    <w:basedOn w:val="817"/>
    <w:uiPriority w:val="0"/>
    <w:qFormat/>
    <w:pPr>
      <w:ind w:hanging="108"/>
      <w:jc w:val="left"/>
      <w:spacing w:before="1680" w:after="600" w:line="400" w:lineRule="exact"/>
      <w:widowControl/>
    </w:pPr>
    <w:rPr>
      <w:rFonts w:ascii="Arial" w:hAnsi="Arial" w:eastAsia="黑体"/>
      <w:b/>
      <w:sz w:val="36"/>
    </w:rPr>
  </w:style>
  <w:style w:type="paragraph" w:styleId="1123" w:customStyle="1">
    <w:name w:val="列表内容"/>
    <w:basedOn w:val="817"/>
    <w:next w:val="817"/>
    <w:uiPriority w:val="0"/>
    <w:qFormat/>
    <w:pPr>
      <w:ind w:firstLine="200"/>
      <w:jc w:val="left"/>
      <w:widowControl/>
      <w:tabs>
        <w:tab w:val="left" w:pos="840" w:leader="none"/>
      </w:tabs>
    </w:pPr>
    <w:rPr>
      <w:sz w:val="18"/>
    </w:rPr>
  </w:style>
  <w:style w:type="paragraph" w:styleId="1124" w:customStyle="1">
    <w:name w:val="目录 51"/>
    <w:basedOn w:val="817"/>
    <w:next w:val="817"/>
    <w:uiPriority w:val="39"/>
    <w:unhideWhenUsed/>
    <w:qFormat/>
    <w:pPr>
      <w:ind w:left="840"/>
      <w:jc w:val="left"/>
    </w:pPr>
    <w:rPr>
      <w:sz w:val="18"/>
      <w:szCs w:val="18"/>
    </w:rPr>
  </w:style>
  <w:style w:type="paragraph" w:styleId="1125" w:customStyle="1">
    <w:name w:val="xl43"/>
    <w:basedOn w:val="817"/>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26" w:customStyle="1">
    <w:name w:val="条目1"/>
    <w:basedOn w:val="817"/>
    <w:uiPriority w:val="0"/>
    <w:qFormat/>
    <w:pPr>
      <w:ind w:left="425" w:hanging="425"/>
      <w:tabs>
        <w:tab w:val="left" w:pos="425" w:leader="none"/>
      </w:tabs>
    </w:pPr>
    <w:rPr>
      <w:rFonts w:ascii="宋体" w:hAnsi="Courier New"/>
      <w:color w:val="000000"/>
      <w:sz w:val="24"/>
    </w:rPr>
  </w:style>
  <w:style w:type="paragraph" w:styleId="1127" w:customStyle="1">
    <w:name w:val="table text"/>
    <w:basedOn w:val="817"/>
    <w:uiPriority w:val="0"/>
    <w:qFormat/>
    <w:pPr>
      <w:jc w:val="left"/>
      <w:spacing w:before="40" w:after="40" w:line="240" w:lineRule="atLeast"/>
      <w:widowControl/>
    </w:pPr>
    <w:rPr>
      <w:color w:val="000000"/>
      <w:sz w:val="20"/>
    </w:rPr>
  </w:style>
  <w:style w:type="paragraph" w:styleId="1128" w:customStyle="1">
    <w:name w:val="目录 31"/>
    <w:basedOn w:val="817"/>
    <w:next w:val="817"/>
    <w:uiPriority w:val="39"/>
    <w:unhideWhenUsed/>
    <w:qFormat/>
    <w:pPr>
      <w:ind w:left="420"/>
      <w:jc w:val="left"/>
    </w:pPr>
    <w:rPr>
      <w:i/>
      <w:iCs/>
      <w:sz w:val="20"/>
    </w:rPr>
  </w:style>
  <w:style w:type="paragraph" w:styleId="1129" w:customStyle="1">
    <w:name w:val="SRS标题2"/>
    <w:basedOn w:val="817"/>
    <w:uiPriority w:val="0"/>
    <w:qFormat/>
    <w:pPr>
      <w:ind w:left="431" w:hanging="431"/>
      <w:jc w:val="left"/>
      <w:spacing w:before="312"/>
      <w:widowControl/>
      <w:tabs>
        <w:tab w:val="left" w:pos="720" w:leader="none"/>
      </w:tabs>
      <w:outlineLvl w:val="1"/>
    </w:pPr>
    <w:rPr>
      <w:b/>
      <w:sz w:val="28"/>
    </w:rPr>
  </w:style>
  <w:style w:type="paragraph" w:styleId="1130" w:customStyle="1">
    <w:name w:val="P3"/>
    <w:uiPriority w:val="0"/>
    <w:qFormat/>
    <w:pPr>
      <w:ind w:left="2880" w:hanging="576"/>
      <w:jc w:val="both"/>
      <w:spacing w:after="240" w:line="0" w:lineRule="atLeast"/>
      <w:widowControl w:val="off"/>
    </w:pPr>
    <w:rPr>
      <w:rFonts w:ascii="Calibri" w:hAnsi="Calibri" w:eastAsia="全真中明體" w:cs="Times New Roman"/>
      <w:spacing w:val="30"/>
      <w:sz w:val="24"/>
      <w:lang w:val="en-GB" w:eastAsia="zh-TW" w:bidi="ar-SA"/>
    </w:rPr>
  </w:style>
  <w:style w:type="paragraph" w:styleId="1131" w:customStyle="1">
    <w:name w:val="Figure-1"/>
    <w:uiPriority w:val="0"/>
    <w:qFormat/>
    <w:pPr>
      <w:ind w:left="1304"/>
      <w:spacing w:after="156"/>
    </w:pPr>
    <w:rPr>
      <w:rFonts w:ascii="Arial" w:hAnsi="Arial" w:eastAsia="宋体" w:cs="Times New Roman"/>
      <w:color w:val="000000"/>
      <w:lang w:val="zh-CN" w:eastAsia="zh-CN" w:bidi="ar-SA"/>
    </w:rPr>
  </w:style>
  <w:style w:type="paragraph" w:styleId="1132" w:customStyle="1">
    <w:name w:val="标题1"/>
    <w:basedOn w:val="820"/>
    <w:uiPriority w:val="0"/>
    <w:qFormat/>
    <w:pPr>
      <w:jc w:val="center"/>
      <w:spacing w:before="78" w:after="78" w:line="300" w:lineRule="auto"/>
    </w:pPr>
    <w:rPr>
      <w:rFonts w:ascii="宋体" w:hAnsi="宋体"/>
      <w:sz w:val="44"/>
    </w:rPr>
  </w:style>
  <w:style w:type="paragraph" w:styleId="1133" w:customStyle="1">
    <w:name w:val="table"/>
    <w:basedOn w:val="817"/>
    <w:uiPriority w:val="0"/>
    <w:qFormat/>
    <w:pPr>
      <w:jc w:val="left"/>
      <w:spacing w:before="100" w:beforeAutospacing="1" w:after="100" w:afterAutospacing="1"/>
      <w:widowControl/>
    </w:pPr>
    <w:rPr>
      <w:rFonts w:ascii="宋体" w:hAnsi="宋体"/>
      <w:sz w:val="24"/>
    </w:rPr>
  </w:style>
  <w:style w:type="paragraph" w:styleId="1134" w:customStyle="1">
    <w:name w:val="纯文本4"/>
    <w:basedOn w:val="817"/>
    <w:uiPriority w:val="0"/>
    <w:qFormat/>
    <w:rPr>
      <w:rFonts w:ascii="宋体" w:hAnsi="Courier New" w:eastAsia="楷体_GB2312"/>
      <w:sz w:val="28"/>
    </w:rPr>
  </w:style>
  <w:style w:type="paragraph" w:styleId="1135" w:customStyle="1">
    <w:name w:val="Txt"/>
    <w:basedOn w:val="1105"/>
    <w:uiPriority w:val="0"/>
    <w:qFormat/>
  </w:style>
  <w:style w:type="paragraph" w:styleId="1136" w:customStyle="1">
    <w:name w:val="正文首行缩进2字"/>
    <w:basedOn w:val="817"/>
    <w:uiPriority w:val="0"/>
    <w:qFormat/>
    <w:pPr>
      <w:ind w:firstLine="567"/>
      <w:spacing w:before="100" w:beforeAutospacing="1" w:after="100" w:afterAutospacing="1"/>
    </w:pPr>
    <w:rPr>
      <w:rFonts w:eastAsia="楷体_GB2312"/>
      <w:sz w:val="28"/>
    </w:rPr>
  </w:style>
  <w:style w:type="paragraph" w:styleId="1137" w:customStyle="1">
    <w:name w:val="卜"/>
    <w:basedOn w:val="817"/>
    <w:uiPriority w:val="0"/>
    <w:qFormat/>
    <w:pPr>
      <w:spacing w:line="480" w:lineRule="exact"/>
    </w:pPr>
    <w:rPr>
      <w:b/>
      <w:sz w:val="24"/>
    </w:rPr>
  </w:style>
  <w:style w:type="paragraph" w:styleId="1138" w:customStyle="1">
    <w:name w:val="正文.表格"/>
    <w:basedOn w:val="817"/>
    <w:next w:val="817"/>
    <w:uiPriority w:val="0"/>
    <w:qFormat/>
    <w:pPr>
      <w:jc w:val="center"/>
      <w:widowControl/>
    </w:pPr>
    <w:rPr>
      <w:szCs w:val="24"/>
    </w:rPr>
  </w:style>
  <w:style w:type="paragraph" w:styleId="1139" w:customStyle="1">
    <w:name w:val="目录 71"/>
    <w:basedOn w:val="817"/>
    <w:next w:val="817"/>
    <w:uiPriority w:val="39"/>
    <w:unhideWhenUsed/>
    <w:qFormat/>
    <w:pPr>
      <w:ind w:left="1260"/>
      <w:jc w:val="left"/>
    </w:pPr>
    <w:rPr>
      <w:sz w:val="18"/>
      <w:szCs w:val="18"/>
    </w:rPr>
  </w:style>
  <w:style w:type="paragraph" w:styleId="1140" w:customStyle="1">
    <w:name w:val="目录 61"/>
    <w:basedOn w:val="817"/>
    <w:next w:val="817"/>
    <w:uiPriority w:val="39"/>
    <w:unhideWhenUsed/>
    <w:qFormat/>
    <w:pPr>
      <w:ind w:left="1050"/>
      <w:jc w:val="left"/>
    </w:pPr>
    <w:rPr>
      <w:sz w:val="18"/>
      <w:szCs w:val="18"/>
    </w:rPr>
  </w:style>
  <w:style w:type="paragraph" w:styleId="1141" w:customStyle="1">
    <w:name w:val="new"/>
    <w:basedOn w:val="817"/>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42" w:customStyle="1">
    <w:name w:val="目录 41"/>
    <w:basedOn w:val="817"/>
    <w:next w:val="817"/>
    <w:uiPriority w:val="39"/>
    <w:unhideWhenUsed/>
    <w:qFormat/>
    <w:pPr>
      <w:ind w:left="630"/>
      <w:jc w:val="left"/>
    </w:pPr>
    <w:rPr>
      <w:sz w:val="18"/>
      <w:szCs w:val="18"/>
    </w:rPr>
  </w:style>
  <w:style w:type="paragraph" w:styleId="1143" w:customStyle="1">
    <w:name w:val="符号列表"/>
    <w:basedOn w:val="817"/>
    <w:uiPriority w:val="0"/>
    <w:qFormat/>
    <w:pPr>
      <w:jc w:val="left"/>
      <w:spacing w:line="440" w:lineRule="exact"/>
      <w:widowControl/>
    </w:pPr>
    <w:rPr>
      <w:rFonts w:ascii="宋体" w:hAnsi="宋体"/>
      <w:color w:val="000000"/>
    </w:rPr>
  </w:style>
  <w:style w:type="paragraph" w:styleId="1144" w:customStyle="1">
    <w:name w:val="纯文本1"/>
    <w:basedOn w:val="817"/>
    <w:uiPriority w:val="0"/>
    <w:qFormat/>
    <w:rPr>
      <w:rFonts w:ascii="宋体" w:hAnsi="Courier New" w:eastAsia="楷体_GB2312"/>
      <w:sz w:val="28"/>
    </w:rPr>
  </w:style>
  <w:style w:type="paragraph" w:styleId="1145" w:customStyle="1">
    <w:name w:val="xl55"/>
    <w:basedOn w:val="81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46" w:customStyle="1">
    <w:name w:val="P1"/>
    <w:uiPriority w:val="0"/>
    <w:qFormat/>
    <w:pPr>
      <w:ind w:left="2304" w:hanging="576"/>
      <w:jc w:val="both"/>
      <w:spacing w:after="240" w:line="0" w:lineRule="atLeast"/>
      <w:widowControl w:val="off"/>
    </w:pPr>
    <w:rPr>
      <w:rFonts w:ascii="Calibri" w:hAnsi="Calibri" w:eastAsia="全真中明體" w:cs="Times New Roman"/>
      <w:spacing w:val="30"/>
      <w:sz w:val="24"/>
      <w:lang w:val="en-GB" w:eastAsia="zh-TW" w:bidi="ar-SA"/>
    </w:rPr>
  </w:style>
  <w:style w:type="paragraph" w:styleId="1147" w:customStyle="1">
    <w:name w:val="font7"/>
    <w:basedOn w:val="817"/>
    <w:uiPriority w:val="0"/>
    <w:qFormat/>
    <w:pPr>
      <w:jc w:val="left"/>
      <w:spacing w:before="100" w:beforeAutospacing="1" w:after="100" w:afterAutospacing="1"/>
      <w:widowControl/>
    </w:pPr>
    <w:rPr>
      <w:rFonts w:ascii="Verdana" w:hAnsi="Verdana"/>
      <w:sz w:val="20"/>
    </w:rPr>
  </w:style>
  <w:style w:type="paragraph" w:styleId="1148" w:customStyle="1">
    <w:name w:val="title1"/>
    <w:basedOn w:val="817"/>
    <w:uiPriority w:val="0"/>
    <w:qFormat/>
    <w:pPr>
      <w:ind w:left="960" w:hanging="240"/>
      <w:jc w:val="left"/>
      <w:tabs>
        <w:tab w:val="left" w:pos="719" w:leader="none"/>
      </w:tabs>
    </w:pPr>
    <w:rPr>
      <w:rFonts w:ascii="Wingdings" w:hAnsi="Wingdings" w:eastAsia="PMingLiU"/>
      <w:b/>
      <w:sz w:val="24"/>
      <w:lang w:eastAsia="zh-TW"/>
    </w:rPr>
  </w:style>
  <w:style w:type="paragraph" w:styleId="1149" w:customStyle="1">
    <w:name w:val="常规"/>
    <w:basedOn w:val="817"/>
    <w:uiPriority w:val="0"/>
    <w:qFormat/>
    <w:pPr>
      <w:ind w:left="1134" w:firstLine="420"/>
      <w:spacing w:before="100" w:after="100" w:line="300" w:lineRule="auto"/>
    </w:pPr>
    <w:rPr>
      <w:szCs w:val="21"/>
    </w:rPr>
  </w:style>
  <w:style w:type="paragraph" w:styleId="1150" w:customStyle="1">
    <w:name w:val="_Style 28"/>
    <w:basedOn w:val="817"/>
    <w:next w:val="845"/>
    <w:uiPriority w:val="0"/>
    <w:qFormat/>
    <w:rPr>
      <w:rFonts w:ascii="宋体" w:hAnsi="Courier New"/>
    </w:rPr>
  </w:style>
  <w:style w:type="paragraph" w:styleId="1151" w:customStyle="1">
    <w:name w:val="xl24"/>
    <w:basedOn w:val="81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52" w:customStyle="1">
    <w:name w:val="正文首行缩进1"/>
    <w:basedOn w:val="817"/>
    <w:uiPriority w:val="0"/>
    <w:qFormat/>
    <w:pPr>
      <w:ind w:firstLine="425"/>
      <w:spacing w:line="360" w:lineRule="auto"/>
    </w:pPr>
    <w:rPr>
      <w:sz w:val="24"/>
    </w:rPr>
  </w:style>
  <w:style w:type="paragraph" w:styleId="1153" w:customStyle="1">
    <w:name w:val="目录 91"/>
    <w:basedOn w:val="817"/>
    <w:next w:val="817"/>
    <w:uiPriority w:val="39"/>
    <w:unhideWhenUsed/>
    <w:qFormat/>
    <w:pPr>
      <w:ind w:left="1680"/>
      <w:jc w:val="left"/>
    </w:pPr>
    <w:rPr>
      <w:sz w:val="18"/>
      <w:szCs w:val="18"/>
    </w:rPr>
  </w:style>
  <w:style w:type="paragraph" w:styleId="1154" w:customStyle="1">
    <w:name w:val="样式7"/>
    <w:basedOn w:val="817"/>
    <w:uiPriority w:val="0"/>
    <w:qFormat/>
    <w:pPr>
      <w:ind w:firstLine="601"/>
      <w:spacing w:line="440" w:lineRule="atLeast"/>
    </w:pPr>
    <w:rPr>
      <w:rFonts w:ascii="宋体"/>
      <w:sz w:val="24"/>
    </w:rPr>
  </w:style>
  <w:style w:type="paragraph" w:styleId="1155" w:customStyle="1">
    <w:name w:val="word2"/>
    <w:basedOn w:val="817"/>
    <w:uiPriority w:val="0"/>
    <w:qFormat/>
    <w:pPr>
      <w:jc w:val="left"/>
      <w:spacing w:before="100" w:beforeAutospacing="1" w:after="100" w:afterAutospacing="1" w:line="348" w:lineRule="atLeast"/>
      <w:widowControl/>
    </w:pPr>
    <w:rPr>
      <w:rFonts w:ascii="宋体" w:hAnsi="宋体"/>
    </w:rPr>
  </w:style>
  <w:style w:type="paragraph" w:styleId="1156" w:customStyle="1">
    <w:name w:val="xl36"/>
    <w:basedOn w:val="817"/>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57" w:customStyle="1">
    <w:name w:val="目录 21"/>
    <w:basedOn w:val="817"/>
    <w:next w:val="817"/>
    <w:uiPriority w:val="39"/>
    <w:unhideWhenUsed/>
    <w:qFormat/>
    <w:pPr>
      <w:ind w:left="210"/>
      <w:jc w:val="left"/>
      <w:spacing w:line="360" w:lineRule="auto"/>
      <w:tabs>
        <w:tab w:val="right" w:pos="8777" w:leader="dot"/>
      </w:tabs>
    </w:pPr>
    <w:rPr>
      <w:smallCaps/>
      <w:sz w:val="20"/>
    </w:rPr>
  </w:style>
  <w:style w:type="paragraph" w:styleId="1158" w:customStyle="1">
    <w:name w:val="Char1"/>
    <w:basedOn w:val="817"/>
    <w:uiPriority w:val="0"/>
    <w:qFormat/>
    <w:pPr>
      <w:ind w:left="381" w:hanging="360"/>
      <w:tabs>
        <w:tab w:val="left" w:pos="381" w:leader="none"/>
      </w:tabs>
    </w:pPr>
    <w:rPr>
      <w:sz w:val="24"/>
      <w:szCs w:val="24"/>
    </w:rPr>
  </w:style>
  <w:style w:type="paragraph" w:styleId="1159" w:customStyle="1">
    <w:name w:val="_Style 27"/>
    <w:basedOn w:val="817"/>
    <w:next w:val="845"/>
    <w:uiPriority w:val="0"/>
    <w:qFormat/>
    <w:rPr>
      <w:rFonts w:ascii="宋体" w:hAnsi="Courier New"/>
    </w:rPr>
  </w:style>
  <w:style w:type="paragraph" w:styleId="1160" w:customStyle="1">
    <w:name w:val="List Bullet 1"/>
    <w:basedOn w:val="820"/>
    <w:uiPriority w:val="0"/>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161" w:customStyle="1">
    <w:name w:val="样式 图表 + 段后: 1 行"/>
    <w:basedOn w:val="817"/>
    <w:uiPriority w:val="0"/>
    <w:qFormat/>
    <w:pPr>
      <w:jc w:val="center"/>
      <w:keepNext/>
      <w:spacing w:after="312"/>
    </w:pPr>
    <w:rPr>
      <w:rFonts w:ascii="Arial" w:hAnsi="Arial"/>
      <w:b/>
      <w:color w:val="333333"/>
      <w:sz w:val="24"/>
    </w:rPr>
  </w:style>
  <w:style w:type="paragraph" w:styleId="1162" w:customStyle="1">
    <w:name w:val="xl39"/>
    <w:basedOn w:val="81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63" w:customStyle="1">
    <w:name w:val="xl37"/>
    <w:basedOn w:val="817"/>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64" w:customStyle="1">
    <w:name w:val="Char"/>
    <w:basedOn w:val="817"/>
    <w:uiPriority w:val="0"/>
    <w:qFormat/>
    <w:pPr>
      <w:ind w:left="381" w:hanging="360"/>
      <w:tabs>
        <w:tab w:val="left" w:pos="381" w:leader="none"/>
      </w:tabs>
    </w:pPr>
    <w:rPr>
      <w:sz w:val="24"/>
      <w:szCs w:val="24"/>
    </w:rPr>
  </w:style>
  <w:style w:type="paragraph" w:styleId="1165" w:customStyle="1">
    <w:name w:val="xl42"/>
    <w:basedOn w:val="817"/>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6" w:customStyle="1">
    <w:name w:val="标题5"/>
    <w:basedOn w:val="817"/>
    <w:uiPriority w:val="0"/>
    <w:qFormat/>
    <w:pPr>
      <w:spacing w:line="360" w:lineRule="auto"/>
    </w:pPr>
    <w:rPr>
      <w:sz w:val="24"/>
    </w:rPr>
  </w:style>
  <w:style w:type="paragraph" w:styleId="1167" w:customStyle="1">
    <w:name w:val="段"/>
    <w:next w:val="817"/>
    <w:link w:val="1201"/>
    <w:uiPriority w:val="0"/>
    <w:qFormat/>
    <w:pPr>
      <w:ind w:firstLine="200"/>
      <w:jc w:val="both"/>
    </w:pPr>
    <w:rPr>
      <w:rFonts w:ascii="Calibri" w:hAnsi="Calibri" w:eastAsia="Times New Roman" w:cs="Times New Roman"/>
      <w:sz w:val="21"/>
      <w:lang w:val="en-US" w:eastAsia="zh-CN" w:bidi="ar-SA"/>
    </w:rPr>
  </w:style>
  <w:style w:type="paragraph" w:styleId="1168" w:customStyle="1">
    <w:name w:val="Char1 Char Char Char Char Char Char"/>
    <w:basedOn w:val="817"/>
    <w:uiPriority w:val="0"/>
    <w:qFormat/>
    <w:rPr>
      <w:rFonts w:ascii="Tahoma" w:hAnsi="Tahoma"/>
      <w:sz w:val="24"/>
    </w:rPr>
  </w:style>
  <w:style w:type="paragraph" w:styleId="1169" w:customStyle="1">
    <w:name w:val="无缩进正文"/>
    <w:basedOn w:val="817"/>
    <w:uiPriority w:val="0"/>
    <w:qFormat/>
  </w:style>
  <w:style w:type="paragraph" w:styleId="1170" w:customStyle="1">
    <w:name w:val="样式1"/>
    <w:basedOn w:val="817"/>
    <w:next w:val="818"/>
    <w:uiPriority w:val="0"/>
    <w:qFormat/>
    <w:pPr>
      <w:jc w:val="center"/>
    </w:pPr>
    <w:rPr>
      <w:rFonts w:ascii="Arial" w:hAnsi="Arial"/>
      <w:sz w:val="24"/>
    </w:rPr>
  </w:style>
  <w:style w:type="paragraph" w:styleId="1171" w:customStyle="1">
    <w:name w:val="项目符号2"/>
    <w:basedOn w:val="817"/>
    <w:uiPriority w:val="0"/>
    <w:qFormat/>
    <w:pPr>
      <w:spacing w:line="360" w:lineRule="auto"/>
    </w:pPr>
    <w:rPr>
      <w:sz w:val="24"/>
    </w:rPr>
  </w:style>
  <w:style w:type="paragraph" w:styleId="1172" w:customStyle="1">
    <w:name w:val="规范正文"/>
    <w:basedOn w:val="817"/>
    <w:uiPriority w:val="0"/>
    <w:qFormat/>
    <w:pPr>
      <w:ind w:left="480"/>
      <w:spacing w:line="360" w:lineRule="auto"/>
    </w:pPr>
    <w:rPr>
      <w:sz w:val="24"/>
    </w:rPr>
  </w:style>
  <w:style w:type="paragraph" w:styleId="1173" w:customStyle="1">
    <w:name w:val="Char Char Char Char Char Char Char Char Char Char Char Char Char Char Char Char"/>
    <w:basedOn w:val="817"/>
    <w:uiPriority w:val="0"/>
    <w:qFormat/>
    <w:rPr>
      <w:rFonts w:ascii="Tahoma" w:hAnsi="Tahoma" w:eastAsia="仿宋_GB2312"/>
      <w:color w:val="000000"/>
      <w:sz w:val="24"/>
    </w:rPr>
  </w:style>
  <w:style w:type="paragraph" w:styleId="1174" w:customStyle="1">
    <w:name w:val="表格"/>
    <w:basedOn w:val="817"/>
    <w:uiPriority w:val="0"/>
    <w:qFormat/>
    <w:pPr>
      <w:ind w:firstLine="42"/>
    </w:pPr>
    <w:rPr>
      <w:rFonts w:ascii="宋体" w:hAnsi="宋体"/>
      <w:sz w:val="20"/>
    </w:rPr>
  </w:style>
  <w:style w:type="paragraph" w:styleId="1175" w:customStyle="1">
    <w:name w:val="Normal 12 after"/>
    <w:basedOn w:val="817"/>
    <w:uiPriority w:val="0"/>
    <w:qFormat/>
    <w:pPr>
      <w:ind w:left="720"/>
      <w:spacing w:after="120"/>
      <w:widowControl/>
    </w:pPr>
    <w:rPr>
      <w:rFonts w:ascii="Century Schoolbook" w:hAnsi="Century Schoolbook"/>
      <w:color w:val="000000"/>
      <w:sz w:val="20"/>
    </w:rPr>
  </w:style>
  <w:style w:type="paragraph" w:styleId="1176" w:customStyle="1">
    <w:name w:val="font5"/>
    <w:basedOn w:val="817"/>
    <w:uiPriority w:val="0"/>
    <w:qFormat/>
    <w:pPr>
      <w:jc w:val="left"/>
      <w:spacing w:before="100" w:beforeAutospacing="1" w:after="100" w:afterAutospacing="1"/>
      <w:widowControl/>
    </w:pPr>
    <w:rPr>
      <w:rFonts w:hint="eastAsia" w:ascii="宋体" w:hAnsi="宋体"/>
      <w:sz w:val="18"/>
    </w:rPr>
  </w:style>
  <w:style w:type="paragraph" w:styleId="1177" w:customStyle="1">
    <w:name w:val="xl30"/>
    <w:basedOn w:val="8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8" w:customStyle="1">
    <w:name w:val="xl38"/>
    <w:basedOn w:val="817"/>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179" w:customStyle="1">
    <w:name w:val="Table Text"/>
    <w:basedOn w:val="817"/>
    <w:next w:val="817"/>
    <w:uiPriority w:val="0"/>
    <w:qFormat/>
    <w:pPr>
      <w:jc w:val="left"/>
      <w:keepNext/>
      <w:spacing w:before="40" w:after="40"/>
      <w:widowControl/>
    </w:pPr>
    <w:rPr>
      <w:rFonts w:ascii="Arial" w:hAnsi="Arial" w:eastAsia="PMingLiU"/>
      <w:sz w:val="18"/>
    </w:rPr>
  </w:style>
  <w:style w:type="paragraph" w:styleId="1180" w:customStyle="1">
    <w:name w:val="BodyText1"/>
    <w:basedOn w:val="817"/>
    <w:uiPriority w:val="0"/>
    <w:qFormat/>
    <w:pPr>
      <w:spacing w:before="120" w:after="120" w:line="360" w:lineRule="auto"/>
      <w:widowControl/>
    </w:pPr>
    <w:rPr>
      <w:rFonts w:ascii="宋体"/>
      <w:sz w:val="28"/>
    </w:rPr>
  </w:style>
  <w:style w:type="paragraph" w:styleId="1181" w:customStyle="1">
    <w:name w:val="xl35"/>
    <w:basedOn w:val="817"/>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182" w:customStyle="1">
    <w:name w:val="表格标题"/>
    <w:basedOn w:val="1092"/>
    <w:uiPriority w:val="0"/>
    <w:qFormat/>
    <w:pPr>
      <w:ind w:firstLine="0"/>
      <w:spacing w:before="0" w:after="0" w:line="240" w:lineRule="atLeast"/>
      <w:widowControl w:val="off"/>
    </w:pPr>
    <w:rPr>
      <w:rFonts w:ascii="Times New Roman" w:hAnsi="Times New Roman" w:eastAsia="楷体_GB2312"/>
      <w:b/>
    </w:rPr>
  </w:style>
  <w:style w:type="paragraph" w:styleId="1183" w:customStyle="1">
    <w:name w:val="xl29"/>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84" w:customStyle="1">
    <w:name w:val="xl40"/>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5" w:customStyle="1">
    <w:name w:val="xl33"/>
    <w:basedOn w:val="81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186" w:customStyle="1">
    <w:name w:val="正文 New New New New"/>
    <w:uiPriority w:val="0"/>
    <w:qFormat/>
    <w:pPr>
      <w:jc w:val="both"/>
      <w:widowControl w:val="off"/>
    </w:pPr>
    <w:rPr>
      <w:rFonts w:ascii="Calibri" w:hAnsi="Calibri" w:eastAsia="宋体" w:cs="Times New Roman"/>
      <w:sz w:val="21"/>
      <w:szCs w:val="24"/>
      <w:lang w:val="en-US" w:eastAsia="zh-CN" w:bidi="ar-SA"/>
    </w:rPr>
  </w:style>
  <w:style w:type="paragraph" w:styleId="1187" w:customStyle="1">
    <w:name w:val="xl27"/>
    <w:basedOn w:val="817"/>
    <w:uiPriority w:val="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88" w:customStyle="1">
    <w:name w:val="xl31"/>
    <w:basedOn w:val="81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89" w:customStyle="1">
    <w:name w:val="小标题"/>
    <w:basedOn w:val="817"/>
    <w:uiPriority w:val="0"/>
    <w:qFormat/>
    <w:pPr>
      <w:spacing w:line="360" w:lineRule="auto"/>
    </w:pPr>
    <w:rPr>
      <w:rFonts w:ascii="宋体" w:hAnsi="Arial"/>
      <w:b/>
    </w:rPr>
  </w:style>
  <w:style w:type="paragraph" w:styleId="1190" w:customStyle="1">
    <w:name w:val="表正文"/>
    <w:basedOn w:val="817"/>
    <w:next w:val="817"/>
    <w:uiPriority w:val="0"/>
    <w:qFormat/>
    <w:rPr>
      <w:sz w:val="24"/>
    </w:rPr>
  </w:style>
  <w:style w:type="paragraph" w:styleId="1191" w:customStyle="1">
    <w:name w:val="cntrt"/>
    <w:basedOn w:val="817"/>
    <w:uiPriority w:val="0"/>
    <w:qFormat/>
    <w:pPr>
      <w:jc w:val="left"/>
      <w:widowControl/>
    </w:pPr>
    <w:rPr>
      <w:rFonts w:ascii="Arial" w:hAnsi="Arial" w:cs="Arial"/>
      <w:sz w:val="20"/>
      <w:lang w:val="en-AU"/>
    </w:rPr>
  </w:style>
  <w:style w:type="paragraph" w:styleId="1192" w:customStyle="1">
    <w:name w:val="_Style 30"/>
    <w:basedOn w:val="817"/>
    <w:next w:val="845"/>
    <w:uiPriority w:val="0"/>
    <w:qFormat/>
    <w:rPr>
      <w:rFonts w:ascii="宋体" w:hAnsi="Courier New"/>
    </w:rPr>
  </w:style>
  <w:style w:type="paragraph" w:styleId="1193" w:customStyle="1">
    <w:name w:val="xl26"/>
    <w:basedOn w:val="81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94" w:customStyle="1">
    <w:name w:val="+标题1"/>
    <w:basedOn w:val="818"/>
    <w:uiPriority w:val="0"/>
    <w:qFormat/>
    <w:pPr>
      <w:jc w:val="center"/>
      <w:keepNext w:val="0"/>
      <w:pageBreakBefore/>
      <w:spacing w:before="240" w:after="240" w:line="360" w:lineRule="auto"/>
      <w:tabs>
        <w:tab w:val="left" w:pos="405" w:leader="none"/>
      </w:tabs>
    </w:pPr>
    <w:rPr>
      <w:rFonts w:ascii="宋体" w:hAnsi="宋体"/>
      <w:color w:val="000000"/>
      <w:sz w:val="36"/>
    </w:rPr>
  </w:style>
  <w:style w:type="paragraph" w:styleId="1195" w:customStyle="1">
    <w:name w:val="SRS标题1"/>
    <w:basedOn w:val="817"/>
    <w:uiPriority w:val="0"/>
    <w:qFormat/>
    <w:pPr>
      <w:ind w:left="432" w:hanging="432"/>
      <w:jc w:val="left"/>
      <w:spacing w:before="468" w:after="156"/>
      <w:widowControl/>
      <w:tabs>
        <w:tab w:val="left" w:pos="432" w:leader="none"/>
      </w:tabs>
      <w:outlineLvl w:val="0"/>
    </w:pPr>
    <w:rPr>
      <w:b/>
      <w:sz w:val="32"/>
    </w:rPr>
  </w:style>
  <w:style w:type="paragraph" w:styleId="1196" w:customStyle="1">
    <w:name w:val="xl25"/>
    <w:basedOn w:val="81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97" w:customStyle="1">
    <w:name w:val="样式SZA"/>
    <w:basedOn w:val="840"/>
    <w:uiPriority w:val="0"/>
    <w:qFormat/>
    <w:pPr>
      <w:ind w:left="660" w:hanging="660"/>
      <w:jc w:val="left"/>
      <w:spacing w:after="220" w:line="220" w:lineRule="atLeast"/>
      <w:widowControl/>
      <w:tabs>
        <w:tab w:val="left" w:pos="660" w:leader="none"/>
      </w:tabs>
    </w:pPr>
    <w:rPr>
      <w:sz w:val="21"/>
    </w:rPr>
  </w:style>
  <w:style w:type="character" w:styleId="1198" w:customStyle="1">
    <w:name w:val="正文缩进 字符1"/>
    <w:uiPriority w:val="0"/>
    <w:qFormat/>
    <w:rPr>
      <w:rFonts w:ascii="Calibri" w:hAnsi="Calibri" w:eastAsia="楷体_GB2312"/>
      <w:sz w:val="24"/>
    </w:rPr>
  </w:style>
  <w:style w:type="table" w:styleId="1199" w:customStyle="1">
    <w:name w:val="网格型1"/>
    <w:basedOn w:val="828"/>
    <w:uiPriority w:val="59"/>
    <w:qFormat/>
    <w:rPr>
      <w:rFonts w:ascii="Times New Roman" w:hAnsi="Times New Roman"/>
    </w:rPr>
    <w:tblPr/>
  </w:style>
  <w:style w:type="character" w:styleId="1200" w:customStyle="1">
    <w:name w:val="正文文本 2 字符"/>
    <w:link w:val="863"/>
    <w:uiPriority w:val="0"/>
    <w:qFormat/>
    <w:rPr>
      <w:rFonts w:ascii="宋体" w:hAnsi="宋体"/>
      <w:sz w:val="24"/>
    </w:rPr>
  </w:style>
  <w:style w:type="character" w:styleId="1201" w:customStyle="1">
    <w:name w:val="段 Char"/>
    <w:link w:val="1167"/>
    <w:uiPriority w:val="0"/>
    <w:qFormat/>
    <w:rPr>
      <w:rFonts w:eastAsia="Times New Roman"/>
      <w:sz w:val="21"/>
    </w:rPr>
  </w:style>
  <w:style w:type="paragraph" w:styleId="1202" w:customStyle="1">
    <w:name w:val="MSG_EN_FONT_STYLE_NAME_TEMPLATE_ROLE_NUMBER MSG_EN_FONT_STYLE_NAME_BY_ROLE_TEXT 2"/>
    <w:basedOn w:val="817"/>
    <w:uiPriority w:val="0"/>
    <w:qFormat/>
    <w:pPr>
      <w:spacing w:line="600" w:lineRule="exact"/>
      <w:shd w:val="clear" w:color="auto" w:fill="ffffff"/>
    </w:pPr>
    <w:rPr>
      <w:rFonts w:ascii="PMingLiU" w:hAnsi="PMingLiU" w:eastAsia="PMingLiU" w:cs="PMingLiU"/>
      <w:sz w:val="28"/>
      <w:szCs w:val="28"/>
    </w:rPr>
  </w:style>
  <w:style w:type="paragraph" w:styleId="1203" w:customStyle="1">
    <w:name w:val="修订1"/>
    <w:hidden/>
    <w:uiPriority w:val="99"/>
    <w:semiHidden/>
    <w:qFormat/>
    <w:rPr>
      <w:rFonts w:ascii="Calibri" w:hAnsi="Calibri" w:eastAsia="宋体" w:cs="Times New Roman"/>
      <w:sz w:val="21"/>
      <w:lang w:val="en-US" w:eastAsia="zh-CN" w:bidi="ar-SA"/>
    </w:rPr>
  </w:style>
  <w:style w:type="paragraph" w:styleId="1204" w:customStyle="1">
    <w:name w:val="Revision"/>
    <w:hidden/>
    <w:uiPriority w:val="99"/>
    <w:unhideWhenUsed/>
    <w:rPr>
      <w:rFonts w:ascii="Calibri" w:hAnsi="Calibri" w:eastAsia="宋体" w:cs="Times New Roman"/>
      <w:sz w:val="21"/>
      <w:lang w:val="en-US" w:eastAsia="zh-CN" w:bidi="ar-SA"/>
    </w:rPr>
  </w:style>
  <w:style w:type="numbering" w:styleId="12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B329C-0D98-4F5C-A3A1-36C61E9531D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林茂东</cp:lastModifiedBy>
  <cp:revision>24</cp:revision>
  <dcterms:created xsi:type="dcterms:W3CDTF">2025-08-07T02:23:00Z</dcterms:created>
  <dcterms:modified xsi:type="dcterms:W3CDTF">2026-10-28T06:21:17Z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eyJoZGlkIjoiMzQwYzVjY2ZkM2FhYjYwYmRlMDk0NjkyZjgyZTk5MDEiLCJ1c2VySWQiOiIzNzcyNDYyMDgifQ==</vt:lpwstr>
  </property>
  <property fmtid="{D5CDD505-2E9C-101B-9397-08002B2CF9AE}" pid="3" name="KSOProductBuildVer">
    <vt:lpwstr>2052-12.1.0.29680</vt:lpwstr>
  </property>
  <property fmtid="{D5CDD505-2E9C-101B-9397-08002B2CF9AE}" pid="4" name="ICV">
    <vt:lpwstr>D97081680B844071AAF88FCAC980FE79_12</vt:lpwstr>
  </property>
</Properties>
</file>