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项目名称：灌云县临港产业区2026-2028年度环境在线</w:t>
      </w:r>
      <w:r/>
    </w:p>
    <w:p>
      <w:pPr>
        <w:ind w:firstLine="1606"/>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监测设备运维项目</w:t>
      </w:r>
      <w:r/>
    </w:p>
    <w:p>
      <w:pPr>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sz w:val="32"/>
          <w:szCs w:val="24"/>
          <w:highlight w:val="none"/>
        </w:rPr>
        <w:t xml:space="preserve">项目编号：</w:t>
      </w:r>
      <w:r>
        <w:rPr>
          <w:rFonts w:hint="eastAsia" w:ascii="宋体" w:hAnsi="宋体" w:eastAsia="宋体" w:cs="宋体"/>
          <w:b/>
          <w:bCs/>
          <w:sz w:val="32"/>
          <w:szCs w:val="24"/>
          <w:highlight w:val="none"/>
          <w:lang w:val="en-US" w:eastAsia="zh-CN"/>
        </w:rPr>
        <w:t xml:space="preserve">JSZC-320723-JSZR-G2026-0078 </w:t>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center"/>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left"/>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ind w:firstLine="912"/>
        <w:spacing w:line="600" w:lineRule="auto"/>
        <w:rPr>
          <w:rFonts w:hint="eastAsia" w:ascii="宋体" w:hAnsi="宋体" w:eastAsia="宋体" w:cs="Times New Roman"/>
          <w:bCs/>
          <w:color w:val="auto"/>
          <w:sz w:val="32"/>
          <w:szCs w:val="32"/>
          <w:highlight w:val="none"/>
          <w:lang w:eastAsia="zh-CN"/>
        </w:rPr>
      </w:pPr>
      <w:r>
        <w:rPr>
          <w:rFonts w:hint="eastAsia" w:ascii="宋体" w:hAnsi="宋体" w:eastAsia="宋体" w:cs="Times New Roman"/>
          <w:bCs/>
          <w:color w:val="auto"/>
          <w:sz w:val="32"/>
          <w:szCs w:val="32"/>
          <w:highlight w:val="none"/>
        </w:rPr>
        <w:t xml:space="preserve">采   购   人：</w:t>
      </w:r>
      <w:r>
        <w:rPr>
          <w:rFonts w:hint="eastAsia" w:ascii="宋体" w:hAnsi="宋体" w:eastAsia="宋体" w:cs="Times New Roman"/>
          <w:bCs/>
          <w:color w:val="auto"/>
          <w:sz w:val="32"/>
          <w:szCs w:val="32"/>
          <w:highlight w:val="none"/>
          <w:lang w:eastAsia="zh-CN"/>
        </w:rPr>
        <w:t xml:space="preserve">江苏灌云海洋经济开发区管理办公室</w:t>
      </w:r>
      <w:r/>
    </w:p>
    <w:p>
      <w:pPr>
        <w:ind w:firstLine="912"/>
        <w:spacing w:line="600" w:lineRule="auto"/>
        <w:rPr>
          <w:rFonts w:ascii="宋体" w:hAnsi="宋体" w:eastAsia="宋体" w:cs="Times New Roman"/>
          <w:bCs/>
          <w:color w:val="auto"/>
          <w:sz w:val="32"/>
          <w:szCs w:val="32"/>
          <w:highlight w:val="none"/>
        </w:rPr>
      </w:pPr>
      <w:r>
        <w:rPr>
          <w:rFonts w:hint="eastAsia" w:ascii="宋体" w:hAnsi="宋体" w:eastAsia="宋体" w:cs="Times New Roman"/>
          <w:bCs/>
          <w:color w:val="auto"/>
          <w:sz w:val="32"/>
          <w:szCs w:val="32"/>
          <w:highlight w:val="none"/>
        </w:rPr>
        <w:t xml:space="preserve">采购代理机构：江苏中瑞建设项目管理有限公司</w:t>
      </w:r>
      <w:r/>
    </w:p>
    <w:p>
      <w:pPr>
        <w:ind w:firstLine="0"/>
        <w:jc w:val="center"/>
        <w:spacing w:before="120" w:after="120" w:line="600" w:lineRule="auto"/>
        <w:widowControl w:val="off"/>
        <w:rPr>
          <w:rFonts w:ascii="Arial" w:hAnsi="Arial" w:eastAsia="宋体" w:cs="Times New Roman"/>
          <w:b/>
          <w:bCs/>
          <w:color w:val="auto"/>
          <w:sz w:val="32"/>
          <w:szCs w:val="24"/>
          <w:highlight w:val="none"/>
          <w:lang w:val="en-US" w:eastAsia="zh-CN" w:bidi="ar-SA"/>
        </w:rPr>
      </w:pPr>
      <w:r>
        <w:rPr>
          <w:rFonts w:hint="eastAsia" w:ascii="宋体" w:hAnsi="宋体" w:eastAsia="宋体" w:cs="宋体"/>
          <w:bCs/>
          <w:color w:val="auto"/>
          <w:sz w:val="32"/>
          <w:szCs w:val="32"/>
          <w:highlight w:val="none"/>
          <w:lang w:val="en-US" w:eastAsia="zh-CN" w:bidi="ar-SA"/>
        </w:rPr>
        <w:t xml:space="preserve">2026年</w:t>
      </w:r>
      <w:r>
        <w:rPr>
          <w:rFonts w:hint="eastAsia" w:ascii="宋体" w:hAnsi="宋体" w:cs="宋体"/>
          <w:bCs/>
          <w:color w:val="auto"/>
          <w:sz w:val="32"/>
          <w:szCs w:val="32"/>
          <w:highlight w:val="none"/>
          <w:lang w:val="en-US" w:eastAsia="zh-CN" w:bidi="ar-SA"/>
        </w:rPr>
        <w:t xml:space="preserve">10</w:t>
      </w:r>
      <w:r>
        <w:rPr>
          <w:rFonts w:hint="eastAsia" w:ascii="宋体" w:hAnsi="宋体" w:eastAsia="宋体" w:cs="宋体"/>
          <w:bCs/>
          <w:color w:val="auto"/>
          <w:sz w:val="32"/>
          <w:szCs w:val="32"/>
          <w:highlight w:val="none"/>
          <w:lang w:val="en-US" w:eastAsia="zh-CN" w:bidi="ar-SA"/>
        </w:rPr>
        <w:t xml:space="preserve">月</w:t>
      </w:r>
      <w:r/>
    </w:p>
    <w:p>
      <w:pPr>
        <w:jc w:val="both"/>
        <w:spacing w:before="120" w:after="120" w:line="480" w:lineRule="auto"/>
        <w:rPr>
          <w:rFonts w:ascii="宋体" w:hAnsi="宋体"/>
          <w:sz w:val="24"/>
          <w:highlight w:val="none"/>
        </w:rPr>
      </w:pPr>
      <w:r>
        <w:rPr>
          <w:highlight w:val="none"/>
        </w:rPr>
        <w:br w:type="page" w:clear="all"/>
      </w:r>
      <w:r>
        <w:rPr>
          <w:rFonts w:ascii="宋体" w:hAnsi="宋体"/>
          <w:sz w:val="24"/>
          <w:highlight w:val="none"/>
        </w:rPr>
        <w:fldChar w:fldCharType="begin"/>
      </w:r>
      <w:r>
        <w:rPr>
          <w:rFonts w:ascii="宋体" w:hAnsi="宋体"/>
          <w:sz w:val="24"/>
          <w:highlight w:val="none"/>
        </w:rPr>
        <w:instrText xml:space="preserve"> TOC \o "1-1" \u </w:instrText>
      </w:r>
      <w:r>
        <w:rPr>
          <w:rFonts w:ascii="宋体" w:hAnsi="宋体"/>
          <w:sz w:val="24"/>
          <w:highlight w:val="none"/>
        </w:rPr>
        <w:fldChar w:fldCharType="separate"/>
      </w:r>
      <w:r/>
    </w:p>
    <w:p>
      <w:pPr>
        <w:pStyle w:val="733"/>
        <w:rPr>
          <w:b w:val="0"/>
          <w:highlight w:val="none"/>
        </w:rPr>
      </w:pPr>
      <w:r>
        <w:rPr>
          <w:rFonts w:hint="eastAsia"/>
          <w:b w:val="0"/>
          <w:highlight w:val="none"/>
        </w:rPr>
        <w:t xml:space="preserve">目  录</w:t>
      </w:r>
      <w:r/>
    </w:p>
    <w:p>
      <w:pPr>
        <w:pStyle w:val="733"/>
        <w:rPr>
          <w:highlight w:val="none"/>
        </w:rPr>
      </w:pPr>
      <w:r>
        <w:rPr>
          <w:highlight w:val="none"/>
        </w:rPr>
      </w:r>
      <w:r/>
    </w:p>
    <w:p>
      <w:pPr>
        <w:pStyle w:val="733"/>
        <w:rPr>
          <w:b w:val="0"/>
          <w:sz w:val="32"/>
          <w:highlight w:val="none"/>
        </w:rPr>
      </w:pPr>
      <w:r>
        <w:rPr>
          <w:rFonts w:hint="eastAsia"/>
          <w:b w:val="0"/>
          <w:sz w:val="32"/>
          <w:highlight w:val="none"/>
        </w:rPr>
        <w:t xml:space="preserve">第一章</w:t>
      </w:r>
      <w:r>
        <w:rPr>
          <w:b w:val="0"/>
          <w:sz w:val="32"/>
          <w:highlight w:val="none"/>
        </w:rPr>
        <w:t xml:space="preserve">  </w:t>
      </w:r>
      <w:r>
        <w:rPr>
          <w:rFonts w:hint="eastAsia"/>
          <w:b w:val="0"/>
          <w:sz w:val="32"/>
          <w:highlight w:val="none"/>
        </w:rPr>
        <w:t xml:space="preserve">投标邀请</w:t>
      </w:r>
      <w:r>
        <w:rPr>
          <w:rFonts w:hint="eastAsia"/>
          <w:b w:val="0"/>
          <w:sz w:val="32"/>
          <w:highlight w:val="none"/>
          <w:lang w:val="en-US" w:eastAsia="zh-CN"/>
        </w:rPr>
        <w:t xml:space="preserve">.....................................................................</w:t>
      </w:r>
      <w:r>
        <w:rPr>
          <w:b w:val="0"/>
          <w:sz w:val="32"/>
          <w:highlight w:val="none"/>
        </w:rPr>
        <w:fldChar w:fldCharType="begin"/>
      </w:r>
      <w:r>
        <w:rPr>
          <w:b w:val="0"/>
          <w:sz w:val="32"/>
          <w:highlight w:val="none"/>
        </w:rPr>
        <w:instrText xml:space="preserve"> PAGEREF _Toc163482573 \h </w:instrText>
      </w:r>
      <w:r>
        <w:rPr>
          <w:b w:val="0"/>
          <w:sz w:val="32"/>
          <w:highlight w:val="none"/>
        </w:rPr>
        <w:fldChar w:fldCharType="separate"/>
      </w:r>
      <w:r>
        <w:rPr>
          <w:b w:val="0"/>
          <w:sz w:val="32"/>
          <w:highlight w:val="none"/>
        </w:rPr>
        <w:t xml:space="preserve">1</w:t>
      </w:r>
      <w:r>
        <w:rPr>
          <w:b w:val="0"/>
          <w:sz w:val="32"/>
          <w:highlight w:val="none"/>
        </w:rPr>
        <w:fldChar w:fldCharType="end"/>
      </w:r>
      <w:r/>
    </w:p>
    <w:p>
      <w:pPr>
        <w:pStyle w:val="733"/>
        <w:rPr>
          <w:b w:val="0"/>
          <w:sz w:val="32"/>
          <w:highlight w:val="none"/>
        </w:rPr>
      </w:pPr>
      <w:r>
        <w:rPr>
          <w:rFonts w:hint="eastAsia"/>
          <w:b w:val="0"/>
          <w:sz w:val="32"/>
          <w:highlight w:val="none"/>
        </w:rPr>
        <w:t xml:space="preserve">第二章</w:t>
      </w:r>
      <w:r>
        <w:rPr>
          <w:b w:val="0"/>
          <w:sz w:val="32"/>
          <w:highlight w:val="none"/>
        </w:rPr>
        <w:t xml:space="preserve">  </w:t>
      </w:r>
      <w:r>
        <w:rPr>
          <w:rFonts w:hint="eastAsia"/>
          <w:b w:val="0"/>
          <w:sz w:val="32"/>
          <w:highlight w:val="none"/>
        </w:rPr>
        <w:t xml:space="preserve">投标人须知</w:t>
      </w:r>
      <w:r>
        <w:rPr>
          <w:rFonts w:hint="eastAsia"/>
          <w:b w:val="0"/>
          <w:sz w:val="32"/>
          <w:highlight w:val="none"/>
          <w:lang w:val="en-US" w:eastAsia="zh-CN"/>
        </w:rPr>
        <w:t xml:space="preserve">.................................................................</w:t>
      </w:r>
      <w:r>
        <w:rPr>
          <w:b w:val="0"/>
          <w:sz w:val="32"/>
          <w:highlight w:val="none"/>
        </w:rPr>
        <w:fldChar w:fldCharType="begin"/>
      </w:r>
      <w:r>
        <w:rPr>
          <w:b w:val="0"/>
          <w:sz w:val="32"/>
          <w:highlight w:val="none"/>
        </w:rPr>
        <w:instrText xml:space="preserve"> PAGEREF _Toc163482574 \h </w:instrText>
      </w:r>
      <w:r>
        <w:rPr>
          <w:b w:val="0"/>
          <w:sz w:val="32"/>
          <w:highlight w:val="none"/>
        </w:rPr>
        <w:fldChar w:fldCharType="separate"/>
      </w:r>
      <w:r>
        <w:rPr>
          <w:b w:val="0"/>
          <w:sz w:val="32"/>
          <w:highlight w:val="none"/>
        </w:rPr>
        <w:t xml:space="preserve">4</w:t>
      </w:r>
      <w:r>
        <w:rPr>
          <w:b w:val="0"/>
          <w:sz w:val="32"/>
          <w:highlight w:val="none"/>
        </w:rPr>
        <w:fldChar w:fldCharType="end"/>
      </w:r>
      <w:r/>
    </w:p>
    <w:p>
      <w:pPr>
        <w:pStyle w:val="733"/>
        <w:rPr>
          <w:b w:val="0"/>
          <w:sz w:val="32"/>
          <w:highlight w:val="none"/>
        </w:rPr>
      </w:pPr>
      <w:r>
        <w:rPr>
          <w:rFonts w:hint="eastAsia"/>
          <w:b w:val="0"/>
          <w:sz w:val="32"/>
          <w:highlight w:val="none"/>
        </w:rPr>
        <w:t xml:space="preserve">第三章</w:t>
      </w:r>
      <w:r>
        <w:rPr>
          <w:b w:val="0"/>
          <w:sz w:val="32"/>
          <w:highlight w:val="none"/>
        </w:rPr>
        <w:t xml:space="preserve">  </w:t>
      </w:r>
      <w:r>
        <w:rPr>
          <w:rFonts w:hint="eastAsia"/>
          <w:b w:val="0"/>
          <w:sz w:val="32"/>
          <w:highlight w:val="none"/>
        </w:rPr>
        <w:t xml:space="preserve">合同文本</w:t>
      </w:r>
      <w:r>
        <w:rPr>
          <w:rFonts w:hint="eastAsia"/>
          <w:b w:val="0"/>
          <w:sz w:val="32"/>
          <w:highlight w:val="none"/>
          <w:lang w:val="en-US" w:eastAsia="zh-CN"/>
        </w:rPr>
        <w:t xml:space="preserve">...................................................................</w:t>
      </w:r>
      <w:r>
        <w:rPr>
          <w:b w:val="0"/>
          <w:sz w:val="32"/>
          <w:highlight w:val="none"/>
        </w:rPr>
        <w:fldChar w:fldCharType="begin"/>
      </w:r>
      <w:r>
        <w:rPr>
          <w:b w:val="0"/>
          <w:sz w:val="32"/>
          <w:highlight w:val="none"/>
        </w:rPr>
        <w:instrText xml:space="preserve"> PAGEREF _Toc163482575 \h </w:instrText>
      </w:r>
      <w:r>
        <w:rPr>
          <w:b w:val="0"/>
          <w:sz w:val="32"/>
          <w:highlight w:val="none"/>
        </w:rPr>
        <w:fldChar w:fldCharType="separate"/>
      </w:r>
      <w:r>
        <w:rPr>
          <w:b w:val="0"/>
          <w:sz w:val="32"/>
          <w:highlight w:val="none"/>
        </w:rPr>
        <w:t xml:space="preserve">22</w:t>
      </w:r>
      <w:r>
        <w:rPr>
          <w:b w:val="0"/>
          <w:sz w:val="32"/>
          <w:highlight w:val="none"/>
        </w:rPr>
        <w:fldChar w:fldCharType="end"/>
      </w:r>
      <w:r/>
    </w:p>
    <w:p>
      <w:pPr>
        <w:pStyle w:val="733"/>
        <w:rPr>
          <w:b w:val="0"/>
          <w:sz w:val="32"/>
          <w:highlight w:val="none"/>
        </w:rPr>
      </w:pPr>
      <w:r>
        <w:rPr>
          <w:rFonts w:hint="eastAsia"/>
          <w:b w:val="0"/>
          <w:sz w:val="32"/>
          <w:highlight w:val="none"/>
        </w:rPr>
        <w:t xml:space="preserve">第四章</w:t>
      </w:r>
      <w:r>
        <w:rPr>
          <w:b w:val="0"/>
          <w:sz w:val="32"/>
          <w:highlight w:val="none"/>
        </w:rPr>
        <w:t xml:space="preserve">  </w:t>
      </w:r>
      <w:r>
        <w:rPr>
          <w:rFonts w:hint="eastAsia"/>
          <w:b w:val="0"/>
          <w:sz w:val="32"/>
          <w:highlight w:val="none"/>
        </w:rPr>
        <w:t xml:space="preserve">采购需求</w:t>
      </w:r>
      <w:r>
        <w:rPr>
          <w:rFonts w:hint="eastAsia"/>
          <w:b w:val="0"/>
          <w:sz w:val="32"/>
          <w:highlight w:val="none"/>
          <w:lang w:val="en-US" w:eastAsia="zh-CN"/>
        </w:rPr>
        <w:t xml:space="preserve">...................................................................</w:t>
      </w:r>
      <w:r>
        <w:rPr>
          <w:b w:val="0"/>
          <w:sz w:val="32"/>
          <w:highlight w:val="none"/>
        </w:rPr>
        <w:fldChar w:fldCharType="begin"/>
      </w:r>
      <w:r>
        <w:rPr>
          <w:b w:val="0"/>
          <w:sz w:val="32"/>
          <w:highlight w:val="none"/>
        </w:rPr>
        <w:instrText xml:space="preserve"> PAGEREF _Toc163482576 \h </w:instrText>
      </w:r>
      <w:r>
        <w:rPr>
          <w:b w:val="0"/>
          <w:sz w:val="32"/>
          <w:highlight w:val="none"/>
        </w:rPr>
        <w:fldChar w:fldCharType="separate"/>
      </w:r>
      <w:r>
        <w:rPr>
          <w:b w:val="0"/>
          <w:sz w:val="32"/>
          <w:highlight w:val="none"/>
        </w:rPr>
        <w:t xml:space="preserve">27</w:t>
      </w:r>
      <w:r>
        <w:rPr>
          <w:b w:val="0"/>
          <w:sz w:val="32"/>
          <w:highlight w:val="none"/>
        </w:rPr>
        <w:fldChar w:fldCharType="end"/>
      </w:r>
      <w:r/>
    </w:p>
    <w:p>
      <w:pPr>
        <w:pStyle w:val="733"/>
        <w:rPr>
          <w:b w:val="0"/>
          <w:sz w:val="32"/>
          <w:highlight w:val="none"/>
        </w:rPr>
      </w:pPr>
      <w:r>
        <w:rPr>
          <w:rFonts w:hint="eastAsia"/>
          <w:b w:val="0"/>
          <w:sz w:val="32"/>
          <w:highlight w:val="none"/>
        </w:rPr>
        <w:t xml:space="preserve">第五章</w:t>
      </w:r>
      <w:r>
        <w:rPr>
          <w:b w:val="0"/>
          <w:sz w:val="32"/>
          <w:highlight w:val="none"/>
        </w:rPr>
        <w:t xml:space="preserve">  </w:t>
      </w:r>
      <w:r>
        <w:rPr>
          <w:rFonts w:hint="eastAsia"/>
          <w:b w:val="0"/>
          <w:sz w:val="32"/>
          <w:highlight w:val="none"/>
        </w:rPr>
        <w:t xml:space="preserve">评标方法与评标标准</w:t>
      </w:r>
      <w:r>
        <w:rPr>
          <w:rFonts w:hint="eastAsia"/>
          <w:b w:val="0"/>
          <w:sz w:val="32"/>
          <w:highlight w:val="none"/>
          <w:lang w:val="en-US" w:eastAsia="zh-CN"/>
        </w:rPr>
        <w:t xml:space="preserve">...............................................</w:t>
      </w:r>
      <w:r>
        <w:rPr>
          <w:b w:val="0"/>
          <w:sz w:val="32"/>
          <w:highlight w:val="none"/>
        </w:rPr>
        <w:fldChar w:fldCharType="begin"/>
      </w:r>
      <w:r>
        <w:rPr>
          <w:b w:val="0"/>
          <w:sz w:val="32"/>
          <w:highlight w:val="none"/>
        </w:rPr>
        <w:instrText xml:space="preserve"> PAGEREF _Toc163482577 \h </w:instrText>
      </w:r>
      <w:r>
        <w:rPr>
          <w:b w:val="0"/>
          <w:sz w:val="32"/>
          <w:highlight w:val="none"/>
        </w:rPr>
        <w:fldChar w:fldCharType="separate"/>
      </w:r>
      <w:r>
        <w:rPr>
          <w:b w:val="0"/>
          <w:sz w:val="32"/>
          <w:highlight w:val="none"/>
        </w:rPr>
        <w:t xml:space="preserve">69</w:t>
      </w:r>
      <w:r>
        <w:rPr>
          <w:b w:val="0"/>
          <w:sz w:val="32"/>
          <w:highlight w:val="none"/>
        </w:rPr>
        <w:fldChar w:fldCharType="end"/>
      </w:r>
      <w:r/>
    </w:p>
    <w:p>
      <w:pPr>
        <w:pStyle w:val="733"/>
        <w:rPr>
          <w:b w:val="0"/>
          <w:sz w:val="32"/>
          <w:highlight w:val="none"/>
        </w:rPr>
      </w:pPr>
      <w:r>
        <w:rPr>
          <w:rFonts w:hint="eastAsia"/>
          <w:b w:val="0"/>
          <w:sz w:val="32"/>
          <w:highlight w:val="none"/>
        </w:rPr>
        <w:t xml:space="preserve">第六章</w:t>
      </w:r>
      <w:r>
        <w:rPr>
          <w:b w:val="0"/>
          <w:sz w:val="32"/>
          <w:highlight w:val="none"/>
        </w:rPr>
        <w:t xml:space="preserve">  </w:t>
      </w:r>
      <w:r>
        <w:rPr>
          <w:rFonts w:hint="eastAsia"/>
          <w:b w:val="0"/>
          <w:sz w:val="32"/>
          <w:highlight w:val="none"/>
        </w:rPr>
        <w:t xml:space="preserve">投标文件格式</w:t>
      </w:r>
      <w:r>
        <w:rPr>
          <w:rFonts w:hint="eastAsia"/>
          <w:b w:val="0"/>
          <w:sz w:val="32"/>
          <w:highlight w:val="none"/>
          <w:lang w:val="en-US" w:eastAsia="zh-CN"/>
        </w:rPr>
        <w:t xml:space="preserve">...........................................................</w:t>
      </w:r>
      <w:r>
        <w:rPr>
          <w:b w:val="0"/>
          <w:sz w:val="32"/>
          <w:highlight w:val="none"/>
        </w:rPr>
        <w:fldChar w:fldCharType="begin"/>
      </w:r>
      <w:r>
        <w:rPr>
          <w:b w:val="0"/>
          <w:sz w:val="32"/>
          <w:highlight w:val="none"/>
        </w:rPr>
        <w:instrText xml:space="preserve"> PAGEREF _Toc163482578 \h </w:instrText>
      </w:r>
      <w:r>
        <w:rPr>
          <w:b w:val="0"/>
          <w:sz w:val="32"/>
          <w:highlight w:val="none"/>
        </w:rPr>
        <w:fldChar w:fldCharType="separate"/>
      </w:r>
      <w:r>
        <w:rPr>
          <w:b w:val="0"/>
          <w:sz w:val="32"/>
          <w:highlight w:val="none"/>
        </w:rPr>
        <w:t xml:space="preserve">72</w:t>
      </w:r>
      <w:r>
        <w:rPr>
          <w:b w:val="0"/>
          <w:sz w:val="32"/>
          <w:highlight w:val="none"/>
        </w:rPr>
        <w:fldChar w:fldCharType="end"/>
      </w:r>
      <w:r/>
    </w:p>
    <w:p>
      <w:pPr>
        <w:jc w:val="left"/>
        <w:spacing w:line="480" w:lineRule="auto"/>
        <w:widowControl/>
        <w:rPr>
          <w:rFonts w:ascii="宋体" w:hAnsi="宋体"/>
          <w:sz w:val="24"/>
          <w:highlight w:val="none"/>
        </w:rPr>
      </w:pPr>
      <w:r>
        <w:rPr>
          <w:rFonts w:ascii="宋体" w:hAnsi="宋体"/>
          <w:sz w:val="24"/>
          <w:highlight w:val="none"/>
        </w:rPr>
        <w:fldChar w:fldCharType="end"/>
      </w:r>
      <w:r>
        <w:rPr>
          <w:rFonts w:ascii="宋体" w:hAnsi="宋体"/>
          <w:sz w:val="24"/>
          <w:highlight w:val="none"/>
        </w:rPr>
        <w:br w:type="page" w:clear="all"/>
      </w:r>
      <w:r/>
    </w:p>
    <w:p>
      <w:pPr>
        <w:pStyle w:val="721"/>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highlight w:val="none"/>
        </w:rPr>
      </w:r>
      <w:r/>
    </w:p>
    <w:p>
      <w:pPr>
        <w:pStyle w:val="721"/>
        <w:jc w:val="center"/>
        <w:spacing w:line="360" w:lineRule="auto"/>
        <w:rPr>
          <w:rFonts w:ascii="黑体" w:hAnsi="黑体" w:eastAsia="黑体"/>
          <w:b w:val="0"/>
          <w:highlight w:val="none"/>
        </w:rPr>
      </w:pPr>
      <w:r/>
      <w:bookmarkStart w:id="0" w:name="_Toc163482573"/>
      <w:r>
        <w:rPr>
          <w:rFonts w:hint="eastAsia" w:ascii="黑体" w:hAnsi="黑体" w:eastAsia="黑体"/>
          <w:b w:val="0"/>
          <w:highlight w:val="none"/>
        </w:rPr>
        <w:t xml:space="preserve">第一章  投标邀请</w:t>
      </w:r>
      <w:bookmarkEnd w:id="0"/>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江苏灌云海洋经济开发区管理办公室</w:t>
      </w:r>
      <w:r>
        <w:rPr>
          <w:rFonts w:hint="eastAsia" w:ascii="宋体" w:hAnsi="宋体"/>
          <w:sz w:val="24"/>
          <w:szCs w:val="24"/>
          <w:highlight w:val="none"/>
        </w:rPr>
        <w:t xml:space="preserve">的委托，</w:t>
      </w:r>
      <w:r>
        <w:rPr>
          <w:rFonts w:hint="eastAsia" w:ascii="宋体" w:hAnsi="宋体"/>
          <w:sz w:val="24"/>
          <w:szCs w:val="24"/>
          <w:highlight w:val="none"/>
          <w:lang w:eastAsia="zh-CN"/>
        </w:rPr>
        <w:t xml:space="preserve">江苏中瑞建设项目管理有限公司</w:t>
      </w:r>
      <w:r>
        <w:rPr>
          <w:rFonts w:hint="eastAsia" w:ascii="宋体" w:hAnsi="宋体"/>
          <w:sz w:val="24"/>
          <w:szCs w:val="24"/>
          <w:highlight w:val="none"/>
        </w:rPr>
        <w:t xml:space="preserve">就</w:t>
      </w:r>
      <w:r>
        <w:rPr>
          <w:rFonts w:hint="eastAsia" w:ascii="宋体" w:hAnsi="宋体"/>
          <w:sz w:val="24"/>
          <w:szCs w:val="24"/>
          <w:highlight w:val="none"/>
          <w:lang w:eastAsia="zh-CN"/>
        </w:rPr>
        <w:t xml:space="preserve">灌云县临港产业区2026-2028年度环境在线监测设备运维项目</w:t>
      </w:r>
      <w:r>
        <w:rPr>
          <w:rFonts w:hint="eastAsia" w:ascii="宋体" w:hAnsi="宋体"/>
          <w:sz w:val="24"/>
          <w:szCs w:val="24"/>
          <w:highlight w:val="none"/>
        </w:rPr>
        <w:t xml:space="preserve">（项目编号</w:t>
      </w:r>
      <w:r>
        <w:rPr>
          <w:rFonts w:hint="eastAsia" w:ascii="宋体" w:hAnsi="宋体"/>
          <w:sz w:val="24"/>
          <w:szCs w:val="24"/>
          <w:highlight w:val="none"/>
          <w:lang w:val="en-US" w:eastAsia="zh-CN"/>
        </w:rPr>
        <w:t xml:space="preserve">JSZC-320723-JSZR-G2026-0078</w:t>
      </w:r>
      <w:r>
        <w:rPr>
          <w:rFonts w:hint="eastAsia" w:ascii="宋体" w:hAnsi="宋体"/>
          <w:sz w:val="24"/>
          <w:szCs w:val="24"/>
          <w:highlight w:val="none"/>
        </w:rPr>
        <w:t xml:space="preserve">）进行公开招标采购，欢迎符合条件的供应商投标。</w:t>
      </w:r>
      <w:r/>
    </w:p>
    <w:tbl>
      <w:tblPr>
        <w:tblStyle w:val="73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pageBreakBefore w:val="0"/>
              <w:spacing w:line="44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项目概况</w:t>
            </w:r>
            <w:r>
              <w:rPr>
                <w:rFonts w:hint="eastAsia" w:ascii="宋体" w:hAnsi="宋体"/>
                <w:sz w:val="24"/>
                <w:szCs w:val="24"/>
                <w:highlight w:val="none"/>
                <w:lang w:eastAsia="zh-CN"/>
              </w:rPr>
              <w:t xml:space="preserve">：</w:t>
            </w:r>
            <w:r/>
          </w:p>
          <w:p>
            <w:pPr>
              <w:pageBreakBefore w:val="0"/>
              <w:spacing w:line="440" w:lineRule="exact"/>
              <w:widowControl w:val="off"/>
              <w:rPr>
                <w:rFonts w:ascii="宋体" w:hAnsi="宋体"/>
                <w:sz w:val="24"/>
                <w:szCs w:val="24"/>
                <w:highlight w:val="none"/>
              </w:rPr>
            </w:pPr>
            <w:r>
              <w:rPr>
                <w:rFonts w:hint="eastAsia" w:ascii="宋体" w:hAnsi="宋体"/>
                <w:b/>
                <w:sz w:val="24"/>
                <w:szCs w:val="24"/>
                <w:highlight w:val="none"/>
                <w:u w:val="single"/>
                <w:lang w:eastAsia="zh-CN"/>
              </w:rPr>
              <w:t xml:space="preserve">灌云县临港产业区2026-2028年度环境在线监测设备运维项目</w:t>
            </w:r>
            <w:r>
              <w:rPr>
                <w:rFonts w:hint="eastAsia" w:ascii="宋体" w:hAnsi="宋体"/>
                <w:sz w:val="24"/>
                <w:szCs w:val="24"/>
                <w:highlight w:val="none"/>
              </w:rPr>
              <w:t xml:space="preserve">招标项目的潜在投标人应在</w:t>
            </w:r>
            <w:r>
              <w:rPr>
                <w:rFonts w:hint="eastAsia" w:ascii="宋体" w:hAnsi="宋体"/>
                <w:b/>
                <w:sz w:val="24"/>
                <w:szCs w:val="24"/>
                <w:highlight w:val="none"/>
                <w:u w:val="single"/>
              </w:rPr>
              <w:t xml:space="preserve">江苏政府采购网</w:t>
            </w:r>
            <w:r>
              <w:rPr>
                <w:rFonts w:hint="eastAsia" w:ascii="宋体" w:hAnsi="宋体"/>
                <w:sz w:val="24"/>
                <w:szCs w:val="24"/>
                <w:highlight w:val="none"/>
              </w:rPr>
              <w:t xml:space="preserve">自行免费下载招标文件，并于</w:t>
            </w:r>
            <w:r>
              <w:rPr>
                <w:rFonts w:hint="eastAsia" w:ascii="宋体" w:hAnsi="宋体"/>
                <w:b/>
                <w:sz w:val="24"/>
                <w:szCs w:val="24"/>
                <w:highlight w:val="none"/>
                <w:u w:val="single"/>
              </w:rPr>
              <w:t xml:space="preserve">202</w:t>
            </w:r>
            <w:r>
              <w:rPr>
                <w:rFonts w:hint="eastAsia" w:ascii="宋体" w:hAnsi="宋体"/>
                <w:b/>
                <w:sz w:val="24"/>
                <w:szCs w:val="24"/>
                <w:highlight w:val="none"/>
                <w:u w:val="single"/>
                <w:lang w:val="en-US" w:eastAsia="zh-CN"/>
              </w:rPr>
              <w:t xml:space="preserve">6</w:t>
            </w:r>
            <w:r>
              <w:rPr>
                <w:rFonts w:hint="eastAsia" w:ascii="宋体" w:hAnsi="宋体"/>
                <w:b/>
                <w:sz w:val="24"/>
                <w:szCs w:val="24"/>
                <w:highlight w:val="none"/>
                <w:u w:val="single"/>
              </w:rPr>
              <w:t xml:space="preserve">年</w:t>
            </w:r>
            <w:r>
              <w:rPr>
                <w:rFonts w:hint="eastAsia" w:ascii="宋体" w:hAnsi="宋体"/>
                <w:b/>
                <w:sz w:val="24"/>
                <w:szCs w:val="24"/>
                <w:highlight w:val="none"/>
                <w:u w:val="single"/>
                <w:lang w:val="en-US" w:eastAsia="zh-CN"/>
              </w:rPr>
              <w:t xml:space="preserve">11</w:t>
            </w:r>
            <w:r>
              <w:rPr>
                <w:rFonts w:hint="eastAsia" w:ascii="宋体" w:hAnsi="宋体"/>
                <w:b/>
                <w:sz w:val="24"/>
                <w:szCs w:val="24"/>
                <w:highlight w:val="none"/>
                <w:u w:val="single"/>
              </w:rPr>
              <w:t xml:space="preserve">月</w:t>
            </w:r>
            <w:r>
              <w:rPr>
                <w:rFonts w:hint="eastAsia" w:ascii="宋体" w:hAnsi="宋体"/>
                <w:b/>
                <w:sz w:val="24"/>
                <w:szCs w:val="24"/>
                <w:highlight w:val="none"/>
                <w:u w:val="single"/>
                <w:lang w:val="en-US" w:eastAsia="zh-CN"/>
              </w:rPr>
              <w:t xml:space="preserve">12</w:t>
            </w:r>
            <w:r>
              <w:rPr>
                <w:rFonts w:hint="eastAsia" w:ascii="宋体" w:hAnsi="宋体"/>
                <w:b/>
                <w:sz w:val="24"/>
                <w:szCs w:val="24"/>
                <w:highlight w:val="none"/>
                <w:u w:val="single"/>
              </w:rPr>
              <w:t xml:space="preserve">日</w:t>
            </w:r>
            <w:r>
              <w:rPr>
                <w:rFonts w:hint="eastAsia" w:ascii="宋体" w:hAnsi="宋体"/>
                <w:b/>
                <w:sz w:val="24"/>
                <w:szCs w:val="24"/>
                <w:highlight w:val="none"/>
                <w:u w:val="single"/>
                <w:lang w:val="en-US" w:eastAsia="zh-CN"/>
              </w:rPr>
              <w:t xml:space="preserve">10</w:t>
            </w:r>
            <w:r>
              <w:rPr>
                <w:rFonts w:hint="eastAsia" w:ascii="宋体" w:hAnsi="宋体"/>
                <w:b/>
                <w:sz w:val="24"/>
                <w:szCs w:val="24"/>
                <w:highlight w:val="none"/>
                <w:u w:val="single"/>
                <w:lang w:eastAsia="zh-CN"/>
              </w:rPr>
              <w:t xml:space="preserve">：</w:t>
            </w:r>
            <w:r>
              <w:rPr>
                <w:rFonts w:hint="eastAsia" w:ascii="宋体" w:hAnsi="宋体"/>
                <w:b/>
                <w:sz w:val="24"/>
                <w:szCs w:val="24"/>
                <w:highlight w:val="none"/>
                <w:u w:val="single"/>
                <w:lang w:val="en-US" w:eastAsia="zh-CN"/>
              </w:rPr>
              <w:t xml:space="preserve">0</w:t>
            </w:r>
            <w:r>
              <w:rPr>
                <w:rFonts w:hint="eastAsia" w:ascii="宋体" w:hAnsi="宋体"/>
                <w:b/>
                <w:sz w:val="24"/>
                <w:szCs w:val="24"/>
                <w:highlight w:val="none"/>
                <w:u w:val="single"/>
              </w:rPr>
              <w:t xml:space="preserve">0</w:t>
            </w:r>
            <w:r>
              <w:rPr>
                <w:rFonts w:hint="eastAsia" w:ascii="宋体" w:hAnsi="宋体"/>
                <w:b/>
                <w:sz w:val="24"/>
                <w:szCs w:val="24"/>
                <w:highlight w:val="none"/>
                <w:u w:val="single"/>
                <w:lang w:eastAsia="zh-CN"/>
              </w:rPr>
              <w:t xml:space="preserve">：</w:t>
            </w:r>
            <w:r>
              <w:rPr>
                <w:rFonts w:hint="eastAsia" w:ascii="宋体" w:hAnsi="宋体"/>
                <w:b/>
                <w:sz w:val="24"/>
                <w:szCs w:val="24"/>
                <w:highlight w:val="none"/>
                <w:u w:val="single"/>
              </w:rPr>
              <w:t xml:space="preserve">00</w:t>
            </w:r>
            <w:r>
              <w:rPr>
                <w:rFonts w:hint="eastAsia" w:ascii="宋体" w:hAnsi="宋体"/>
                <w:sz w:val="24"/>
                <w:szCs w:val="24"/>
                <w:highlight w:val="none"/>
                <w:u w:val="single"/>
              </w:rPr>
              <w:t xml:space="preserve">（北京时间）</w:t>
            </w:r>
            <w:r>
              <w:rPr>
                <w:rFonts w:hint="eastAsia" w:ascii="宋体" w:hAnsi="宋体"/>
                <w:sz w:val="24"/>
                <w:szCs w:val="24"/>
                <w:highlight w:val="none"/>
              </w:rPr>
              <w:t xml:space="preserve">前递交（上传）投标文件。</w:t>
            </w:r>
            <w:r/>
          </w:p>
        </w:tc>
      </w:tr>
    </w:tbl>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一、项目基本情况</w:t>
      </w:r>
      <w:r/>
    </w:p>
    <w:p>
      <w:pPr>
        <w:ind w:firstLine="480"/>
        <w:pageBreakBefore w:val="0"/>
        <w:spacing w:line="44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项目编号：</w:t>
      </w:r>
      <w:r>
        <w:rPr>
          <w:rFonts w:hint="eastAsia" w:ascii="宋体" w:hAnsi="宋体"/>
          <w:sz w:val="24"/>
          <w:szCs w:val="24"/>
          <w:highlight w:val="none"/>
          <w:lang w:val="en-US" w:eastAsia="zh-CN"/>
        </w:rPr>
        <w:t xml:space="preserve">JSZC-320723-JSZR-G2026-0078</w:t>
      </w:r>
      <w:r/>
    </w:p>
    <w:p>
      <w:pPr>
        <w:ind w:firstLine="480"/>
        <w:pageBreakBefore w:val="0"/>
        <w:spacing w:line="44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灌云县临港产业区2026-2028年度环境在线监测设备运维项目</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采购方式：公开招标</w:t>
      </w:r>
      <w:r/>
    </w:p>
    <w:p>
      <w:pPr>
        <w:ind w:firstLine="480"/>
        <w:pageBreakBefore w:val="0"/>
        <w:spacing w:line="440" w:lineRule="exact"/>
        <w:widowControl w:val="off"/>
        <w:rPr>
          <w:rFonts w:ascii="宋体" w:hAnsi="宋体" w:cs="Times New Roman"/>
          <w:color w:val="000000"/>
          <w:sz w:val="24"/>
          <w:szCs w:val="24"/>
          <w:highlight w:val="none"/>
        </w:rPr>
      </w:pPr>
      <w:r>
        <w:rPr>
          <w:rFonts w:hint="eastAsia" w:ascii="宋体" w:hAnsi="宋体"/>
          <w:sz w:val="24"/>
          <w:szCs w:val="24"/>
          <w:highlight w:val="none"/>
        </w:rPr>
        <w:t xml:space="preserve">预算金额：人民币</w:t>
      </w:r>
      <w:r>
        <w:rPr>
          <w:rFonts w:hint="eastAsia" w:ascii="宋体" w:hAnsi="宋体"/>
          <w:sz w:val="24"/>
          <w:szCs w:val="24"/>
          <w:highlight w:val="none"/>
          <w:lang w:val="en-US" w:eastAsia="zh-CN"/>
        </w:rPr>
        <w:t xml:space="preserve">400</w:t>
      </w:r>
      <w:r>
        <w:rPr>
          <w:rFonts w:hint="eastAsia" w:ascii="宋体" w:hAnsi="宋体"/>
          <w:sz w:val="24"/>
          <w:szCs w:val="24"/>
          <w:highlight w:val="none"/>
        </w:rPr>
        <w:t xml:space="preserve">万元</w:t>
      </w:r>
      <w:r/>
    </w:p>
    <w:p>
      <w:pPr>
        <w:ind w:firstLine="48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最高限价：人民币</w:t>
      </w:r>
      <w:r>
        <w:rPr>
          <w:rFonts w:hint="eastAsia" w:ascii="宋体" w:hAnsi="宋体"/>
          <w:sz w:val="24"/>
          <w:szCs w:val="24"/>
          <w:highlight w:val="none"/>
          <w:lang w:val="en-US" w:eastAsia="zh-CN"/>
        </w:rPr>
        <w:t xml:space="preserve">400</w:t>
      </w:r>
      <w:r>
        <w:rPr>
          <w:rFonts w:hint="eastAsia" w:ascii="宋体" w:hAnsi="宋体"/>
          <w:sz w:val="24"/>
          <w:szCs w:val="24"/>
          <w:highlight w:val="none"/>
        </w:rPr>
        <w:t xml:space="preserve">万元，报价超出最高限价的按无效响应处理；</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采购需求：运营、维护</w:t>
      </w:r>
      <w:r>
        <w:rPr>
          <w:rFonts w:hint="eastAsia" w:ascii="宋体" w:hAnsi="宋体"/>
          <w:sz w:val="24"/>
          <w:szCs w:val="24"/>
          <w:highlight w:val="none"/>
          <w:lang w:val="en-US" w:eastAsia="zh-CN"/>
        </w:rPr>
        <w:t xml:space="preserve">环境监测设备及监测</w:t>
      </w:r>
      <w:r>
        <w:rPr>
          <w:rFonts w:hint="eastAsia" w:ascii="宋体" w:hAnsi="宋体"/>
          <w:sz w:val="24"/>
          <w:szCs w:val="24"/>
          <w:highlight w:val="none"/>
        </w:rPr>
        <w:t xml:space="preserve">数据对比工作。同时根据监测数据情况</w:t>
      </w:r>
      <w:r>
        <w:rPr>
          <w:rFonts w:hint="eastAsia" w:ascii="宋体" w:hAnsi="宋体"/>
          <w:sz w:val="24"/>
          <w:szCs w:val="24"/>
          <w:highlight w:val="none"/>
          <w:lang w:val="en-US" w:eastAsia="zh-CN"/>
        </w:rPr>
        <w:t xml:space="preserve">结合化工园区实际情况</w:t>
      </w:r>
      <w:r>
        <w:rPr>
          <w:rFonts w:hint="eastAsia" w:ascii="宋体" w:hAnsi="宋体"/>
          <w:sz w:val="24"/>
          <w:szCs w:val="24"/>
          <w:highlight w:val="none"/>
        </w:rPr>
        <w:t xml:space="preserve">利用信息化手段辅助园区开展污染溯源工作</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协助园区开展环境应急工作</w:t>
      </w:r>
      <w:r>
        <w:rPr>
          <w:rFonts w:hint="eastAsia" w:ascii="宋体" w:hAnsi="宋体"/>
          <w:sz w:val="24"/>
          <w:szCs w:val="24"/>
          <w:highlight w:val="none"/>
        </w:rPr>
        <w:t xml:space="preserve">，环境监测设备如下</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空气站3座，监测因子为</w:t>
      </w:r>
      <w:r>
        <w:rPr>
          <w:rFonts w:hint="eastAsia" w:ascii="宋体" w:hAnsi="宋体"/>
          <w:sz w:val="24"/>
          <w:szCs w:val="24"/>
          <w:highlight w:val="none"/>
          <w:lang w:val="en-US" w:eastAsia="zh-CN"/>
        </w:rPr>
        <w:t xml:space="preserve">CO</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S</w:t>
      </w:r>
      <w:r>
        <w:rPr>
          <w:rFonts w:hint="eastAsia" w:ascii="宋体" w:hAnsi="宋体"/>
          <w:sz w:val="24"/>
          <w:szCs w:val="24"/>
          <w:highlight w:val="none"/>
          <w:lang w:val="en-US" w:eastAsia="zh-CN"/>
        </w:rPr>
        <w:t xml:space="preserve">0</w:t>
      </w:r>
      <w:r>
        <w:rPr>
          <w:rFonts w:hint="default" w:ascii="宋体" w:hAnsi="宋体"/>
          <w:sz w:val="24"/>
          <w:szCs w:val="24"/>
          <w:highlight w:val="none"/>
          <w:vertAlign w:val="subscript"/>
        </w:rPr>
        <w:t xml:space="preserve">2</w:t>
      </w:r>
      <w:r>
        <w:rPr>
          <w:rFonts w:hint="eastAsia" w:ascii="宋体" w:hAnsi="宋体"/>
          <w:sz w:val="24"/>
          <w:szCs w:val="24"/>
          <w:highlight w:val="none"/>
        </w:rPr>
        <w:t xml:space="preserve">、N</w:t>
      </w:r>
      <w:r>
        <w:rPr>
          <w:rFonts w:hint="eastAsia" w:ascii="宋体" w:hAnsi="宋体"/>
          <w:sz w:val="24"/>
          <w:szCs w:val="24"/>
          <w:highlight w:val="none"/>
          <w:lang w:val="en-US" w:eastAsia="zh-CN"/>
        </w:rPr>
        <w:t xml:space="preserve">O</w:t>
      </w:r>
      <w:r>
        <w:rPr>
          <w:rFonts w:hint="eastAsia" w:ascii="宋体" w:hAnsi="宋体"/>
          <w:sz w:val="24"/>
          <w:szCs w:val="24"/>
          <w:highlight w:val="none"/>
        </w:rPr>
        <w:t xml:space="preserve">x、</w:t>
      </w:r>
      <w:r>
        <w:rPr>
          <w:rFonts w:hint="eastAsia" w:ascii="宋体" w:hAnsi="宋体"/>
          <w:sz w:val="24"/>
          <w:szCs w:val="24"/>
          <w:highlight w:val="none"/>
          <w:lang w:val="en-US" w:eastAsia="zh-CN"/>
        </w:rPr>
        <w:t xml:space="preserve">O</w:t>
      </w:r>
      <w:r>
        <w:rPr>
          <w:rFonts w:hint="eastAsia" w:ascii="宋体" w:hAnsi="宋体"/>
          <w:sz w:val="24"/>
          <w:szCs w:val="24"/>
          <w:highlight w:val="none"/>
          <w:vertAlign w:val="subscript"/>
        </w:rPr>
        <w:t xml:space="preserve">3</w:t>
      </w:r>
      <w:r>
        <w:rPr>
          <w:rFonts w:hint="eastAsia" w:ascii="宋体" w:hAnsi="宋体"/>
          <w:sz w:val="24"/>
          <w:szCs w:val="24"/>
          <w:highlight w:val="none"/>
        </w:rPr>
        <w:t xml:space="preserve">、PM10等</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厂界站4座，监测因子为苯系物、硫化氢等;恶臭站2座，水站4座，监测因子为总磷4套，总氮4套，氨氮4套，化学需氧量4套，氟化物1套，水质五参1套，挥发酚2套；具体要求详见</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需求</w:t>
      </w:r>
      <w:r>
        <w:rPr>
          <w:rFonts w:hint="eastAsia" w:ascii="宋体" w:hAnsi="宋体"/>
          <w:sz w:val="24"/>
          <w:szCs w:val="24"/>
          <w:highlight w:val="none"/>
          <w:lang w:val="en-US" w:eastAsia="zh-CN"/>
        </w:rPr>
        <w:t xml:space="preserve">。</w:t>
      </w:r>
      <w:r/>
    </w:p>
    <w:p>
      <w:pPr>
        <w:ind w:firstLine="482"/>
        <w:pageBreakBefore w:val="0"/>
        <w:spacing w:line="440" w:lineRule="exact"/>
        <w:widowControl w:val="off"/>
        <w:rPr>
          <w:rFonts w:ascii="宋体" w:hAnsi="宋体"/>
          <w:b/>
          <w:sz w:val="24"/>
          <w:szCs w:val="24"/>
          <w:highlight w:val="none"/>
        </w:rPr>
      </w:pPr>
      <w:r>
        <w:rPr>
          <w:rFonts w:hint="eastAsia" w:ascii="宋体" w:hAnsi="宋体"/>
          <w:b/>
          <w:sz w:val="24"/>
          <w:szCs w:val="24"/>
          <w:highlight w:val="none"/>
        </w:rPr>
        <w:t xml:space="preserve">对本项目资格要求、采购需求、评标方法与评标标准等部分的询问、质疑请与采购人联系，由采购人负责答复。</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合同履行期限（服务时间）：</w:t>
      </w:r>
      <w:r>
        <w:rPr>
          <w:rFonts w:hint="eastAsia" w:ascii="宋体" w:hAnsi="宋体"/>
          <w:sz w:val="24"/>
          <w:szCs w:val="24"/>
          <w:highlight w:val="none"/>
          <w:lang w:val="en-US" w:eastAsia="zh-CN"/>
        </w:rPr>
        <w:t xml:space="preserve">自合同签订起二年。</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本项目不接受联合体投标。</w:t>
      </w:r>
      <w:r/>
    </w:p>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二、申请人的资格要求</w:t>
      </w:r>
      <w:r/>
    </w:p>
    <w:p>
      <w:pPr>
        <w:ind w:firstLine="24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（一）满足《中华人民共和国政府采购法》第二十二条规定，并提供下列材料：</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1.法人或者其他组织的营业执照等证明文件，自然人的身份证明；</w:t>
      </w:r>
      <w:r/>
    </w:p>
    <w:p>
      <w:pPr>
        <w:ind w:firstLine="480"/>
        <w:jc w:val="left"/>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3.依法缴纳税收和社会保障资金的相关材料；</w:t>
      </w:r>
      <w:r/>
    </w:p>
    <w:p>
      <w:pPr>
        <w:ind w:firstLine="482"/>
        <w:jc w:val="left"/>
        <w:pageBreakBefore w:val="0"/>
        <w:spacing w:line="440" w:lineRule="exact"/>
        <w:widowControl w:val="off"/>
        <w:rPr>
          <w:rFonts w:ascii="宋体" w:hAnsi="宋体"/>
          <w:b/>
          <w:sz w:val="24"/>
          <w:szCs w:val="24"/>
          <w:highlight w:val="none"/>
        </w:rPr>
      </w:pPr>
      <w:r>
        <w:rPr>
          <w:rFonts w:hint="eastAsia" w:ascii="宋体" w:hAnsi="宋体"/>
          <w:b/>
          <w:sz w:val="24"/>
          <w:szCs w:val="24"/>
          <w:highlight w:val="none"/>
        </w:rPr>
        <w:t xml:space="preserve">根据连财购〔2023〕4号文件精神，2、3项可以提供《财务状况报告及税收、社会保障资金缴纳情况承诺函》，详见投标文件格式。</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4.具备履行合同所必需的设备和专业技术能力的声明及证明材料；</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6.法律、行政法规规定的其他条件。（如有，请按要求提供）</w:t>
      </w:r>
      <w:r/>
    </w:p>
    <w:p>
      <w:pPr>
        <w:ind w:firstLine="480"/>
        <w:jc w:val="left"/>
        <w:pageBreakBefore w:val="0"/>
        <w:spacing w:line="440" w:lineRule="exact"/>
        <w:widowControl w:val="off"/>
        <w:rPr>
          <w:rFonts w:hint="eastAsia" w:ascii="宋体" w:hAnsi="宋体"/>
          <w:sz w:val="24"/>
          <w:szCs w:val="24"/>
          <w:highlight w:val="none"/>
        </w:rPr>
      </w:pPr>
      <w:r>
        <w:rPr>
          <w:rFonts w:hint="eastAsia" w:ascii="宋体" w:hAnsi="宋体" w:cs="Times New Roman"/>
          <w:sz w:val="24"/>
          <w:szCs w:val="24"/>
          <w:highlight w:val="none"/>
        </w:rPr>
        <w:t xml:space="preserve">7.资格审查现场查询信用中国网</w:t>
      </w:r>
      <w:r>
        <w:rPr>
          <w:rFonts w:hint="eastAsia" w:ascii="宋体" w:hAnsi="宋体"/>
          <w:sz w:val="24"/>
          <w:szCs w:val="24"/>
          <w:highlight w:val="none"/>
        </w:rPr>
        <w:t xml:space="preserve">，投标人被</w:t>
      </w:r>
      <w:r>
        <w:rPr>
          <w:rFonts w:hint="eastAsia" w:ascii="宋体" w:hAnsi="宋体" w:cs="Times New Roman"/>
          <w:sz w:val="24"/>
          <w:szCs w:val="24"/>
          <w:highlight w:val="none"/>
        </w:rPr>
        <w:t xml:space="preserve">列入失信被执行人、</w:t>
      </w:r>
      <w:r>
        <w:rPr>
          <w:rFonts w:ascii="宋体" w:hAnsi="宋体" w:cs="Times New Roman"/>
          <w:sz w:val="24"/>
          <w:szCs w:val="24"/>
          <w:highlight w:val="none"/>
        </w:rPr>
        <w:t xml:space="preserve">税收违法黑名单</w:t>
      </w:r>
      <w:r>
        <w:rPr>
          <w:rFonts w:hint="eastAsia" w:ascii="宋体" w:hAnsi="宋体" w:cs="Times New Roman"/>
          <w:sz w:val="24"/>
          <w:szCs w:val="24"/>
          <w:highlight w:val="none"/>
        </w:rPr>
        <w:t xml:space="preserve">、政府采</w:t>
      </w:r>
      <w:r>
        <w:rPr>
          <w:rFonts w:hint="eastAsia" w:ascii="宋体" w:hAnsi="宋体"/>
          <w:sz w:val="24"/>
          <w:szCs w:val="24"/>
          <w:highlight w:val="none"/>
        </w:rPr>
        <w:t xml:space="preserve">购严重违法失信行为记录名单及具有其他不符合《中华人民共和国政府采购法》第二十二条规定情形的，拒绝其参与政府采购活动。（投标文件中无需提供证明材料）</w:t>
      </w:r>
      <w:r/>
    </w:p>
    <w:p>
      <w:pPr>
        <w:ind w:firstLine="480"/>
        <w:jc w:val="left"/>
        <w:pageBreakBefore w:val="0"/>
        <w:spacing w:line="440" w:lineRule="exact"/>
        <w:widowControl w:val="off"/>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8.本项目中标后不允许分包或转包。</w:t>
      </w:r>
      <w:r/>
    </w:p>
    <w:p>
      <w:pPr>
        <w:ind w:firstLine="24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二）落实政府采购政策需满足的资格要求：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w:t>
      </w:r>
      <w:r/>
    </w:p>
    <w:p>
      <w:pPr>
        <w:ind w:firstLine="24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（三）本项目的特定资格要求：无。</w:t>
      </w:r>
      <w:r/>
    </w:p>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三、获取招标文件</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时间：自招标公告发布之日起至202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日（北京时间）</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地点：在“江苏政府采购网”自行免费下载招标文件</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方式：投标人办理江苏省政府采购交易系统CA数字证书，登录“苏采云”政府采购交易系统，自行下载。</w:t>
      </w:r>
      <w:r/>
    </w:p>
    <w:p>
      <w:pPr>
        <w:ind w:firstLine="480"/>
        <w:jc w:val="left"/>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售价：0.00元</w:t>
      </w:r>
      <w:r/>
    </w:p>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四、提交投标文件截止时间、开标时间和地点</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提交投标文件截止时间：202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10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00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00（北京时间）</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开标时间：202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10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00</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00（北京时间）</w:t>
      </w:r>
      <w:r/>
    </w:p>
    <w:p>
      <w:pPr>
        <w:ind w:firstLine="480"/>
        <w:pageBreakBefore w:val="0"/>
        <w:spacing w:line="440" w:lineRule="exact"/>
        <w:widowControl w:val="off"/>
        <w:rPr>
          <w:rFonts w:ascii="宋体" w:hAnsi="宋体"/>
          <w:highlight w:val="none"/>
        </w:rPr>
      </w:pPr>
      <w:r>
        <w:rPr>
          <w:rFonts w:hint="eastAsia" w:ascii="宋体" w:hAnsi="宋体"/>
          <w:sz w:val="24"/>
          <w:szCs w:val="24"/>
          <w:highlight w:val="none"/>
        </w:rPr>
        <w:t xml:space="preserve">开标地点：“苏采云”政府采购交易系统网上开标大厅</w:t>
      </w:r>
      <w:r/>
    </w:p>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五、公告期限</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自本公告发布之日起5个工作日。</w:t>
      </w:r>
      <w:r/>
    </w:p>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六、其他补充事宜</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1.本次招标不收取投标保证金。</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2.本招标文件中斜体且有下划线部分为实质性要求和条件，投标人须逐条做出满足实质性要求和条件的响应，否则将按无效响应处理。</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highlight w:val="none"/>
        </w:rPr>
        <w:t xml:space="preserve">或者</w:t>
      </w:r>
      <w:r>
        <w:rPr>
          <w:rFonts w:hint="eastAsia" w:ascii="宋体" w:hAnsi="宋体"/>
          <w:sz w:val="24"/>
          <w:szCs w:val="24"/>
          <w:highlight w:val="none"/>
        </w:rPr>
        <w:t xml:space="preserve">提交失误，由此造成的一切损失由投标人自行承担。</w:t>
      </w:r>
      <w:r/>
    </w:p>
    <w:p>
      <w:pPr>
        <w:ind w:firstLine="480"/>
        <w:pageBreakBefore w:val="0"/>
        <w:spacing w:line="440" w:lineRule="exact"/>
        <w:widowControl w:val="off"/>
        <w:rPr>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bookmarkStart w:id="19" w:name="_GoBack"/>
      <w:r/>
      <w:bookmarkEnd w:id="19"/>
      <w:r>
        <w:rPr>
          <w:rFonts w:hint="eastAsia"/>
          <w:highlight w:val="none"/>
        </w:rPr>
        <w:t xml:space="preserve">http://www.ccgp-jiangsu.gov.cn/jiangsu/zlxz/ee/ee3a4bc5a3454aa2b0d9312230633ce9.html</w:t>
      </w:r>
      <w:r/>
    </w:p>
    <w:p>
      <w:pPr>
        <w:ind w:firstLine="48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22"/>
        <w:pageBreakBefore w:val="0"/>
        <w:spacing w:before="0" w:after="0" w:line="440" w:lineRule="exact"/>
        <w:widowControl w:val="off"/>
        <w:rPr>
          <w:rFonts w:ascii="宋体" w:hAnsi="宋体" w:eastAsia="宋体" w:cs="宋体"/>
          <w:bCs w:val="0"/>
          <w:szCs w:val="22"/>
          <w:highlight w:val="none"/>
        </w:rPr>
      </w:pPr>
      <w:r>
        <w:rPr>
          <w:rFonts w:hint="eastAsia" w:ascii="宋体" w:hAnsi="宋体" w:eastAsia="宋体" w:cs="宋体"/>
          <w:bCs w:val="0"/>
          <w:szCs w:val="22"/>
          <w:highlight w:val="none"/>
        </w:rPr>
        <w:t xml:space="preserve">七、对本次招标提出询问，请按以下方式联系</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1.采购人信息</w:t>
      </w:r>
      <w:r/>
    </w:p>
    <w:p>
      <w:pPr>
        <w:ind w:firstLine="480"/>
        <w:pageBreakBefore w:val="0"/>
        <w:spacing w:line="44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江苏灌云海洋经济开发区管理办公室</w:t>
      </w:r>
      <w:r/>
    </w:p>
    <w:p>
      <w:pPr>
        <w:ind w:firstLine="48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地址：灌云县燕尾港镇新区管委会大楼</w:t>
      </w:r>
      <w:r/>
    </w:p>
    <w:p>
      <w:pPr>
        <w:ind w:firstLine="480"/>
        <w:pageBreakBefore w:val="0"/>
        <w:spacing w:line="440" w:lineRule="exact"/>
        <w:widowControl w:val="off"/>
        <w:rPr>
          <w:rFonts w:hint="eastAsia" w:ascii="宋体" w:hAnsi="宋体"/>
          <w:sz w:val="24"/>
          <w:szCs w:val="24"/>
          <w:highlight w:val="none"/>
        </w:rPr>
      </w:pPr>
      <w:r>
        <w:rPr>
          <w:rFonts w:hint="eastAsia" w:ascii="宋体" w:hAnsi="宋体"/>
          <w:sz w:val="24"/>
          <w:szCs w:val="24"/>
          <w:highlight w:val="none"/>
        </w:rPr>
        <w:t xml:space="preserve">联系方式：张鑫 13961350800</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2.采购代理机构信息</w:t>
      </w:r>
      <w:r/>
    </w:p>
    <w:p>
      <w:pPr>
        <w:ind w:firstLine="480"/>
        <w:pageBreakBefore w:val="0"/>
        <w:spacing w:line="44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江苏中瑞建设项目管理有限公司</w:t>
      </w:r>
      <w:r/>
    </w:p>
    <w:p>
      <w:pPr>
        <w:ind w:firstLine="480"/>
        <w:pageBreakBefore w:val="0"/>
        <w:spacing w:line="44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地    址：</w:t>
      </w:r>
      <w:r>
        <w:rPr>
          <w:rFonts w:hint="eastAsia" w:ascii="宋体" w:hAnsi="宋体"/>
          <w:sz w:val="24"/>
          <w:szCs w:val="24"/>
          <w:highlight w:val="none"/>
          <w:lang w:eastAsia="zh-CN"/>
        </w:rPr>
        <w:t xml:space="preserve">连云港市海州区朝阳东路32-6号东盛阳光大厦A座502</w:t>
      </w:r>
      <w:r/>
    </w:p>
    <w:p>
      <w:pPr>
        <w:ind w:firstLine="480"/>
        <w:pageBreakBefore w:val="0"/>
        <w:spacing w:line="440" w:lineRule="exact"/>
        <w:widowControl w:val="off"/>
        <w:rPr>
          <w:rFonts w:hint="default" w:ascii="宋体" w:hAnsi="宋体" w:eastAsia="宋体" w:cs="Times New Roman"/>
          <w:sz w:val="24"/>
          <w:szCs w:val="24"/>
          <w:highlight w:val="non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张工 18936586917</w:t>
      </w:r>
      <w:r/>
    </w:p>
    <w:p>
      <w:pPr>
        <w:ind w:firstLine="480"/>
        <w:pageBreakBefore w:val="0"/>
        <w:spacing w:line="440" w:lineRule="exact"/>
        <w:widowControl w:val="off"/>
        <w:rPr>
          <w:rFonts w:ascii="宋体" w:hAnsi="宋体"/>
          <w:sz w:val="24"/>
          <w:szCs w:val="24"/>
          <w:highlight w:val="none"/>
        </w:rPr>
      </w:pPr>
      <w:r>
        <w:rPr>
          <w:rFonts w:hint="eastAsia" w:ascii="宋体" w:hAnsi="宋体"/>
          <w:sz w:val="24"/>
          <w:szCs w:val="24"/>
          <w:highlight w:val="none"/>
        </w:rPr>
        <w:t xml:space="preserve">3.项目联系方式</w:t>
      </w:r>
      <w:r/>
    </w:p>
    <w:p>
      <w:pPr>
        <w:ind w:firstLine="480"/>
        <w:pageBreakBefore w:val="0"/>
        <w:spacing w:line="440" w:lineRule="exact"/>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项目联系人：张鑫 </w:t>
      </w:r>
      <w:r/>
    </w:p>
    <w:p>
      <w:pPr>
        <w:ind w:firstLine="480"/>
        <w:pageBreakBefore w:val="0"/>
        <w:spacing w:line="440" w:lineRule="exact"/>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电      话：13961350800</w:t>
      </w:r>
      <w:r>
        <w:rPr>
          <w:rFonts w:hint="eastAsia" w:ascii="宋体" w:hAnsi="宋体"/>
          <w:sz w:val="24"/>
          <w:szCs w:val="24"/>
          <w:highlight w:val="none"/>
          <w:lang w:val="en-US" w:eastAsia="zh-CN"/>
        </w:rPr>
        <w:t xml:space="preserve"> </w:t>
      </w:r>
      <w:r/>
    </w:p>
    <w:p>
      <w:pPr>
        <w:pStyle w:val="721"/>
        <w:jc w:val="center"/>
        <w:spacing w:line="360" w:lineRule="auto"/>
        <w:rPr>
          <w:rFonts w:ascii="黑体" w:hAnsi="黑体" w:eastAsia="黑体"/>
          <w:b w:val="0"/>
          <w:highlight w:val="none"/>
        </w:rPr>
      </w:pPr>
      <w:r/>
      <w:bookmarkStart w:id="1" w:name="_Toc163482574"/>
      <w:r>
        <w:rPr>
          <w:rFonts w:hint="eastAsia" w:ascii="黑体" w:hAnsi="黑体" w:eastAsia="黑体"/>
          <w:b w:val="0"/>
          <w:highlight w:val="none"/>
        </w:rPr>
        <w:t xml:space="preserve">第二章  投标人须知</w:t>
      </w:r>
      <w:bookmarkEnd w:id="1"/>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一、总则</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1.招标方式</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2.合格的投标人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满足招标公告中</w:t>
      </w:r>
      <w:r>
        <w:rPr>
          <w:rFonts w:hint="eastAsia" w:ascii="宋体" w:hAnsi="宋体" w:cs="宋体"/>
          <w:sz w:val="24"/>
          <w:szCs w:val="24"/>
          <w:highlight w:val="none"/>
          <w:lang w:val="en-US" w:eastAsia="zh-CN"/>
        </w:rPr>
        <w:t xml:space="preserve">申请人</w:t>
      </w:r>
      <w:r>
        <w:rPr>
          <w:rFonts w:hint="eastAsia" w:ascii="宋体" w:hAnsi="宋体" w:eastAsia="宋体" w:cs="宋体"/>
          <w:sz w:val="24"/>
          <w:szCs w:val="24"/>
          <w:highlight w:val="none"/>
        </w:rPr>
        <w:t xml:space="preserve">的资格要求的规定。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3.适用法律</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4.投标费用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投标人应自行承担所有与参加投标有关的费用，无论投标过程中的做法和结果如何，</w:t>
      </w:r>
      <w:r>
        <w:rPr>
          <w:rFonts w:hint="eastAsia" w:ascii="宋体" w:hAnsi="宋体" w:eastAsia="宋体" w:cs="宋体"/>
          <w:sz w:val="24"/>
          <w:szCs w:val="24"/>
          <w:highlight w:val="none"/>
          <w:lang w:val="en-US" w:eastAsia="zh-CN"/>
        </w:rPr>
        <w:t xml:space="preserve">采购人、采购代理机构</w:t>
      </w:r>
      <w:r>
        <w:rPr>
          <w:rFonts w:hint="eastAsia" w:ascii="宋体" w:hAnsi="宋体" w:eastAsia="宋体" w:cs="宋体"/>
          <w:sz w:val="24"/>
          <w:szCs w:val="24"/>
          <w:highlight w:val="none"/>
        </w:rPr>
        <w:t xml:space="preserve">在任何情况下均无义务和责任承担这些费用。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本项目招标代理费按苏招协(2022)002号文标准的60%计取</w:t>
      </w:r>
      <w:r>
        <w:rPr>
          <w:rFonts w:hint="eastAsia" w:ascii="宋体" w:hAnsi="宋体" w:eastAsia="宋体" w:cs="宋体"/>
          <w:sz w:val="24"/>
          <w:szCs w:val="24"/>
          <w:highlight w:val="none"/>
          <w:lang w:eastAsia="zh-CN"/>
        </w:rPr>
        <w:t xml:space="preserve">，以上费用最终由中标人在领取中标通知书时一次性支付，投标人须将此部分费用综合考虑在报价中，不得单列</w:t>
      </w:r>
      <w:r>
        <w:rPr>
          <w:rFonts w:hint="eastAsia" w:ascii="宋体" w:hAnsi="宋体" w:eastAsia="宋体" w:cs="宋体"/>
          <w:sz w:val="24"/>
          <w:szCs w:val="24"/>
          <w:highlight w:val="none"/>
        </w:rPr>
        <w:t xml:space="preserve">。</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5.招标文件的约束力</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投标人一旦参加本项目采购活动，即被认为接受了本招标文件的规定和约束。</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二、招标文件</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6.招标文件构成</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招标文件由以下部分组成：</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（6）投标文件格式</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请仔细检查招标文件是否齐全，如有缺漏请立即与</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联系解决。</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7.招标文件的澄清</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任何要求对招标文件进行澄清的投标人，应在投标截止期十日前按招标公告中的通讯地址，以书面形式通知采购人或者采购代理机构。</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8.招标文件的修改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在投标截止时间前，</w:t>
      </w:r>
      <w:r>
        <w:rPr>
          <w:rFonts w:hint="eastAsia" w:ascii="宋体" w:hAnsi="宋体" w:eastAsia="宋体" w:cs="宋体"/>
          <w:sz w:val="24"/>
          <w:szCs w:val="24"/>
          <w:highlight w:val="none"/>
          <w:lang w:val="en-US" w:eastAsia="zh-CN"/>
        </w:rPr>
        <w:t xml:space="preserve">采购人和</w:t>
      </w:r>
      <w:r>
        <w:rPr>
          <w:rFonts w:hint="eastAsia" w:ascii="宋体" w:hAnsi="宋体" w:eastAsia="宋体" w:cs="宋体"/>
          <w:sz w:val="24"/>
          <w:szCs w:val="24"/>
          <w:highlight w:val="none"/>
        </w:rPr>
        <w:t xml:space="preserve">采购代理机构可以对招标文件进行修改。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采购人和采购代理机构有权按照法定的要求推迟投标截止日期和开标日期。</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 招标文件的修改将在江苏政府采购网公布，补充文件将作为招标文件的组成部分，并对投标人具有约束力。</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三、投标文件的编制</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9.投标文件编写注意事项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10.投标文件的语言及度量衡单位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11.投标文件构成</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13.投标分项报价表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投标人应根据投标报价要求在投标分项报价表中列明各项投标单价、总价等，未全部列示的作无效响应处理。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16.投标函和开标一览表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17.投标有效期</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投标有效期为</w:t>
      </w:r>
      <w:r>
        <w:rPr>
          <w:rFonts w:hint="eastAsia" w:ascii="宋体" w:hAnsi="宋体" w:eastAsia="宋体" w:cs="宋体"/>
          <w:sz w:val="24"/>
          <w:szCs w:val="24"/>
          <w:highlight w:val="none"/>
          <w:lang w:val="en-US" w:eastAsia="zh-CN"/>
        </w:rPr>
        <w:t xml:space="preserve">招标文件</w:t>
      </w:r>
      <w:r>
        <w:rPr>
          <w:rFonts w:hint="eastAsia" w:ascii="宋体" w:hAnsi="宋体" w:eastAsia="宋体" w:cs="宋体"/>
          <w:sz w:val="24"/>
          <w:szCs w:val="24"/>
          <w:highlight w:val="none"/>
        </w:rPr>
        <w:t xml:space="preserve">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四、投标文件的递交</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18.电子投标文件的递交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19.投标截止时间</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人和</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代理机构可以按照规定，通过修改招标文件酌情延长投标截止日期，在此情况下，投标人的所有权利和义务以及投标人受制的截止日期均应以延长后新的截止日期为准。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20.投标文件的拒收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采购代理机构拒绝接收在其规定的投标截止时间后递交（上传）的任何投标文件。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21.投标文件的撤回和修改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投标文件的撤回</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投标文件的修改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在投标截止时间至招标文件中规定的投标有效期满之间的这段时间内，投标人不得撤回其投标。</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五、开标与评标</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22.开标</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采购代理机构将在招标公告中规定的时间和地点组织公开开标。投标人应当按时参加开标活动，并在“苏采云”系统规定的时间内对投标文件进行解密。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开标仪式由</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23、评标委员会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开标后，</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代理机构将组织评委会进行评标。</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24、评标过程的保密与公正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凡是与审查、澄清、评价和比较投标的有关资料以及授标建议等，采购人、评审专家、采购代理机构均不得向投标人或与评标无关的其他人员透露。</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采购代理机构和评委会不向未中标的投标人解释未中标原因，也不公布评标过程中的相关细节。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25、投标文件的澄清</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投标文件初审分为资格审查和符合性审查。</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相关法律法规对供应商报价有规定的，从其规定。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随投标文件一并提交相关书面说明及必要的证明材料的，在评审现场不再重复提交。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26.1.4</w:t>
      </w:r>
      <w:r>
        <w:rPr>
          <w:rFonts w:hint="eastAsia" w:ascii="宋体" w:hAnsi="宋体" w:eastAsia="宋体" w:cs="宋体"/>
          <w:sz w:val="24"/>
          <w:szCs w:val="24"/>
          <w:highlight w:val="none"/>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采购代理机构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26.7 投标人在开、评标全过程中应保持通讯畅通，及时登录“苏采云”系统查阅、答复相关信息，并安排专人与采购代理机构及评委会联系。</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27、无效投标条款和废标条款</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无效投标条款</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（8）不符合招标文件中规定的实质性要求和条件的（本招标文件中斜体且有下划线部分为实质性要求和条件）。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（10）投标人未通过符合性审查的。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27.3 废标条款</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（5）因重大变故，采购任务取消的。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六、定标</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28、确定中标单位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 采购代理机构将在江苏政府采购网发布中标公告，公告期限为1个工作日。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（1）提供虚假材料谋取中标、成交的。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（4）向采购人、采购代理机构行贿或者提供其他不正当利益的。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29、中标通知书</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pStyle w:val="728"/>
        <w:rPr>
          <w:rFonts w:hint="eastAsia"/>
          <w:highlight w:val="none"/>
        </w:rPr>
      </w:pPr>
      <w:r>
        <w:rPr>
          <w:rFonts w:hint="eastAsia" w:ascii="宋体" w:hAnsi="宋体" w:eastAsia="宋体" w:cs="宋体"/>
          <w:sz w:val="24"/>
          <w:szCs w:val="24"/>
          <w:highlight w:val="none"/>
        </w:rPr>
        <w:t xml:space="preserve">29.3 中标人应在中标后七个工作日内，向</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人和</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代理机构提供一正</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副与电子投标文件一致的纸质打印胶装投标文件，封面、骑缝需加盖公章。</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七、授予合同</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30、履约保证金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30.3 履约保证金自合同生效之日起至合同约定的中标人主要义务履行完毕止，采购人应当按合同约定及时退还履约保证金。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30.5 本项目履约保证金要求详见招标文件第四章 采购需求。</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31、合同签订及合同标的的追加</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500" w:lineRule="exact"/>
        <w:rPr>
          <w:rFonts w:hint="eastAsia"/>
          <w:highlight w:val="none"/>
        </w:rPr>
      </w:pPr>
      <w:r>
        <w:rPr>
          <w:rFonts w:hint="eastAsia" w:ascii="宋体" w:hAnsi="宋体" w:eastAsia="宋体" w:cs="宋体"/>
          <w:sz w:val="24"/>
          <w:szCs w:val="24"/>
          <w:highlight w:val="none"/>
        </w:rPr>
        <w:t xml:space="preserve">31.4</w:t>
      </w:r>
      <w:r>
        <w:rPr>
          <w:rFonts w:hint="eastAsia"/>
          <w:sz w:val="24"/>
          <w:szCs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32、政府采购履约资金扶持政策</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中标人可凭政府采购合同办理融资贷款，详情请见江苏政府采购网“政采贷”专栏。</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八、询问与质疑</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33、询问</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34、质疑提出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34.5 质疑函应当使用范本，详见招标文件第六章。供应商提出质疑应当提交质疑函和必要的证明材料，应当包括下列内容：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（7）必要的证明材料；</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35、质疑函的受理和答复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35.3 对不符合质疑要求的，采购人、采购代理机构有权要求其补充必要的证明材料，质疑供应商未在法定的时间内提供补充必要的证明材料的，视同放弃质疑。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以下情形的质疑不予受理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（2）超出政府采购法定期限的质疑。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35.5 采购人、采购代理机构依法受理的质疑，将按照政府采购有关规定，在法定期限内答复。</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、质疑处理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 质疑供应商未按照法定程序进行质疑投诉的，视为一般失信行为。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 质疑供应商不配合或者采取不正当手段干扰政府采购质疑、投诉处理工作的，视为一般失信行为。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 质疑供应商投诉受理期间，就同一事项多头举报，干扰财政部门投诉处理的，视为一般失信行为。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.4 质疑供应商在全国范围12个月内三次以上质疑查无实据的，视为一般失信行为。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.6 质疑供应商在全国范围12个月内三次以上投诉查无实据的，视为严重失信行为。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.7 未尽事宜，依照有关法律、法规执行。</w:t>
      </w:r>
      <w:r/>
    </w:p>
    <w:p>
      <w:pPr>
        <w:pStyle w:val="722"/>
        <w:jc w:val="both"/>
        <w:pageBreakBefore w:val="0"/>
        <w:spacing w:before="0" w:after="0" w:line="50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九、政府采购政策功能</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37、促进中小企业发展</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 参加本项目政府采购活动的供应商应当提供的材料： </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（1）投标人为中型企业、小型企业、微型企业的，提供《中小企业声明函》（第六章 投标文件格式）。</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.3 享受扶持政策获得政府采购合同的，小微企业不得将合同分包给大中型企业，中型企业不得将合同分包给大型企业。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根据《国务院办公厅关于在政府采购中实施本国产品标准及相关政策的通知》（国办发〔2025〕34号），本项目不涉及货物，不执行本国产品价格评审优惠。</w:t>
      </w:r>
      <w:r/>
    </w:p>
    <w:p>
      <w:pPr>
        <w:ind w:firstLine="482"/>
        <w:jc w:val="both"/>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cs="宋体"/>
          <w:b/>
          <w:sz w:val="24"/>
          <w:szCs w:val="24"/>
          <w:highlight w:val="none"/>
          <w:lang w:val="en-US" w:eastAsia="zh-CN"/>
        </w:rPr>
        <w:t xml:space="preserve">9</w:t>
      </w:r>
      <w:r>
        <w:rPr>
          <w:rFonts w:hint="eastAsia" w:ascii="宋体" w:hAnsi="宋体" w:eastAsia="宋体" w:cs="宋体"/>
          <w:b/>
          <w:sz w:val="24"/>
          <w:szCs w:val="24"/>
          <w:highlight w:val="none"/>
        </w:rPr>
        <w:t xml:space="preserve">、支持绿色发展</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39</w:t>
      </w:r>
      <w:r>
        <w:rPr>
          <w:rFonts w:hint="eastAsia" w:ascii="宋体" w:hAnsi="宋体" w:eastAsia="宋体" w:cs="宋体"/>
          <w:sz w:val="24"/>
          <w:szCs w:val="24"/>
          <w:highlight w:val="none"/>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40</w:t>
      </w:r>
      <w:r>
        <w:rPr>
          <w:rFonts w:hint="eastAsia" w:ascii="宋体" w:hAnsi="宋体" w:eastAsia="宋体" w:cs="宋体"/>
          <w:b/>
          <w:sz w:val="24"/>
          <w:szCs w:val="24"/>
          <w:highlight w:val="none"/>
        </w:rPr>
        <w:t xml:space="preserve">、政府采购需求标准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.1 本项目执行《绿色数据中心政府采购需求</w:t>
      </w:r>
      <w:r>
        <w:rPr>
          <w:rFonts w:hint="eastAsia" w:ascii="宋体" w:hAnsi="宋体" w:eastAsia="宋体" w:cs="宋体"/>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721"/>
        <w:jc w:val="center"/>
        <w:spacing w:line="360" w:lineRule="auto"/>
        <w:rPr>
          <w:rFonts w:ascii="黑体" w:hAnsi="黑体" w:eastAsia="黑体"/>
          <w:b w:val="0"/>
          <w:highlight w:val="none"/>
        </w:rPr>
      </w:pPr>
      <w:r/>
      <w:bookmarkStart w:id="2" w:name="_Toc163482575"/>
      <w:r>
        <w:rPr>
          <w:rFonts w:hint="eastAsia" w:ascii="黑体" w:hAnsi="黑体" w:eastAsia="黑体"/>
          <w:b w:val="0"/>
          <w:highlight w:val="none"/>
        </w:rPr>
        <w:t xml:space="preserve">第三章  合同文本</w:t>
      </w:r>
      <w:bookmarkEnd w:id="2"/>
      <w:r/>
      <w:r/>
    </w:p>
    <w:p>
      <w:pPr>
        <w:ind w:firstLine="480"/>
        <w:jc w:val="left"/>
        <w:spacing w:line="500" w:lineRule="exact"/>
        <w:rPr>
          <w:rFonts w:hint="default" w:ascii="Calibri" w:hAnsi="Calibri" w:eastAsia="宋体" w:cs="Times New Roman"/>
          <w:sz w:val="24"/>
          <w:szCs w:val="24"/>
          <w:highlight w:val="none"/>
        </w:rPr>
      </w:pPr>
      <w:r>
        <w:rPr>
          <w:rFonts w:hint="default" w:ascii="Calibri" w:hAnsi="Calibri" w:eastAsia="宋体" w:cs="Times New Roman"/>
          <w:sz w:val="24"/>
          <w:szCs w:val="24"/>
          <w:highlight w:val="none"/>
        </w:rPr>
      </w:r>
      <w:r/>
    </w:p>
    <w:p>
      <w:pPr>
        <w:jc w:val="center"/>
        <w:spacing w:line="500" w:lineRule="exact"/>
        <w:rPr>
          <w:rFonts w:hint="default" w:ascii="黑体" w:hAnsi="黑体" w:eastAsia="黑体" w:cs="Arial"/>
          <w:sz w:val="32"/>
          <w:szCs w:val="24"/>
          <w:highlight w:val="none"/>
        </w:rPr>
      </w:pPr>
      <w:r>
        <w:rPr>
          <w:rFonts w:hint="eastAsia" w:ascii="黑体" w:hAnsi="黑体" w:eastAsia="黑体" w:cs="Arial"/>
          <w:sz w:val="32"/>
          <w:szCs w:val="24"/>
          <w:highlight w:val="none"/>
        </w:rPr>
        <w:t xml:space="preserve">连云港市政府采购合同（服务）</w:t>
      </w:r>
      <w:r/>
    </w:p>
    <w:p>
      <w:pPr>
        <w:jc w:val="center"/>
        <w:spacing w:line="500" w:lineRule="exact"/>
        <w:rPr>
          <w:rFonts w:hint="default" w:ascii="黑体" w:hAnsi="黑体" w:eastAsia="黑体" w:cs="Arial"/>
          <w:sz w:val="28"/>
          <w:szCs w:val="24"/>
          <w:highlight w:val="none"/>
        </w:rPr>
      </w:pPr>
      <w:r>
        <w:rPr>
          <w:rFonts w:hint="eastAsia" w:ascii="黑体" w:hAnsi="黑体" w:eastAsia="黑体" w:cs="Arial"/>
          <w:sz w:val="28"/>
          <w:szCs w:val="24"/>
          <w:highlight w:val="none"/>
        </w:rPr>
        <w:t xml:space="preserve">（合同编号：***）</w:t>
      </w:r>
      <w:r/>
    </w:p>
    <w:p>
      <w:pPr>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甲方：（买方）_________</w:t>
      </w:r>
      <w:r/>
    </w:p>
    <w:p>
      <w:pPr>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乙方：（卖方）_________</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甲、乙双方根据</w:t>
      </w:r>
      <w:r>
        <w:rPr>
          <w:rFonts w:hint="eastAsia" w:ascii="Calibri" w:hAnsi="Calibri" w:eastAsia="宋体" w:cs="Arial"/>
          <w:sz w:val="24"/>
          <w:szCs w:val="24"/>
          <w:highlight w:val="none"/>
          <w:u w:val="single"/>
          <w:lang w:val="en-US" w:eastAsia="zh-CN"/>
        </w:rPr>
        <w:t xml:space="preserve">    </w:t>
      </w:r>
      <w:r>
        <w:rPr>
          <w:rFonts w:hint="eastAsia" w:ascii="宋体" w:hAnsi="宋体" w:eastAsia="Arial" w:cs="Arial"/>
          <w:color w:val="000000"/>
          <w:sz w:val="24"/>
          <w:highlight w:val="none"/>
        </w:rPr>
        <w:t xml:space="preserve">年</w:t>
      </w:r>
      <w:r>
        <w:rPr>
          <w:rFonts w:hint="eastAsia" w:ascii="宋体" w:hAnsi="宋体" w:eastAsia="宋体" w:cs="Arial"/>
          <w:color w:val="000000"/>
          <w:sz w:val="24"/>
          <w:highlight w:val="none"/>
          <w:u w:val="single"/>
          <w:lang w:val="en-US" w:eastAsia="zh-CN"/>
        </w:rPr>
        <w:t xml:space="preserve">   </w:t>
      </w:r>
      <w:r>
        <w:rPr>
          <w:rFonts w:hint="eastAsia" w:ascii="宋体" w:hAnsi="宋体" w:eastAsia="Arial" w:cs="Arial"/>
          <w:color w:val="000000"/>
          <w:sz w:val="24"/>
          <w:highlight w:val="none"/>
        </w:rPr>
        <w:t xml:space="preserve">月</w:t>
      </w:r>
      <w:r>
        <w:rPr>
          <w:rFonts w:hint="eastAsia" w:ascii="Calibri" w:hAnsi="Calibri" w:eastAsia="宋体" w:cs="Arial"/>
          <w:sz w:val="24"/>
          <w:szCs w:val="24"/>
          <w:highlight w:val="none"/>
          <w:u w:val="single"/>
          <w:lang w:val="en-US" w:eastAsia="zh-CN"/>
        </w:rPr>
        <w:t xml:space="preserve">   </w:t>
      </w:r>
      <w:r>
        <w:rPr>
          <w:rFonts w:hint="eastAsia" w:ascii="宋体" w:hAnsi="宋体" w:eastAsia="Arial" w:cs="Arial"/>
          <w:color w:val="000000"/>
          <w:sz w:val="24"/>
          <w:highlight w:val="none"/>
        </w:rPr>
        <w:t xml:space="preserve">日</w:t>
      </w:r>
      <w:r>
        <w:rPr>
          <w:rFonts w:hint="eastAsia" w:ascii="Calibri" w:hAnsi="Calibri" w:eastAsia="宋体" w:cs="Arial"/>
          <w:sz w:val="24"/>
          <w:szCs w:val="24"/>
          <w:highlight w:val="none"/>
          <w:u w:val="single"/>
          <w:lang w:val="en-US" w:eastAsia="zh-CN"/>
        </w:rPr>
        <w:t xml:space="preserve">          </w:t>
      </w:r>
      <w:r>
        <w:rPr>
          <w:rFonts w:hint="eastAsia" w:ascii="Calibri" w:hAnsi="Calibri" w:eastAsia="Arial" w:cs="Arial"/>
          <w:sz w:val="24"/>
          <w:szCs w:val="24"/>
          <w:highlight w:val="none"/>
        </w:rPr>
        <w:t xml:space="preserve">项目（项目编号：</w:t>
      </w:r>
      <w:r>
        <w:rPr>
          <w:rFonts w:hint="eastAsia" w:ascii="Calibri" w:hAnsi="Calibri" w:eastAsia="宋体" w:cs="Arial"/>
          <w:sz w:val="24"/>
          <w:szCs w:val="24"/>
          <w:highlight w:val="none"/>
          <w:u w:val="single"/>
          <w:lang w:val="en-US" w:eastAsia="zh-CN"/>
        </w:rPr>
        <w:t xml:space="preserve">          </w:t>
      </w:r>
      <w:r>
        <w:rPr>
          <w:rFonts w:hint="eastAsia" w:ascii="Calibri" w:hAnsi="Calibri" w:eastAsia="Arial" w:cs="Arial"/>
          <w:sz w:val="24"/>
          <w:szCs w:val="24"/>
          <w:highlight w:val="none"/>
        </w:rPr>
        <w:t xml:space="preserve">）公开招标的结果，签订本合同。</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一、合同内容</w:t>
      </w:r>
      <w:r/>
    </w:p>
    <w:p>
      <w:pPr>
        <w:ind w:firstLine="480"/>
        <w:jc w:val="left"/>
        <w:spacing w:line="500" w:lineRule="exact"/>
        <w:rPr>
          <w:rFonts w:hint="default" w:ascii="Calibri" w:hAnsi="Calibri" w:eastAsia="Arial" w:cs="Arial"/>
          <w:sz w:val="24"/>
          <w:szCs w:val="24"/>
          <w:highlight w:val="none"/>
        </w:rPr>
      </w:pPr>
      <w:r>
        <w:rPr>
          <w:rFonts w:hint="default" w:ascii="Calibri" w:hAnsi="Calibri" w:eastAsia="Arial" w:cs="Arial"/>
          <w:sz w:val="24"/>
          <w:szCs w:val="24"/>
          <w:highlight w:val="none"/>
        </w:rPr>
        <w:t xml:space="preserve">1.1 服务内容：</w:t>
      </w:r>
      <w:r>
        <w:rPr>
          <w:rFonts w:hint="eastAsia" w:ascii="Calibri" w:hAnsi="Calibri" w:eastAsia="宋体" w:cs="Arial"/>
          <w:sz w:val="24"/>
          <w:szCs w:val="24"/>
          <w:highlight w:val="none"/>
          <w:u w:val="single"/>
          <w:lang w:val="en-US" w:eastAsia="zh-CN"/>
        </w:rPr>
        <w:t xml:space="preserve">    </w:t>
      </w:r>
      <w:r>
        <w:rPr>
          <w:rFonts w:hint="default" w:ascii="Calibri" w:hAnsi="Calibri" w:eastAsia="Arial" w:cs="Arial"/>
          <w:sz w:val="24"/>
          <w:szCs w:val="24"/>
          <w:highlight w:val="none"/>
        </w:rPr>
        <w:t xml:space="preserve">。</w:t>
      </w:r>
      <w:r/>
    </w:p>
    <w:p>
      <w:pPr>
        <w:ind w:firstLine="480"/>
        <w:jc w:val="left"/>
        <w:spacing w:line="500" w:lineRule="exact"/>
        <w:rPr>
          <w:rFonts w:hint="default" w:ascii="Calibri" w:hAnsi="Calibri" w:eastAsia="Arial" w:cs="Arial"/>
          <w:sz w:val="24"/>
          <w:szCs w:val="24"/>
          <w:highlight w:val="none"/>
        </w:rPr>
      </w:pPr>
      <w:r>
        <w:rPr>
          <w:rFonts w:hint="default" w:ascii="Calibri" w:hAnsi="Calibri" w:eastAsia="Arial" w:cs="Arial"/>
          <w:sz w:val="24"/>
          <w:szCs w:val="24"/>
          <w:highlight w:val="none"/>
        </w:rPr>
        <w:t xml:space="preserve">1.2 服务要求：</w:t>
      </w:r>
      <w:r>
        <w:rPr>
          <w:rFonts w:hint="eastAsia" w:ascii="Calibri" w:hAnsi="Calibri" w:eastAsia="宋体" w:cs="Arial"/>
          <w:sz w:val="24"/>
          <w:szCs w:val="24"/>
          <w:highlight w:val="none"/>
          <w:u w:val="single"/>
          <w:lang w:val="en-US" w:eastAsia="zh-CN"/>
        </w:rPr>
        <w:t xml:space="preserve">    </w:t>
      </w:r>
      <w:r>
        <w:rPr>
          <w:rFonts w:hint="default" w:ascii="Calibri" w:hAnsi="Calibri" w:eastAsia="Arial" w:cs="Arial"/>
          <w:sz w:val="24"/>
          <w:szCs w:val="24"/>
          <w:highlight w:val="none"/>
        </w:rPr>
        <w:t xml:space="preserve">。</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 服务标准：</w:t>
      </w:r>
      <w:r>
        <w:rPr>
          <w:rFonts w:hint="eastAsia" w:ascii="Calibri" w:hAnsi="Calibri" w:eastAsia="宋体" w:cs="Arial"/>
          <w:sz w:val="24"/>
          <w:szCs w:val="24"/>
          <w:highlight w:val="none"/>
          <w:u w:val="single"/>
          <w:lang w:val="en-US" w:eastAsia="zh-CN"/>
        </w:rPr>
        <w:t xml:space="preserve">    </w:t>
      </w:r>
      <w:r>
        <w:rPr>
          <w:rFonts w:hint="default" w:ascii="Calibri" w:hAnsi="Calibri" w:eastAsia="Arial" w:cs="Arial"/>
          <w:sz w:val="24"/>
          <w:szCs w:val="24"/>
          <w:highlight w:val="none"/>
        </w:rPr>
        <w:t xml:space="preserve">。</w:t>
      </w:r>
      <w:r/>
    </w:p>
    <w:p>
      <w:pPr>
        <w:ind w:firstLine="480"/>
        <w:jc w:val="left"/>
        <w:spacing w:line="500" w:lineRule="exact"/>
        <w:rPr>
          <w:rFonts w:hint="default" w:ascii="Calibri" w:hAnsi="Calibri" w:eastAsia="Arial" w:cs="Arial"/>
          <w:sz w:val="24"/>
          <w:szCs w:val="24"/>
          <w:highlight w:val="none"/>
        </w:rPr>
      </w:pPr>
      <w:r>
        <w:rPr>
          <w:rFonts w:hint="default" w:ascii="Calibri" w:hAnsi="Calibri" w:eastAsia="Arial" w:cs="Arial"/>
          <w:sz w:val="24"/>
          <w:szCs w:val="24"/>
          <w:highlight w:val="none"/>
        </w:rPr>
        <w:t xml:space="preserve">1.</w:t>
      </w:r>
      <w:r>
        <w:rPr>
          <w:rFonts w:hint="eastAsia" w:ascii="Calibri" w:hAnsi="Calibri" w:eastAsia="Arial" w:cs="Arial"/>
          <w:sz w:val="24"/>
          <w:szCs w:val="24"/>
          <w:highlight w:val="none"/>
        </w:rPr>
        <w:t xml:space="preserve">4</w:t>
      </w:r>
      <w:r>
        <w:rPr>
          <w:rFonts w:hint="default" w:ascii="Calibri" w:hAnsi="Calibri" w:eastAsia="Arial" w:cs="Arial"/>
          <w:sz w:val="24"/>
          <w:szCs w:val="24"/>
          <w:highlight w:val="none"/>
        </w:rPr>
        <w:t xml:space="preserve"> 补充条款：</w:t>
      </w:r>
      <w:r>
        <w:rPr>
          <w:rFonts w:hint="eastAsia" w:ascii="Calibri" w:hAnsi="Calibri" w:eastAsia="宋体" w:cs="Arial"/>
          <w:sz w:val="24"/>
          <w:szCs w:val="24"/>
          <w:highlight w:val="none"/>
          <w:u w:val="single"/>
          <w:lang w:val="en-US" w:eastAsia="zh-CN"/>
        </w:rPr>
        <w:t xml:space="preserve">    </w:t>
      </w:r>
      <w:r>
        <w:rPr>
          <w:rFonts w:hint="default" w:ascii="Calibri" w:hAnsi="Calibri" w:eastAsia="Arial" w:cs="Arial"/>
          <w:sz w:val="24"/>
          <w:szCs w:val="24"/>
          <w:highlight w:val="none"/>
        </w:rPr>
        <w:t xml:space="preserve">。</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二、合同金额</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2.1 本合同金额为人民币（大写）：</w:t>
      </w:r>
      <w:r>
        <w:rPr>
          <w:rFonts w:hint="eastAsia" w:ascii="Calibri" w:hAnsi="Calibri" w:eastAsia="宋体" w:cs="Arial"/>
          <w:sz w:val="24"/>
          <w:szCs w:val="24"/>
          <w:highlight w:val="none"/>
          <w:u w:val="single"/>
          <w:lang w:val="en-US" w:eastAsia="zh-CN"/>
        </w:rPr>
        <w:t xml:space="preserve">    </w:t>
      </w:r>
      <w:r>
        <w:rPr>
          <w:rFonts w:hint="eastAsia" w:ascii="Calibri" w:hAnsi="Calibri" w:eastAsia="Arial" w:cs="Arial"/>
          <w:sz w:val="24"/>
          <w:szCs w:val="24"/>
          <w:highlight w:val="none"/>
        </w:rPr>
        <w:t xml:space="preserve">元（¥</w:t>
      </w:r>
      <w:r>
        <w:rPr>
          <w:rFonts w:hint="eastAsia" w:ascii="Calibri" w:hAnsi="Calibri" w:eastAsia="宋体" w:cs="Arial"/>
          <w:sz w:val="24"/>
          <w:szCs w:val="24"/>
          <w:highlight w:val="none"/>
          <w:u w:val="single"/>
          <w:lang w:val="en-US" w:eastAsia="zh-CN"/>
        </w:rPr>
        <w:t xml:space="preserve">    </w:t>
      </w:r>
      <w:r>
        <w:rPr>
          <w:rFonts w:hint="eastAsia" w:ascii="Calibri" w:hAnsi="Calibri" w:eastAsia="Arial" w:cs="Arial"/>
          <w:sz w:val="24"/>
          <w:szCs w:val="24"/>
          <w:highlight w:val="none"/>
        </w:rPr>
        <w:t xml:space="preserve">）。</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三、技术资料</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3.1 乙方应按招标文件规定的时间向甲方提供有关技术资料。</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四、知识产权</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五、产权担保</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5.1 乙方保证所交付标的的所有权完全属于乙方且无任何抵押、查封等产权瑕疵。</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六、履约保证金</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6.1 本合同不收取履约保证金。</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七、合同转包或分包</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7.1 乙方不得将本合同转让他人供应。未经甲方事先书面同意，乙方不得将本合同的任何部分分包给他人供应。经甲方同意的分包，乙方就采购项目和分包项目向甲方负责，分包供应商就分包项目承担责任。</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7.2 如有转让和未经甲方同意的分包行为，甲方有权终止合同。</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八、服务时间</w:t>
      </w:r>
      <w:r/>
    </w:p>
    <w:p>
      <w:pPr>
        <w:ind w:firstLine="480"/>
        <w:jc w:val="left"/>
        <w:spacing w:line="500" w:lineRule="exact"/>
        <w:rPr>
          <w:rFonts w:hint="default" w:ascii="黑体" w:hAnsi="黑体" w:eastAsia="黑体" w:cs="Arial"/>
          <w:sz w:val="24"/>
          <w:szCs w:val="24"/>
          <w:highlight w:val="none"/>
        </w:rPr>
      </w:pPr>
      <w:r>
        <w:rPr>
          <w:rFonts w:hint="eastAsia" w:ascii="Calibri" w:hAnsi="Calibri" w:eastAsia="Arial" w:cs="Arial"/>
          <w:sz w:val="24"/>
          <w:szCs w:val="24"/>
          <w:highlight w:val="none"/>
        </w:rPr>
        <w:t xml:space="preserve">8.1 服务时间：</w:t>
      </w:r>
      <w:r>
        <w:rPr>
          <w:rFonts w:hint="eastAsia" w:ascii="Calibri" w:hAnsi="Calibri" w:eastAsia="宋体" w:cs="Arial"/>
          <w:sz w:val="24"/>
          <w:szCs w:val="24"/>
          <w:highlight w:val="none"/>
          <w:u w:val="single"/>
          <w:lang w:val="en-US" w:eastAsia="zh-CN"/>
        </w:rPr>
        <w:t xml:space="preserve">    </w:t>
      </w:r>
      <w:r>
        <w:rPr>
          <w:rFonts w:hint="eastAsia" w:ascii="黑体" w:hAnsi="黑体" w:eastAsia="黑体" w:cs="Arial"/>
          <w:sz w:val="24"/>
          <w:szCs w:val="24"/>
          <w:highlight w:val="none"/>
        </w:rPr>
        <w:t xml:space="preserve">。</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九、交付期、交付方式及交付地点</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9.1 交 付 期：_________。</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9.2 交付方式：_________。</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9.3 交付地点：_________。</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十、合同款支付</w:t>
      </w:r>
      <w:r/>
    </w:p>
    <w:p>
      <w:pPr>
        <w:ind w:firstLine="480"/>
        <w:jc w:val="both"/>
        <w:keepLines w:val="0"/>
        <w:keepNext w:val="0"/>
        <w:pageBreakBefore w:val="0"/>
        <w:spacing w:before="0" w:beforeAutospacing="0" w:after="0" w:afterAutospacing="0" w:line="480" w:lineRule="exact"/>
        <w:widowControl w:val="off"/>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10.1 付款方式：</w:t>
      </w:r>
      <w:r>
        <w:rPr>
          <w:rFonts w:hint="eastAsia" w:ascii="宋体" w:hAnsi="宋体" w:eastAsia="宋体" w:cs="宋体"/>
          <w:b w:val="0"/>
          <w:bCs w:val="0"/>
          <w:i/>
          <w:iCs/>
          <w:color w:val="auto"/>
          <w:sz w:val="24"/>
          <w:szCs w:val="21"/>
          <w:highlight w:val="none"/>
          <w:u w:val="single"/>
          <w:lang w:val="en-US" w:eastAsia="zh-CN" w:bidi="ar-SA"/>
        </w:rPr>
        <w:t xml:space="preserve">本合同服务期共两年，合同款项每半年支付一次。每半年服务期满，经甲方对乙方进行考核合格，且收到乙方开具的合法等额发票后15个工作日内，甲方支付合同总价款的25%，作为半年度服务款。</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十一、税费</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11.1 本合同执行中相关的一切税费均由乙方负担。</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十二、质量保证及售后服务</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12.1 乙方应按招标文件规定和投标文件承诺的性能、技术要求、质量标准向甲方提供产品或服务。</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（1）更换：由乙方承担所产生的全部费用。</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12.3 如在使用过程中发生质量问题，乙方在接到甲方通知后在小时内到达甲方现场。</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十三、项目验收</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13.1 甲方依法组织履约验收工作。</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13.3 对于实际使用人和甲方分离的项目，甲方邀请实际使用人参与验收。</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十四、合同内容的交付</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14.2 使用说明书、质量检验证明书等一并提交甲方。</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14.3 乙方在合同标的交付甲方48小时前通知甲方准备接收。</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14.4 合同标的在交付甲方前发生的风险均由乙方负责。</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14.5 合同标的在规定的交付期限内由乙方送达甲方指定的地点视为交付，乙方同时需通知甲方已送达。</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十五、违约责任</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15.1 甲方无正当理由拒收的，甲方向乙方偿付拒收标的总值的违约金。</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15.2 甲方无故逾期验收和办理合同款支付手续的，甲方应按逾期付款总额每日向乙方支付违约金，</w:t>
      </w:r>
      <w:r>
        <w:rPr>
          <w:rFonts w:hint="eastAsia" w:ascii="Times New Roman" w:hAnsi="Times New Roman" w:eastAsia="Arial" w:cs="Arial"/>
          <w:color w:val="000000"/>
          <w:sz w:val="24"/>
          <w:szCs w:val="24"/>
          <w:highlight w:val="none"/>
        </w:rPr>
        <w:t xml:space="preserve">最高限额为本合同总额的</w:t>
      </w:r>
      <w:r>
        <w:rPr>
          <w:rFonts w:hint="eastAsia" w:ascii="Calibri" w:hAnsi="Calibri" w:eastAsia="Arial" w:cs="Arial"/>
          <w:sz w:val="24"/>
          <w:szCs w:val="24"/>
          <w:highlight w:val="none"/>
        </w:rPr>
        <w:t xml:space="preserve">。</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rFonts w:hint="eastAsia" w:ascii="Calibri" w:hAnsi="Calibri" w:eastAsia="Arial" w:cs="Arial"/>
          <w:sz w:val="24"/>
          <w:szCs w:val="24"/>
          <w:highlight w:val="none"/>
        </w:rPr>
      </w:pPr>
      <w:r>
        <w:rPr>
          <w:rFonts w:hint="eastAsia" w:ascii="Calibri" w:hAnsi="Calibri" w:eastAsia="Arial" w:cs="Arial"/>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default" w:ascii="Calibri" w:hAnsi="Calibri" w:eastAsia="宋体" w:cs="Arial"/>
          <w:sz w:val="24"/>
          <w:szCs w:val="24"/>
          <w:highlight w:val="none"/>
          <w:lang w:val="en-US" w:eastAsia="zh-CN"/>
        </w:rPr>
      </w:pPr>
      <w:r>
        <w:rPr>
          <w:rFonts w:hint="eastAsia" w:ascii="Calibri" w:hAnsi="Calibri" w:eastAsia="宋体" w:cs="Arial"/>
          <w:sz w:val="24"/>
          <w:szCs w:val="24"/>
          <w:highlight w:val="none"/>
          <w:lang w:val="en-US" w:eastAsia="zh-CN"/>
        </w:rPr>
        <w:t xml:space="preserve">15.5乙方须具有持续的运维能力，若因备件耗材供应或其他原因影响乙方正常履行合同义务的，构成乙方违约，甲方有权单方面解除合同，并由乙方承担本合同总额30%的违约金。</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十六、不可抗力事件处理</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16.2 不可抗力事件发生后，受影响方应立即通知对方，以减轻可能给对方造成的损失，并应当在合理期限内提供相关证明。</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16.3 不可抗力事件延续120天以上，双方应通过友好协商，确定是否继续履行合同。</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十七、解决争议的方法</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17.1 甲乙双方因合同签订、履行而发生的一切争议，应通过友好协商解决。如协商不成，按下列第</w:t>
      </w:r>
      <w:r>
        <w:rPr>
          <w:rFonts w:hint="eastAsia" w:ascii="Calibri" w:hAnsi="Calibri" w:eastAsia="Arial" w:cs="Arial"/>
          <w:sz w:val="24"/>
          <w:szCs w:val="24"/>
          <w:highlight w:val="none"/>
          <w:u w:val="single"/>
        </w:rPr>
        <w:t xml:space="preserve">（</w:t>
      </w:r>
      <w:r>
        <w:rPr>
          <w:rFonts w:hint="eastAsia" w:ascii="Calibri" w:hAnsi="Calibri" w:eastAsia="宋体" w:cs="Arial"/>
          <w:sz w:val="24"/>
          <w:szCs w:val="24"/>
          <w:highlight w:val="none"/>
          <w:u w:val="single"/>
          <w:lang w:val="en-US" w:eastAsia="zh-CN"/>
        </w:rPr>
        <w:t xml:space="preserve">2</w:t>
      </w:r>
      <w:r>
        <w:rPr>
          <w:rFonts w:hint="eastAsia" w:ascii="Calibri" w:hAnsi="Calibri" w:eastAsia="Arial" w:cs="Arial"/>
          <w:sz w:val="24"/>
          <w:szCs w:val="24"/>
          <w:highlight w:val="none"/>
          <w:u w:val="single"/>
        </w:rPr>
        <w:t xml:space="preserve">）</w:t>
      </w:r>
      <w:r>
        <w:rPr>
          <w:rFonts w:hint="eastAsia" w:ascii="Calibri" w:hAnsi="Calibri" w:eastAsia="Arial" w:cs="Arial"/>
          <w:sz w:val="24"/>
          <w:szCs w:val="24"/>
          <w:highlight w:val="none"/>
        </w:rPr>
        <w:t xml:space="preserve">种方式解决：</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（1）向连云港仲裁委员会申请仲裁。</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（2）向</w:t>
      </w:r>
      <w:r>
        <w:rPr>
          <w:rFonts w:hint="eastAsia" w:ascii="Calibri" w:hAnsi="Calibri" w:eastAsia="宋体" w:cs="Arial"/>
          <w:sz w:val="24"/>
          <w:szCs w:val="24"/>
          <w:highlight w:val="none"/>
          <w:lang w:val="en-US" w:eastAsia="zh-CN"/>
        </w:rPr>
        <w:t xml:space="preserve">甲方</w:t>
      </w:r>
      <w:r>
        <w:rPr>
          <w:rFonts w:hint="eastAsia" w:ascii="Calibri" w:hAnsi="Calibri" w:eastAsia="Arial" w:cs="Arial"/>
          <w:sz w:val="24"/>
          <w:szCs w:val="24"/>
          <w:highlight w:val="none"/>
          <w:lang w:val="en-US" w:eastAsia="zh-CN"/>
        </w:rPr>
        <w:t xml:space="preserve">所在</w:t>
      </w:r>
      <w:r>
        <w:rPr>
          <w:rFonts w:hint="eastAsia" w:ascii="Calibri" w:hAnsi="Calibri" w:eastAsia="Arial" w:cs="Arial"/>
          <w:sz w:val="24"/>
          <w:szCs w:val="24"/>
          <w:highlight w:val="none"/>
        </w:rPr>
        <w:t xml:space="preserve">地人民法院起诉。</w:t>
      </w:r>
      <w:r/>
    </w:p>
    <w:p>
      <w:pPr>
        <w:ind w:firstLine="480"/>
        <w:jc w:val="left"/>
        <w:spacing w:line="500" w:lineRule="exact"/>
        <w:rPr>
          <w:rFonts w:hint="default" w:ascii="黑体" w:hAnsi="黑体" w:eastAsia="黑体" w:cs="Arial"/>
          <w:sz w:val="24"/>
          <w:szCs w:val="24"/>
          <w:highlight w:val="none"/>
        </w:rPr>
      </w:pPr>
      <w:r>
        <w:rPr>
          <w:rFonts w:hint="eastAsia" w:ascii="黑体" w:hAnsi="黑体" w:eastAsia="黑体" w:cs="Arial"/>
          <w:sz w:val="24"/>
          <w:szCs w:val="24"/>
          <w:highlight w:val="none"/>
        </w:rPr>
        <w:t xml:space="preserve">十八、合同生效及其他</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18.1 合同经双方法定代表人或授权代表签字并加盖单位公章后生效。</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18.2 本合同未尽事宜，遵照</w:t>
      </w:r>
      <w:r>
        <w:rPr>
          <w:rFonts w:hint="eastAsia" w:ascii="Calibri" w:hAnsi="Calibri" w:eastAsia="Arial" w:cs="Arial"/>
          <w:color w:val="000000"/>
          <w:sz w:val="24"/>
          <w:highlight w:val="none"/>
        </w:rPr>
        <w:t xml:space="preserve">《中华人民共和国民法典》</w:t>
      </w:r>
      <w:r>
        <w:rPr>
          <w:rFonts w:hint="eastAsia" w:ascii="Calibri" w:hAnsi="Calibri" w:eastAsia="Arial" w:cs="Arial"/>
          <w:sz w:val="24"/>
          <w:szCs w:val="24"/>
          <w:highlight w:val="none"/>
        </w:rPr>
        <w:t xml:space="preserve">、《</w:t>
      </w:r>
      <w:r>
        <w:rPr>
          <w:rFonts w:hint="eastAsia" w:ascii="Calibri" w:hAnsi="Calibri" w:eastAsia="Arial" w:cs="Arial"/>
          <w:color w:val="000000"/>
          <w:sz w:val="24"/>
          <w:highlight w:val="none"/>
        </w:rPr>
        <w:t xml:space="preserve">中华人民共和国</w:t>
      </w:r>
      <w:r>
        <w:rPr>
          <w:rFonts w:hint="eastAsia" w:ascii="Calibri" w:hAnsi="Calibri" w:eastAsia="Arial" w:cs="Arial"/>
          <w:sz w:val="24"/>
          <w:szCs w:val="24"/>
          <w:highlight w:val="none"/>
        </w:rPr>
        <w:t xml:space="preserve">政府采购法》有关条文执行。</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18.3 本合同正本一式</w:t>
      </w:r>
      <w:r>
        <w:rPr>
          <w:rFonts w:hint="eastAsia" w:ascii="Calibri" w:hAnsi="Calibri" w:eastAsia="宋体" w:cs="Arial"/>
          <w:sz w:val="24"/>
          <w:szCs w:val="24"/>
          <w:highlight w:val="none"/>
          <w:lang w:val="en-US" w:eastAsia="zh-CN"/>
        </w:rPr>
        <w:t xml:space="preserve">四</w:t>
      </w:r>
      <w:r>
        <w:rPr>
          <w:rFonts w:hint="eastAsia" w:ascii="Calibri" w:hAnsi="Calibri" w:eastAsia="Arial" w:cs="Arial"/>
          <w:sz w:val="24"/>
          <w:szCs w:val="24"/>
          <w:highlight w:val="none"/>
        </w:rPr>
        <w:t xml:space="preserve">份，具有同等法律效力，甲方、乙方各执</w:t>
      </w:r>
      <w:r>
        <w:rPr>
          <w:rFonts w:hint="eastAsia" w:ascii="Calibri" w:hAnsi="Calibri" w:eastAsia="宋体" w:cs="Arial"/>
          <w:sz w:val="24"/>
          <w:szCs w:val="24"/>
          <w:highlight w:val="none"/>
          <w:lang w:val="en-US" w:eastAsia="zh-CN"/>
        </w:rPr>
        <w:t xml:space="preserve">二</w:t>
      </w:r>
      <w:r>
        <w:rPr>
          <w:rFonts w:hint="eastAsia" w:ascii="Calibri" w:hAnsi="Calibri" w:eastAsia="Arial" w:cs="Arial"/>
          <w:sz w:val="24"/>
          <w:szCs w:val="24"/>
          <w:highlight w:val="none"/>
        </w:rPr>
        <w:t xml:space="preserve">份。</w:t>
      </w:r>
      <w:r/>
    </w:p>
    <w:p>
      <w:pPr>
        <w:ind w:firstLine="480"/>
        <w:jc w:val="left"/>
        <w:spacing w:line="500" w:lineRule="exact"/>
        <w:rPr>
          <w:rFonts w:hint="default" w:ascii="Calibri" w:hAnsi="Calibri" w:eastAsia="Arial" w:cs="Arial"/>
          <w:sz w:val="24"/>
          <w:szCs w:val="24"/>
          <w:highlight w:val="none"/>
        </w:rPr>
      </w:pPr>
      <w:r>
        <w:rPr>
          <w:rFonts w:hint="default" w:ascii="Calibri" w:hAnsi="Calibri" w:eastAsia="Arial" w:cs="Arial"/>
          <w:sz w:val="24"/>
          <w:szCs w:val="24"/>
          <w:highlight w:val="none"/>
        </w:rPr>
      </w:r>
      <w:r/>
    </w:p>
    <w:p>
      <w:pPr>
        <w:ind w:firstLine="480"/>
        <w:jc w:val="left"/>
        <w:spacing w:line="500" w:lineRule="exact"/>
        <w:rPr>
          <w:rFonts w:hint="default" w:ascii="Calibri" w:hAnsi="Calibri" w:eastAsia="Arial" w:cs="Arial"/>
          <w:sz w:val="24"/>
          <w:szCs w:val="24"/>
          <w:highlight w:val="none"/>
        </w:rPr>
      </w:pPr>
      <w:r>
        <w:rPr>
          <w:rFonts w:hint="default" w:ascii="Calibri" w:hAnsi="Calibri" w:eastAsia="Arial" w:cs="Arial"/>
          <w:sz w:val="24"/>
          <w:szCs w:val="24"/>
          <w:highlight w:val="none"/>
        </w:rPr>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甲方：                        乙方： </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地址：                        地址： </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法定代表人或授权代表：        法定代表人或授权代表：</w:t>
      </w:r>
      <w:r/>
    </w:p>
    <w:p>
      <w:pPr>
        <w:ind w:firstLine="480"/>
        <w:jc w:val="lef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联系电话：                    联系电话：     </w:t>
      </w:r>
      <w:r/>
    </w:p>
    <w:p>
      <w:pPr>
        <w:ind w:firstLine="480"/>
        <w:jc w:val="left"/>
        <w:spacing w:line="500" w:lineRule="exact"/>
        <w:rPr>
          <w:rFonts w:hint="default" w:ascii="Calibri" w:hAnsi="Calibri" w:eastAsia="Arial" w:cs="Arial"/>
          <w:sz w:val="24"/>
          <w:szCs w:val="24"/>
          <w:highlight w:val="none"/>
        </w:rPr>
      </w:pPr>
      <w:r>
        <w:rPr>
          <w:rFonts w:hint="default" w:ascii="Calibri" w:hAnsi="Calibri" w:eastAsia="Arial" w:cs="Arial"/>
          <w:sz w:val="24"/>
          <w:szCs w:val="24"/>
          <w:highlight w:val="none"/>
        </w:rPr>
      </w:r>
      <w:r/>
    </w:p>
    <w:p>
      <w:pPr>
        <w:ind w:firstLine="480"/>
        <w:jc w:val="right"/>
        <w:spacing w:line="500" w:lineRule="exact"/>
        <w:rPr>
          <w:rFonts w:hint="default" w:ascii="Calibri" w:hAnsi="Calibri" w:eastAsia="Arial" w:cs="Arial"/>
          <w:sz w:val="24"/>
          <w:szCs w:val="24"/>
          <w:highlight w:val="none"/>
        </w:rPr>
      </w:pPr>
      <w:r>
        <w:rPr>
          <w:rFonts w:hint="eastAsia" w:ascii="Calibri" w:hAnsi="Calibri" w:eastAsia="Arial" w:cs="Arial"/>
          <w:sz w:val="24"/>
          <w:szCs w:val="24"/>
          <w:highlight w:val="none"/>
        </w:rPr>
        <w:t xml:space="preserve">签订日期：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21"/>
        <w:jc w:val="center"/>
        <w:spacing w:line="360" w:lineRule="auto"/>
        <w:rPr>
          <w:rFonts w:ascii="黑体" w:hAnsi="黑体" w:eastAsia="黑体"/>
          <w:b w:val="0"/>
          <w:highlight w:val="none"/>
        </w:rPr>
      </w:pPr>
      <w:r>
        <w:rPr>
          <w:rFonts w:hint="eastAsia" w:ascii="黑体" w:hAnsi="黑体" w:eastAsia="黑体"/>
          <w:b w:val="0"/>
          <w:highlight w:val="none"/>
        </w:rPr>
        <w:t xml:space="preserve">第四章  采购需求</w:t>
      </w:r>
      <w:bookmarkEnd w:id="3"/>
      <w:r/>
      <w:r/>
    </w:p>
    <w:p>
      <w:pPr>
        <w:ind w:firstLine="482"/>
        <w:jc w:val="left"/>
        <w:spacing w:line="500" w:lineRule="exact"/>
        <w:rPr>
          <w:rFonts w:ascii="Calibri" w:hAnsi="Calibri" w:eastAsia="宋体" w:cs="Times New Roman"/>
          <w:b/>
          <w:sz w:val="24"/>
          <w:szCs w:val="24"/>
          <w:highlight w:val="none"/>
        </w:rPr>
      </w:pPr>
      <w:r>
        <w:rPr>
          <w:rFonts w:hint="eastAsia" w:ascii="Calibri" w:hAnsi="Calibri" w:eastAsia="宋体" w:cs="Times New Roman"/>
          <w:b/>
          <w:sz w:val="24"/>
          <w:szCs w:val="24"/>
          <w:highlight w:val="none"/>
        </w:rPr>
        <w:t xml:space="preserve">说明：本项目属性为</w:t>
      </w:r>
      <w:r>
        <w:rPr>
          <w:rFonts w:hint="eastAsia" w:ascii="Calibri" w:hAnsi="Calibri" w:eastAsia="宋体" w:cs="Times New Roman"/>
          <w:b/>
          <w:sz w:val="24"/>
          <w:szCs w:val="24"/>
          <w:highlight w:val="none"/>
          <w:lang w:val="en-US" w:eastAsia="zh-CN"/>
        </w:rPr>
        <w:t xml:space="preserve">服务</w:t>
      </w:r>
      <w:r>
        <w:rPr>
          <w:rFonts w:hint="eastAsia" w:ascii="Calibri" w:hAnsi="Calibri" w:eastAsia="宋体" w:cs="Times New Roman"/>
          <w:b/>
          <w:sz w:val="24"/>
          <w:szCs w:val="24"/>
          <w:highlight w:val="none"/>
        </w:rPr>
        <w:t xml:space="preserve">，采购标的对应的中小企业划分标准所属行业</w:t>
      </w:r>
      <w:r>
        <w:rPr>
          <w:rFonts w:hint="eastAsia" w:ascii="Calibri" w:hAnsi="Calibri" w:eastAsia="宋体" w:cs="Times New Roman"/>
          <w:b/>
          <w:sz w:val="24"/>
          <w:szCs w:val="24"/>
          <w:highlight w:val="none"/>
          <w:lang w:val="en-US" w:eastAsia="zh-CN"/>
        </w:rPr>
        <w:t xml:space="preserve">为</w:t>
      </w:r>
      <w:r>
        <w:rPr>
          <w:rFonts w:hint="eastAsia" w:ascii="Calibri" w:hAnsi="Calibri" w:eastAsia="宋体" w:cs="Times New Roman"/>
          <w:b/>
          <w:sz w:val="24"/>
          <w:szCs w:val="24"/>
          <w:highlight w:val="none"/>
          <w:u w:val="single"/>
        </w:rPr>
        <w:t xml:space="preserve"> 其他未列明行业 </w:t>
      </w:r>
      <w:r>
        <w:rPr>
          <w:rFonts w:hint="eastAsia" w:ascii="Calibri" w:hAnsi="Calibri" w:eastAsia="宋体" w:cs="Times New Roman"/>
          <w:b/>
          <w:sz w:val="24"/>
          <w:szCs w:val="24"/>
          <w:highlight w:val="none"/>
        </w:rPr>
        <w:t xml:space="preserve">。</w:t>
      </w:r>
      <w:r/>
    </w:p>
    <w:p>
      <w:pPr>
        <w:ind w:firstLine="480"/>
        <w:jc w:val="left"/>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依据《关于印发中小企业划型标准规定的通知》（工信部联企业〔2011〕300号）行业划型标准如下：（十</w:t>
      </w:r>
      <w:r>
        <w:rPr>
          <w:rFonts w:hint="eastAsia" w:ascii="宋体" w:hAnsi="宋体" w:eastAsia="宋体" w:cs="Times New Roman"/>
          <w:sz w:val="24"/>
          <w:szCs w:val="24"/>
          <w:highlight w:val="none"/>
          <w:lang w:val="en-US" w:eastAsia="zh-CN"/>
        </w:rPr>
        <w:t xml:space="preserve">六</w:t>
      </w:r>
      <w:r>
        <w:rPr>
          <w:rFonts w:hint="eastAsia" w:ascii="宋体" w:hAnsi="宋体" w:eastAsia="宋体" w:cs="Times New Roman"/>
          <w:sz w:val="24"/>
          <w:szCs w:val="24"/>
          <w:highlight w:val="none"/>
        </w:rPr>
        <w:t xml:space="preserve">）其他未列明行业。从业人员300人以下的为中小微型企业。其中，从业人员100人及以上的为中型企业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从业人员10人及以上的为小型企业</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从业人员10人以下的为微型企业。</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1.根据《政府采购需求管理办法》等有关规定，采购人确定采购需求。</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
          <w:bCs/>
          <w:sz w:val="24"/>
          <w:szCs w:val="24"/>
          <w:highlight w:val="none"/>
        </w:rPr>
        <w:t xml:space="preserve">本招标文件中斜体且有下划线部分为实质性要求和条件</w:t>
      </w:r>
      <w:r>
        <w:rPr>
          <w:rFonts w:hint="eastAsia" w:ascii="宋体" w:hAnsi="宋体" w:eastAsia="宋体" w:cs="Times New Roman"/>
          <w:sz w:val="24"/>
          <w:szCs w:val="24"/>
          <w:highlight w:val="none"/>
        </w:rPr>
        <w:t xml:space="preserve">，由采购人根据实际情况设置，投标人必须逐条明确作出满足实质性要求和条件的响应，否则将按无效投标处理。</w:t>
      </w:r>
      <w:r/>
    </w:p>
    <w:p>
      <w:pPr>
        <w:pageBreakBefore w:val="0"/>
        <w:spacing w:line="480" w:lineRule="exact"/>
        <w:rPr>
          <w:rFonts w:hint="eastAsia" w:ascii="黑体" w:hAnsi="黑体" w:eastAsia="黑体" w:cs="Times New Roman"/>
          <w:b/>
          <w:color w:val="auto"/>
          <w:sz w:val="24"/>
          <w:szCs w:val="24"/>
          <w:highlight w:val="none"/>
          <w:lang w:val="en-US" w:eastAsia="zh-CN"/>
        </w:rPr>
      </w:pPr>
      <w:r>
        <w:rPr>
          <w:rFonts w:hint="eastAsia" w:ascii="黑体" w:hAnsi="黑体" w:eastAsia="黑体" w:cs="Times New Roman"/>
          <w:b/>
          <w:color w:val="auto"/>
          <w:sz w:val="24"/>
          <w:szCs w:val="24"/>
          <w:highlight w:val="none"/>
          <w:lang w:val="en-US" w:eastAsia="zh-CN"/>
        </w:rPr>
        <w:t xml:space="preserve">一、项目概况</w:t>
      </w:r>
      <w:r/>
    </w:p>
    <w:p>
      <w:pPr>
        <w:ind w:firstLine="48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灌云县临港产业区环境在线监测站所2026-2028年度设备运维，</w:t>
      </w:r>
      <w:r>
        <w:rPr>
          <w:rFonts w:hint="eastAsia" w:ascii="宋体" w:hAnsi="宋体" w:eastAsia="宋体" w:cs="宋体"/>
          <w:b w:val="0"/>
          <w:bCs w:val="0"/>
          <w:sz w:val="24"/>
          <w:szCs w:val="24"/>
          <w:highlight w:val="none"/>
        </w:rPr>
        <w:t xml:space="preserve">运营、维护</w:t>
      </w:r>
      <w:r>
        <w:rPr>
          <w:rFonts w:hint="eastAsia" w:ascii="宋体" w:hAnsi="宋体" w:eastAsia="宋体" w:cs="宋体"/>
          <w:b w:val="0"/>
          <w:bCs w:val="0"/>
          <w:sz w:val="24"/>
          <w:szCs w:val="24"/>
          <w:highlight w:val="none"/>
          <w:lang w:val="en-US" w:eastAsia="zh-CN"/>
        </w:rPr>
        <w:t xml:space="preserve">环境监测设备及监测</w:t>
      </w:r>
      <w:r>
        <w:rPr>
          <w:rFonts w:hint="eastAsia" w:ascii="宋体" w:hAnsi="宋体" w:eastAsia="宋体" w:cs="宋体"/>
          <w:b w:val="0"/>
          <w:bCs w:val="0"/>
          <w:sz w:val="24"/>
          <w:szCs w:val="24"/>
          <w:highlight w:val="none"/>
        </w:rPr>
        <w:t xml:space="preserve">数据对比工作。</w:t>
      </w:r>
      <w:r>
        <w:rPr>
          <w:rFonts w:hint="eastAsia" w:ascii="宋体" w:hAnsi="宋体" w:eastAsia="宋体" w:cs="Times New Roman"/>
          <w:b w:val="0"/>
          <w:bCs w:val="0"/>
          <w:sz w:val="24"/>
          <w:szCs w:val="24"/>
          <w:highlight w:val="none"/>
        </w:rPr>
        <w:t xml:space="preserve">同时根据监测数据情况</w:t>
      </w:r>
      <w:r>
        <w:rPr>
          <w:rFonts w:hint="eastAsia" w:ascii="宋体" w:hAnsi="宋体" w:eastAsia="宋体" w:cs="Times New Roman"/>
          <w:b w:val="0"/>
          <w:bCs w:val="0"/>
          <w:sz w:val="24"/>
          <w:szCs w:val="24"/>
          <w:highlight w:val="none"/>
          <w:lang w:val="en-US" w:eastAsia="zh-CN"/>
        </w:rPr>
        <w:t xml:space="preserve">结合化工园区实际情况</w:t>
      </w:r>
      <w:r>
        <w:rPr>
          <w:rFonts w:hint="eastAsia" w:ascii="宋体" w:hAnsi="宋体" w:eastAsia="宋体" w:cs="Times New Roman"/>
          <w:b w:val="0"/>
          <w:bCs w:val="0"/>
          <w:sz w:val="24"/>
          <w:szCs w:val="24"/>
          <w:highlight w:val="none"/>
        </w:rPr>
        <w:t xml:space="preserve">利用信息化手段辅助园区开展污染溯源工作</w:t>
      </w:r>
      <w:r>
        <w:rPr>
          <w:rFonts w:hint="eastAsia" w:ascii="Calibri" w:hAnsi="Calibri" w:eastAsia="宋体" w:cs="Times New Roman"/>
          <w:b w:val="0"/>
          <w:bCs w:val="0"/>
          <w:sz w:val="24"/>
          <w:szCs w:val="24"/>
          <w:highlight w:val="none"/>
          <w:lang w:eastAsia="zh-CN"/>
        </w:rPr>
        <w:t xml:space="preserve">，</w:t>
      </w:r>
      <w:r>
        <w:rPr>
          <w:rFonts w:hint="eastAsia" w:ascii="Calibri" w:hAnsi="Calibri" w:eastAsia="宋体" w:cs="Times New Roman"/>
          <w:b w:val="0"/>
          <w:bCs w:val="0"/>
          <w:sz w:val="24"/>
          <w:szCs w:val="24"/>
          <w:highlight w:val="none"/>
          <w:lang w:val="en-US" w:eastAsia="zh-CN"/>
        </w:rPr>
        <w:t xml:space="preserve">协助园区开展环境应急工作</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环境监测设备如下</w:t>
      </w:r>
      <w:r>
        <w:rPr>
          <w:rFonts w:hint="eastAsia" w:ascii="宋体" w:hAnsi="宋体" w:eastAsia="宋体" w:cs="宋体"/>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空气站3座，监测因子为CO、SO</w:t>
      </w:r>
      <w:r>
        <w:rPr>
          <w:rFonts w:hint="eastAsia" w:ascii="宋体" w:hAnsi="宋体" w:eastAsia="宋体" w:cs="Times New Roman"/>
          <w:b w:val="0"/>
          <w:bCs w:val="0"/>
          <w:sz w:val="24"/>
          <w:szCs w:val="24"/>
          <w:highlight w:val="none"/>
          <w:vertAlign w:val="subscript"/>
          <w:lang w:val="en-US" w:eastAsia="zh-CN"/>
        </w:rPr>
        <w:t xml:space="preserve">2</w:t>
      </w:r>
      <w:r>
        <w:rPr>
          <w:rFonts w:hint="eastAsia" w:ascii="宋体" w:hAnsi="宋体" w:eastAsia="宋体" w:cs="Times New Roman"/>
          <w:b w:val="0"/>
          <w:bCs w:val="0"/>
          <w:sz w:val="24"/>
          <w:szCs w:val="24"/>
          <w:highlight w:val="none"/>
          <w:lang w:val="en-US" w:eastAsia="zh-CN"/>
        </w:rPr>
        <w:t xml:space="preserve">、NOx、O</w:t>
      </w:r>
      <w:r>
        <w:rPr>
          <w:rFonts w:hint="eastAsia" w:ascii="宋体" w:hAnsi="宋体" w:eastAsia="宋体" w:cs="Times New Roman"/>
          <w:b w:val="0"/>
          <w:bCs w:val="0"/>
          <w:sz w:val="24"/>
          <w:szCs w:val="24"/>
          <w:highlight w:val="none"/>
          <w:vertAlign w:val="subscript"/>
          <w:lang w:val="en-US" w:eastAsia="zh-CN"/>
        </w:rPr>
        <w:t xml:space="preserve">3</w:t>
      </w:r>
      <w:r>
        <w:rPr>
          <w:rFonts w:hint="eastAsia" w:ascii="宋体" w:hAnsi="宋体" w:eastAsia="宋体" w:cs="Times New Roman"/>
          <w:b w:val="0"/>
          <w:bCs w:val="0"/>
          <w:sz w:val="24"/>
          <w:szCs w:val="24"/>
          <w:highlight w:val="none"/>
          <w:lang w:val="en-US" w:eastAsia="zh-CN"/>
        </w:rPr>
        <w:t xml:space="preserve">、PM10、PM2.5、非甲烷总烃、苯系物；厂界站4座，监测因子为苯系物、硫化氢、氯气、氯化氢、氨气；恶臭站2座，水站4座，监测因子为总磷4套，总氮4套，氨氮4套，化学需氧量4套，氟化物1套，水质五参1套，挥发酚2套。</w:t>
      </w:r>
      <w:r/>
    </w:p>
    <w:p>
      <w:pPr>
        <w:pageBreakBefore w:val="0"/>
        <w:spacing w:line="480" w:lineRule="exact"/>
        <w:rPr>
          <w:rFonts w:hint="eastAsia" w:ascii="黑体" w:hAnsi="黑体" w:eastAsia="黑体" w:cs="Times New Roman"/>
          <w:b/>
          <w:color w:val="auto"/>
          <w:sz w:val="24"/>
          <w:szCs w:val="24"/>
          <w:highlight w:val="none"/>
          <w:lang w:val="en-US" w:eastAsia="zh-CN"/>
        </w:rPr>
      </w:pPr>
      <w:r>
        <w:rPr>
          <w:rFonts w:hint="eastAsia" w:ascii="黑体" w:hAnsi="黑体" w:eastAsia="黑体" w:cs="Times New Roman"/>
          <w:b/>
          <w:color w:val="auto"/>
          <w:sz w:val="24"/>
          <w:szCs w:val="24"/>
          <w:highlight w:val="none"/>
          <w:lang w:val="en-US" w:eastAsia="zh-CN"/>
        </w:rPr>
        <w:t xml:space="preserve">二、服务技术要求</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运行维护主要依据：根据规范、规定要求进行子站仪器的单点和多点校标、流量校准、采样管道清洗、仪器保养与维护等工作。</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系统运营维护总体目标：除校准、停电、维护保养等工作外，以及不可抗拒力因素造成数据缺失不计入内，仪器24小时正常开机，正常运行时间占总运行时间的85%以上；基本保证系统各子站分布均匀的有效日均监测数据在监控中心平台上数据获取率达到全年的85%以上。定期按照监测规范和规程对仪器设备进行校准，确保上传的数据准确有效。</w:t>
      </w:r>
      <w:r/>
    </w:p>
    <w:p>
      <w:pPr>
        <w:ind w:firstLine="480"/>
        <w:keepLines w:val="0"/>
        <w:keepNext w:val="0"/>
        <w:pageBreakBefore w:val="0"/>
        <w:spacing w:line="480" w:lineRule="exact"/>
        <w:widowControl w:val="off"/>
        <w:rPr>
          <w:rFonts w:hint="eastAsia" w:ascii="宋体" w:hAnsi="宋体" w:eastAsia="宋体" w:cs="宋体"/>
          <w:b w:val="0"/>
          <w:bCs w:val="0"/>
          <w:i/>
          <w:iCs/>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bidi="ar-SA"/>
        </w:rPr>
        <w:t xml:space="preserve">3、人员、车辆、设备配备要求：</w:t>
      </w:r>
      <w:r/>
    </w:p>
    <w:p>
      <w:pPr>
        <w:numPr>
          <w:ilvl w:val="0"/>
          <w:numId w:val="0"/>
        </w:numPr>
        <w:ind w:firstLine="482"/>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bidi="ar-SA"/>
        </w:rPr>
        <w:t xml:space="preserve">(1) </w:t>
      </w:r>
      <w:r>
        <w:rPr>
          <w:rFonts w:hint="eastAsia" w:ascii="宋体" w:hAnsi="宋体" w:eastAsia="宋体" w:cs="宋体"/>
          <w:b/>
          <w:bCs/>
          <w:i/>
          <w:iCs/>
          <w:color w:val="auto"/>
          <w:sz w:val="24"/>
          <w:szCs w:val="24"/>
          <w:highlight w:val="none"/>
          <w:u w:val="single"/>
          <w:lang w:val="en-US" w:eastAsia="zh-CN"/>
        </w:rPr>
        <w:t xml:space="preserve">人员：</w:t>
      </w:r>
      <w:r>
        <w:rPr>
          <w:rFonts w:hint="eastAsia" w:ascii="宋体" w:hAnsi="宋体" w:eastAsia="宋体" w:cs="宋体"/>
          <w:b w:val="0"/>
          <w:bCs w:val="0"/>
          <w:i/>
          <w:iCs/>
          <w:color w:val="auto"/>
          <w:sz w:val="24"/>
          <w:szCs w:val="24"/>
          <w:highlight w:val="none"/>
          <w:u w:val="single"/>
          <w:lang w:val="en-US" w:eastAsia="zh-CN"/>
        </w:rPr>
        <w:t xml:space="preserve">运</w:t>
      </w:r>
      <w:r>
        <w:rPr>
          <w:rFonts w:hint="eastAsia" w:ascii="宋体" w:hAnsi="宋体" w:eastAsia="宋体" w:cs="宋体"/>
          <w:i/>
          <w:iCs/>
          <w:color w:val="auto"/>
          <w:sz w:val="24"/>
          <w:szCs w:val="24"/>
          <w:highlight w:val="none"/>
          <w:u w:val="single"/>
          <w:lang w:val="en-US" w:eastAsia="zh-CN"/>
        </w:rPr>
        <w:t xml:space="preserve">维单位须为本项目配置至少5名人员（</w:t>
      </w:r>
      <w:r>
        <w:rPr>
          <w:rFonts w:hint="eastAsia" w:ascii="宋体" w:hAnsi="宋体" w:eastAsia="宋体" w:cs="宋体"/>
          <w:b/>
          <w:bCs/>
          <w:i/>
          <w:iCs/>
          <w:color w:val="auto"/>
          <w:sz w:val="24"/>
          <w:szCs w:val="24"/>
          <w:highlight w:val="none"/>
          <w:u w:val="single"/>
          <w:lang w:val="en-US" w:eastAsia="zh-CN"/>
        </w:rPr>
        <w:t xml:space="preserve">需要提供人员配备表、以下人员需提供投标人为其缴纳的2026年</w:t>
      </w:r>
      <w:r>
        <w:rPr>
          <w:rFonts w:hint="eastAsia" w:ascii="宋体" w:hAnsi="宋体" w:cs="宋体"/>
          <w:b/>
          <w:bCs/>
          <w:i/>
          <w:iCs/>
          <w:color w:val="auto"/>
          <w:sz w:val="24"/>
          <w:szCs w:val="24"/>
          <w:highlight w:val="none"/>
          <w:u w:val="single"/>
          <w:lang w:val="en-US" w:eastAsia="zh-CN"/>
        </w:rPr>
        <w:t xml:space="preserve">4</w:t>
      </w:r>
      <w:r>
        <w:rPr>
          <w:rFonts w:hint="eastAsia" w:ascii="宋体" w:hAnsi="宋体" w:eastAsia="宋体" w:cs="宋体"/>
          <w:b/>
          <w:bCs/>
          <w:i/>
          <w:iCs/>
          <w:color w:val="auto"/>
          <w:sz w:val="24"/>
          <w:szCs w:val="24"/>
          <w:highlight w:val="none"/>
          <w:u w:val="single"/>
          <w:lang w:val="en-US" w:eastAsia="zh-CN"/>
        </w:rPr>
        <w:t xml:space="preserve">月至今任意一个月的社保证明</w:t>
      </w:r>
      <w:r>
        <w:rPr>
          <w:rFonts w:hint="eastAsia" w:ascii="宋体" w:hAnsi="宋体" w:eastAsia="宋体" w:cs="宋体"/>
          <w:i/>
          <w:iCs/>
          <w:color w:val="auto"/>
          <w:sz w:val="24"/>
          <w:szCs w:val="24"/>
          <w:highlight w:val="none"/>
          <w:u w:val="single"/>
          <w:lang w:val="en-US" w:eastAsia="zh-CN"/>
        </w:rPr>
        <w:t xml:space="preserve">），具体要求如下：</w:t>
      </w:r>
      <w:r/>
    </w:p>
    <w:p>
      <w:pPr>
        <w:numPr>
          <w:ilvl w:val="0"/>
          <w:numId w:val="2"/>
        </w:num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项目经理1人，为本项目负责人，运维期间须常驻项目所在地；</w:t>
      </w:r>
      <w:r/>
    </w:p>
    <w:p>
      <w:pPr>
        <w:numPr>
          <w:ilvl w:val="0"/>
          <w:numId w:val="2"/>
        </w:num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大气运维人员2人，须常驻项目所在地，</w:t>
      </w:r>
      <w:r/>
    </w:p>
    <w:p>
      <w:pPr>
        <w:numPr>
          <w:ilvl w:val="0"/>
          <w:numId w:val="2"/>
        </w:num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水站运维人员1人，须常驻项目所在地。</w:t>
      </w:r>
      <w:r/>
    </w:p>
    <w:p>
      <w:pPr>
        <w:numPr>
          <w:ilvl w:val="0"/>
          <w:numId w:val="2"/>
        </w:num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数据审核及分析人员1人，（协助业主参与园区平台日常运维）须常驻项目所在地。</w:t>
      </w:r>
      <w:r/>
    </w:p>
    <w:p>
      <w:pPr>
        <w:numPr>
          <w:ilvl w:val="0"/>
          <w:numId w:val="0"/>
        </w:numPr>
        <w:ind w:firstLine="482"/>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（2）车辆：</w:t>
      </w:r>
      <w:r>
        <w:rPr>
          <w:rFonts w:hint="eastAsia" w:ascii="宋体" w:hAnsi="宋体" w:eastAsia="宋体" w:cs="宋体"/>
          <w:i/>
          <w:iCs/>
          <w:color w:val="auto"/>
          <w:sz w:val="24"/>
          <w:szCs w:val="24"/>
          <w:highlight w:val="none"/>
          <w:u w:val="single"/>
          <w:lang w:val="en-US" w:eastAsia="zh-CN"/>
        </w:rPr>
        <w:t xml:space="preserve">运维单位须为本项目配备专车用于日常巡检，应保证配备的专用巡检车辆数量不少于4辆，提供行驶证（行驶证名称须为投标人）或租赁合同。</w:t>
      </w:r>
      <w:r/>
    </w:p>
    <w:p>
      <w:pPr>
        <w:numPr>
          <w:ilvl w:val="0"/>
          <w:numId w:val="0"/>
        </w:numPr>
        <w:ind w:firstLine="482"/>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(3) 设备配备：</w:t>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a、运维单位须承诺为本项目配备专用的质量控制、应急、污染溯源设备，须配备</w:t>
      </w:r>
      <w:r>
        <w:rPr>
          <w:rFonts w:hint="eastAsia" w:ascii="宋体" w:hAnsi="宋体" w:eastAsia="宋体" w:cs="宋体"/>
          <w:b w:val="0"/>
          <w:bCs w:val="0"/>
          <w:i/>
          <w:iCs/>
          <w:color w:val="auto"/>
          <w:sz w:val="24"/>
          <w:szCs w:val="24"/>
          <w:highlight w:val="none"/>
          <w:u w:val="single"/>
          <w:lang w:val="en-US" w:eastAsia="zh-CN"/>
        </w:rPr>
        <w:t xml:space="preserve">全自动校准仪、便携傅里叶红外分析仪、便携非甲烷总烃检测仪、手持式VOC检测仪、红外热成像气体泄漏检测仪、便携式气相色谱-质谱联用仪各1套（投标人提供承诺书并加盖公章，格式自拟），投标人中标后，须在10天内将本项所列仪器设备运输至运维现场，由招标人检查设备情况，如发现弄虚作假行为，取消其中标资格。运维服务期间，设备须存放在招标人指定地点，运维结束后，投标人可将以上设备收回。</w:t>
      </w:r>
      <w:r/>
    </w:p>
    <w:p>
      <w:pPr>
        <w:ind w:firstLine="480"/>
        <w:jc w:val="left"/>
        <w:pageBreakBefore w:val="0"/>
        <w:spacing w:line="48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b、所有检测工具（全自动校准仪、便携傅里叶红外分析仪、便携非甲烷总烃检测仪、手持式VOC检测仪、红外热成像气体泄漏检测仪、便携式气相色谱-质谱联用仪）的技术参数须提供技术参数偏离表，逐条响应，检测工具技术要求如下：</w:t>
      </w:r>
      <w:r/>
    </w:p>
    <w:p>
      <w:pPr>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1.全自动校准仪：</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1.1设备用途：能依据外接标准气体种类提供精确浓度的标准气体输出，完成大气自动监测分析仪器的零点、跨度、精密度及多点校准工作</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1.2技术参数要求</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1.2.1.基本单元</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1.2.1.1稀释气流量范围：(0~10)SLPM，可扩展；</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流量线性误差：±1%读数（包含20%-80%满量程范围内）</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1.2.1.2标气流量范围：(0~100)SCCM，可扩展；</w:t>
      </w:r>
      <w:r/>
    </w:p>
    <w:p>
      <w:pPr>
        <w:ind w:firstLine="480"/>
        <w:jc w:val="left"/>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流量线性误差：±1%读数（包含20%-80%满量程范围内）</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1.2.2.臭氧配气模块</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1.2.2.1线性度：±1% F.S；</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1.2.2.2重复性：≤1% F.S；</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1.2.2.3稳定时间：（T98）≤300s；</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1.2.2.4零点漂移（24 h）：±1ppb；</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1.2.2.5量程漂移：±5 ppb；</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1.2.2.6臭氧发生浓度误差：±2%读数（包含50-500ppb范围）</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1.3.产品性能要求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1.3.1.具有中文触摸式彩屏，方便查询、操作维护；</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1.3.2.具备开机自检和运行自诊断功能；</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1.3.3.采用高精度质量流量计进行流量控制，最大可实现1:1000的样气配比；</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1.3.4.具备光强衰减自检功能</w:t>
      </w:r>
      <w:r/>
    </w:p>
    <w:p>
      <w:pPr>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2.便携傅里叶红外分析仪</w:t>
      </w:r>
      <w:r/>
    </w:p>
    <w:p>
      <w:pPr>
        <w:contextualSpacing/>
        <w:ind w:firstLine="482"/>
        <w:jc w:val="both"/>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2.1、基本要求</w:t>
      </w:r>
      <w:r/>
    </w:p>
    <w:p>
      <w:pPr>
        <w:numPr>
          <w:ilvl w:val="0"/>
          <w:numId w:val="3"/>
        </w:numPr>
        <w:ind w:left="0" w:firstLine="480"/>
        <w:jc w:val="left"/>
        <w:keepLines w:val="0"/>
        <w:keepNext w:val="0"/>
        <w:pageBreakBefore w:val="0"/>
        <w:spacing w:line="480" w:lineRule="exact"/>
        <w:widowControl w:val="off"/>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用于空气应急和固定污染源两种应用场景下的无机、有机气体监测，无需制样、直接采样。</w:t>
      </w:r>
      <w:r/>
    </w:p>
    <w:p>
      <w:pPr>
        <w:numPr>
          <w:ilvl w:val="0"/>
          <w:numId w:val="3"/>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测因子：至少应可定量监测无机气体包括一氧化碳、二氧化氮、一氧化氮、二氧化硫、二氧化碳、氯化氢、氟化氢、一氧化二氮、氨、六氟化硫；有机气体包括甲烷、丙烷、乙烯、丙烯、苯、甲苯、乙苯、苯乙烯。</w:t>
      </w:r>
      <w:r/>
    </w:p>
    <w:p>
      <w:pPr>
        <w:numPr>
          <w:ilvl w:val="0"/>
          <w:numId w:val="3"/>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原理：傅里叶变换红外分析原理。</w:t>
      </w:r>
      <w:r/>
    </w:p>
    <w:p>
      <w:pPr>
        <w:numPr>
          <w:ilvl w:val="0"/>
          <w:numId w:val="3"/>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▲仪器应为便携式，采样泵和氧气传感器应集成在主机内部，保证FTIR测量与氧气测量同步。</w:t>
      </w:r>
      <w:r>
        <w:rPr>
          <w:rFonts w:hint="eastAsia" w:ascii="宋体" w:hAnsi="宋体" w:eastAsia="宋体" w:cs="宋体"/>
          <w:b/>
          <w:color w:val="auto"/>
          <w:sz w:val="24"/>
          <w:szCs w:val="24"/>
          <w:highlight w:val="none"/>
          <w:lang w:val="en-US" w:eastAsia="zh-CN" w:bidi="ar-SA"/>
        </w:rPr>
        <w:t xml:space="preserve">（提供第三方检测机构出具的检测报告并加盖供应商公章）</w:t>
      </w:r>
      <w:r/>
    </w:p>
    <w:p>
      <w:pPr>
        <w:contextualSpacing/>
        <w:ind w:left="0"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2.2、参数要求</w:t>
      </w:r>
      <w:r/>
    </w:p>
    <w:p>
      <w:pPr>
        <w:numPr>
          <w:ilvl w:val="0"/>
          <w:numId w:val="4"/>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分析仪主机</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采用角镜型干涉仪，结构坚固，抗震性强；</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光谱分辨率：≤8cm</w:t>
      </w:r>
      <w:r>
        <w:rPr>
          <w:rFonts w:hint="eastAsia" w:ascii="宋体" w:hAnsi="宋体" w:eastAsia="宋体" w:cs="宋体"/>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，模式可调。</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波数范围：至少满足600~4500cm</w:t>
      </w:r>
      <w:r>
        <w:rPr>
          <w:rFonts w:hint="eastAsia" w:ascii="宋体" w:hAnsi="宋体" w:eastAsia="宋体" w:cs="宋体"/>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 </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检测器：TEC（半导体内置制冷器）制冷MCT； </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▲重复性：≤±2%；响应时间：≤90s；稳定性：≤±2%/h；</w:t>
      </w:r>
      <w:r>
        <w:rPr>
          <w:rFonts w:hint="eastAsia" w:ascii="宋体" w:hAnsi="宋体" w:eastAsia="宋体" w:cs="宋体"/>
          <w:bCs/>
          <w:color w:val="auto"/>
          <w:sz w:val="24"/>
          <w:szCs w:val="24"/>
          <w:highlight w:val="none"/>
          <w:lang w:val="en-US" w:eastAsia="zh-CN" w:bidi="ar-SA"/>
        </w:rPr>
        <w:t xml:space="preserve">零</w:t>
      </w:r>
      <w:r>
        <w:rPr>
          <w:rFonts w:hint="eastAsia" w:ascii="宋体" w:hAnsi="宋体" w:eastAsia="宋体" w:cs="宋体"/>
          <w:color w:val="auto"/>
          <w:sz w:val="24"/>
          <w:szCs w:val="24"/>
          <w:highlight w:val="none"/>
          <w:lang w:val="en-US" w:eastAsia="zh-CN" w:bidi="ar-SA"/>
        </w:rPr>
        <w:t xml:space="preserve">点漂移：≤±2%FS/24h；量程漂移：≤±2%FS/24h；</w:t>
      </w:r>
      <w:r>
        <w:rPr>
          <w:rFonts w:hint="eastAsia" w:ascii="宋体" w:hAnsi="宋体" w:eastAsia="宋体" w:cs="宋体"/>
          <w:b/>
          <w:color w:val="auto"/>
          <w:sz w:val="24"/>
          <w:szCs w:val="24"/>
          <w:highlight w:val="none"/>
          <w:lang w:val="en-US" w:eastAsia="zh-CN" w:bidi="ar-SA"/>
        </w:rPr>
        <w:t xml:space="preserve">（提供第三方检测机构出具的检测报告并加盖供应商公章，至少应包含本项目所列18项监测因子）</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环境适应性：仪器通过高温测试（至少达到40℃，持续2小时）、低温测试（至少达到5℃，持续2小时）、高温贮存试验（至少达到55℃，持续8小时）、低温贮存实验（至少达到-20℃，持续8小时），在上述条件下仪器的示值误差≤±5%；供电方式：分析仪应具备外接电源和内置电池两种供电方式。应具备双电池设计，可快速拆卸，在分析仪正常运行状态下可进行电池更换。采用电池供电时，电池续航时间应不低于4小时。</w:t>
      </w:r>
      <w:r>
        <w:rPr>
          <w:rFonts w:hint="eastAsia" w:ascii="宋体" w:hAnsi="宋体" w:eastAsia="宋体" w:cs="宋体"/>
          <w:b/>
          <w:color w:val="auto"/>
          <w:sz w:val="24"/>
          <w:szCs w:val="24"/>
          <w:highlight w:val="none"/>
          <w:lang w:val="en-US" w:eastAsia="zh-CN" w:bidi="ar-SA"/>
        </w:rPr>
        <w:t xml:space="preserve">（提供第三方检测机构出具的检测报告并加盖供应商公章，至少应包含本项目所列18项监测因子）</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仪器的主机采用不低于5英寸的触摸屏，显示内容不少于组分浓度、氧气测试结果、数据结果的地理位置等。同时可设置并查看气体传输管和气体室的温度信息。</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仪器集成数据采集、分析计算和结果显示功能，同时兼具外接电脑能力。</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通讯模式：蓝牙或WIFI。</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▲授时功能：支持单北斗卫星授时。</w:t>
      </w:r>
      <w:r>
        <w:rPr>
          <w:rFonts w:hint="eastAsia" w:ascii="宋体" w:hAnsi="宋体" w:eastAsia="宋体" w:cs="宋体"/>
          <w:b/>
          <w:bCs/>
          <w:color w:val="auto"/>
          <w:sz w:val="24"/>
          <w:szCs w:val="24"/>
          <w:highlight w:val="none"/>
          <w:lang w:val="en-US" w:eastAsia="zh-CN" w:bidi="ar-SA"/>
        </w:rPr>
        <w:t xml:space="preserve">（提供北斗独立定位终端检测证书及检测报告复印件并加盖供应商公章）</w:t>
      </w:r>
      <w:r/>
    </w:p>
    <w:p>
      <w:pPr>
        <w:numPr>
          <w:ilvl w:val="0"/>
          <w:numId w:val="5"/>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防护等级：分析仪防护等级应不低于IP54。</w:t>
      </w:r>
      <w:r/>
    </w:p>
    <w:p>
      <w:pPr>
        <w:numPr>
          <w:ilvl w:val="0"/>
          <w:numId w:val="6"/>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气体室</w:t>
      </w:r>
      <w:r/>
    </w:p>
    <w:p>
      <w:pPr>
        <w:numPr>
          <w:ilvl w:val="1"/>
          <w:numId w:val="7"/>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▲工作温度：应具备50℃和180℃两种工作模式，可根据工作需求进行模式切换；</w:t>
      </w:r>
      <w:r>
        <w:rPr>
          <w:rFonts w:hint="eastAsia" w:ascii="宋体" w:hAnsi="宋体" w:eastAsia="宋体" w:cs="宋体"/>
          <w:b/>
          <w:color w:val="auto"/>
          <w:sz w:val="24"/>
          <w:szCs w:val="24"/>
          <w:highlight w:val="none"/>
          <w:lang w:val="en-US" w:eastAsia="zh-CN" w:bidi="ar-SA"/>
        </w:rPr>
        <w:t xml:space="preserve">（提供第三方检测机构出具的检测报告并加盖供应商公章）</w:t>
      </w:r>
      <w:r/>
    </w:p>
    <w:p>
      <w:pPr>
        <w:numPr>
          <w:ilvl w:val="1"/>
          <w:numId w:val="7"/>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气体室耐腐蚀，气体室内光学反射镜为贵金属镀层；</w:t>
      </w:r>
      <w:r/>
    </w:p>
    <w:p>
      <w:pPr>
        <w:numPr>
          <w:ilvl w:val="1"/>
          <w:numId w:val="7"/>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光程长度：≥9 m 。</w:t>
      </w:r>
      <w:r/>
    </w:p>
    <w:p>
      <w:pPr>
        <w:numPr>
          <w:ilvl w:val="1"/>
          <w:numId w:val="7"/>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气体池集成带温控功能的粉尘滤芯进气装置，起到保护气体池的左右；滤芯可拆卸。</w:t>
      </w:r>
      <w:r/>
    </w:p>
    <w:p>
      <w:pPr>
        <w:numPr>
          <w:ilvl w:val="0"/>
          <w:numId w:val="6"/>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烟气采样枪</w:t>
      </w:r>
      <w:r/>
    </w:p>
    <w:p>
      <w:pPr>
        <w:numPr>
          <w:ilvl w:val="0"/>
          <w:numId w:val="8"/>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伴热管：采样枪到主机≥3米；</w:t>
      </w:r>
      <w:r/>
    </w:p>
    <w:p>
      <w:pPr>
        <w:numPr>
          <w:ilvl w:val="0"/>
          <w:numId w:val="8"/>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过滤系统，粉尘过滤不大于5µm；</w:t>
      </w:r>
      <w:r/>
    </w:p>
    <w:p>
      <w:pPr>
        <w:numPr>
          <w:ilvl w:val="0"/>
          <w:numId w:val="6"/>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便携式温压流湿氧测量模块；</w:t>
      </w:r>
      <w:r/>
    </w:p>
    <w:p>
      <w:pPr>
        <w:numPr>
          <w:ilvl w:val="0"/>
          <w:numId w:val="9"/>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便携式温压流湿氧测量模块采用一体化设计，便于检测人员现场使用；</w:t>
      </w:r>
      <w:r/>
    </w:p>
    <w:p>
      <w:pPr>
        <w:numPr>
          <w:ilvl w:val="0"/>
          <w:numId w:val="9"/>
        </w:numPr>
        <w:ind w:left="0" w:firstLine="480"/>
        <w:jc w:val="left"/>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测量项目：烟气温度、烟气动压、烟气静压、烟气流速、烟气含湿量、烟气含氧量。</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分析软件需同时显示全部标定组分浓度、大气压力、气体室温度、气体室压强、氧化锆测试结果、测量数据的地理位置信息。</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测量时间可选，可进行无人值守的连续测量。</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析仪应具有存储功能，应可连续测量及定时测量两种测量方式。可设定单个样品测量时长；可存储测量光谱图，可显示时间-浓度趋势图；可按分钟保存测量数据，具有计算平均值的功能，能计算并显示5min、10min、15min、1h 均值；可查询干涉图高度、光源强度以及样品室温度等参数。</w:t>
      </w:r>
      <w:r>
        <w:rPr>
          <w:rFonts w:hint="eastAsia" w:ascii="宋体" w:hAnsi="宋体" w:eastAsia="宋体" w:cs="宋体"/>
          <w:b/>
          <w:bCs/>
          <w:color w:val="auto"/>
          <w:sz w:val="24"/>
          <w:szCs w:val="24"/>
          <w:highlight w:val="none"/>
          <w:lang w:val="en-US" w:eastAsia="zh-CN" w:bidi="ar-SA"/>
        </w:rPr>
        <w:t xml:space="preserve">（提供第三方检测机构出具的检测报告并加盖供应商公章）</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能够进行未知气体的自动查找和判定；</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能进行ppm与mg/m</w:t>
      </w:r>
      <w:r>
        <w:rPr>
          <w:rFonts w:hint="eastAsia" w:ascii="宋体" w:hAnsi="宋体" w:eastAsia="宋体" w:cs="宋体"/>
          <w:color w:val="auto"/>
          <w:sz w:val="24"/>
          <w:szCs w:val="24"/>
          <w:highlight w:val="none"/>
          <w:vertAlign w:val="superscript"/>
          <w:lang w:val="en-US" w:eastAsia="zh-CN" w:bidi="ar-SA"/>
        </w:rPr>
        <w:t xml:space="preserve">3</w:t>
      </w:r>
      <w:r>
        <w:rPr>
          <w:rFonts w:hint="eastAsia" w:ascii="宋体" w:hAnsi="宋体" w:eastAsia="宋体" w:cs="宋体"/>
          <w:color w:val="auto"/>
          <w:sz w:val="24"/>
          <w:szCs w:val="24"/>
          <w:highlight w:val="none"/>
          <w:lang w:val="en-US" w:eastAsia="zh-CN" w:bidi="ar-SA"/>
        </w:rPr>
        <w:t xml:space="preserve">以及干、湿气体浓度的测量及转换；</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用户可根据需要远程查看仪器工作状态和测试数据，对仪器数据进行下载制作报表；</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分析仪应可连接便携式打印机现场打印测量结果；打印内容应至少包括测量时间、仪器型号、仪器编号、化合物名称、化合物浓度及单位、分钟储存数据及平均值计算结果，并具备原始记录防伪功能。</w:t>
      </w:r>
      <w:r/>
    </w:p>
    <w:p>
      <w:pPr>
        <w:numPr>
          <w:ilvl w:val="0"/>
          <w:numId w:val="10"/>
        </w:numPr>
        <w:contextualSpacing/>
        <w:ind w:left="0" w:firstLine="480"/>
        <w:jc w:val="both"/>
        <w:keepLines w:val="0"/>
        <w:keepNext w:val="0"/>
        <w:pageBreakBefore w:val="0"/>
        <w:spacing w:line="480" w:lineRule="exact"/>
        <w:widowControl w:val="off"/>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分析仪应具有一键快速创建求助文件的功能，以便用户发送分析仪使用状态至厂家进行远程支持。具备日志功能：记录登入操作、核查校准、测量分析、报警信息等信息。</w:t>
      </w:r>
      <w:r/>
    </w:p>
    <w:p>
      <w:pPr>
        <w:numPr>
          <w:ilvl w:val="0"/>
          <w:numId w:val="0"/>
        </w:numPr>
        <w:jc w:val="both"/>
        <w:pageBreakBefore w:val="0"/>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3.便携非甲烷总烃检测仪</w:t>
      </w:r>
      <w:r/>
    </w:p>
    <w:p>
      <w:pPr>
        <w:numPr>
          <w:ilvl w:val="3"/>
          <w:numId w:val="0"/>
        </w:numPr>
        <w:ind w:firstLine="482"/>
        <w:jc w:val="left"/>
        <w:keepLines w:val="0"/>
        <w:keepNext w:val="0"/>
        <w:pageBreakBefore w:val="0"/>
        <w:spacing w:before="0" w:after="0" w:line="480" w:lineRule="exact"/>
        <w:widowControl w:val="off"/>
        <w:rPr>
          <w:rFonts w:ascii="Times New Roman" w:hAnsi="Times New Roman" w:eastAsia="宋体" w:cs="Times New Roman"/>
          <w:b/>
          <w:bCs w:val="0"/>
          <w:color w:val="000000"/>
          <w:sz w:val="24"/>
          <w:szCs w:val="24"/>
          <w:highlight w:val="none"/>
          <w:lang w:val="en-US" w:eastAsia="zh-CN" w:bidi="ar-SA"/>
        </w:rPr>
        <w:outlineLvl w:val="3"/>
      </w:pPr>
      <w:r>
        <w:rPr>
          <w:rFonts w:hint="eastAsia" w:ascii="Times New Roman" w:hAnsi="Times New Roman" w:eastAsia="宋体" w:cs="Times New Roman"/>
          <w:b/>
          <w:bCs w:val="0"/>
          <w:color w:val="000000"/>
          <w:sz w:val="24"/>
          <w:szCs w:val="24"/>
          <w:highlight w:val="none"/>
          <w:lang w:val="en-US" w:eastAsia="zh-CN" w:bidi="ar-SA"/>
        </w:rPr>
        <w:t xml:space="preserve">3.1.</w:t>
      </w:r>
      <w:r>
        <w:rPr>
          <w:rFonts w:ascii="Times New Roman" w:hAnsi="Times New Roman" w:eastAsia="宋体" w:cs="Times New Roman"/>
          <w:b/>
          <w:bCs w:val="0"/>
          <w:color w:val="000000"/>
          <w:sz w:val="24"/>
          <w:szCs w:val="24"/>
          <w:highlight w:val="none"/>
          <w:lang w:val="en-US" w:eastAsia="zh-CN" w:bidi="ar-SA"/>
        </w:rPr>
        <w:t xml:space="preserve">配置要求</w:t>
      </w:r>
      <w:r/>
    </w:p>
    <w:p>
      <w:pPr>
        <w:ind w:firstLine="480"/>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分析仪主机（含色谱分离模块）及控制软件，1套；</w:t>
      </w:r>
      <w:r>
        <w:rPr>
          <w:rFonts w:hint="eastAsia" w:ascii="Times New Roman" w:hAnsi="Times New Roman" w:eastAsia="宋体" w:cs="Times New Roman"/>
          <w:color w:val="000000"/>
          <w:sz w:val="24"/>
          <w:szCs w:val="24"/>
          <w:highlight w:val="none"/>
        </w:rPr>
        <w:t xml:space="preserve">反复充放式气瓶以及充放气装置，1套；储氢合金气瓶，2个；氢气发生器，1台；电池以及适配器，1套；温度可调采样伴热管线，1套。</w:t>
      </w:r>
      <w:r/>
    </w:p>
    <w:p>
      <w:pPr>
        <w:numPr>
          <w:ilvl w:val="3"/>
          <w:numId w:val="0"/>
        </w:numPr>
        <w:ind w:firstLine="482"/>
        <w:jc w:val="left"/>
        <w:keepLines w:val="0"/>
        <w:keepNext w:val="0"/>
        <w:pageBreakBefore w:val="0"/>
        <w:spacing w:before="0" w:after="0" w:line="480" w:lineRule="exact"/>
        <w:widowControl w:val="off"/>
        <w:rPr>
          <w:rFonts w:ascii="Times New Roman" w:hAnsi="Times New Roman" w:eastAsia="宋体" w:cs="Times New Roman"/>
          <w:b/>
          <w:bCs w:val="0"/>
          <w:color w:val="000000"/>
          <w:sz w:val="24"/>
          <w:szCs w:val="24"/>
          <w:highlight w:val="none"/>
          <w:lang w:val="en-US" w:eastAsia="zh-CN" w:bidi="ar-SA"/>
        </w:rPr>
        <w:outlineLvl w:val="3"/>
      </w:pPr>
      <w:r>
        <w:rPr>
          <w:rFonts w:hint="eastAsia" w:ascii="Times New Roman" w:hAnsi="Times New Roman" w:eastAsia="宋体" w:cs="Times New Roman"/>
          <w:b/>
          <w:bCs w:val="0"/>
          <w:color w:val="000000"/>
          <w:sz w:val="24"/>
          <w:szCs w:val="24"/>
          <w:highlight w:val="none"/>
          <w:lang w:val="en-US" w:eastAsia="zh-CN" w:bidi="ar-SA"/>
        </w:rPr>
        <w:t xml:space="preserve">3.2.</w:t>
      </w:r>
      <w:r>
        <w:rPr>
          <w:rFonts w:ascii="Times New Roman" w:hAnsi="Times New Roman" w:eastAsia="宋体" w:cs="Times New Roman"/>
          <w:b/>
          <w:bCs w:val="0"/>
          <w:color w:val="000000"/>
          <w:sz w:val="24"/>
          <w:szCs w:val="24"/>
          <w:highlight w:val="none"/>
          <w:lang w:val="en-US" w:eastAsia="zh-CN" w:bidi="ar-SA"/>
        </w:rPr>
        <w:t xml:space="preserve">基本要求</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监测项目：固定污染源、厂界无组织、环境空气中的总烃、甲烷和非甲烷总烃，分离模块应采用色谱法原理。</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检测器：FID检测器，具有火焰温度判断和熄火保护功能，能实时监测火焰状态，当检测到火焰熄灭故障状态后发出报警并一键自动点火。</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高集成度：色谱分析模块、FID检测器、电池模块、氢气瓶、载气瓶、标气瓶全部集成在一台分析仪。电池模块、氢气瓶、载气瓶、标气瓶应支持无工具快速拆卸。</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全程高温伴热：样品采集部件及流路应具备全程加热和保温功能，加热温度不低于120℃，实际温度值可在仪器中显示。</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样品采集部件应具备颗粒物过滤功能，采样设备前端或后端具备便于更换或清洗的颗粒物过滤器，过滤器应至少能过滤5μm粒径的颗粒物，在气体样品进入分析仪之前应设置精细过滤器；过滤器滤材的材质应不吸附并不与气体污染物发生反应，过滤器应至少能过滤（0.5~1）μm粒径的颗粒物。</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lang w:eastAsia="en-US"/>
        </w:rPr>
        <w:t xml:space="preserve">样品</w:t>
      </w:r>
      <w:r>
        <w:rPr>
          <w:rFonts w:ascii="Times New Roman" w:hAnsi="Times New Roman" w:eastAsia="宋体" w:cs="Times New Roman"/>
          <w:b/>
          <w:bCs/>
          <w:color w:val="000000"/>
          <w:sz w:val="24"/>
          <w:szCs w:val="24"/>
          <w:highlight w:val="none"/>
        </w:rPr>
        <w:t xml:space="preserve">采集部件</w:t>
      </w:r>
      <w:r>
        <w:rPr>
          <w:rFonts w:ascii="Times New Roman" w:hAnsi="Times New Roman" w:eastAsia="宋体" w:cs="Times New Roman"/>
          <w:b/>
          <w:bCs/>
          <w:color w:val="000000"/>
          <w:sz w:val="24"/>
          <w:szCs w:val="24"/>
          <w:highlight w:val="none"/>
          <w:lang w:eastAsia="en-US"/>
        </w:rPr>
        <w:t xml:space="preserve">应可搭载</w:t>
      </w:r>
      <w:r>
        <w:rPr>
          <w:rFonts w:ascii="Times New Roman" w:hAnsi="Times New Roman" w:eastAsia="宋体" w:cs="Times New Roman"/>
          <w:b/>
          <w:bCs/>
          <w:color w:val="000000"/>
          <w:sz w:val="24"/>
          <w:szCs w:val="24"/>
          <w:highlight w:val="none"/>
        </w:rPr>
        <w:t xml:space="preserve">专门设计的除液态水装置</w:t>
      </w:r>
      <w:r>
        <w:rPr>
          <w:rFonts w:ascii="Times New Roman" w:hAnsi="Times New Roman" w:eastAsia="宋体" w:cs="Times New Roman"/>
          <w:b/>
          <w:bCs/>
          <w:color w:val="000000"/>
          <w:sz w:val="24"/>
          <w:szCs w:val="24"/>
          <w:highlight w:val="none"/>
          <w:lang w:eastAsia="en-US"/>
        </w:rPr>
        <w:t xml:space="preserve">，</w:t>
      </w:r>
      <w:r>
        <w:rPr>
          <w:rFonts w:ascii="Times New Roman" w:hAnsi="Times New Roman" w:eastAsia="宋体" w:cs="Times New Roman"/>
          <w:b/>
          <w:bCs/>
          <w:color w:val="000000"/>
          <w:sz w:val="24"/>
          <w:szCs w:val="24"/>
          <w:highlight w:val="none"/>
        </w:rPr>
        <w:t xml:space="preserve">可除去液态水。</w:t>
      </w:r>
      <w:r>
        <w:rPr>
          <w:rFonts w:ascii="Times New Roman" w:hAnsi="Times New Roman" w:eastAsia="宋体" w:cs="Times New Roman"/>
          <w:b/>
          <w:bCs/>
          <w:color w:val="000000"/>
          <w:sz w:val="24"/>
          <w:szCs w:val="24"/>
          <w:highlight w:val="none"/>
          <w:lang w:eastAsia="en-US"/>
        </w:rPr>
        <w:t xml:space="preserve">（</w:t>
      </w:r>
      <w:r>
        <w:rPr>
          <w:rFonts w:hint="eastAsia" w:ascii="Times New Roman" w:hAnsi="Times New Roman" w:eastAsia="宋体" w:cs="Times New Roman"/>
          <w:b/>
          <w:bCs/>
          <w:color w:val="000000"/>
          <w:sz w:val="24"/>
          <w:szCs w:val="24"/>
          <w:highlight w:val="none"/>
        </w:rPr>
        <w:t xml:space="preserve">提供第三方检测机构出具的检测报告并加盖供应商公章</w:t>
      </w:r>
      <w:r>
        <w:rPr>
          <w:rFonts w:ascii="Times New Roman" w:hAnsi="Times New Roman" w:eastAsia="宋体" w:cs="Times New Roman"/>
          <w:b/>
          <w:bCs/>
          <w:color w:val="000000"/>
          <w:sz w:val="24"/>
          <w:szCs w:val="24"/>
          <w:highlight w:val="none"/>
          <w:lang w:eastAsia="en-US"/>
        </w:rPr>
        <w:t xml:space="preserve">）</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阀箱、色谱柱箱独立控温，最高不小于120℃，控温精度≤±0.2℃。</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供气要求：内置可充放自密封高压气瓶（包括载气、氢气和标气），内置气瓶体积不超过300mL，耐压不小于2000psi，充气时间小于5s，可重复灌充，可无工具拆卸，气瓶自带压力表，可随时查看剩余压力。</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氢气和载气高压气瓶正常运行的连续工作时间不小于3小时，标准气体高压气瓶正常运行的连续工作时间不小于1小时。</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rPr>
        <w:t xml:space="preserve">供气方式：仪器应可采用内置储氢合金和内置钢瓶两种方式供氢。</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▲充氢方式：储氢合金可使用氢气发生器充氢，氢气发生器采用电解水原理，重量不超过2kg。</w:t>
      </w:r>
      <w:r>
        <w:rPr>
          <w:rFonts w:ascii="Times New Roman" w:hAnsi="Times New Roman" w:eastAsia="宋体" w:cs="Times New Roman"/>
          <w:b/>
          <w:bCs/>
          <w:color w:val="000000"/>
          <w:sz w:val="24"/>
          <w:szCs w:val="24"/>
          <w:highlight w:val="none"/>
          <w:lang w:eastAsia="en-US"/>
        </w:rPr>
        <w:t xml:space="preserve">（</w:t>
      </w:r>
      <w:r>
        <w:rPr>
          <w:rFonts w:hint="eastAsia" w:ascii="Times New Roman" w:hAnsi="Times New Roman" w:eastAsia="宋体" w:cs="Times New Roman"/>
          <w:b/>
          <w:bCs/>
          <w:color w:val="000000"/>
          <w:sz w:val="24"/>
          <w:szCs w:val="24"/>
          <w:highlight w:val="none"/>
        </w:rPr>
        <w:t xml:space="preserve">提供第三方检测机构出具的检测报告并加盖供应商公章</w:t>
      </w:r>
      <w:r>
        <w:rPr>
          <w:rFonts w:ascii="Times New Roman" w:hAnsi="Times New Roman" w:eastAsia="宋体" w:cs="Times New Roman"/>
          <w:b/>
          <w:bCs/>
          <w:color w:val="000000"/>
          <w:sz w:val="24"/>
          <w:szCs w:val="24"/>
          <w:highlight w:val="none"/>
          <w:lang w:eastAsia="en-US"/>
        </w:rPr>
        <w:t xml:space="preserve">）</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供电要求：具有直接电池供电和市电供电两种形式。电池持续时间不小于4h，电池采用分体底座式设计，可拆卸，标称容量≥18Ah，电池电量可视化，不开机即可查看电池电量。</w:t>
      </w:r>
      <w:r/>
    </w:p>
    <w:p>
      <w:pPr>
        <w:ind w:left="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质控要求：内置不少于5条单点校准曲线和多点校准曲线，校准曲线可在仪器运行时进行切换。</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仪器具有预抽和反吹功能，采用定量环定量。</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主机分析软件要求：</w:t>
      </w:r>
      <w:r/>
    </w:p>
    <w:p>
      <w:pPr>
        <w:ind w:firstLine="480"/>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 1 \* GB3 </w:instrText>
      </w:r>
      <w:r>
        <w:rPr>
          <w:rFonts w:ascii="Times New Roman" w:hAnsi="Times New Roman" w:eastAsia="宋体" w:cs="Times New Roman"/>
          <w:color w:val="000000"/>
          <w:sz w:val="24"/>
          <w:szCs w:val="24"/>
          <w:highlight w:val="none"/>
        </w:rPr>
        <w:fldChar w:fldCharType="separate"/>
      </w:r>
      <w:r>
        <w:rPr>
          <w:rFonts w:ascii="Cambria Math" w:hAnsi="Cambria Math" w:eastAsia="宋体" w:cs="Cambria Math"/>
          <w:color w:val="000000"/>
          <w:sz w:val="24"/>
          <w:szCs w:val="24"/>
          <w:highlight w:val="none"/>
        </w:rPr>
        <w:t xml:space="preserve">①</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主机采用内置不可拆卸彩色触控大屏，不小于7英寸；</w:t>
      </w:r>
      <w:r/>
    </w:p>
    <w:p>
      <w:pPr>
        <w:ind w:firstLine="480"/>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 2 \* GB3 </w:instrText>
      </w:r>
      <w:r>
        <w:rPr>
          <w:rFonts w:ascii="Times New Roman" w:hAnsi="Times New Roman" w:eastAsia="宋体" w:cs="Times New Roman"/>
          <w:color w:val="000000"/>
          <w:sz w:val="24"/>
          <w:szCs w:val="24"/>
          <w:highlight w:val="none"/>
        </w:rPr>
        <w:fldChar w:fldCharType="separate"/>
      </w:r>
      <w:r>
        <w:rPr>
          <w:rFonts w:ascii="Cambria Math" w:hAnsi="Cambria Math" w:eastAsia="宋体" w:cs="Cambria Math"/>
          <w:color w:val="000000"/>
          <w:sz w:val="24"/>
          <w:szCs w:val="24"/>
          <w:highlight w:val="none"/>
        </w:rPr>
        <w:t xml:space="preserve">②</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软件全中文数据采集、记录和处理控制界面，具有实时浓度显示、方法选择、参数监控、校准曲线建立、历史数据和谱图查询、峰窗口设置等功能；</w:t>
      </w:r>
      <w:r/>
    </w:p>
    <w:p>
      <w:pPr>
        <w:ind w:firstLine="480"/>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 3 \* GB3 </w:instrText>
      </w:r>
      <w:r>
        <w:rPr>
          <w:rFonts w:ascii="Times New Roman" w:hAnsi="Times New Roman" w:eastAsia="宋体" w:cs="Times New Roman"/>
          <w:color w:val="000000"/>
          <w:sz w:val="24"/>
          <w:szCs w:val="24"/>
          <w:highlight w:val="none"/>
        </w:rPr>
        <w:fldChar w:fldCharType="separate"/>
      </w:r>
      <w:r>
        <w:rPr>
          <w:rFonts w:ascii="Cambria Math" w:hAnsi="Cambria Math" w:eastAsia="宋体" w:cs="Cambria Math"/>
          <w:color w:val="000000"/>
          <w:sz w:val="24"/>
          <w:szCs w:val="24"/>
          <w:highlight w:val="none"/>
        </w:rPr>
        <w:t xml:space="preserve">③</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软件应能够显示实时数据和实时谱图，需具备查询至少30天历史数据和谱图的功能，并能以报表或报告形式输出；</w:t>
      </w:r>
      <w:r/>
    </w:p>
    <w:p>
      <w:pPr>
        <w:ind w:firstLine="480"/>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 4 \* GB3 </w:instrText>
      </w:r>
      <w:r>
        <w:rPr>
          <w:rFonts w:ascii="Times New Roman" w:hAnsi="Times New Roman" w:eastAsia="宋体" w:cs="Times New Roman"/>
          <w:color w:val="000000"/>
          <w:sz w:val="24"/>
          <w:szCs w:val="24"/>
          <w:highlight w:val="none"/>
        </w:rPr>
        <w:fldChar w:fldCharType="separate"/>
      </w:r>
      <w:r>
        <w:rPr>
          <w:rFonts w:ascii="Cambria Math" w:hAnsi="Cambria Math" w:eastAsia="宋体" w:cs="Cambria Math"/>
          <w:color w:val="000000"/>
          <w:sz w:val="24"/>
          <w:szCs w:val="24"/>
          <w:highlight w:val="none"/>
        </w:rPr>
        <w:t xml:space="preserve">④</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谱图能显示总烃和甲烷两个峰，满足HJ 38和HJ 604标准要求；</w:t>
      </w:r>
      <w:r/>
    </w:p>
    <w:p>
      <w:pPr>
        <w:ind w:firstLine="480"/>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 5 \* GB3 </w:instrText>
      </w:r>
      <w:r>
        <w:rPr>
          <w:rFonts w:ascii="Times New Roman" w:hAnsi="Times New Roman" w:eastAsia="宋体" w:cs="Times New Roman"/>
          <w:color w:val="000000"/>
          <w:sz w:val="24"/>
          <w:szCs w:val="24"/>
          <w:highlight w:val="none"/>
        </w:rPr>
        <w:fldChar w:fldCharType="separate"/>
      </w:r>
      <w:r>
        <w:rPr>
          <w:rFonts w:ascii="Cambria Math" w:hAnsi="Cambria Math" w:eastAsia="宋体" w:cs="Cambria Math"/>
          <w:color w:val="000000"/>
          <w:sz w:val="24"/>
          <w:szCs w:val="24"/>
          <w:highlight w:val="none"/>
        </w:rPr>
        <w:t xml:space="preserve">⑤</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仪器断电故障后，应能自动保存数据；恢复供电后系统可自动启动，恢复运行状态并正常开始工作。</w:t>
      </w:r>
      <w:r/>
    </w:p>
    <w:p>
      <w:pPr>
        <w:numPr>
          <w:ilvl w:val="2"/>
          <w:numId w:val="11"/>
        </w:numPr>
        <w:ind w:left="-60" w:firstLine="480"/>
        <w:jc w:val="left"/>
        <w:keepLines w:val="0"/>
        <w:keepNext w:val="0"/>
        <w:pageBreakBefore w:val="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整机一体化设计：甲烷测试模块和总烃测试模块采用一体化设计，集成于同一主机箱内，减少分体带来的携带和操作不便。仪器可通过蓝牙或WI-FI连接打印机，实时打印总烃、甲烷、非甲烷总烃浓度数据。</w:t>
      </w:r>
      <w:r/>
    </w:p>
    <w:p>
      <w:pPr>
        <w:ind w:firstLine="482"/>
        <w:jc w:val="left"/>
        <w:keepLines w:val="0"/>
        <w:keepNext w:val="0"/>
        <w:pageBreakBefore w:val="0"/>
        <w:spacing w:line="480" w:lineRule="exact"/>
        <w:rPr>
          <w:rFonts w:ascii="Times New Roman" w:hAnsi="Times New Roman" w:eastAsia="宋体" w:cs="Times New Roman"/>
          <w:b/>
          <w:bCs w:val="0"/>
          <w:color w:val="000000"/>
          <w:sz w:val="24"/>
          <w:szCs w:val="24"/>
          <w:highlight w:val="none"/>
        </w:rPr>
      </w:pPr>
      <w:r>
        <w:rPr>
          <w:rFonts w:hint="eastAsia" w:ascii="Times New Roman" w:hAnsi="Times New Roman" w:eastAsia="宋体" w:cs="Times New Roman"/>
          <w:b/>
          <w:bCs w:val="0"/>
          <w:color w:val="000000"/>
          <w:sz w:val="24"/>
          <w:szCs w:val="24"/>
          <w:highlight w:val="none"/>
          <w:lang w:val="en-US" w:eastAsia="zh-CN"/>
        </w:rPr>
        <w:t xml:space="preserve">3.3.</w:t>
      </w:r>
      <w:r>
        <w:rPr>
          <w:rFonts w:ascii="Times New Roman" w:hAnsi="Times New Roman" w:eastAsia="宋体" w:cs="Times New Roman"/>
          <w:b/>
          <w:bCs w:val="0"/>
          <w:color w:val="000000"/>
          <w:sz w:val="24"/>
          <w:szCs w:val="24"/>
          <w:highlight w:val="none"/>
        </w:rPr>
        <w:t xml:space="preserve">参数要求</w:t>
      </w:r>
      <w:r/>
    </w:p>
    <w:p>
      <w:pPr>
        <w:numPr>
          <w:ilvl w:val="0"/>
          <w:numId w:val="12"/>
        </w:numPr>
        <w:contextualSpacing/>
        <w:ind w:left="0" w:firstLine="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en-US" w:bidi="en-US"/>
        </w:rPr>
      </w:pPr>
      <w:r>
        <w:rPr>
          <w:rFonts w:ascii="Times New Roman" w:hAnsi="Times New Roman" w:eastAsia="宋体" w:cs="Times New Roman"/>
          <w:color w:val="000000"/>
          <w:sz w:val="24"/>
          <w:szCs w:val="24"/>
          <w:highlight w:val="none"/>
          <w:lang w:val="en-US" w:eastAsia="en-US" w:bidi="en-US"/>
        </w:rPr>
        <w:t xml:space="preserve">工作条件：</w:t>
      </w:r>
      <w:r/>
    </w:p>
    <w:p>
      <w:pPr>
        <w:contextualSpacing/>
        <w:ind w:firstLine="480"/>
        <w:jc w:val="left"/>
        <w:keepLines w:val="0"/>
        <w:keepNext w:val="0"/>
        <w:pageBreakBefore w:val="0"/>
        <w:spacing w:line="480" w:lineRule="exact"/>
        <w:widowControl/>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环境温度：（0~40）℃；相对湿度：≤85%；大气压：（80~106）kPa；</w:t>
      </w:r>
      <w:r/>
    </w:p>
    <w:p>
      <w:pPr>
        <w:numPr>
          <w:ilvl w:val="0"/>
          <w:numId w:val="12"/>
        </w:numPr>
        <w:contextualSpacing/>
        <w:ind w:left="0" w:firstLine="480"/>
        <w:jc w:val="both"/>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lang w:val="en-US" w:eastAsia="zh-CN" w:bidi="en-US"/>
        </w:rPr>
      </w:pPr>
      <w:r>
        <w:rPr>
          <w:rFonts w:hint="eastAsia" w:ascii="Times New Roman" w:hAnsi="Times New Roman" w:eastAsia="宋体" w:cs="Times New Roman"/>
          <w:color w:val="000000"/>
          <w:sz w:val="24"/>
          <w:szCs w:val="24"/>
          <w:highlight w:val="none"/>
          <w:lang w:val="en-US" w:eastAsia="zh-CN" w:bidi="en-US"/>
        </w:rPr>
        <w:t xml:space="preserve">设备参数：</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检出限：≤0.07 mg/m</w:t>
      </w:r>
      <w:r>
        <w:rPr>
          <w:rFonts w:ascii="Times New Roman" w:hAnsi="Times New Roman" w:eastAsia="宋体" w:cs="Times New Roman"/>
          <w:color w:val="000000"/>
          <w:sz w:val="24"/>
          <w:szCs w:val="24"/>
          <w:highlight w:val="none"/>
          <w:vertAlign w:val="superscript"/>
          <w:lang w:val="en-US" w:eastAsia="zh-CN" w:bidi="en-US"/>
        </w:rPr>
        <w:t xml:space="preserve">3</w:t>
      </w:r>
      <w:r>
        <w:rPr>
          <w:rFonts w:ascii="Times New Roman" w:hAnsi="Times New Roman" w:eastAsia="宋体" w:cs="Times New Roman"/>
          <w:color w:val="000000"/>
          <w:sz w:val="24"/>
          <w:szCs w:val="24"/>
          <w:highlight w:val="none"/>
          <w:lang w:val="en-US" w:eastAsia="zh-CN" w:bidi="en-US"/>
        </w:rPr>
        <w:t xml:space="preserve">（非甲烷总烃，以碳计）；</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采样流量：≥0.5 L/min；</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分析周期：≤ 2 min；</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量程：0.1~40000 mg/m</w:t>
      </w:r>
      <w:r>
        <w:rPr>
          <w:rFonts w:ascii="Times New Roman" w:hAnsi="Times New Roman" w:eastAsia="宋体" w:cs="Times New Roman"/>
          <w:color w:val="000000"/>
          <w:sz w:val="24"/>
          <w:szCs w:val="24"/>
          <w:highlight w:val="none"/>
          <w:vertAlign w:val="superscript"/>
          <w:lang w:val="en-US" w:eastAsia="zh-CN" w:bidi="en-US"/>
        </w:rPr>
        <w:t xml:space="preserve">3</w:t>
      </w:r>
      <w:r>
        <w:rPr>
          <w:rFonts w:ascii="Times New Roman" w:hAnsi="Times New Roman" w:eastAsia="宋体" w:cs="Times New Roman"/>
          <w:color w:val="000000"/>
          <w:sz w:val="24"/>
          <w:szCs w:val="24"/>
          <w:highlight w:val="none"/>
          <w:lang w:val="en-US" w:eastAsia="zh-CN" w:bidi="en-US"/>
        </w:rPr>
        <w:t xml:space="preserve">（非甲烷总烃）；</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稳定性：≤1%/4 h；</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定性重复性：甲烷≤ 1%    非甲烷总烃 ≤ 1%；</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定量重复性：甲烷≤ 1%    非甲烷总烃 ≤ 1%；</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基线噪声：≤ 0.5pA；</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基线漂移：≤ 1.0pA/30 min；</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线性误差：≤ 2%FS；</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仪器间平行性：≤ 1%；</w:t>
      </w:r>
      <w:r/>
    </w:p>
    <w:p>
      <w:pPr>
        <w:contextualSpacing/>
        <w:ind w:left="480"/>
        <w:jc w:val="both"/>
        <w:keepLines w:val="0"/>
        <w:keepNext w:val="0"/>
        <w:pageBreakBefore w:val="0"/>
        <w:spacing w:line="480" w:lineRule="exact"/>
        <w:widowControl w:val="off"/>
        <w:rPr>
          <w:rFonts w:ascii="Times New Roman" w:hAnsi="Times New Roman" w:eastAsia="宋体" w:cs="Times New Roman"/>
          <w:color w:val="000000"/>
          <w:sz w:val="24"/>
          <w:szCs w:val="24"/>
          <w:highlight w:val="none"/>
          <w:lang w:val="en-US" w:eastAsia="zh-CN" w:bidi="en-US"/>
        </w:rPr>
      </w:pPr>
      <w:r>
        <w:rPr>
          <w:rFonts w:ascii="Times New Roman" w:hAnsi="Times New Roman" w:eastAsia="宋体" w:cs="Times New Roman"/>
          <w:color w:val="000000"/>
          <w:sz w:val="24"/>
          <w:szCs w:val="24"/>
          <w:highlight w:val="none"/>
          <w:lang w:val="en-US" w:eastAsia="zh-CN" w:bidi="en-US"/>
        </w:rPr>
        <w:t xml:space="preserve">重量：整机（含电池、氢气瓶、载气瓶和标气瓶）重量小于17 kg。</w:t>
      </w:r>
      <w:r/>
    </w:p>
    <w:p>
      <w:pPr>
        <w:numPr>
          <w:ilvl w:val="0"/>
          <w:numId w:val="0"/>
        </w:numPr>
        <w:jc w:val="both"/>
        <w:pageBreakBefore w:val="0"/>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4.手持式VOC检测仪</w:t>
      </w:r>
      <w:r/>
    </w:p>
    <w:p>
      <w:pPr>
        <w:numPr>
          <w:ilvl w:val="-1"/>
          <w:numId w:val="0"/>
        </w:numPr>
        <w:ind w:firstLine="480"/>
        <w:jc w:val="both"/>
        <w:pageBreakBefore w:val="0"/>
        <w:spacing w:before="156" w:after="156" w:line="480" w:lineRule="exact"/>
        <w:widowControl w:val="off"/>
        <w:rPr>
          <w:rFonts w:ascii="Times New Roman" w:hAnsi="Times New Roman" w:eastAsia="黑体" w:cs="Times New Roman"/>
          <w:b w:val="0"/>
          <w:bCs/>
          <w:color w:val="auto"/>
          <w:sz w:val="24"/>
          <w:szCs w:val="24"/>
          <w:highlight w:val="none"/>
          <w:lang w:val="en-US" w:eastAsia="zh-CN" w:bidi="ar-SA"/>
        </w:rPr>
        <w:outlineLvl w:val="1"/>
      </w:pPr>
      <w:r>
        <w:rPr>
          <w:rFonts w:ascii="Times New Roman" w:hAnsi="Times New Roman" w:eastAsia="黑体" w:cs="Times New Roman"/>
          <w:b w:val="0"/>
          <w:bCs/>
          <w:color w:val="auto"/>
          <w:sz w:val="24"/>
          <w:szCs w:val="24"/>
          <w:highlight w:val="none"/>
          <w:lang w:val="en-US" w:eastAsia="zh-CN" w:bidi="ar-SA"/>
        </w:rPr>
        <w:t xml:space="preserve">技术指标</w:t>
      </w:r>
      <w:r/>
    </w:p>
    <w:p>
      <w:pPr>
        <w:numPr>
          <w:ilvl w:val="-1"/>
          <w:numId w:val="0"/>
        </w:numPr>
        <w:ind w:firstLine="480"/>
        <w:jc w:val="left"/>
        <w:pageBreakBefore w:val="0"/>
        <w:spacing w:line="480" w:lineRule="exact"/>
        <w:tabs>
          <w:tab w:val="left" w:pos="147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4.1</w:t>
      </w:r>
      <w:r>
        <w:rPr>
          <w:rFonts w:ascii="Times New Roman" w:hAnsi="Times New Roman" w:eastAsia="宋体" w:cs="Times New Roman"/>
          <w:color w:val="auto"/>
          <w:sz w:val="24"/>
          <w:szCs w:val="24"/>
          <w:highlight w:val="none"/>
        </w:rPr>
        <w:t xml:space="preserve">准确度高：配置单氢火焰离子化检测器（FID）或配置氢火焰离子化检测器（FID）和光离子化检测器（PID）双检测器，有效弥补单FID检测器对于部分响应能力弱的有机气体和无机气体的检测需求，方便用户能够更灵活的选择工作模式。</w:t>
      </w:r>
      <w:r/>
    </w:p>
    <w:p>
      <w:pPr>
        <w:numPr>
          <w:ilvl w:val="-1"/>
          <w:numId w:val="0"/>
        </w:numPr>
        <w:ind w:firstLine="480"/>
        <w:jc w:val="left"/>
        <w:pageBreakBefore w:val="0"/>
        <w:spacing w:line="480" w:lineRule="exact"/>
        <w:tabs>
          <w:tab w:val="left" w:pos="147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4.2</w:t>
      </w:r>
      <w:r>
        <w:rPr>
          <w:rFonts w:ascii="Times New Roman" w:hAnsi="Times New Roman" w:eastAsia="宋体" w:cs="Times New Roman"/>
          <w:color w:val="auto"/>
          <w:sz w:val="24"/>
          <w:szCs w:val="24"/>
          <w:highlight w:val="none"/>
        </w:rPr>
        <w:t xml:space="preserve">便于携带：重量轻，整机重量</w:t>
      </w:r>
      <w:r>
        <w:rPr>
          <w:rFonts w:hint="default" w:ascii="Arial" w:hAnsi="Arial" w:eastAsia="宋体" w:cs="Arial"/>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2 kg，体积小巧，结构紧凑，可轻松实现单手操作，同时配备斜挎包方便随身携带，具有良好的便携及移动性。</w:t>
      </w:r>
      <w:r/>
    </w:p>
    <w:p>
      <w:pPr>
        <w:numPr>
          <w:ilvl w:val="-1"/>
          <w:numId w:val="0"/>
        </w:numPr>
        <w:ind w:firstLine="480"/>
        <w:jc w:val="left"/>
        <w:pageBreakBefore w:val="0"/>
        <w:spacing w:line="480" w:lineRule="exact"/>
        <w:tabs>
          <w:tab w:val="left" w:pos="147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4.3</w:t>
      </w:r>
      <w:r>
        <w:rPr>
          <w:rFonts w:ascii="Times New Roman" w:hAnsi="Times New Roman" w:eastAsia="宋体" w:cs="Times New Roman"/>
          <w:color w:val="auto"/>
          <w:sz w:val="24"/>
          <w:szCs w:val="24"/>
          <w:highlight w:val="none"/>
        </w:rPr>
        <w:t xml:space="preserve">防爆设计：分析仪整机采用防爆设计，通过国家防爆认证，满足爆炸性危险气体场所的使用要求。</w:t>
      </w:r>
      <w:r/>
    </w:p>
    <w:p>
      <w:pPr>
        <w:numPr>
          <w:ilvl w:val="-1"/>
          <w:numId w:val="0"/>
        </w:numPr>
        <w:ind w:firstLine="480"/>
        <w:jc w:val="left"/>
        <w:pageBreakBefore w:val="0"/>
        <w:spacing w:line="480" w:lineRule="exact"/>
        <w:tabs>
          <w:tab w:val="left" w:pos="147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4.4</w:t>
      </w:r>
      <w:r>
        <w:rPr>
          <w:rFonts w:ascii="Times New Roman" w:hAnsi="Times New Roman" w:eastAsia="宋体" w:cs="Times New Roman"/>
          <w:color w:val="auto"/>
          <w:sz w:val="24"/>
          <w:szCs w:val="24"/>
          <w:highlight w:val="none"/>
        </w:rPr>
        <w:t xml:space="preserve">操作简单：仅需2步即可开始测试，并且用户能够通过主机面板进行检测数据查看、校准和参数设置等功能。</w:t>
      </w:r>
      <w:r/>
    </w:p>
    <w:p>
      <w:pPr>
        <w:numPr>
          <w:ilvl w:val="-1"/>
          <w:numId w:val="0"/>
        </w:numPr>
        <w:ind w:firstLine="480"/>
        <w:jc w:val="left"/>
        <w:pageBreakBefore w:val="0"/>
        <w:spacing w:line="480" w:lineRule="exact"/>
        <w:tabs>
          <w:tab w:val="left" w:pos="147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rPr>
          <w:rFonts w:ascii="Times New Roman" w:hAnsi="Times New Roman" w:eastAsia="宋体" w:cs="Times New Roman"/>
          <w:color w:val="auto"/>
          <w:sz w:val="24"/>
          <w:szCs w:val="24"/>
          <w:highlight w:val="none"/>
        </w:rPr>
        <w:t xml:space="preserve">运输安全：以储氢合金作为氢气气源，使得该仪器可以安全地运输邮寄。</w:t>
      </w:r>
      <w:r/>
    </w:p>
    <w:p>
      <w:pPr>
        <w:numPr>
          <w:ilvl w:val="-1"/>
          <w:numId w:val="0"/>
        </w:numPr>
        <w:ind w:firstLine="480"/>
        <w:jc w:val="left"/>
        <w:pageBreakBefore w:val="0"/>
        <w:spacing w:line="480" w:lineRule="exact"/>
        <w:tabs>
          <w:tab w:val="left" w:pos="147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4.6</w:t>
      </w:r>
      <w:r>
        <w:rPr>
          <w:rFonts w:ascii="Times New Roman" w:hAnsi="Times New Roman" w:eastAsia="宋体" w:cs="Times New Roman"/>
          <w:color w:val="auto"/>
          <w:sz w:val="24"/>
          <w:szCs w:val="24"/>
          <w:highlight w:val="none"/>
        </w:rPr>
        <w:t xml:space="preserve">维护成本低：储氢合金可以重复充放，滤芯和FID内的点火丝等耗材可以单独替换。</w:t>
      </w:r>
      <w:r/>
    </w:p>
    <w:p>
      <w:pPr>
        <w:numPr>
          <w:ilvl w:val="0"/>
          <w:numId w:val="0"/>
        </w:numPr>
        <w:jc w:val="both"/>
        <w:pageBreakBefore w:val="0"/>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5.红外热成像气体泄漏检测仪</w:t>
      </w:r>
      <w:r/>
    </w:p>
    <w:p>
      <w:pPr>
        <w:numPr>
          <w:ilvl w:val="0"/>
          <w:numId w:val="0"/>
        </w:numPr>
        <w:contextualSpacing/>
        <w:ind w:firstLine="240"/>
        <w:jc w:val="left"/>
        <w:pageBreakBefore w:val="0"/>
        <w:spacing w:line="48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5.1、</w:t>
      </w:r>
      <w:r>
        <w:rPr>
          <w:rFonts w:ascii="Times New Roman" w:hAnsi="Times New Roman" w:eastAsia="宋体" w:cs="Times New Roman"/>
          <w:color w:val="000000"/>
          <w:sz w:val="24"/>
          <w:szCs w:val="24"/>
          <w:highlight w:val="none"/>
          <w:lang w:val="en-US" w:eastAsia="zh-CN" w:bidi="ar-SA"/>
        </w:rPr>
        <w:t xml:space="preserve">基本要求</w:t>
      </w:r>
      <w:r/>
    </w:p>
    <w:p>
      <w:pPr>
        <w:numPr>
          <w:ilvl w:val="0"/>
          <w:numId w:val="0"/>
        </w:numPr>
        <w:contextualSpacing/>
        <w:ind w:firstLine="480"/>
        <w:jc w:val="left"/>
        <w:pageBreakBefore w:val="0"/>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5.1.1</w:t>
      </w:r>
      <w:r>
        <w:rPr>
          <w:rFonts w:hint="eastAsia" w:ascii="Times New Roman" w:hAnsi="Times New Roman" w:eastAsia="宋体" w:cs="Times New Roman"/>
          <w:color w:val="000000"/>
          <w:sz w:val="24"/>
          <w:szCs w:val="24"/>
          <w:highlight w:val="none"/>
          <w:lang w:val="en-US" w:eastAsia="zh-CN" w:bidi="ar-SA"/>
        </w:rPr>
        <w:t xml:space="preserve">符合标准GB/T 19870-2018《工业检测型红外热像仪》。</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rPr>
        <w:t xml:space="preserve">针对挥发性有机气体的非接触式检测仪，以图像形式快速发现挥发性有机气体泄漏，并能精准定位泄漏或排放源头。</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1.3</w:t>
      </w:r>
      <w:r>
        <w:rPr>
          <w:rFonts w:hint="eastAsia" w:ascii="宋体" w:hAnsi="宋体" w:eastAsia="宋体" w:cs="Times New Roman"/>
          <w:sz w:val="24"/>
          <w:szCs w:val="24"/>
          <w:highlight w:val="none"/>
        </w:rPr>
        <w:t xml:space="preserve">探测器类型：制冷型高灵敏度探测器； </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1.4</w:t>
      </w:r>
      <w:r>
        <w:rPr>
          <w:rFonts w:hint="eastAsia" w:ascii="宋体" w:hAnsi="宋体" w:eastAsia="宋体" w:cs="Times New Roman"/>
          <w:sz w:val="24"/>
          <w:szCs w:val="24"/>
          <w:highlight w:val="none"/>
        </w:rPr>
        <w:t xml:space="preserve">操作方式：具备中文操作界面，用按键或者触摸屏操作；</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图像调整：自动/手动调整对比度、亮度；</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1.6</w:t>
      </w:r>
      <w:r>
        <w:rPr>
          <w:rFonts w:hint="eastAsia" w:ascii="宋体" w:hAnsi="宋体" w:eastAsia="宋体" w:cs="Times New Roman"/>
          <w:sz w:val="24"/>
          <w:szCs w:val="24"/>
          <w:highlight w:val="none"/>
        </w:rPr>
        <w:t xml:space="preserve">气体增强显示：具备高灵敏度模式，可探测到微小泄漏状态；</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1.7</w:t>
      </w:r>
      <w:r>
        <w:rPr>
          <w:rFonts w:hint="eastAsia" w:ascii="宋体" w:hAnsi="宋体" w:eastAsia="宋体" w:cs="Times New Roman"/>
          <w:sz w:val="24"/>
          <w:szCs w:val="24"/>
          <w:highlight w:val="none"/>
        </w:rPr>
        <w:t xml:space="preserve">录制红外视频和可见光视频时，可以同时录制语音数据；</w:t>
      </w:r>
      <w:r/>
    </w:p>
    <w:p>
      <w:pPr>
        <w:numPr>
          <w:ilvl w:val="0"/>
          <w:numId w:val="0"/>
        </w:numPr>
        <w:ind w:firstLine="480"/>
        <w:pageBreakBefore w:val="0"/>
        <w:spacing w:line="480" w:lineRule="exact"/>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1.8</w:t>
      </w:r>
      <w:r>
        <w:rPr>
          <w:rFonts w:hint="eastAsia" w:ascii="宋体" w:hAnsi="宋体" w:eastAsia="宋体" w:cs="Times New Roman"/>
          <w:sz w:val="24"/>
          <w:szCs w:val="24"/>
          <w:highlight w:val="none"/>
        </w:rPr>
        <w:t xml:space="preserve">▲语音记录和回放功能：可随图像一同存储不少于</w:t>
      </w:r>
      <w:r>
        <w:rPr>
          <w:rFonts w:hint="eastAsia" w:ascii="宋体" w:hAnsi="宋体" w:eastAsia="宋体" w:cs="Times New Roman"/>
          <w:sz w:val="24"/>
          <w:szCs w:val="24"/>
          <w:highlight w:val="none"/>
          <w:lang w:val="en-US" w:eastAsia="zh-CN"/>
        </w:rPr>
        <w:t xml:space="preserve">180</w:t>
      </w:r>
      <w:r>
        <w:rPr>
          <w:rFonts w:hint="eastAsia" w:ascii="宋体" w:hAnsi="宋体" w:eastAsia="宋体" w:cs="Times New Roman"/>
          <w:sz w:val="24"/>
          <w:szCs w:val="24"/>
          <w:highlight w:val="none"/>
        </w:rPr>
        <w:t xml:space="preserve">秒语音记录；激光指示：具有激光指示功能，激光分类为二级，功率为1mW，波长为635nm红色激光</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激光测距：具有激光测距功能，可在屏幕上显示距离信息，可选配最大测量距离</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00m</w:t>
      </w:r>
      <w:r>
        <w:rPr>
          <w:rFonts w:hint="eastAsia" w:ascii="宋体" w:hAnsi="宋体" w:eastAsia="宋体" w:cs="Times New Roman"/>
          <w:sz w:val="24"/>
          <w:szCs w:val="24"/>
          <w:highlight w:val="none"/>
          <w:lang w:eastAsia="zh-CN"/>
        </w:rPr>
        <w:t xml:space="preserve">；</w:t>
      </w:r>
      <w:r>
        <w:rPr>
          <w:rFonts w:ascii="Times New Roman" w:hAnsi="Times New Roman" w:eastAsia="宋体" w:cs="Times New Roman"/>
          <w:color w:val="000000"/>
          <w:sz w:val="24"/>
          <w:szCs w:val="24"/>
          <w:highlight w:val="none"/>
        </w:rPr>
        <w:t xml:space="preserve">激光</w:t>
      </w:r>
      <w:r>
        <w:rPr>
          <w:rFonts w:hint="eastAsia" w:ascii="Times New Roman" w:hAnsi="Times New Roman" w:eastAsia="宋体" w:cs="Times New Roman"/>
          <w:color w:val="000000"/>
          <w:sz w:val="24"/>
          <w:szCs w:val="24"/>
          <w:highlight w:val="none"/>
        </w:rPr>
        <w:t xml:space="preserve">定位：可将激光指示点位置在图像中标记出来，并进行跟随</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Times New Roman"/>
          <w:sz w:val="24"/>
          <w:szCs w:val="24"/>
          <w:highlight w:val="none"/>
        </w:rPr>
        <w:t xml:space="preserve">图像冻结功能：具备图像冻结功能</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远程控制：移动端软件可以显示实时图像，对机器进行操作</w:t>
      </w:r>
      <w:r>
        <w:rPr>
          <w:rFonts w:hint="eastAsia" w:ascii="宋体" w:hAnsi="宋体" w:eastAsia="宋体" w:cs="Times New Roman"/>
          <w:sz w:val="24"/>
          <w:szCs w:val="24"/>
          <w:highlight w:val="none"/>
        </w:rPr>
        <w:t xml:space="preserve">。</w:t>
      </w: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lang w:eastAsia="zh-CN"/>
        </w:rPr>
        <w:t xml:space="preserve">提供第三方检测机构出具的检测报告并加盖供应商公章</w:t>
      </w:r>
      <w:r>
        <w:rPr>
          <w:rFonts w:ascii="Times New Roman" w:hAnsi="Times New Roman" w:eastAsia="宋体" w:cs="Times New Roman"/>
          <w:b/>
          <w:bCs/>
          <w:color w:val="000000"/>
          <w:sz w:val="24"/>
          <w:szCs w:val="24"/>
          <w:highlight w:val="none"/>
        </w:rPr>
        <w:t xml:space="preserve">）</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1.9</w:t>
      </w:r>
      <w:r>
        <w:rPr>
          <w:rFonts w:hint="eastAsia" w:ascii="宋体" w:hAnsi="宋体" w:eastAsia="宋体" w:cs="Times New Roman"/>
          <w:sz w:val="24"/>
          <w:szCs w:val="24"/>
          <w:highlight w:val="none"/>
        </w:rPr>
        <w:t xml:space="preserve">具有可旋转触摸彩色显示屏，可根据测量点位调整屏幕视角，方便观察；</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1.10</w:t>
      </w:r>
      <w:r>
        <w:rPr>
          <w:rFonts w:hint="eastAsia" w:ascii="宋体" w:hAnsi="宋体" w:eastAsia="宋体" w:cs="Times New Roman"/>
          <w:sz w:val="24"/>
          <w:szCs w:val="24"/>
          <w:highlight w:val="none"/>
        </w:rPr>
        <w:t xml:space="preserve">放大镜功能：可使用放大镜功能对热图像进行局部放大。</w:t>
      </w:r>
      <w:r/>
    </w:p>
    <w:p>
      <w:pPr>
        <w:numPr>
          <w:ilvl w:val="0"/>
          <w:numId w:val="0"/>
        </w:numPr>
        <w:ind w:firstLine="480"/>
        <w:pageBreakBefore w:val="0"/>
        <w:spacing w:line="480" w:lineRule="exact"/>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1.11</w:t>
      </w:r>
      <w:r>
        <w:rPr>
          <w:rFonts w:hint="eastAsia" w:ascii="宋体" w:hAnsi="宋体" w:eastAsia="宋体" w:cs="Times New Roman"/>
          <w:sz w:val="24"/>
          <w:szCs w:val="24"/>
          <w:highlight w:val="none"/>
        </w:rPr>
        <w:t xml:space="preserve">▲具有防爆合格证，且防爆等级不低于Ex ic nc IIC T6 Gc。</w:t>
      </w:r>
      <w:r>
        <w:rPr>
          <w:rFonts w:ascii="Times New Roman" w:hAnsi="Times New Roman" w:eastAsia="宋体" w:cs="Times New Roman"/>
          <w:b/>
          <w:bCs/>
          <w:color w:val="000000"/>
          <w:sz w:val="24"/>
          <w:szCs w:val="24"/>
          <w:highlight w:val="none"/>
        </w:rPr>
        <w:t xml:space="preserve">（提供国家级防爆机构颁发的防爆合格证及对应报告</w:t>
      </w:r>
      <w:r>
        <w:rPr>
          <w:rFonts w:hint="eastAsia" w:ascii="Times New Roman" w:hAnsi="Times New Roman" w:eastAsia="宋体" w:cs="Times New Roman"/>
          <w:b/>
          <w:bCs/>
          <w:color w:val="000000"/>
          <w:sz w:val="24"/>
          <w:szCs w:val="24"/>
          <w:highlight w:val="none"/>
        </w:rPr>
        <w:t xml:space="preserve">并加盖供应商公章</w:t>
      </w:r>
      <w:r>
        <w:rPr>
          <w:rFonts w:ascii="Times New Roman" w:hAnsi="Times New Roman" w:eastAsia="宋体" w:cs="Times New Roman"/>
          <w:b/>
          <w:bCs/>
          <w:color w:val="000000"/>
          <w:sz w:val="24"/>
          <w:szCs w:val="24"/>
          <w:highlight w:val="none"/>
        </w:rPr>
        <w:t xml:space="preserve">）</w:t>
      </w:r>
      <w:r/>
    </w:p>
    <w:p>
      <w:pPr>
        <w:ind w:firstLine="480"/>
        <w:pageBreakBefore w:val="0"/>
        <w:spacing w:line="480" w:lineRule="exact"/>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1.12</w:t>
      </w:r>
      <w:r>
        <w:rPr>
          <w:rFonts w:hint="eastAsia" w:ascii="宋体" w:hAnsi="宋体" w:eastAsia="宋体" w:cs="Times New Roman"/>
          <w:sz w:val="24"/>
          <w:szCs w:val="24"/>
          <w:highlight w:val="none"/>
        </w:rPr>
        <w:t xml:space="preserve">▲防护等级：不低于IP65。</w:t>
      </w:r>
      <w:r>
        <w:rPr>
          <w:rFonts w:ascii="Times New Roman" w:hAnsi="Times New Roman" w:eastAsia="宋体" w:cs="Times New Roman"/>
          <w:b/>
          <w:bCs/>
          <w:color w:val="000000"/>
          <w:sz w:val="24"/>
          <w:szCs w:val="24"/>
          <w:highlight w:val="none"/>
        </w:rPr>
        <w:t xml:space="preserve">（提供</w:t>
      </w:r>
      <w:r>
        <w:rPr>
          <w:rFonts w:hint="eastAsia" w:ascii="Times New Roman" w:hAnsi="Times New Roman" w:eastAsia="宋体" w:cs="Times New Roman"/>
          <w:b/>
          <w:bCs/>
          <w:color w:val="000000"/>
          <w:sz w:val="24"/>
          <w:szCs w:val="24"/>
          <w:highlight w:val="none"/>
          <w:lang w:val="en-US" w:eastAsia="zh-CN"/>
        </w:rPr>
        <w:t xml:space="preserve">第三方检测</w:t>
      </w:r>
      <w:r>
        <w:rPr>
          <w:rFonts w:ascii="Times New Roman" w:hAnsi="Times New Roman" w:eastAsia="宋体" w:cs="Times New Roman"/>
          <w:b/>
          <w:bCs/>
          <w:color w:val="000000"/>
          <w:sz w:val="24"/>
          <w:szCs w:val="24"/>
          <w:highlight w:val="none"/>
        </w:rPr>
        <w:t xml:space="preserve">机构出具的防护等级测试报告</w:t>
      </w:r>
      <w:r>
        <w:rPr>
          <w:rFonts w:hint="eastAsia" w:ascii="Times New Roman" w:hAnsi="Times New Roman" w:eastAsia="宋体" w:cs="Times New Roman"/>
          <w:b/>
          <w:bCs/>
          <w:color w:val="000000"/>
          <w:sz w:val="24"/>
          <w:szCs w:val="24"/>
          <w:highlight w:val="none"/>
        </w:rPr>
        <w:t xml:space="preserve">并加盖供应商公章</w:t>
      </w:r>
      <w:r>
        <w:rPr>
          <w:rFonts w:ascii="Times New Roman" w:hAnsi="Times New Roman" w:eastAsia="宋体" w:cs="Times New Roman"/>
          <w:b/>
          <w:bCs/>
          <w:color w:val="000000"/>
          <w:sz w:val="24"/>
          <w:szCs w:val="24"/>
          <w:highlight w:val="none"/>
        </w:rPr>
        <w:t xml:space="preserve">）</w:t>
      </w:r>
      <w:r/>
    </w:p>
    <w:p>
      <w:pPr>
        <w:ind w:firstLine="480"/>
        <w:pageBreakBefore w:val="0"/>
        <w:spacing w:line="480" w:lineRule="exact"/>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1.13</w:t>
      </w:r>
      <w:r>
        <w:rPr>
          <w:rFonts w:hint="eastAsia" w:ascii="宋体" w:hAnsi="宋体" w:eastAsia="宋体" w:cs="Times New Roman"/>
          <w:sz w:val="24"/>
          <w:szCs w:val="24"/>
          <w:highlight w:val="none"/>
        </w:rPr>
        <w:t xml:space="preserve">▲电池：</w:t>
      </w:r>
      <w:r>
        <w:rPr>
          <w:rFonts w:hint="eastAsia" w:ascii="宋体" w:hAnsi="宋体" w:eastAsia="宋体" w:cs="Times New Roman"/>
          <w:sz w:val="24"/>
          <w:szCs w:val="24"/>
          <w:highlight w:val="none"/>
          <w:lang w:val="en-US" w:eastAsia="zh-CN"/>
        </w:rPr>
        <w:t xml:space="preserve">电池容量不小于8000mAh，可充电次数≥2000次，</w:t>
      </w:r>
      <w:r>
        <w:rPr>
          <w:rFonts w:hint="eastAsia" w:ascii="宋体" w:hAnsi="宋体" w:eastAsia="宋体" w:cs="Times New Roman"/>
          <w:sz w:val="24"/>
          <w:szCs w:val="24"/>
          <w:highlight w:val="none"/>
        </w:rPr>
        <w:t xml:space="preserve">具有电量报警、自动关机或自动息屏功能，单块电池</w:t>
      </w:r>
      <w:r>
        <w:rPr>
          <w:rFonts w:hint="eastAsia" w:ascii="宋体" w:hAnsi="宋体" w:eastAsia="宋体" w:cs="Times New Roman"/>
          <w:sz w:val="24"/>
          <w:szCs w:val="24"/>
          <w:highlight w:val="none"/>
          <w:lang w:val="en-US" w:eastAsia="zh-CN"/>
        </w:rPr>
        <w:t xml:space="preserve">常温环境夏</w:t>
      </w:r>
      <w:r>
        <w:rPr>
          <w:rFonts w:hint="eastAsia" w:ascii="宋体" w:hAnsi="宋体" w:eastAsia="宋体" w:cs="Times New Roman"/>
          <w:sz w:val="24"/>
          <w:szCs w:val="24"/>
          <w:highlight w:val="none"/>
        </w:rPr>
        <w:t xml:space="preserve">连续使用时间≥4小时；低温环境下（-20℃及以下）电池使用时间≥3小时。充电方式：仪器具备直接充电和座充两种充电方式，可采用电源适配器连接主机充电口直接充电，或将电池拆卸采用座充独立充电，座充可同时为两块电池充电。</w:t>
      </w: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w:t>
      </w:r>
      <w:r>
        <w:rPr>
          <w:rFonts w:hint="eastAsia" w:ascii="Times New Roman" w:hAnsi="Times New Roman" w:eastAsia="宋体" w:cs="Times New Roman"/>
          <w:b/>
          <w:bCs/>
          <w:color w:val="000000"/>
          <w:sz w:val="24"/>
          <w:szCs w:val="24"/>
          <w:highlight w:val="none"/>
          <w:lang w:eastAsia="zh-CN"/>
        </w:rPr>
        <w:t xml:space="preserve">第三方计量检定机构出具的检测报告</w:t>
      </w:r>
      <w:r>
        <w:rPr>
          <w:rFonts w:hint="eastAsia" w:ascii="Times New Roman" w:hAnsi="Times New Roman" w:eastAsia="宋体" w:cs="Times New Roman"/>
          <w:b/>
          <w:bCs/>
          <w:color w:val="000000"/>
          <w:sz w:val="24"/>
          <w:szCs w:val="24"/>
          <w:highlight w:val="none"/>
        </w:rPr>
        <w:t xml:space="preserve">并加盖供应商公章</w:t>
      </w:r>
      <w:r>
        <w:rPr>
          <w:rFonts w:ascii="Times New Roman" w:hAnsi="Times New Roman" w:eastAsia="宋体" w:cs="Times New Roman"/>
          <w:b/>
          <w:bCs/>
          <w:color w:val="000000"/>
          <w:sz w:val="24"/>
          <w:szCs w:val="24"/>
          <w:highlight w:val="none"/>
        </w:rPr>
        <w:t xml:space="preserve">）</w:t>
      </w:r>
      <w:r/>
    </w:p>
    <w:p>
      <w:pPr>
        <w:ind w:firstLine="48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1.14</w:t>
      </w:r>
      <w:r>
        <w:rPr>
          <w:rFonts w:hint="eastAsia" w:ascii="宋体" w:hAnsi="宋体" w:eastAsia="宋体" w:cs="Times New Roman"/>
          <w:sz w:val="24"/>
          <w:szCs w:val="24"/>
          <w:highlight w:val="none"/>
        </w:rPr>
        <w:t xml:space="preserve">可检测气体至少包含：甲烷、乙烷、丙烷、丁烷、戊烷、环氧乙烷、溴甲烷、溴乙烷、氯甲烷、1-己烷、乙烯、丙烯、异戊二烯、异丁烯、1,3-丁二烯、苯、甲苯、二甲苯、三甲苯、对二甲苯、乙苯、苯乙烯、1,2-二甲苯、甲醇、乙醇、异丙醇等多种常见的挥发性有机气体。</w:t>
      </w:r>
      <w:r/>
    </w:p>
    <w:p>
      <w:pPr>
        <w:numPr>
          <w:ilvl w:val="0"/>
          <w:numId w:val="0"/>
        </w:numPr>
        <w:ind w:firstLine="480"/>
        <w:pageBreakBefore w:val="0"/>
        <w:spacing w:line="480" w:lineRule="exact"/>
        <w:rPr>
          <w:rFonts w:ascii="Times New Roman" w:hAnsi="Times New Roman" w:eastAsia="宋体" w:cs="Times New Roman"/>
          <w:b/>
          <w:bCs/>
          <w:color w:val="000000"/>
          <w:sz w:val="24"/>
          <w:szCs w:val="24"/>
          <w:highlight w:val="none"/>
        </w:rPr>
      </w:pPr>
      <w:r>
        <w:rPr>
          <w:rFonts w:hint="eastAsia" w:ascii="宋体" w:hAnsi="宋体" w:eastAsia="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rPr>
        <w:t xml:space="preserve">1.15</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与气体定量分析仪联动功能：</w:t>
      </w:r>
      <w:r>
        <w:rPr>
          <w:rFonts w:ascii="Times New Roman" w:hAnsi="Times New Roman" w:eastAsia="宋体" w:cs="Times New Roman"/>
          <w:color w:val="000000"/>
          <w:sz w:val="24"/>
          <w:szCs w:val="24"/>
          <w:highlight w:val="none"/>
        </w:rPr>
        <w:t xml:space="preserve">可通过WIFI</w:t>
      </w:r>
      <w:r>
        <w:rPr>
          <w:rFonts w:hint="eastAsia" w:ascii="Times New Roman" w:hAnsi="Times New Roman" w:eastAsia="宋体" w:cs="Times New Roman"/>
          <w:color w:val="000000"/>
          <w:sz w:val="24"/>
          <w:szCs w:val="24"/>
          <w:highlight w:val="none"/>
          <w:lang w:val="en-US" w:eastAsia="zh-CN"/>
        </w:rPr>
        <w:t xml:space="preserve">等无线通讯端口与气体定量分析仪</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氢火焰离子法FID、光离子PID和半导体可协调激光TDLAS</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互联互通</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可显示并保存定量分析仪的编号，同时显示VOCs浓度值、最大浓度值、检测时间等信息，相关数据可存储。</w:t>
      </w:r>
      <w:r>
        <w:rPr>
          <w:rFonts w:ascii="Times New Roman" w:hAnsi="Times New Roman" w:eastAsia="宋体" w:cs="Times New Roman"/>
          <w:color w:val="000000"/>
          <w:sz w:val="24"/>
          <w:szCs w:val="24"/>
          <w:highlight w:val="none"/>
        </w:rPr>
        <w:t xml:space="preserve">仪器屏幕可以同时显示FID检测器和PID检测器实时检测数据。</w:t>
      </w:r>
      <w:r>
        <w:rPr>
          <w:rFonts w:ascii="Times New Roman" w:hAnsi="Times New Roman" w:eastAsia="宋体" w:cs="Times New Roman"/>
          <w:b/>
          <w:bCs/>
          <w:color w:val="000000"/>
          <w:sz w:val="24"/>
          <w:szCs w:val="24"/>
          <w:highlight w:val="none"/>
        </w:rPr>
        <w:t xml:space="preserve">（提供仪器连接界面截图</w:t>
      </w:r>
      <w:r>
        <w:rPr>
          <w:rFonts w:hint="eastAsia" w:ascii="宋体" w:hAnsi="宋体" w:eastAsia="宋体" w:cs="Times New Roman"/>
          <w:b/>
          <w:bCs/>
          <w:sz w:val="24"/>
          <w:szCs w:val="24"/>
          <w:highlight w:val="none"/>
          <w:lang w:val="en-US" w:eastAsia="zh-CN"/>
        </w:rPr>
        <w:t xml:space="preserve">及红外热成像仪与定量分析模块连接软件的计算机软件著作权登记证书、提供</w:t>
      </w:r>
      <w:r>
        <w:rPr>
          <w:rFonts w:hint="eastAsia" w:ascii="Times New Roman" w:hAnsi="Times New Roman" w:eastAsia="宋体" w:cs="Times New Roman"/>
          <w:b/>
          <w:bCs/>
          <w:color w:val="000000"/>
          <w:sz w:val="24"/>
          <w:szCs w:val="24"/>
          <w:highlight w:val="none"/>
          <w:lang w:eastAsia="zh-CN"/>
        </w:rPr>
        <w:t xml:space="preserve">第三方计量检定机构</w:t>
      </w:r>
      <w:r>
        <w:rPr>
          <w:rFonts w:hint="eastAsia" w:ascii="宋体" w:hAnsi="宋体" w:eastAsia="宋体" w:cs="Times New Roman"/>
          <w:b/>
          <w:bCs/>
          <w:sz w:val="24"/>
          <w:szCs w:val="24"/>
          <w:highlight w:val="none"/>
          <w:lang w:val="en-US" w:eastAsia="zh-CN"/>
        </w:rPr>
        <w:t xml:space="preserve">出具的检测报告并加盖供应商公章</w:t>
      </w:r>
      <w:r>
        <w:rPr>
          <w:rFonts w:ascii="Times New Roman" w:hAnsi="Times New Roman" w:eastAsia="宋体" w:cs="Times New Roman"/>
          <w:b/>
          <w:bCs/>
          <w:color w:val="000000"/>
          <w:sz w:val="24"/>
          <w:szCs w:val="24"/>
          <w:highlight w:val="none"/>
        </w:rPr>
        <w:t xml:space="preserve">）</w:t>
      </w:r>
      <w:r/>
    </w:p>
    <w:p>
      <w:pPr>
        <w:ind w:firstLine="480"/>
        <w:pageBreakBefore w:val="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5.1.16▲气体识别：气体泄漏标注、羽流标准，方框和颜色标注；多边形分析功能：可分析不规则多边形面积内的最高、最低和平均温度。显示模式：可使用用户自定义的调色板伪彩显示热图，具有不少于10种伪彩色调色板，可以手动/自动调节色标，具备色标反向功能。热灵敏度：≤10mk（环境温度在23±5℃时）；显示屏：≥5英寸可旋转触摸液晶显示屏，分辨率≥1920×1080；目镜分辨率：≥1920×1080（OLED，可旋转）；变倍：1~16倍连续数字变倍；重量：≤2.5kg</w:t>
      </w:r>
      <w:r>
        <w:rPr>
          <w:rFonts w:hint="eastAsia" w:ascii="宋体" w:hAnsi="宋体" w:eastAsia="宋体" w:cs="Times New Roman"/>
          <w:b/>
          <w:bCs/>
          <w:sz w:val="24"/>
          <w:szCs w:val="24"/>
          <w:highlight w:val="none"/>
          <w:lang w:val="en-US" w:eastAsia="zh-CN"/>
        </w:rPr>
        <w:t xml:space="preserve">（提供第三方计量检定机构出具的检测报告并加盖供应商公章）</w:t>
      </w:r>
      <w:r/>
    </w:p>
    <w:p>
      <w:pPr>
        <w:ind w:firstLine="480"/>
        <w:pageBreakBefore w:val="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5.1.17报告向导或模板功能：提示用户操作或使用模板帮助用户创建分析报告。</w:t>
      </w:r>
      <w:r/>
    </w:p>
    <w:p>
      <w:pPr>
        <w:ind w:firstLine="480"/>
        <w:pageBreakBefore w:val="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5.1.18分析功能：提供分析仪点、直线和区域的温度分析功能。</w:t>
      </w:r>
      <w:r/>
    </w:p>
    <w:p>
      <w:pPr>
        <w:ind w:firstLine="480"/>
        <w:pageBreakBefore w:val="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5.1.19报告生成功能：生成可打印的分析检测报告。</w:t>
      </w:r>
      <w:r/>
    </w:p>
    <w:p>
      <w:pPr>
        <w:ind w:firstLine="480"/>
        <w:pageBreakBefore w:val="0"/>
        <w:spacing w:line="48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5.1.20趋势分析功能：可进行某点温度的变化趋势分析。</w:t>
      </w:r>
      <w:r/>
    </w:p>
    <w:p>
      <w:pPr>
        <w:numPr>
          <w:ilvl w:val="0"/>
          <w:numId w:val="0"/>
        </w:numPr>
        <w:jc w:val="both"/>
        <w:pageBreakBefore w:val="0"/>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6.便携式气相色谱-质谱联用仪</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6.1设备用途</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便携式气相色谱-质谱联用仪基于气相色谱质谱联用技术（GC-MS），配置顶空进样、固相微萃取等前处理设备，可用于污染事故现场大气、水体和土壤中挥发性及半挥发性有机污染物的快速定性及定量、半定量分析</w:t>
      </w:r>
      <w:r>
        <w:rPr>
          <w:rFonts w:hint="eastAsia" w:ascii="宋体" w:hAnsi="宋体" w:eastAsia="宋体" w:cs="宋体"/>
          <w:sz w:val="24"/>
          <w:szCs w:val="24"/>
          <w:highlight w:val="none"/>
          <w:lang w:eastAsia="zh-CN"/>
        </w:rPr>
        <w:t xml:space="preserve">。</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6.2配置</w:t>
      </w:r>
      <w:r/>
    </w:p>
    <w:p>
      <w:pPr>
        <w:numPr>
          <w:ilvl w:val="0"/>
          <w:numId w:val="13"/>
        </w:num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气相色谱-质谱联用仪主机，同时内置吸附热解吸、定量环进样模块等前处理模块。</w:t>
      </w:r>
      <w:r/>
    </w:p>
    <w:p>
      <w:pPr>
        <w:numPr>
          <w:ilvl w:val="0"/>
          <w:numId w:val="13"/>
        </w:numPr>
        <w:ind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顶空进样系统。</w:t>
      </w:r>
      <w:r/>
    </w:p>
    <w:p>
      <w:pPr>
        <w:numPr>
          <w:ilvl w:val="0"/>
          <w:numId w:val="13"/>
        </w:numPr>
        <w:ind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针进样套件。</w:t>
      </w:r>
      <w:r/>
    </w:p>
    <w:p>
      <w:pPr>
        <w:numPr>
          <w:ilvl w:val="0"/>
          <w:numId w:val="13"/>
        </w:numPr>
        <w:ind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固相微萃取进样套件。</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便携式</w:t>
      </w:r>
      <w:r>
        <w:rPr>
          <w:rFonts w:hint="eastAsia" w:ascii="宋体" w:hAnsi="宋体" w:eastAsia="宋体" w:cs="宋体"/>
          <w:sz w:val="24"/>
          <w:szCs w:val="24"/>
          <w:highlight w:val="none"/>
        </w:rPr>
        <w:t xml:space="preserve">固相微萃取前处理系统。</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 附件箱：内含可拆卸式电池和载气，配充电器及三块充电电池。</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 工作站软件：便携气质工作站软件（中文操作系统），数据处理软件。</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 主机配件：配件包和工具包。</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便携式可编辑终端</w:t>
      </w:r>
      <w:r>
        <w:rPr>
          <w:rFonts w:hint="eastAsia" w:ascii="宋体" w:hAnsi="宋体" w:eastAsia="宋体" w:cs="宋体"/>
          <w:sz w:val="24"/>
          <w:szCs w:val="24"/>
          <w:highlight w:val="none"/>
        </w:rPr>
        <w:t xml:space="preserve">。</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6.3技术性能指标</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3.1 工作条件</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电源：可用充电电池和交流电两种供电模式。</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电池：应急现场内置电池电量耗尽后可无需拆机快速更换，实现热切换，重量≤2.5kg。</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连续工作时间：≥24小时。</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预热时间：设备可快速预热，以应对突发事故应急监测，预热时间（冷启动时间）＜6 min。</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抗震性：设备可适应现场各种恶劣的环境，具有的抗震能力，提供设备振动测试CNAS报告。</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3.2 气相色谱模块</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内置长度为5m-10m的快速色谱柱。为满足应急现场快速分析的要求，温度设置范围上限应达到280℃，升温速率至少可达到140℃/min。</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样品进样：</w:t>
      </w:r>
      <w:r>
        <w:rPr>
          <w:rFonts w:hint="eastAsia" w:ascii="宋体" w:hAnsi="宋体" w:eastAsia="宋体" w:cs="宋体"/>
          <w:sz w:val="24"/>
          <w:szCs w:val="24"/>
          <w:highlight w:val="none"/>
          <w:lang w:val="zh-CN"/>
        </w:rPr>
        <w:t xml:space="preserve">仪器同时内置吸附管及定量环，气体样品可通过吸附热解吸和定量环两种模式进样，可通过软件控制二者选其一使用，避免手动更换。</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分析速度：GC-MS分析≤6 min，必须同时满足甲苯与1,1,2-三氯乙烷的分离度＞1。</w:t>
      </w:r>
      <w:r>
        <w:rPr>
          <w:rFonts w:hint="eastAsia" w:ascii="宋体" w:hAnsi="宋体" w:eastAsia="宋体" w:cs="宋体"/>
          <w:b/>
          <w:bCs/>
          <w:sz w:val="24"/>
          <w:szCs w:val="24"/>
          <w:highlight w:val="none"/>
        </w:rPr>
        <w:t xml:space="preserve">（以分离TO-14混合标气为准，提供总离子流分析色谱图并标注各物质定性结果并加盖供应商公章）</w:t>
      </w:r>
      <w:r>
        <w:rPr>
          <w:rFonts w:hint="eastAsia" w:ascii="宋体" w:hAnsi="宋体" w:eastAsia="宋体" w:cs="宋体"/>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载气：氦气或氮气；便携式载气瓶容积≤100ml，与主机连接的同时具备减压阀，可调节载气压力大小。</w:t>
      </w:r>
      <w:r/>
    </w:p>
    <w:p>
      <w:pPr>
        <w:numPr>
          <w:ilvl w:val="0"/>
          <w:numId w:val="13"/>
        </w:numPr>
        <w:ind w:left="0" w:firstLine="480"/>
        <w:keepLines w:val="0"/>
        <w:keepNext w:val="0"/>
        <w:pageBreakBefore w:val="0"/>
        <w:spacing w:line="480" w:lineRule="exact"/>
        <w:widowControl w:val="off"/>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zh-CN"/>
        </w:rPr>
        <w:t xml:space="preserve">载气监控：可对载气压力进行监控，并在载气压力低于规定限值时报警提示用户。</w:t>
      </w:r>
      <w:r/>
    </w:p>
    <w:p>
      <w:pPr>
        <w:numPr>
          <w:ilvl w:val="0"/>
          <w:numId w:val="13"/>
        </w:numPr>
        <w:ind w:left="0"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气路控制：高精度电子压力控制，最高耐受压可达900kPa，流速最高可达100ml/min。</w:t>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3.3 质谱模块</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质量分析器：离子阱质量分析器。</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电离方式：70eV EI源电离。</w:t>
      </w:r>
      <w:r/>
    </w:p>
    <w:p>
      <w:pPr>
        <w:ind w:firstLine="480"/>
        <w:jc w:val="both"/>
        <w:keepLines w:val="0"/>
        <w:keepNext w:val="0"/>
        <w:pageBreakBefore w:val="0"/>
        <w:spacing w:after="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峰面积重复性：RSD≤10%（以甲苯计，至少六组相同浓度重复数据）</w:t>
      </w:r>
      <w:r/>
    </w:p>
    <w:p>
      <w:pPr>
        <w:ind w:firstLine="480"/>
        <w:jc w:val="both"/>
        <w:keepLines w:val="0"/>
        <w:keepNext w:val="0"/>
        <w:pageBreakBefore w:val="0"/>
        <w:spacing w:after="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 定性定量准确：满足空气中复杂VOCs组分分析要求；分别用TO-15（65组分）、PAMS（57组分）标准气体，能够准确定性各自75%以上物质，75%以上物质定量准确度（加标回收率）在70%~120%之间</w:t>
      </w:r>
      <w:r>
        <w:rPr>
          <w:rFonts w:hint="eastAsia" w:ascii="宋体" w:hAnsi="宋体" w:eastAsia="宋体" w:cs="宋体"/>
          <w:b/>
          <w:bCs/>
          <w:sz w:val="24"/>
          <w:szCs w:val="24"/>
          <w:highlight w:val="none"/>
          <w:lang w:val="en-US" w:eastAsia="zh-CN" w:bidi="ar-SA"/>
        </w:rPr>
        <w:t xml:space="preserve">（提供性能测试报告并加盖供应商公章）</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真空系统：</w:t>
      </w:r>
      <w:r>
        <w:rPr>
          <w:rFonts w:hint="eastAsia" w:ascii="宋体" w:hAnsi="宋体" w:eastAsia="宋体" w:cs="宋体"/>
          <w:sz w:val="24"/>
          <w:szCs w:val="24"/>
          <w:highlight w:val="none"/>
          <w:lang w:val="zh-CN"/>
        </w:rPr>
        <w:t xml:space="preserve">真空泵为隔膜泵+涡轮分子泵组合，非消耗型器件；真空系统无油设计，分子泵抽速≤10L/s，在尽快达到分析准备条件的同时减小所需功耗。</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质量数范围：45~450 u，覆盖挥发性有机物及半挥发性有机物。</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线性：R</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≥0.99（至少包括乙苯、间对二甲苯以及1,2-二甲苯等组分）。</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设备符合HJ1223-2021《环境空气 挥发性有机物的应急测定 便携式气相色谱-质谱法》的要求，除具备外标法分析能力外，内标标准气和样品可同时进样并通过内标法定量。</w:t>
      </w:r>
      <w:r>
        <w:rPr>
          <w:rFonts w:hint="eastAsia" w:ascii="宋体" w:hAnsi="宋体" w:eastAsia="宋体" w:cs="宋体"/>
          <w:b/>
          <w:bCs/>
          <w:sz w:val="24"/>
          <w:szCs w:val="24"/>
          <w:highlight w:val="none"/>
          <w:lang w:val="zh-CN"/>
        </w:rPr>
        <w:t xml:space="preserve">（提供设备进行内标进样分析、包含主机软件界面的工作照片，并标注内标气位置）</w:t>
      </w:r>
      <w:r/>
    </w:p>
    <w:p>
      <w:pPr>
        <w:numPr>
          <w:ilvl w:val="0"/>
          <w:numId w:val="14"/>
        </w:num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内标气至少包括1,3,5-三（三氟甲基）苯及4-溴氟苯，具有内标调谐功能。内标钢瓶无需打开主机外壳即可实现反复灌充、易于更换，容积不大于90mL，灌充标气可耐受1500 psi或更高压力，以适应应急现场大量样品的分析需求</w:t>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3.4 半挥发性有机物进样模块</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内置半挥发性有机物进样模块，液体或固体样品能通过固相微萃取手柄预处理进样，也可以通过有机溶剂萃取后用微量注射器直接进样。</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可以满足沸点350℃以下的半挥发性有机物的检测，能监测挥发性弱的有机氯农药等半挥发性有机化合物。</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温度范围：分流进样口最高操作温度≥270℃。</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分流比范围可设置，最大分流比可达250:1。</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3.5 顶空进样系统</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性能要求：配置原厂便携顶空进样系统，通过样品传输管线和通讯管线与GC-MS主机相连接，具备动态吹扫和静态顶空双重功能。实现应急所需的水、土样品中VOCs的前处理。</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顶空系统具有适应于应急现场携带的便携性，重量≤8kg，尺寸≤300x350x200（mm）。</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可通过外接电源供电，也可通过自带的电池供电，电池使用时长≥6小时。</w:t>
      </w:r>
      <w:r/>
    </w:p>
    <w:p>
      <w:pPr>
        <w:ind w:firstLine="480"/>
        <w:jc w:val="both"/>
        <w:keepLines w:val="0"/>
        <w:keepNext w:val="0"/>
        <w:pageBreakBefore w:val="0"/>
        <w:spacing w:after="0"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(4) 顶空系统内置载气瓶，含减压阀，可调节载气压力大小并通过自带表盘直读气压数值。</w:t>
      </w:r>
      <w:r>
        <w:rPr>
          <w:rFonts w:hint="eastAsia" w:ascii="宋体" w:hAnsi="宋体" w:eastAsia="宋体" w:cs="宋体"/>
          <w:b/>
          <w:bCs/>
          <w:sz w:val="24"/>
          <w:szCs w:val="24"/>
          <w:highlight w:val="none"/>
          <w:lang w:val="en-US" w:eastAsia="zh-CN" w:bidi="ar-SA"/>
        </w:rPr>
        <w:t xml:space="preserve">（需提供顶空系统内置载气瓶、显示载气压力的实物图片）</w:t>
      </w:r>
      <w:r/>
    </w:p>
    <w:p>
      <w:pPr>
        <w:ind w:firstLine="480"/>
        <w:jc w:val="both"/>
        <w:keepLines w:val="0"/>
        <w:keepNext w:val="0"/>
        <w:pageBreakBefore w:val="0"/>
        <w:spacing w:after="0"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 顶空系统能够对样品瓶进行加热，加热温度≥80℃；加热位：≥4位。</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3.6 </w:t>
      </w:r>
      <w:r>
        <w:rPr>
          <w:rFonts w:hint="eastAsia" w:ascii="宋体" w:hAnsi="宋体" w:eastAsia="宋体" w:cs="宋体"/>
          <w:b/>
          <w:bCs/>
          <w:sz w:val="24"/>
          <w:szCs w:val="24"/>
          <w:highlight w:val="none"/>
          <w:lang w:val="en-US" w:eastAsia="zh-CN"/>
        </w:rPr>
        <w:t xml:space="preserve">便携式</w:t>
      </w:r>
      <w:r>
        <w:rPr>
          <w:rFonts w:hint="eastAsia" w:ascii="宋体" w:hAnsi="宋体" w:eastAsia="宋体" w:cs="宋体"/>
          <w:b/>
          <w:bCs/>
          <w:sz w:val="24"/>
          <w:szCs w:val="24"/>
          <w:highlight w:val="none"/>
        </w:rPr>
        <w:t xml:space="preserve">固相微萃取前处理系统</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 性能要求：集成样品加热、搅拌模块与纤维老化模块，可通过一台仪器完成整个固相微萃取前处理过程。</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 重量：≤8.5 kg（含载气瓶及电池）。</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 样品池：系统至少具备三个可同时加热的样品位，温度设置范围覆盖40℃~90℃。</w:t>
      </w:r>
      <w:r>
        <w:rPr>
          <w:rFonts w:hint="eastAsia" w:ascii="宋体" w:hAnsi="宋体" w:eastAsia="宋体" w:cs="宋体"/>
          <w:b/>
          <w:bCs/>
          <w:sz w:val="24"/>
          <w:szCs w:val="24"/>
          <w:highlight w:val="none"/>
          <w:lang w:val="zh-CN"/>
        </w:rPr>
        <w:t xml:space="preserve">（需提供系统实物照片作为证明材料）</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 搅拌速率：至少满足300 rpm~1800 rpm。</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 样品位需自带LED探照灯，便于操作人员实时观察样品的搅拌和萃取情况。</w:t>
      </w:r>
      <w:r>
        <w:rPr>
          <w:rFonts w:hint="eastAsia" w:ascii="宋体" w:hAnsi="宋体" w:eastAsia="宋体" w:cs="宋体"/>
          <w:b/>
          <w:bCs/>
          <w:sz w:val="24"/>
          <w:szCs w:val="24"/>
          <w:highlight w:val="none"/>
          <w:lang w:val="zh-CN"/>
        </w:rPr>
        <w:t xml:space="preserve">（需提供系统实物照片作为证明材料）</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 老化位：系统内置便携式高纯氦气瓶，与便携式GC-MS主机内置载气瓶型号规格完全相同，现场无需任何转接头可直接替换通用，为纤维头老化提供惰性气体，老化温度至少满足50℃~300℃。</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 内置不可拆卸高清晰度、触摸式显示屏，尺寸≥5英寸。</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 内置电池供电或外接电源供电，内置电池的续航时间≥6 h。</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(9) 采用箱式一体化设计，可放置于监测车或手提方式携运至现场，具有优秀的防水防尘能力，可适应恶劣现场环境使用，IP等级在65以上</w:t>
      </w:r>
      <w:r/>
    </w:p>
    <w:p>
      <w:pPr>
        <w:numPr>
          <w:ilvl w:val="0"/>
          <w:numId w:val="14"/>
        </w:numPr>
        <w:ind w:left="0"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具有固相微萃取综合前处理仪操作系统软件著作权</w:t>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3.7 数据处理系统</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全中文软件界面。 </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简约直观的图形化操作界面、人机交互式触摸屏，可在无人值守情况下按照事先设置好的序列运行设备。</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软件具有实时定性功能，在分析未结束时即可对已出峰的物质进行定性，提高现场检测效率。</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具有自动调谐功能，无需输入电压或质量数等任何参数即可进行调谐，关键离子丰度应满足HJ1223-2021《环境空气 挥发性有机物的应急测定 便携式气相色谱-质谱法》的要求。</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具有自动维护功能，可设定自动维护周期。</w:t>
      </w:r>
      <w:r/>
    </w:p>
    <w:p>
      <w:pPr>
        <w:ind w:firstLine="480"/>
        <w:keepLines w:val="0"/>
        <w:keepNext w:val="0"/>
        <w:pageBreakBefore w:val="0"/>
        <w:spacing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(6) 设备</w:t>
      </w:r>
      <w:r>
        <w:rPr>
          <w:rFonts w:hint="eastAsia" w:ascii="宋体" w:hAnsi="宋体" w:eastAsia="宋体" w:cs="宋体"/>
          <w:sz w:val="24"/>
          <w:szCs w:val="24"/>
          <w:highlight w:val="none"/>
          <w:lang w:val="zh-CN"/>
        </w:rPr>
        <w:t xml:space="preserve">内置北斗定位系统，符合《卫星定位导航授时设备单北斗测试技术规范》（FT-B07-0014-01），定位精度满足水平定位精度≤10m（95%），垂直定位精度≤15m（95%）。</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标准谱库：内装NIST与AMDIS的质谱库，NIOSH数据库。</w:t>
      </w:r>
      <w:r/>
    </w:p>
    <w:p>
      <w:pPr>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专用数据库：包含环境样品专用谱库（内含超过1000种物质）以及中文版化学品安全指导数据库（SIC），可提示GB职业接触限制、浓度转换系数、接触途径等信息。</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highlight w:val="none"/>
        </w:rPr>
        <w:t xml:space="preserve">(9) </w:t>
      </w:r>
      <w:r>
        <w:rPr>
          <w:rFonts w:hint="eastAsia" w:ascii="宋体" w:hAnsi="宋体" w:eastAsia="宋体" w:cs="宋体"/>
          <w:sz w:val="24"/>
          <w:szCs w:val="24"/>
          <w:highlight w:val="none"/>
          <w:lang w:val="zh-CN"/>
        </w:rPr>
        <w:t xml:space="preserve">可将检测结果链接到设备内置的环境标准（超过90种），在主机面板上标识出超标的物质。</w:t>
      </w:r>
      <w:r/>
    </w:p>
    <w:p>
      <w:pPr>
        <w:numPr>
          <w:ilvl w:val="0"/>
          <w:numId w:val="0"/>
        </w:numPr>
        <w:ind w:firstLine="482"/>
        <w:pageBreakBefore w:val="0"/>
        <w:spacing w:line="48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c、为满足协助园区进行污染溯源及环境应急服务需求，投标人须承诺中标后15天内采购或租赁VOCs走航车及环境应急监测车各一辆，在运维期间，根据业主需求，可随时提供走航服务及应急服务。（费用由中标单位承担，包含在投标价中。）中标单位应在30天内将相关车辆驾驶至运维所在地由招标人检查，未按时提供则取消其中标资格。</w:t>
      </w:r>
      <w:r/>
    </w:p>
    <w:p>
      <w:pPr>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1.VO</w:t>
      </w:r>
      <w:r>
        <w:rPr>
          <w:rFonts w:hint="eastAsia" w:ascii="宋体" w:hAnsi="宋体" w:eastAsia="宋体" w:cs="宋体"/>
          <w:b/>
          <w:bCs/>
          <w:color w:val="auto"/>
          <w:sz w:val="24"/>
          <w:szCs w:val="24"/>
          <w:highlight w:val="none"/>
          <w:lang w:val="en-US" w:eastAsia="zh-CN" w:bidi="ar-SA"/>
        </w:rPr>
        <w:t xml:space="preserve">Cs走航车技术要求：</w:t>
      </w:r>
      <w:r/>
    </w:p>
    <w:p>
      <w:pPr>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1）.配置：</w:t>
      </w:r>
      <w:r/>
    </w:p>
    <w:p>
      <w:pPr>
        <w:ind w:firstLine="420"/>
        <w:jc w:val="both"/>
        <w:spacing w:line="360" w:lineRule="auto"/>
        <w:widowControl w:val="off"/>
        <w:rPr>
          <w:rFonts w:hint="eastAsia" w:ascii="宋体" w:hAnsi="Calibri" w:eastAsia="宋体" w:cs="Times New Roman"/>
          <w:sz w:val="24"/>
          <w:szCs w:val="20"/>
          <w:highlight w:val="none"/>
          <w:lang w:val="en-US" w:eastAsia="zh-CN" w:bidi="ar-SA"/>
        </w:rPr>
      </w:pPr>
      <w:r>
        <w:rPr>
          <w:rFonts w:hint="eastAsia" w:ascii="宋体" w:hAnsi="Calibri" w:eastAsia="宋体" w:cs="Times New Roman"/>
          <w:sz w:val="24"/>
          <w:szCs w:val="20"/>
          <w:highlight w:val="none"/>
          <w:lang w:val="en-US" w:eastAsia="zh-CN" w:bidi="ar-SA"/>
        </w:rPr>
      </w:r>
      <w:r/>
    </w:p>
    <w:tbl>
      <w:tblPr>
        <w:tblStyle w:val="725"/>
        <w:tblW w:w="48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6167"/>
        <w:gridCol w:w="562"/>
        <w:gridCol w:w="649"/>
      </w:tblGrid>
      <w:tr>
        <w:trPr>
          <w:jc w:val="center"/>
          <w:trHeight w:val="20"/>
        </w:trPr>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名称描述</w:t>
            </w:r>
            <w:r/>
          </w:p>
        </w:tc>
        <w:tc>
          <w:tcPr>
            <w:gridSpan w:val="2"/>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数量</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VOCs走航监测系统</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质子转移反应飞行时间质谱仪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全自动气相色谱质谱联用仪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车载式气象五参数</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笔记本电脑</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34"/>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走航分析工作站</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hint="default" w:ascii="Times New Roman" w:hAnsi="Times New Roman" w:eastAsia="宋体" w:cs="Times New Roman"/>
                <w:bCs/>
                <w:color w:val="000000"/>
                <w:sz w:val="21"/>
                <w:szCs w:val="21"/>
                <w:highlight w:val="none"/>
                <w:u w:val="none"/>
              </w:rPr>
              <w:t xml:space="preserve">车载式大气采样系统</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集成通讯模块</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hint="default" w:ascii="Times New Roman" w:hAnsi="Times New Roman" w:eastAsia="宋体" w:cs="Times New Roman"/>
                <w:bCs/>
                <w:color w:val="000000"/>
                <w:sz w:val="21"/>
                <w:szCs w:val="21"/>
                <w:highlight w:val="none"/>
                <w:u w:val="none"/>
              </w:rPr>
              <w:t xml:space="preserve">载气系统</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Cs/>
                <w:color w:val="000000"/>
                <w:sz w:val="21"/>
                <w:szCs w:val="21"/>
                <w:highlight w:val="none"/>
              </w:rPr>
            </w:pPr>
            <w:r>
              <w:rPr>
                <w:rFonts w:hint="default" w:ascii="Times New Roman" w:hAnsi="Times New Roman" w:eastAsia="宋体" w:cs="Times New Roman"/>
                <w:bCs/>
                <w:color w:val="000000"/>
                <w:sz w:val="21"/>
                <w:szCs w:val="21"/>
                <w:highlight w:val="none"/>
                <w:u w:val="none"/>
              </w:rPr>
              <w:t xml:space="preserve">随机工具</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sz w:val="21"/>
                <w:szCs w:val="21"/>
                <w:highlight w:val="none"/>
              </w:rPr>
            </w:pPr>
            <w:r>
              <w:rPr>
                <w:rFonts w:ascii="Times New Roman" w:hAnsi="Times New Roman" w:eastAsia="宋体" w:cs="Times New Roman"/>
                <w:b/>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hint="default" w:ascii="Times New Roman" w:hAnsi="Times New Roman" w:eastAsia="宋体" w:cs="Times New Roman"/>
                <w:b/>
                <w:color w:val="000000"/>
                <w:sz w:val="21"/>
                <w:szCs w:val="21"/>
                <w:highlight w:val="none"/>
                <w:u w:val="none"/>
                <w:vertAlign w:val="baseline"/>
              </w:rPr>
              <w:t xml:space="preserve">VOCs</w:t>
            </w:r>
            <w:r>
              <w:rPr>
                <w:rFonts w:hint="default" w:ascii="Times New Roman" w:hAnsi="Times New Roman" w:eastAsia="宋体" w:cs="Times New Roman"/>
                <w:b/>
                <w:color w:val="000000"/>
                <w:sz w:val="21"/>
                <w:szCs w:val="21"/>
                <w:highlight w:val="none"/>
                <w:u w:val="none"/>
              </w:rPr>
              <w:t xml:space="preserve">分析专用动态校准仪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sz w:val="21"/>
                <w:szCs w:val="21"/>
                <w:highlight w:val="none"/>
              </w:rPr>
            </w:pPr>
            <w:r>
              <w:rPr>
                <w:rFonts w:ascii="Times New Roman" w:hAnsi="Times New Roman" w:eastAsia="宋体" w:cs="Times New Roman"/>
                <w:b/>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有机标气及专用减压阀</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六</w:t>
            </w:r>
            <w:r>
              <w:rPr>
                <w:rFonts w:ascii="Times New Roman" w:hAnsi="Times New Roman" w:eastAsia="宋体" w:cs="Times New Roman"/>
                <w:b/>
                <w:color w:val="000000"/>
                <w:sz w:val="21"/>
                <w:szCs w:val="21"/>
                <w:highlight w:val="none"/>
              </w:rPr>
              <w:t xml:space="preserve">参数分析系统（光学法）</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hint="default" w:ascii="Times New Roman" w:hAnsi="Times New Roman" w:eastAsia="宋体" w:cs="Times New Roman"/>
                <w:color w:val="000000"/>
                <w:sz w:val="21"/>
                <w:szCs w:val="21"/>
                <w:highlight w:val="none"/>
                <w:u w:val="none"/>
              </w:rPr>
              <w:t xml:space="preserve">NOx</w:t>
            </w:r>
            <w:r>
              <w:rPr>
                <w:rFonts w:ascii="Times New Roman" w:hAnsi="Times New Roman" w:eastAsia="宋体" w:cs="Times New Roman"/>
                <w:color w:val="000000"/>
                <w:sz w:val="21"/>
                <w:szCs w:val="21"/>
                <w:highlight w:val="none"/>
              </w:rPr>
              <w:t xml:space="preserve">分析仪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hint="default" w:ascii="Times New Roman" w:hAnsi="Times New Roman" w:eastAsia="宋体" w:cs="Times New Roman"/>
                <w:color w:val="000000"/>
                <w:sz w:val="21"/>
                <w:szCs w:val="21"/>
                <w:highlight w:val="none"/>
                <w:u w:val="none"/>
              </w:rPr>
              <w:t xml:space="preserve">SO</w:t>
            </w:r>
            <w:r>
              <w:rPr>
                <w:rFonts w:ascii="Times New Roman" w:hAnsi="Times New Roman" w:eastAsia="宋体" w:cs="Times New Roman"/>
                <w:color w:val="000000"/>
                <w:sz w:val="21"/>
                <w:szCs w:val="21"/>
                <w:highlight w:val="none"/>
                <w:vertAlign w:val="subscript"/>
              </w:rPr>
              <w:t xml:space="preserve">2</w:t>
            </w:r>
            <w:r>
              <w:rPr>
                <w:rFonts w:ascii="Times New Roman" w:hAnsi="Times New Roman" w:eastAsia="宋体" w:cs="Times New Roman"/>
                <w:color w:val="000000"/>
                <w:sz w:val="21"/>
                <w:szCs w:val="21"/>
                <w:highlight w:val="none"/>
              </w:rPr>
              <w:t xml:space="preserve">分析仪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hint="default" w:ascii="Times New Roman" w:hAnsi="Times New Roman" w:eastAsia="宋体" w:cs="Times New Roman"/>
                <w:color w:val="000000"/>
                <w:sz w:val="21"/>
                <w:szCs w:val="21"/>
                <w:highlight w:val="none"/>
                <w:u w:val="none"/>
              </w:rPr>
              <w:t xml:space="preserve">CO</w:t>
            </w:r>
            <w:r>
              <w:rPr>
                <w:rFonts w:ascii="Times New Roman" w:hAnsi="Times New Roman" w:eastAsia="宋体" w:cs="Times New Roman"/>
                <w:color w:val="000000"/>
                <w:sz w:val="21"/>
                <w:szCs w:val="21"/>
                <w:highlight w:val="none"/>
              </w:rPr>
              <w:t xml:space="preserve">分析仪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4.4</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hint="default" w:ascii="Times New Roman" w:hAnsi="Times New Roman" w:eastAsia="宋体" w:cs="Times New Roman"/>
                <w:color w:val="000000"/>
                <w:sz w:val="21"/>
                <w:szCs w:val="21"/>
                <w:highlight w:val="none"/>
                <w:u w:val="none"/>
              </w:rPr>
              <w:t xml:space="preserve">O</w:t>
            </w:r>
            <w:r>
              <w:rPr>
                <w:rFonts w:ascii="Times New Roman" w:hAnsi="Times New Roman" w:eastAsia="宋体" w:cs="Times New Roman"/>
                <w:color w:val="000000"/>
                <w:sz w:val="21"/>
                <w:szCs w:val="21"/>
                <w:highlight w:val="none"/>
                <w:vertAlign w:val="subscript"/>
              </w:rPr>
              <w:t xml:space="preserve">3</w:t>
            </w:r>
            <w:r>
              <w:rPr>
                <w:rFonts w:ascii="Times New Roman" w:hAnsi="Times New Roman" w:eastAsia="宋体" w:cs="Times New Roman"/>
                <w:color w:val="000000"/>
                <w:sz w:val="21"/>
                <w:szCs w:val="21"/>
                <w:highlight w:val="none"/>
              </w:rPr>
              <w:t xml:space="preserve">分析仪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4.5</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颗粒物监测仪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4.6</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零气发生器</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4.7</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color w:val="000000"/>
                <w:sz w:val="21"/>
                <w:szCs w:val="21"/>
                <w:highlight w:val="none"/>
              </w:rPr>
              <w:t xml:space="preserve">无机动态校准仪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4.8</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空气压缩机</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套</w:t>
            </w:r>
            <w:r/>
          </w:p>
        </w:tc>
      </w:tr>
      <w:tr>
        <w:trPr>
          <w:jc w:val="center"/>
          <w:trHeight w:val="20"/>
        </w:trPr>
        <w:tc>
          <w:tcPr>
            <w:shd w:val="clear" w:color="auto" w:fill="ffffff"/>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3759" w:type="pct"/>
            <w:vAlign w:val="center"/>
            <w:textDirection w:val="lrTb"/>
            <w:noWrap w:val="false"/>
          </w:tcPr>
          <w:p>
            <w:pPr>
              <w:jc w:val="left"/>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监测车</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24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套</w:t>
            </w:r>
            <w:r/>
          </w:p>
        </w:tc>
      </w:tr>
    </w:tbl>
    <w:p>
      <w:pPr>
        <w:numPr>
          <w:ilvl w:val="0"/>
          <w:numId w:val="0"/>
        </w:numPr>
        <w:jc w:val="both"/>
        <w:keepLines/>
        <w:keepNext/>
        <w:pageBreakBefore w:val="0"/>
        <w:spacing w:before="0" w:after="0" w:line="480" w:lineRule="exact"/>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2）.设备技术说明</w:t>
      </w:r>
      <w:r/>
    </w:p>
    <w:p>
      <w:pPr>
        <w:numPr>
          <w:ilvl w:val="0"/>
          <w:numId w:val="0"/>
        </w:numPr>
        <w:jc w:val="both"/>
        <w:keepLines/>
        <w:keepNext/>
        <w:pageBreakBefore w:val="0"/>
        <w:spacing w:before="0" w:after="0" w:line="480" w:lineRule="exact"/>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2.1 VOCs走航监测系统</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测量原理：PTR-TOFMS/GC-MS</w:t>
      </w:r>
      <w:r/>
    </w:p>
    <w:p>
      <w:p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（1）仪器原理</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VOCs走航质谱分析系统为双通道质谱分析系统，一通道为飞行时间质谱通道，VOCs样品经质子转移的化学电离源电离后，直接进入飞行时间质谱检测器进行检测，实现快速质谱分析；另一通道为气相色谱-质谱联用（GC-MS）分析通道，首先通过色谱柱对样品进行分离，然后利用质谱对分离后的物质进行检测，实现准确的定性和定量分析。</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相色谱质谱联用仪（GC-MS）结合了GC强大的分离能力以及电子电离（EI）源的定性能力，使其成为了VOCs检测方面的国际通用标准。而以质子转移反应（PTR）电离源为主要电离方式的直接进样质谱，实现了VOCs的快速监测，并且具有较高的灵敏度。两种技术的优势互补，必将发挥出更强大的分析能力。</w:t>
      </w:r>
      <w:r/>
    </w:p>
    <w:p>
      <w:pPr>
        <w:ind w:firstLine="482"/>
        <w:pageBreakBefore w:val="0"/>
        <w:spacing w:line="480" w:lineRule="exac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rPr>
        <w:t xml:space="preserve">（2）技术</w:t>
      </w:r>
      <w:r>
        <w:rPr>
          <w:rFonts w:hint="eastAsia" w:ascii="宋体" w:hAnsi="宋体" w:eastAsia="宋体" w:cs="宋体"/>
          <w:b/>
          <w:sz w:val="24"/>
          <w:szCs w:val="24"/>
          <w:highlight w:val="none"/>
          <w:lang w:val="en-US" w:eastAsia="zh-CN"/>
        </w:rPr>
        <w:t xml:space="preserve">要求</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PTR-TOFMS可以对质量范围在（1-1000）amu范围内的挥发性VOCs和恶臭气体进行全谱分析，分析能力非常强大；气体种类覆盖烃类、醛类、酮类、酚类、脂类、恶臭有机硫化物等。</w:t>
      </w:r>
      <w:r/>
    </w:p>
    <w:p>
      <w:pPr>
        <w:ind w:firstLine="484"/>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PTR-TOFMS</w:t>
      </w:r>
      <w:r>
        <w:rPr>
          <w:rFonts w:hint="eastAsia" w:ascii="宋体" w:hAnsi="宋体" w:eastAsia="宋体" w:cs="宋体"/>
          <w:iCs/>
          <w:sz w:val="24"/>
          <w:szCs w:val="24"/>
          <w:highlight w:val="none"/>
        </w:rPr>
        <w:t xml:space="preserve">采用垂直引入两级反射式的高分辨飞行时间质谱技术，可实现复杂混合物样品中</w:t>
      </w:r>
      <w:r>
        <w:rPr>
          <w:rFonts w:hint="eastAsia" w:ascii="宋体" w:hAnsi="宋体" w:eastAsia="宋体" w:cs="宋体"/>
          <w:b/>
          <w:bCs/>
          <w:iCs/>
          <w:sz w:val="24"/>
          <w:szCs w:val="24"/>
          <w:highlight w:val="none"/>
        </w:rPr>
        <w:t xml:space="preserve">分子量相近物质的精准定性分析</w:t>
      </w:r>
      <w:r>
        <w:rPr>
          <w:rFonts w:hint="eastAsia" w:ascii="宋体" w:hAnsi="宋体" w:eastAsia="宋体" w:cs="宋体"/>
          <w:iCs/>
          <w:sz w:val="24"/>
          <w:szCs w:val="24"/>
          <w:highlight w:val="none"/>
        </w:rPr>
        <w:t xml:space="preserve">；精心研制的高效率PTR电离源、高传输效率的离子透镜技术、优异的差分真空，保证目标离子在生成、传输到分离检测阶段，均被有效提取利用。</w:t>
      </w:r>
      <w:r/>
    </w:p>
    <w:p>
      <w:pPr>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TR-TOFMS采用直接进样系统，不需要对样品进行预处理，直接进样直接分析，响应速度为秒级，真正做到实时在线监测的环境空气系统，高速数据采集系统，单张谱图的采集时间仅需0.1s，可实现超高空间分辨率的走航监测</w:t>
      </w:r>
      <w:r>
        <w:rPr>
          <w:rFonts w:hint="eastAsia" w:ascii="宋体" w:hAnsi="宋体" w:eastAsia="宋体" w:cs="宋体"/>
          <w:b/>
          <w:bCs/>
          <w:sz w:val="24"/>
          <w:szCs w:val="24"/>
          <w:highlight w:val="none"/>
        </w:rPr>
        <w:t xml:space="preserve">（车辆运行速率＞50km/h）</w:t>
      </w:r>
      <w:r>
        <w:rPr>
          <w:rFonts w:hint="eastAsia" w:ascii="宋体" w:hAnsi="宋体" w:eastAsia="宋体" w:cs="宋体"/>
          <w:sz w:val="24"/>
          <w:szCs w:val="24"/>
          <w:highlight w:val="none"/>
        </w:rPr>
        <w:t xml:space="preserve">。</w:t>
      </w:r>
      <w:r/>
    </w:p>
    <w:p>
      <w:p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（3）核心指标</w:t>
      </w:r>
      <w:r/>
    </w:p>
    <w:tbl>
      <w:tblPr>
        <w:tblStyle w:val="725"/>
        <w:tblW w:w="8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37"/>
        <w:gridCol w:w="1583"/>
        <w:gridCol w:w="5965"/>
      </w:tblGrid>
      <w:tr>
        <w:trPr>
          <w:jc w:val="center"/>
          <w:trHeight w:val="542"/>
        </w:trPr>
        <w:tc>
          <w:tcPr>
            <w:gridSpan w:val="2"/>
            <w:tcW w:w="2620" w:type="dxa"/>
            <w:vAlign w:val="center"/>
            <w:textDirection w:val="lrTb"/>
            <w:noWrap w:val="false"/>
          </w:tcPr>
          <w:p>
            <w:pPr>
              <w:jc w:val="center"/>
              <w:spacing w:line="240" w:lineRule="auto"/>
              <w:rPr>
                <w:rFonts w:ascii="Times New Roman" w:hAnsi="Times New Roman" w:eastAsia="宋体" w:cs="Times New Roman"/>
                <w:b/>
                <w:bCs/>
                <w:color w:val="000000"/>
                <w:szCs w:val="24"/>
                <w:highlight w:val="none"/>
              </w:rPr>
            </w:pPr>
            <w:r>
              <w:rPr>
                <w:rFonts w:ascii="Times New Roman" w:hAnsi="Times New Roman" w:eastAsia="宋体" w:cs="Times New Roman"/>
                <w:b/>
                <w:bCs/>
                <w:color w:val="000000"/>
                <w:szCs w:val="24"/>
                <w:highlight w:val="none"/>
              </w:rPr>
              <w:t xml:space="preserve">项目</w:t>
            </w:r>
            <w:r/>
          </w:p>
        </w:tc>
        <w:tc>
          <w:tcPr>
            <w:tcW w:w="5965" w:type="dxa"/>
            <w:vAlign w:val="center"/>
            <w:textDirection w:val="lrTb"/>
            <w:noWrap w:val="false"/>
          </w:tcPr>
          <w:p>
            <w:pPr>
              <w:jc w:val="center"/>
              <w:spacing w:line="240" w:lineRule="auto"/>
              <w:rPr>
                <w:rFonts w:ascii="Times New Roman" w:hAnsi="Times New Roman" w:eastAsia="宋体" w:cs="Times New Roman"/>
                <w:b/>
                <w:bCs/>
                <w:color w:val="000000"/>
                <w:szCs w:val="24"/>
                <w:highlight w:val="none"/>
              </w:rPr>
            </w:pPr>
            <w:r>
              <w:rPr>
                <w:rFonts w:ascii="Times New Roman" w:hAnsi="Times New Roman" w:eastAsia="宋体" w:cs="Times New Roman"/>
                <w:b/>
                <w:bCs/>
                <w:color w:val="000000"/>
                <w:szCs w:val="24"/>
                <w:highlight w:val="none"/>
              </w:rPr>
              <w:t xml:space="preserve">技术指标</w:t>
            </w:r>
            <w:r/>
          </w:p>
        </w:tc>
      </w:tr>
      <w:tr>
        <w:trPr>
          <w:jc w:val="center"/>
          <w:trHeight w:val="542"/>
        </w:trPr>
        <w:tc>
          <w:tcPr>
            <w:gridSpan w:val="2"/>
            <w:tcW w:w="2620" w:type="dxa"/>
            <w:vAlign w:val="center"/>
            <w:textDirection w:val="lrTb"/>
            <w:noWrap w:val="false"/>
          </w:tcPr>
          <w:p>
            <w:pPr>
              <w:jc w:val="center"/>
              <w:spacing w:line="240" w:lineRule="auto"/>
              <w:rPr>
                <w:rFonts w:ascii="Times New Roman" w:hAnsi="Times New Roman" w:eastAsia="宋体" w:cs="Times New Roman"/>
                <w:b/>
                <w:bCs/>
                <w:color w:val="000000"/>
                <w:szCs w:val="24"/>
                <w:highlight w:val="none"/>
              </w:rPr>
            </w:pPr>
            <w:r>
              <w:rPr>
                <w:rFonts w:ascii="Times New Roman" w:hAnsi="Times New Roman" w:eastAsia="宋体" w:cs="Times New Roman"/>
                <w:b/>
                <w:bCs/>
                <w:color w:val="000000"/>
                <w:sz w:val="21"/>
                <w:szCs w:val="21"/>
                <w:highlight w:val="none"/>
              </w:rPr>
              <w:t xml:space="preserve">分析方法</w:t>
            </w:r>
            <w:r/>
          </w:p>
        </w:tc>
        <w:tc>
          <w:tcPr>
            <w:tcW w:w="5965" w:type="dxa"/>
            <w:vAlign w:val="center"/>
            <w:textDirection w:val="lrTb"/>
            <w:noWrap w:val="false"/>
          </w:tcPr>
          <w:p>
            <w:pPr>
              <w:jc w:val="center"/>
              <w:spacing w:line="240" w:lineRule="auto"/>
              <w:rPr>
                <w:rFonts w:ascii="Times New Roman" w:hAnsi="Times New Roman" w:eastAsia="宋体" w:cs="Times New Roman"/>
                <w:b/>
                <w:bCs/>
                <w:color w:val="000000"/>
                <w:szCs w:val="24"/>
                <w:highlight w:val="none"/>
              </w:rPr>
            </w:pPr>
            <w:r>
              <w:rPr>
                <w:rFonts w:ascii="Times New Roman" w:hAnsi="Times New Roman" w:eastAsia="宋体" w:cs="Times New Roman"/>
                <w:sz w:val="21"/>
                <w:szCs w:val="21"/>
                <w:highlight w:val="none"/>
              </w:rPr>
              <w:t xml:space="preserve">双通道质谱监测，飞行时间</w:t>
            </w:r>
            <w:r>
              <w:rPr>
                <w:rFonts w:ascii="Times New Roman" w:hAnsi="Times New Roman" w:eastAsia="宋体" w:cs="Times New Roman"/>
                <w:color w:val="000000"/>
                <w:sz w:val="21"/>
                <w:szCs w:val="21"/>
                <w:highlight w:val="none"/>
              </w:rPr>
              <w:t xml:space="preserve">质谱</w:t>
            </w:r>
            <w:r>
              <w:rPr>
                <w:rFonts w:ascii="Times New Roman" w:hAnsi="Times New Roman" w:eastAsia="宋体" w:cs="Times New Roman"/>
                <w:sz w:val="21"/>
                <w:szCs w:val="21"/>
                <w:highlight w:val="none"/>
              </w:rPr>
              <w:t xml:space="preserve">与GC-MS两种分析方式联用</w:t>
            </w:r>
            <w:r/>
          </w:p>
        </w:tc>
      </w:tr>
      <w:tr>
        <w:trPr>
          <w:jc w:val="center"/>
          <w:trHeight w:val="542"/>
        </w:trPr>
        <w:tc>
          <w:tcPr>
            <w:gridSpan w:val="2"/>
            <w:tcW w:w="2620"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进样方式</w:t>
            </w:r>
            <w:r/>
          </w:p>
        </w:tc>
        <w:tc>
          <w:tcPr>
            <w:tcW w:w="5965" w:type="dxa"/>
            <w:vAlign w:val="center"/>
            <w:textDirection w:val="lrTb"/>
            <w:noWrap w:val="false"/>
          </w:tcPr>
          <w:p>
            <w:pPr>
              <w:jc w:val="center"/>
              <w:spacing w:line="24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具备直接进样、定量环进样、吸附热解吸（富集管）三种进样方式，可由软件控制切换</w:t>
            </w:r>
            <w:r/>
          </w:p>
        </w:tc>
      </w:tr>
      <w:tr>
        <w:trPr>
          <w:jc w:val="center"/>
          <w:trHeight w:val="542"/>
        </w:trPr>
        <w:tc>
          <w:tcPr>
            <w:gridSpan w:val="2"/>
            <w:tcW w:w="2620"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检测有机物种类</w:t>
            </w:r>
            <w:r/>
          </w:p>
        </w:tc>
        <w:tc>
          <w:tcPr>
            <w:tcW w:w="5965" w:type="dxa"/>
            <w:vAlign w:val="center"/>
            <w:textDirection w:val="lrTb"/>
            <w:noWrap w:val="false"/>
          </w:tcPr>
          <w:p>
            <w:pPr>
              <w:jc w:val="center"/>
              <w:spacing w:line="240" w:lineRule="auto"/>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t xml:space="preserve">芳香烃、烷烃、烯烃、炔烃、卤代烃、含氧有机物、含氮有机物、有机硫化物等大部分环境空气挥发性有机物</w:t>
            </w:r>
            <w:r/>
          </w:p>
        </w:tc>
      </w:tr>
      <w:tr>
        <w:trPr>
          <w:jc w:val="center"/>
          <w:trHeight w:val="646"/>
        </w:trPr>
        <w:tc>
          <w:tcPr>
            <w:tcW w:w="1037" w:type="dxa"/>
            <w:vAlign w:val="center"/>
            <w:vMerge w:val="restart"/>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hint="eastAsia" w:ascii="Times New Roman" w:hAnsi="Times New Roman" w:eastAsia="宋体" w:cs="Times New Roman"/>
                <w:b/>
                <w:bCs/>
                <w:color w:val="000000"/>
                <w:sz w:val="21"/>
                <w:szCs w:val="21"/>
                <w:highlight w:val="none"/>
              </w:rPr>
              <w:t xml:space="preserve">CI-TOF</w:t>
            </w:r>
            <w:r>
              <w:rPr>
                <w:rFonts w:ascii="Times New Roman" w:hAnsi="Times New Roman" w:eastAsia="宋体" w:cs="Times New Roman"/>
                <w:b/>
                <w:bCs/>
                <w:color w:val="000000"/>
                <w:sz w:val="21"/>
                <w:szCs w:val="21"/>
                <w:highlight w:val="none"/>
              </w:rPr>
              <w:t xml:space="preserve">分析模块</w:t>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试剂离子</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H</w:t>
            </w:r>
            <w:r>
              <w:rPr>
                <w:rFonts w:ascii="Times New Roman" w:hAnsi="Times New Roman" w:eastAsia="宋体" w:cs="Times New Roman"/>
                <w:color w:val="000000"/>
                <w:sz w:val="21"/>
                <w:szCs w:val="21"/>
                <w:highlight w:val="none"/>
                <w:vertAlign w:val="subscript"/>
              </w:rPr>
              <w:t xml:space="preserve">3</w:t>
            </w:r>
            <w:r>
              <w:rPr>
                <w:rFonts w:ascii="Times New Roman" w:hAnsi="Times New Roman" w:eastAsia="宋体" w:cs="Times New Roman"/>
                <w:color w:val="000000"/>
                <w:sz w:val="21"/>
                <w:szCs w:val="21"/>
                <w:highlight w:val="none"/>
              </w:rPr>
              <w:t xml:space="preserve">O</w:t>
            </w:r>
            <w:r>
              <w:rPr>
                <w:rFonts w:ascii="Times New Roman" w:hAnsi="Times New Roman" w:eastAsia="宋体" w:cs="Times New Roman"/>
                <w:color w:val="000000"/>
                <w:sz w:val="21"/>
                <w:szCs w:val="21"/>
                <w:highlight w:val="none"/>
                <w:vertAlign w:val="superscript"/>
              </w:rPr>
              <w:t xml:space="preserve">+</w:t>
            </w:r>
            <w:r>
              <w:rPr>
                <w:rFonts w:hint="eastAsia" w:ascii="Times New Roman" w:hAnsi="Times New Roman" w:eastAsia="宋体" w:cs="Times New Roman"/>
                <w:color w:val="000000"/>
                <w:sz w:val="21"/>
                <w:szCs w:val="21"/>
                <w:highlight w:val="none"/>
              </w:rPr>
              <w:t xml:space="preserve">可增配O2+、NO+</w:t>
            </w:r>
            <w:r/>
          </w:p>
        </w:tc>
      </w:tr>
      <w:tr>
        <w:trPr>
          <w:jc w:val="center"/>
          <w:trHeight w:val="577"/>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检出限</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rPr>
              <w:t xml:space="preserve">0.01</w:t>
            </w:r>
            <w:r>
              <w:rPr>
                <w:rFonts w:ascii="Times New Roman" w:hAnsi="Times New Roman" w:eastAsia="宋体" w:cs="Times New Roman"/>
                <w:color w:val="000000"/>
                <w:sz w:val="21"/>
                <w:szCs w:val="21"/>
                <w:highlight w:val="none"/>
              </w:rPr>
              <w:t xml:space="preserve">ppb 甲苯</w:t>
            </w:r>
            <w:r/>
          </w:p>
        </w:tc>
      </w:tr>
      <w:tr>
        <w:trPr>
          <w:jc w:val="center"/>
          <w:trHeight w:val="577"/>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质量数范围</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hint="eastAsia" w:ascii="Times New Roman" w:hAnsi="Times New Roman" w:eastAsia="宋体" w:cs="Times New Roman"/>
                <w:color w:val="000000"/>
                <w:sz w:val="21"/>
                <w:szCs w:val="21"/>
                <w:highlight w:val="none"/>
              </w:rPr>
              <w:t xml:space="preserve">10</w:t>
            </w:r>
            <w:r>
              <w:rPr>
                <w:rFonts w:ascii="Times New Roman" w:hAnsi="Times New Roman" w:eastAsia="宋体" w:cs="Times New Roman"/>
                <w:color w:val="000000"/>
                <w:sz w:val="21"/>
                <w:szCs w:val="21"/>
                <w:highlight w:val="none"/>
              </w:rPr>
              <w:t xml:space="preserve">00amu</w:t>
            </w:r>
            <w:r/>
          </w:p>
        </w:tc>
      </w:tr>
      <w:tr>
        <w:trPr>
          <w:jc w:val="center"/>
          <w:trHeight w:val="577"/>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离子源</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质子转移反应电离源（PTR）</w:t>
            </w:r>
            <w:r/>
          </w:p>
        </w:tc>
      </w:tr>
      <w:tr>
        <w:trPr>
          <w:jc w:val="center"/>
          <w:trHeight w:val="577"/>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质量分析器</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飞行时间质量分析器(TOF)</w:t>
            </w:r>
            <w:r/>
          </w:p>
        </w:tc>
      </w:tr>
      <w:tr>
        <w:trPr>
          <w:jc w:val="center"/>
          <w:trHeight w:val="803"/>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响应速度</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＜100ms</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稳定性</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≤5%（24h）</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质量精度</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优于±0.05amu</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检测速度</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≥10</w:t>
            </w:r>
            <w:r>
              <w:rPr>
                <w:rFonts w:hint="eastAsia" w:ascii="Times New Roman" w:hAnsi="Times New Roman" w:eastAsia="宋体" w:cs="Times New Roman"/>
                <w:b/>
                <w:bCs/>
                <w:color w:val="000000"/>
                <w:sz w:val="21"/>
                <w:szCs w:val="21"/>
                <w:highlight w:val="none"/>
              </w:rPr>
              <w:t xml:space="preserve">ms/谱</w:t>
            </w:r>
            <w:r>
              <w:rPr>
                <w:rFonts w:ascii="Times New Roman" w:hAnsi="Times New Roman" w:eastAsia="宋体" w:cs="Times New Roman"/>
                <w:b/>
                <w:bCs/>
                <w:color w:val="000000"/>
                <w:sz w:val="21"/>
                <w:szCs w:val="21"/>
                <w:highlight w:val="none"/>
              </w:rPr>
              <w:t xml:space="preserve">，且为瞬态分子离子峰全谱</w:t>
            </w:r>
            <w:r/>
          </w:p>
        </w:tc>
      </w:tr>
      <w:tr>
        <w:trPr>
          <w:jc w:val="center"/>
          <w:trHeight w:val="630"/>
        </w:trPr>
        <w:tc>
          <w:tcPr>
            <w:tcW w:w="1037" w:type="dxa"/>
            <w:vAlign w:val="center"/>
            <w:vMerge w:val="restart"/>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 GC-MS分析模块</w:t>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离子源</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电子电离源（70eV）</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分析器类型</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四极质谱质量分析器</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质谱分辨率</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&lt; 0.50 amu</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质量准确度</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&lt; ±0.10 amu</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扫描频率</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10000 amu/s</w:t>
            </w:r>
            <w:r/>
          </w:p>
        </w:tc>
      </w:tr>
      <w:tr>
        <w:trPr>
          <w:jc w:val="center"/>
          <w:trHeight w:val="635"/>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质量稳定度</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≤0.1amu/12h</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扫描方式</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全扫描、选择离子监控两种方式；同时具有二级质谱功能</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色谱柱类型</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低热容快速气相色谱柱（LTM），峰值功耗&lt;100W</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检测限</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&lt; 1 ppb（大部分因子）</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最高升温速率</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120℃/min</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动态检测范围</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0.1nmol/mol～500μmol/mol，即5×10</w:t>
            </w:r>
            <w:r>
              <w:rPr>
                <w:rFonts w:ascii="Times New Roman" w:hAnsi="Times New Roman" w:eastAsia="宋体" w:cs="Times New Roman"/>
                <w:color w:val="000000"/>
                <w:sz w:val="21"/>
                <w:szCs w:val="21"/>
                <w:highlight w:val="none"/>
                <w:vertAlign w:val="superscript"/>
              </w:rPr>
              <w:t xml:space="preserve">6</w:t>
            </w:r>
            <w:r>
              <w:rPr>
                <w:rFonts w:ascii="Times New Roman" w:hAnsi="Times New Roman" w:eastAsia="宋体" w:cs="Times New Roman"/>
                <w:color w:val="000000"/>
                <w:sz w:val="21"/>
                <w:szCs w:val="21"/>
                <w:highlight w:val="none"/>
              </w:rPr>
              <w:t xml:space="preserve">，6个数量级</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数据采集时间</w:t>
            </w:r>
            <w:r/>
          </w:p>
        </w:tc>
        <w:tc>
          <w:tcPr>
            <w:tcW w:w="5965" w:type="dxa"/>
            <w:vAlign w:val="center"/>
            <w:textDirection w:val="lrTb"/>
            <w:noWrap w:val="false"/>
          </w:tcPr>
          <w:p>
            <w:pPr>
              <w:jc w:val="center"/>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色谱质谱联用模式：≤</w:t>
            </w:r>
            <w:r>
              <w:rPr>
                <w:rFonts w:hint="eastAsia" w:ascii="Times New Roman" w:hAnsi="Times New Roman" w:eastAsia="宋体" w:cs="Times New Roman"/>
                <w:color w:val="000000"/>
                <w:sz w:val="21"/>
                <w:szCs w:val="21"/>
                <w:highlight w:val="none"/>
              </w:rPr>
              <w:t xml:space="preserve">7</w:t>
            </w:r>
            <w:r>
              <w:rPr>
                <w:rFonts w:ascii="Times New Roman" w:hAnsi="Times New Roman" w:eastAsia="宋体" w:cs="Times New Roman"/>
                <w:color w:val="000000"/>
                <w:sz w:val="21"/>
                <w:szCs w:val="21"/>
                <w:highlight w:val="none"/>
              </w:rPr>
              <w:t xml:space="preserve">min</w:t>
            </w:r>
            <w:r/>
          </w:p>
        </w:tc>
      </w:tr>
      <w:tr>
        <w:trPr>
          <w:jc w:val="center"/>
          <w:trHeight w:val="630"/>
        </w:trPr>
        <w:tc>
          <w:tcPr>
            <w:tcW w:w="1037" w:type="dxa"/>
            <w:vAlign w:val="center"/>
            <w:vMerge w:val="continue"/>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tc>
        <w:tc>
          <w:tcPr>
            <w:tcW w:w="1583" w:type="dxa"/>
            <w:vAlign w:val="center"/>
            <w:textDirection w:val="lrTb"/>
            <w:noWrap w:val="false"/>
          </w:tcPr>
          <w:p>
            <w:pPr>
              <w:jc w:val="center"/>
              <w:spacing w:line="24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谱库</w:t>
            </w:r>
            <w:r/>
          </w:p>
        </w:tc>
        <w:tc>
          <w:tcPr>
            <w:tcW w:w="5965" w:type="dxa"/>
            <w:vAlign w:val="center"/>
            <w:textDirection w:val="lrTb"/>
            <w:noWrap w:val="false"/>
          </w:tcPr>
          <w:p>
            <w:pPr>
              <w:jc w:val="left"/>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sz w:val="21"/>
                <w:szCs w:val="21"/>
                <w:highlight w:val="none"/>
              </w:rPr>
              <w:t xml:space="preserve">提供NIST标准谱库、NIOSH谱库、中文版化学品安全指导数据库、中文版环境标准参考数据库、环境样品专用谱库；自建源谱数据库</w:t>
            </w:r>
            <w:r/>
          </w:p>
        </w:tc>
      </w:tr>
    </w:tbl>
    <w:p>
      <w:pP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numPr>
          <w:ilvl w:val="-1"/>
          <w:numId w:val="0"/>
        </w:numPr>
        <w:ind w:left="0" w:firstLine="0"/>
        <w:jc w:val="both"/>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2.环境应急监测车技术要求：</w:t>
      </w:r>
      <w:r/>
    </w:p>
    <w:p>
      <w:pPr>
        <w:numPr>
          <w:ilvl w:val="0"/>
          <w:numId w:val="0"/>
        </w:numPr>
        <w:keepLines w:val="0"/>
        <w:keepNext w:val="0"/>
        <w:pageBreakBefore w:val="0"/>
        <w:spacing w:line="480" w:lineRule="exact"/>
        <w:widowControl w:val="off"/>
        <w:rPr>
          <w:rFonts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1）.</w:t>
      </w:r>
      <w:r>
        <w:rPr>
          <w:rFonts w:hint="eastAsia" w:ascii="Times New Roman" w:hAnsi="Times New Roman" w:eastAsia="宋体" w:cs="Times New Roman"/>
          <w:b w:val="0"/>
          <w:bCs w:val="0"/>
          <w:color w:val="auto"/>
          <w:sz w:val="24"/>
          <w:szCs w:val="24"/>
          <w:highlight w:val="none"/>
        </w:rPr>
        <w:t xml:space="preserve">总体要求</w:t>
      </w:r>
      <w:r/>
    </w:p>
    <w:p>
      <w:pPr>
        <w:numPr>
          <w:ilvl w:val="0"/>
          <w:numId w:val="0"/>
        </w:num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1.1</w:t>
      </w:r>
      <w:r>
        <w:rPr>
          <w:rFonts w:hint="eastAsia" w:ascii="Times New Roman" w:hAnsi="Times New Roman" w:eastAsia="宋体" w:cs="Times New Roman"/>
          <w:b w:val="0"/>
          <w:bCs w:val="0"/>
          <w:color w:val="auto"/>
          <w:sz w:val="24"/>
          <w:szCs w:val="24"/>
          <w:highlight w:val="none"/>
        </w:rPr>
        <w:t xml:space="preserve">车载电感耦合等离子体质谱仪可满足车载移动使用要求，可实现地表水、地下水、海水、污水、土壤中重金属元素的现场快速、准确监测功能。</w:t>
      </w:r>
      <w:r/>
    </w:p>
    <w:p>
      <w:pPr>
        <w:numPr>
          <w:ilvl w:val="-1"/>
          <w:numId w:val="0"/>
        </w:num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1.2 分体式循环冷却水机，实现优良的散热设计。</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1.3具有车载行进过程中的真空保持能力，提供详细设计方案。</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1.4 模块化设计和方便与成熟的上下车设计，实现平战结合。</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1.5 提供多种供电模式方案，具有大型发电机工作情况下的非离车验证的成熟案例。</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rPr>
        <w:t xml:space="preserve">1.6 具有车载ICP-MS和载具的应急事故和重大保障经验</w:t>
      </w:r>
      <w:r>
        <w:rPr>
          <w:rFonts w:hint="eastAsia" w:ascii="Times New Roman" w:hAnsi="Times New Roman" w:eastAsia="宋体" w:cs="Times New Roman"/>
          <w:b w:val="0"/>
          <w:bCs w:val="0"/>
          <w:color w:val="auto"/>
          <w:sz w:val="24"/>
          <w:szCs w:val="24"/>
          <w:highlight w:val="none"/>
          <w:lang w:eastAsia="zh-CN"/>
        </w:rPr>
        <w:t xml:space="preserve">。</w:t>
      </w:r>
      <w:r/>
    </w:p>
    <w:p>
      <w:pPr>
        <w:numPr>
          <w:ilvl w:val="0"/>
          <w:numId w:val="0"/>
        </w:numPr>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2）.</w:t>
      </w:r>
      <w:r>
        <w:rPr>
          <w:rFonts w:ascii="Times New Roman" w:hAnsi="Times New Roman" w:eastAsia="宋体" w:cs="Times New Roman"/>
          <w:b w:val="0"/>
          <w:bCs w:val="0"/>
          <w:color w:val="auto"/>
          <w:sz w:val="24"/>
          <w:szCs w:val="24"/>
          <w:highlight w:val="none"/>
        </w:rPr>
        <w:t xml:space="preserve">ICP-MS</w:t>
      </w:r>
      <w:r>
        <w:rPr>
          <w:rFonts w:hint="eastAsia" w:ascii="Times New Roman" w:hAnsi="Times New Roman" w:eastAsia="宋体" w:cs="Times New Roman"/>
          <w:b w:val="0"/>
          <w:bCs w:val="0"/>
          <w:color w:val="auto"/>
          <w:sz w:val="24"/>
          <w:szCs w:val="24"/>
          <w:highlight w:val="none"/>
        </w:rPr>
        <w:t xml:space="preserve">主机技术要求</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 离子源：</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 自激式全固态ICP离子源，频率为27.12 MHz，功率范围为700-1600W，功率稳定性&lt; ±0.1%，频率稳定性&lt; ±0.01%。射频线圈使用水冷技术；无需匹配箱，毫秒级快速变频匹配等离子体负载变化，不易熄火。</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2.1.2 平衡式驱动，减少离子动能色散，降低二次离子产生，无需屏蔽圈等额外的昂贵消耗品，就可消除锥口二次电弧放电，延长锥使用寿命。</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2.1.3 提供500W超低功率待机，降低氩气消耗50%以上，氩气用量仅为5L/min。</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2.2 接口：锥材质为镍、铂材质可选。铂锥抗腐蚀性强，可应对分析含磷酸等高腐蚀基体的样品。可灵活配置高灵敏度或耐高盐截取锥，耐高盐截取锥保证长期分析高盐样品的稳定性，高灵敏度截取锥可保证满足不同类型样品高通量分析等应用需求。提手式换锥系统，自带联锁保护，杜绝异常操作。简便的换锥维护，无需泄真空就可以方便换锥维护。</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2.3 提取透镜：提取透镜上可以使用零电压、负电压和正电压等多种提取模式，独特的设计，免维护清洗。</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2.4 离子传输系统：低背景的离子传输设计，离子前后两次离轴，实现干扰粒子的有效消除（中性粒子、电子、光子），无需更换清洗离子透镜。</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2.5 碰撞反应池：采用全新的六极杆碰撞/反应池系统，分布式进气系统最大限度消除干扰，大大提高碰撞效率，提升灵敏度。</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2.6 四级杆质量分析器：高精度纯Mo材料四极杆，保证最佳的质量轴稳定性，采用2.0MHz低频驱动四极杆，以获得更宽的质谱分析范围和更优异的质量轴稳定性。</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2.7 检测器：脉冲/模拟双模式不连续打拿极检测器，可以在一次进样过程中同时完成扫描和选择分析（定性和定量分析），并可在模拟和脉冲模式之间实现自动切换。</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2.8 等离子体可视系统：具有带电磁屏蔽的等离子体实时观测功能，可以通过工作站软件实时监控等离子体状态，实时全彩监测等离子体、锥口和中心管状态，便于样品分析和维护确认。</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 进样系统要求：</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2.9.1 提供多种雾化器可选，包括标准高效石英同心雾化器；耐高盐同心雾化器；PFA微量进样雾化器，具有高雾化效率及可耐氢氟酸进样。</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2.9.2 小体积旋流型雾化室，死体积小，气溶胶雾化效率高，低记忆效应，标配TEC制冷模块，制冷温度&lt;10℃，提高仪器的连续工作稳定性和有机溶剂分析能力，降低氧化物产率，提升仪器的稳定性。</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2.9.3 分体设计的可拆卸式石英炬管，预准直的炬管座内置式气路连接，易操作的卡式推入炬管设计，方便日常更换维护而无需拆卸气体管路。</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2.9.4 多种中心管可选，与炬管分离式设计，针对不同应用仅需更换中心管即可实现有机、高盐、高灵敏、耐HF酸等不同进样需求，方便更换与维护。</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2.9.5 高精度气体质量流量计标配控制四路工作气体，包括雾化气、辅助气、冷却气、碰撞气。根据需要可扩展第五路附加气，用做氩气在线稀释系统的稀释气。</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2.9.6 可配置全自动在线气体稀释装置，可在矩管之前把样品基体稀释到0.3%以内，保证接口区域与质谱区域不受高基体污染，消除高基体造成的信号抑制效果，具有预设稀释倍数和稀释气体流量手动调节两种工作模式。传统ICP-MS耐盐~0.2%，氩气稀释后可实现&gt;10%含盐量的直接测定。</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 软件要求：</w:t>
      </w:r>
      <w:r>
        <w:rPr>
          <w:rFonts w:hint="eastAsia" w:ascii="Times New Roman" w:hAnsi="Times New Roman" w:eastAsia="宋体" w:cs="Times New Roman"/>
          <w:b w:val="0"/>
          <w:bCs w:val="0"/>
          <w:color w:val="auto"/>
          <w:sz w:val="24"/>
          <w:szCs w:val="24"/>
          <w:highlight w:val="none"/>
        </w:rPr>
        <w:tab/>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2.10.1 操作系统：知名品牌商用电脑， Microsoft® Windows Win10多任务、多用户系统软件。</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2.10.2 自动化分析功能（仪器形象化界面、自动调谐、自动诊断、定制化用户报告、启动关闭真空，炬位调整，等离子体参数\离子透镜电压优化，标准\碰撞池工作模式切换等）。</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2.10.3 实时数据显示和实时报告显示。</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2.10.4 其他智能化功能包括：动态调整进样时间和冲洗时间，用户方法库管理，QC 功能可以满足EPA方法的QC要求。</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2.10.5 ICP-MS操作软件还可以安装于个人计算机上，样品分析数据可以使用此软件进行离线数据处理并生成报告。</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2.10.6 可配置 HPLC-ICP-MS接口：可以用同一台电脑和同一套软件同时控制现有HPLC和ICP-MS，实现联机全自动同步分析的系统，包括实时显示，实时数据分析，谱图叠加、保留时间、峰积分、工作曲线，自动进样分析等功能。</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 性能要求：</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2.11.1 质量范围：4－260 amu。</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2.11.2 质量分辨率：具有高分辨和标准分辨率两种模式，调节范围0.1-2.0amu。连续可调，可以在一次方法分析过程中同时使用两种模式，以便通过变化分辨率扩大样品分析应用范围。</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2.11.3 线性动态范围：大于 9个数量级。</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2.11.4 背景稳定性： 定义为220amu处背景信号的平均值，低于0.5cps。</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2.11.5 短期稳定性：20分钟稳定性RSD均&lt;2%</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2.11.6 长期稳定性：2小时稳定性RSD均&lt;3% </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2.11.7 灵敏度：在同样一个仪器条件下， Li的灵敏度应在15 Mcps/ppm 以上，In的灵敏度应在80 Mcps/ppm 以上， U的灵敏度应在100 Mcps/ppm 以上。</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2.11.8 双电荷离子和氧化物离子: Ba++/Ba+低于3％，CeO+/Ce+的低于3％。</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2.11.9 检出限： Li的检出限应低于5ppt, In的检出限应低于0.5ppt, U的检出限应低于0.5ppt。</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2.11.10 丰度灵敏度：低质量端: 1 x 10-6；高质量端: 5 x 10-7。</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2.11.11 质量轴稳定性</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rPr>
        <w:t xml:space="preserve"> &lt; 0.05 amu/24h。</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rPr>
        <w:t xml:space="preserve">2.11.12 同位素比精密度</w:t>
      </w:r>
      <w:r>
        <w:rPr>
          <w:rFonts w:hint="eastAsia" w:ascii="Times New Roman" w:hAnsi="Times New Roman" w:eastAsia="宋体" w:cs="Times New Roman"/>
          <w:b w:val="0"/>
          <w:bCs w:val="0"/>
          <w:color w:val="auto"/>
          <w:sz w:val="24"/>
          <w:szCs w:val="24"/>
          <w:highlight w:val="none"/>
          <w:lang w:eastAsia="zh-CN"/>
        </w:rPr>
        <w:t xml:space="preserve">：</w:t>
      </w:r>
      <w:r>
        <w:rPr>
          <w:rFonts w:hint="eastAsia" w:ascii="Times New Roman" w:hAnsi="Times New Roman" w:eastAsia="宋体" w:cs="Times New Roman"/>
          <w:b w:val="0"/>
          <w:bCs w:val="0"/>
          <w:color w:val="auto"/>
          <w:sz w:val="24"/>
          <w:szCs w:val="24"/>
          <w:highlight w:val="none"/>
        </w:rPr>
        <w:t xml:space="preserve"> &lt; 0.2%（</w:t>
      </w:r>
      <w:r>
        <w:rPr>
          <w:rFonts w:ascii="Times New Roman" w:hAnsi="Times New Roman" w:eastAsia="宋体" w:cs="Times New Roman"/>
          <w:b w:val="0"/>
          <w:bCs w:val="0"/>
          <w:color w:val="auto"/>
          <w:sz w:val="24"/>
          <w:szCs w:val="24"/>
          <w:highlight w:val="none"/>
          <w:vertAlign w:val="superscript"/>
        </w:rPr>
        <w:t xml:space="preserve">235</w:t>
      </w:r>
      <w:r>
        <w:rPr>
          <w:rFonts w:ascii="Times New Roman" w:hAnsi="Times New Roman" w:eastAsia="宋体" w:cs="Times New Roman"/>
          <w:b w:val="0"/>
          <w:bCs w:val="0"/>
          <w:color w:val="auto"/>
          <w:sz w:val="24"/>
          <w:szCs w:val="24"/>
          <w:highlight w:val="none"/>
        </w:rPr>
        <w:t xml:space="preserve">U/</w:t>
      </w:r>
      <w:r>
        <w:rPr>
          <w:rFonts w:ascii="Times New Roman" w:hAnsi="Times New Roman" w:eastAsia="宋体" w:cs="Times New Roman"/>
          <w:b w:val="0"/>
          <w:bCs w:val="0"/>
          <w:color w:val="auto"/>
          <w:sz w:val="24"/>
          <w:szCs w:val="24"/>
          <w:highlight w:val="none"/>
          <w:vertAlign w:val="superscript"/>
        </w:rPr>
        <w:t xml:space="preserve">238</w:t>
      </w:r>
      <w:r>
        <w:rPr>
          <w:rFonts w:ascii="Times New Roman" w:hAnsi="Times New Roman" w:eastAsia="宋体" w:cs="Times New Roman"/>
          <w:b w:val="0"/>
          <w:bCs w:val="0"/>
          <w:color w:val="auto"/>
          <w:sz w:val="24"/>
          <w:szCs w:val="24"/>
          <w:highlight w:val="none"/>
        </w:rPr>
        <w:t xml:space="preserve">U</w:t>
      </w:r>
      <w:r>
        <w:rPr>
          <w:rFonts w:hint="eastAsia" w:ascii="Times New Roman" w:hAnsi="Times New Roman" w:eastAsia="宋体" w:cs="Times New Roman"/>
          <w:b w:val="0"/>
          <w:bCs w:val="0"/>
          <w:color w:val="auto"/>
          <w:sz w:val="24"/>
          <w:szCs w:val="24"/>
          <w:highlight w:val="none"/>
        </w:rPr>
        <w:t xml:space="preserve">）。</w:t>
      </w:r>
      <w:r/>
    </w:p>
    <w:p>
      <w:pPr>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系统配置：</w:t>
      </w:r>
      <w:r/>
    </w:p>
    <w:p>
      <w:pPr>
        <w:ind w:left="479" w:firstLine="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.1电感耦合等离子体质谱仪主机1台。</w:t>
      </w:r>
      <w:r>
        <w:rPr>
          <w:rFonts w:hint="eastAsia" w:ascii="Times New Roman" w:hAnsi="Times New Roman" w:eastAsia="宋体" w:cs="Times New Roman"/>
          <w:b w:val="0"/>
          <w:bCs w:val="0"/>
          <w:color w:val="auto"/>
          <w:sz w:val="24"/>
          <w:szCs w:val="24"/>
          <w:highlight w:val="none"/>
        </w:rPr>
        <w:br/>
      </w: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.2车载专用减震平台1套。</w:t>
      </w:r>
      <w:r>
        <w:rPr>
          <w:rFonts w:hint="eastAsia" w:ascii="Times New Roman" w:hAnsi="Times New Roman" w:eastAsia="宋体" w:cs="Times New Roman"/>
          <w:b w:val="0"/>
          <w:bCs w:val="0"/>
          <w:color w:val="auto"/>
          <w:sz w:val="24"/>
          <w:szCs w:val="24"/>
          <w:highlight w:val="none"/>
        </w:rPr>
        <w:br/>
      </w: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.3车载前级泵（带专用减震模块）1套。</w:t>
      </w:r>
      <w:r>
        <w:rPr>
          <w:rFonts w:hint="eastAsia" w:ascii="Times New Roman" w:hAnsi="Times New Roman" w:eastAsia="宋体" w:cs="Times New Roman"/>
          <w:b w:val="0"/>
          <w:bCs w:val="0"/>
          <w:color w:val="auto"/>
          <w:sz w:val="24"/>
          <w:szCs w:val="24"/>
          <w:highlight w:val="none"/>
        </w:rPr>
        <w:br/>
      </w: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.4车载专用循环冷却水1台。</w:t>
      </w:r>
      <w:r>
        <w:rPr>
          <w:rFonts w:hint="eastAsia" w:ascii="Times New Roman" w:hAnsi="Times New Roman" w:eastAsia="宋体" w:cs="Times New Roman"/>
          <w:b w:val="0"/>
          <w:bCs w:val="0"/>
          <w:color w:val="auto"/>
          <w:sz w:val="24"/>
          <w:szCs w:val="24"/>
          <w:highlight w:val="none"/>
        </w:rPr>
        <w:br/>
      </w: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.5调谐液和内标液 1套。</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.6氩气减压阀4套。</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.7氦气减压阀1套。</w:t>
      </w:r>
      <w:r/>
    </w:p>
    <w:p>
      <w:pPr>
        <w:ind w:firstLine="480"/>
        <w:keepLines w:val="0"/>
        <w:keepNext w:val="0"/>
        <w:pageBreakBefore w:val="0"/>
        <w:spacing w:line="48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rPr>
        <w:t xml:space="preserve">.8 ICP-MS专用分析软件1套。</w:t>
      </w:r>
      <w:r/>
    </w:p>
    <w:p>
      <w:pPr>
        <w:numPr>
          <w:ilvl w:val="0"/>
          <w:numId w:val="0"/>
        </w:numPr>
        <w:ind w:left="0"/>
        <w:jc w:val="both"/>
        <w:keepLines/>
        <w:keepNext/>
        <w:pageBreakBefore w:val="0"/>
        <w:spacing w:before="0" w:after="0" w:line="480" w:lineRule="exact"/>
        <w:widowControl w:val="off"/>
        <w:rPr>
          <w:rFonts w:hint="eastAsia" w:ascii="黑体" w:hAnsi="黑体" w:eastAsia="黑体" w:cs="Times New Roman"/>
          <w:b/>
          <w:color w:val="auto"/>
          <w:sz w:val="24"/>
          <w:szCs w:val="24"/>
          <w:highlight w:val="none"/>
          <w:lang w:val="en-US" w:eastAsia="zh-CN" w:bidi="ar-SA"/>
        </w:rPr>
        <w:outlineLvl w:val="2"/>
      </w:pPr>
      <w:r>
        <w:rPr>
          <w:rFonts w:hint="eastAsia" w:ascii="黑体" w:hAnsi="黑体" w:eastAsia="黑体" w:cs="Times New Roman"/>
          <w:b/>
          <w:color w:val="auto"/>
          <w:sz w:val="24"/>
          <w:szCs w:val="24"/>
          <w:highlight w:val="none"/>
          <w:lang w:val="en-US" w:eastAsia="zh-CN" w:bidi="ar-SA"/>
        </w:rPr>
        <w:t xml:space="preserve">三、运维内容及要求</w:t>
      </w:r>
      <w:r/>
    </w:p>
    <w:p>
      <w:pPr>
        <w:ind w:left="0" w:firstLine="482"/>
        <w:jc w:val="both"/>
        <w:keepLines/>
        <w:keepNext/>
        <w:pageBreakBefore w:val="0"/>
        <w:spacing w:before="0" w:after="0" w:line="480" w:lineRule="exact"/>
        <w:widowControl w:val="off"/>
        <w:rPr>
          <w:rFonts w:hint="default" w:ascii="宋体" w:hAnsi="宋体" w:eastAsia="宋体" w:cs="宋体"/>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总体要求：</w:t>
      </w:r>
      <w:r>
        <w:rPr>
          <w:rFonts w:hint="eastAsia" w:ascii="宋体" w:hAnsi="宋体" w:eastAsia="宋体" w:cs="宋体"/>
          <w:color w:val="auto"/>
          <w:sz w:val="24"/>
          <w:szCs w:val="24"/>
          <w:highlight w:val="none"/>
          <w:lang w:val="en-US" w:eastAsia="zh-CN" w:bidi="ar-SA"/>
        </w:rPr>
        <w:t xml:space="preserve">在项目运维及管理期间，运维单位应严格按照江苏省灌云县临港产业区管理委员会制订的操作规范和规章制度，对所管理的系统及仪器设备进行规范操作和精心维护及必要维修，保证系统及仪器设备的正常运行，达到江苏省灌云县临港产业区管理委员会提出的系统及仪器设备考核指标要求。中标运维商必须接受江苏省灌云县临港产业区管理委员会和第三方质控质保核查单位的定期、不定期检查和考核。</w:t>
      </w:r>
      <w:r/>
    </w:p>
    <w:p>
      <w:pPr>
        <w:ind w:left="0"/>
        <w:jc w:val="both"/>
        <w:keepLines/>
        <w:keepNext/>
        <w:pageBreakBefore w:val="0"/>
        <w:spacing w:before="0" w:after="0" w:line="480" w:lineRule="exact"/>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1、空气超级站在线监测监测设备运行维护内容</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(1)保持子站内部环境清洁，布置整齐，各仪器设备干净清洁，设备标识清楚；</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(2)检查供电及网络通讯的情况，保证系统的正常运行;</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(3)保证空调正常工作，仪器运行温度保持在25℃左右，子站内温度日波动范围小于5℃，相对湿度保持在80%RH以下； </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(4)指派专人维护，设备固定牢固，门窗关闭良好，人走关门，非工作人员未经许可不得入内；</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(5)定期检查消防和安全设施；</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(6)每次维护后做好系统运行维护记录；</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(7)进行维护时，规范操作，注意安全，防止意外发生。</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日常维护工作</w:t>
      </w:r>
      <w:r/>
    </w:p>
    <w:p>
      <w:pPr>
        <w:numPr>
          <w:ilvl w:val="0"/>
          <w:numId w:val="15"/>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每日上午远程检查数据传输系统是否正常，如发现数据持续异常情况，立即前往站点进行检查。</w:t>
      </w:r>
      <w:r/>
    </w:p>
    <w:p>
      <w:pPr>
        <w:numPr>
          <w:ilvl w:val="0"/>
          <w:numId w:val="15"/>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每周一次对监测系统进行现场维护，现场维护内容包括：</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检查各台自动分析仪及辅助设备的运行状态和主要技术参数，判断运行是否正常。</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调看分析仪监测数据的报表，观察是否有异常高值出现，是否有因子监测值为零的情况。若存在，需前往现场进行历史数据调看，分析是否正常。</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检查子站的接地线路是否可靠，排风排气装置工作是否正常，标准气钢瓶阀门是否漏气， 标准气的消耗情况。</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检查子站内电路系统、通讯系统是否正常。</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对子站周围易处理的杂草和积水及时清除，当周围树木生长超过规范规定的控制限时，对采样有影响的树枝通知相关方及时进行剪除。</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在冬、夏季节注意子站室内外温差，防止采样装置出现冷凝水现象。</w:t>
      </w:r>
      <w:r/>
    </w:p>
    <w:p>
      <w:pPr>
        <w:numPr>
          <w:ilvl w:val="0"/>
          <w:numId w:val="16"/>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检查监测仪器的采样入口与采样支路管线结合部之间安装的过滤膜的污染情况，若发现滤膜明显受到污染，则及时更换。</w:t>
      </w:r>
      <w:r/>
    </w:p>
    <w:p>
      <w:pPr>
        <w:numPr>
          <w:ilvl w:val="0"/>
          <w:numId w:val="15"/>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每周对站点式监测仪器进行一次零漂和跨漂检查，并根据漂移控制限判定是否需要对监测仪器进行维护保养及检修；每周对色谱的峰窗进行检查，如发现漂移，及时调整。</w:t>
      </w:r>
      <w:r/>
    </w:p>
    <w:p>
      <w:pPr>
        <w:numPr>
          <w:ilvl w:val="0"/>
          <w:numId w:val="15"/>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并确认各个子站的监测因子分析仪器零/跨报告，每个项目的标准气浓度符合测量要求。如果不符合，立即上报并根据污染情况设定新值。监测因子分析仪器零/跨漂移在设定范围内。如果不是，调查研究后，根据“现场操作规程”表修改无效值范围，以修正有问题的数据。</w:t>
      </w:r>
      <w:r/>
    </w:p>
    <w:p>
      <w:pPr>
        <w:numPr>
          <w:ilvl w:val="0"/>
          <w:numId w:val="15"/>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检查各个子站每日小时数据，并确认它们是否正常。以下必须注意：监测因子分析仪器零/跨漂移在所设范围内；任何影响测量数据的子站仪器操作及时记录；维护人员不负责解释环境测量数据。。</w:t>
      </w:r>
      <w:r/>
    </w:p>
    <w:p>
      <w:pPr>
        <w:numPr>
          <w:ilvl w:val="0"/>
          <w:numId w:val="15"/>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检：注意异常数据及噪音；注意观察子站周围可能影响监测结果的活动，并将之记录在记录表中。检查空调运转情况并记录站房内温度。温度保持在20－30℃内，最好在25℃以上以防止结露。建议11月－4月设在25℃，5－10月设在27℃。不要使空调直吹采样管及气路；目视检查仪器面板显示，观察数据是否合理及有无报警信号；检查发生器工作是否正常，输出压力是否满足在线气相色谱需求。</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每周运维工作</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检查钢瓶气压力，将读数添在钢瓶气消耗记录表中。与上次压力比较，看压力是否有异常变化。如果压力下降异常，表明有漏气之处，从而要设法处理之。</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检查采样总管及采样气路是否有破裂，是否有清洁，是否过于潮湿，并及时采取措施。</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检查并酌情更换各仪器滤膜以及仪器风扇滤网。</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检查干燥剂并适时更换。</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检查空调温度是否合适。</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检查并记录各仪器主要参数，如流量、温度、光强等。</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检查色谱参数，包含气相色谱分析仪的炉箱温度（柱温）、预浓缩温度和采样温度压力等运行参数。</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每周对各仪器进行依次零/跨检查，并填写好记录。</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检查色谱谱图，观察是否出现保留时间漂移，若存在该现象进行峰窗调整。</w:t>
      </w:r>
      <w:r/>
    </w:p>
    <w:p>
      <w:pPr>
        <w:numPr>
          <w:ilvl w:val="0"/>
          <w:numId w:val="17"/>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检查色谱基线是否平稳。</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每月/季度运维工作</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每季度运维单位对各监测仪器的精密度进行一次审核。</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检查标气钢瓶压力并做好记录。将当前压力值与过去的压力值比较以估计标准气的消耗速度。</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注意钢瓶上标注的日期。</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清洁空调滤网，清洁子站站房或机柜。</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清洁各仪器滤网。</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对在线式气相色谱进行工作点校准。</w:t>
      </w:r>
      <w:r/>
    </w:p>
    <w:p>
      <w:pPr>
        <w:numPr>
          <w:ilvl w:val="0"/>
          <w:numId w:val="18"/>
        </w:numPr>
        <w:ind w:left="0"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察看在线气相色谱仪滤膜更换记录，是否到了更换时间</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半年维护工作</w:t>
      </w:r>
      <w:r/>
    </w:p>
    <w:p>
      <w:pPr>
        <w:numPr>
          <w:ilvl w:val="0"/>
          <w:numId w:val="19"/>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每半年对仪器进行一次多点校准、流量校准和标准膜片校准，对色谱仪进行单点校正修正斜率。</w:t>
      </w:r>
      <w:r/>
    </w:p>
    <w:p>
      <w:pPr>
        <w:numPr>
          <w:ilvl w:val="0"/>
          <w:numId w:val="19"/>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检查气路连接的密封性。</w:t>
      </w:r>
      <w:r/>
    </w:p>
    <w:p>
      <w:pPr>
        <w:numPr>
          <w:ilvl w:val="0"/>
          <w:numId w:val="19"/>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清洁或更换采样口及采样管，根据子站具体情况频率可适当增加，如路边站。对该部分的维护时间最好不超过4 小时，维护期间的数据应视为无效。</w:t>
      </w:r>
      <w:r/>
    </w:p>
    <w:p>
      <w:pPr>
        <w:numPr>
          <w:ilvl w:val="0"/>
          <w:numId w:val="19"/>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氮氧化物采样泵检查，检查膜片是否有裂痕、污迹，并酌情更换。</w:t>
      </w:r>
      <w:r/>
    </w:p>
    <w:p>
      <w:pPr>
        <w:numPr>
          <w:ilvl w:val="0"/>
          <w:numId w:val="19"/>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屋顶采样口及气象杆密封胶检查。</w:t>
      </w:r>
      <w:r/>
    </w:p>
    <w:p>
      <w:pPr>
        <w:numPr>
          <w:ilvl w:val="0"/>
          <w:numId w:val="19"/>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察看在线气相色谱仪多点线性校准，是否到了校准时间（每半年校准一次）。</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年度维护工作</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每年对各监测仪器的准确度进行一次审核。</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将仪器于现场进行内部检查清洁，先用毛刷和吸尘器清扫，再清洁电磁阀，限流孔，内部样气过滤器。</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主要检查包括各仪器采样泵隔膜，各连接部密封圈，机械动作是否正常。</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清洁，耗材更换完毕后开机检查仪器各参数，与说明书中给出范围比较，如接近或超过限度则作相应调节或更换。</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清洁FID检测器，清洁/更换横隔膜，清洗十通阀。</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更换气相色谱仪载气过滤器，更换预浓缩管。</w:t>
      </w:r>
      <w:r/>
    </w:p>
    <w:p>
      <w:pPr>
        <w:numPr>
          <w:ilvl w:val="0"/>
          <w:numId w:val="20"/>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对动态校准仪的流量控制器进行校准、传递。</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预防性维护</w:t>
      </w:r>
      <w:r/>
    </w:p>
    <w:p>
      <w:pPr>
        <w:numPr>
          <w:ilvl w:val="0"/>
          <w:numId w:val="21"/>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每半年清洗一次空调过滤网，防止尘土阻塞空调过滤网影响运行效率。</w:t>
      </w:r>
      <w:r/>
    </w:p>
    <w:p>
      <w:pPr>
        <w:numPr>
          <w:ilvl w:val="0"/>
          <w:numId w:val="21"/>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每年清洗一次采样总管。清洗完以后应做检漏测试，确保采样总管工作正常。</w:t>
      </w:r>
      <w:r/>
    </w:p>
    <w:p>
      <w:pPr>
        <w:numPr>
          <w:ilvl w:val="0"/>
          <w:numId w:val="21"/>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每2-3年更换一次从总管到监测仪器采样口之间的气路管线。</w:t>
      </w:r>
      <w:r/>
    </w:p>
    <w:p>
      <w:pPr>
        <w:numPr>
          <w:ilvl w:val="0"/>
          <w:numId w:val="21"/>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对监测仪器中的过滤装置，按仪器使用和维修手册的要求定期进行更换和清洗。</w:t>
      </w:r>
      <w:r/>
    </w:p>
    <w:p>
      <w:pPr>
        <w:numPr>
          <w:ilvl w:val="0"/>
          <w:numId w:val="21"/>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每半年对各在线式气相色谱仪进行一下校正。</w:t>
      </w:r>
      <w:r/>
    </w:p>
    <w:p>
      <w:pPr>
        <w:numPr>
          <w:ilvl w:val="0"/>
          <w:numId w:val="21"/>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人员在对系统进行日常维护时，应作好巡检记录。巡检记录应包含该系统运行状况、系统辅助设备运行状况、系统校准工作、环境条件监控等必检项目和记录，以及仪器使用说明书中规定的其他检查项目和校准、维护保养、维修记录。并做好清洁卫生及安全工作后方能离开。</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系统检修</w:t>
      </w:r>
      <w:r/>
    </w:p>
    <w:p>
      <w:pPr>
        <w:numPr>
          <w:ilvl w:val="0"/>
          <w:numId w:val="22"/>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若发现仪器故障，检修时需要仪器设备停用、拆除或更换的，应事先报经用户同意。</w:t>
      </w:r>
      <w:r/>
    </w:p>
    <w:p>
      <w:pPr>
        <w:numPr>
          <w:ilvl w:val="0"/>
          <w:numId w:val="22"/>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仪器经过维修后，在正常使用和运行之前应确保维修内容全部完成，性能通过检测程序。若对监测仪器进行了核心部件更换，在正常使用和运行之前应对仪器进行一次多点校准和性能考核。</w:t>
      </w:r>
      <w:r/>
    </w:p>
    <w:p>
      <w:pPr>
        <w:numPr>
          <w:ilvl w:val="0"/>
          <w:numId w:val="22"/>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检修人员进行维修时及时做好维修记录。维修记录应包含该故障发生的时间、故障现象、维修措施和内容、维修结果、校准检查等记录。</w:t>
      </w:r>
      <w:r/>
    </w:p>
    <w:p>
      <w:pPr>
        <w:numPr>
          <w:ilvl w:val="0"/>
          <w:numId w:val="22"/>
        </w:numPr>
        <w:ind w:left="0" w:firstLine="48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对于重大事故，严重影响系统运行或无法运行时，双方组织有关领导和技术人员到现场进行实地考察，经研究后，共同商定解决方案。</w:t>
      </w:r>
      <w:r/>
    </w:p>
    <w:p>
      <w:pPr>
        <w:ind w:left="0"/>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2、水站在线监测设备运行维护内容</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例行巡检</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(1)检查水站电路系统是否正常，接地线路是否可靠，检查采样和排液管路是否有漏液或堵塞现象，排水排气装置工作是否正常；</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(2)检查系统采配水是否正常，如采水浮筒固定情况，自吸泵运行情况等；定期清洗采配水系统，包括采水头、吊桶、泵体、沉砂池、过滤头、水样杯、阀门、管路等，对于无法清洗干净的须及时更换；</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(3)检查工控机运行状态，检查上传至平台数据和现场数据的一致性，检查仪器与系统的通讯线路是否正常；</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(4)查看分析仪器及辅助设备的运行状态和主要技术参数，判断运行是否正常。检查有无漏液，进样管路、试剂管路中是否有气泡存在，如有及时将气泡排出；</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(5)检查空调及保温措施，检查水泵及空压机固定情况，避免仪器振动。检查不间断电源（UPS）、除藻装置等外部保障设施运行状态，并及时更换耗材；</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(6)检查试剂使用状况，定期添加、更换试剂；</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(7)检查防雷设施是否可靠，站房是否有漏水现象，站房外围的其他设施是否有损坏，如遇到以上问题及时处理，保证水站系统安全运行。在封冻期来临前做好采水管路和站房保温等维护工作；</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(8)做好废液收集并按相关规定做好处置工作；</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(9)保持水站站房及各仪器干净整洁。</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定期养护</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（1）站房</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保证站房空调及取暖设施运行正常，定期对空调进行全面的清洗。每年需通过具有资质的专业机构对防雷设施进行检测、维护或更换，并出具报告。定期更换防火设备。</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（2）分析单元 </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应依据水质状况、水站环境条件和分析仪器的要求，制定易耗品（如泵管、滤膜、活性碳及干燥剂等）的更换周期，做到定期更换；对使用期限有规定的备品备件，必须严格按使用规定期限予以更换。</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水站仪器所用试剂的更换周期应根据试剂稳定性和保质期确定，室内温度较高时应缩短更换周期，试剂的更换周期不得超过30天。</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根据水站运行的环境状况，在规定的时间对仪器设备进行预防性检修。</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每月至少进行一次多点线性核查，在自动分析仪器当前量程范围内均匀选择5个浓度标准溶液（须包括空白）。</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（3）采配水单元</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（4）控制单元及通讯单元 </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定期对工控机进行断电重启，查看工控机是否可以自动启动，并运行操作系统、加载现场监控软件，查看串口通讯是否正常。</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定期对网络通讯设备进行断电重启，查看启动后是否通讯正常。每月检查开机过程中硬件自检过程是否有异常数据传输和报警。</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每月对工控机进行杀毒，防止病毒损坏软件。</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（5）辅助设备</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定期检查稳压电源及UPS的输出是否符合技术要求，突发异常情况须及时排查处理。</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每月至少检查一次空气压缩机气泵和清水增压泵的工作状况，并对空气过滤器放水。</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定期更换纯水机滤芯。</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定期检查摄像头是否破损，视频设备功能是否正常，包括摄像、视频存储等。</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（6）其它</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每月对水站监测数据进行一次备份，备份数据单独存储；每月对备用仪器进行一次校准和标样核查。</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应急运维</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针对异常数据、系统故障和数据缺失等情况，中标单位必须建立一套完整的应急维护方案。 </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发生数据异常情况时应及时远程启动标样核查和留样复测，通过核查结果初步判定仪表当前的状态是否正常；确系污染过程应启动水站加密测试模式，同时记录并上报。</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水站仪器发生故障时，中标单位应及时响应（响应时间不超过8小时），并在24小时内解决所有的故障，如故障不能排除，应在48小时内更换备机。</w:t>
      </w:r>
      <w:r/>
    </w:p>
    <w:p>
      <w:pPr>
        <w:ind w:left="0"/>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val="0"/>
          <w:color w:val="auto"/>
          <w:sz w:val="24"/>
          <w:szCs w:val="24"/>
          <w:highlight w:val="none"/>
          <w:lang w:val="en-US" w:eastAsia="zh-CN" w:bidi="ar-SA"/>
        </w:rPr>
        <w:outlineLvl w:val="3"/>
      </w:pPr>
      <w:r>
        <w:rPr>
          <w:rFonts w:hint="eastAsia" w:ascii="宋体" w:hAnsi="宋体" w:eastAsia="宋体" w:cs="宋体"/>
          <w:b/>
          <w:bCs w:val="0"/>
          <w:color w:val="auto"/>
          <w:sz w:val="24"/>
          <w:szCs w:val="24"/>
          <w:highlight w:val="none"/>
          <w:lang w:val="en-US" w:eastAsia="zh-CN" w:bidi="ar-SA"/>
        </w:rPr>
        <w:t xml:space="preserve">3、厂界站及恶臭站日常维护</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为保证有</w:t>
      </w:r>
      <w:r>
        <w:rPr>
          <w:rFonts w:hint="eastAsia" w:ascii="宋体" w:hAnsi="宋体" w:eastAsia="宋体" w:cs="宋体"/>
          <w:color w:val="auto"/>
          <w:sz w:val="24"/>
          <w:szCs w:val="24"/>
          <w:highlight w:val="none"/>
          <w:lang w:val="en-US" w:eastAsia="zh-CN"/>
        </w:rPr>
        <w:t xml:space="preserve">厂界VOCs在线监测系统、恶臭在线监测系统、有毒有害在线监测系统</w:t>
      </w:r>
      <w:r>
        <w:rPr>
          <w:rFonts w:hint="eastAsia" w:ascii="宋体" w:hAnsi="宋体" w:eastAsia="宋体" w:cs="宋体"/>
          <w:color w:val="auto"/>
          <w:sz w:val="24"/>
          <w:szCs w:val="24"/>
          <w:highlight w:val="none"/>
        </w:rPr>
        <w:t xml:space="preserve">能长时间准确、可靠地工作，需要周期性地对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进行维护。</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系统运维目标</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运行维护主要依据：《环境空气质量监测规范》、《环境空气质量自动监测技术规范》（HJ/T193-2005）以及JJG 1055-2009《在线气相色谱仪检定规程》。根据规范、规定要求进行子站仪器的单点和多点校标、流量校准、采样管道清洗、仪器保养与维护等工作。</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运维内容</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承担环境空气VOCs自动监测系统的日常运行和维护及详细的预防性检修工作，包括人工、消耗件、备品备件。并包括季度和年度定期维护。</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承担因仪器正常使用、非外界不可抗力而发生突发性故障进行针对性维护工作，包括人工、耗材和备品备件。</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针对环境空气VOCs自动监测系统数量，我司将按需要在项目所在地设立常驻的维护站点，建立所维护范围设备的备品备件库，派遣1-2名合格工作人员全日制从事本项目环境空气质量自动监测系统的日常运行和维护，并保证法定节假日期间系统的正常运行。</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建立定期会商报告制度，原则上每个星期一下午汇报系统上周运行情况，并提交上周的维护台帐记录。</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建立自动站全托管运行维护制度，建立文件化的日常运行体系。</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日常运维工作</w:t>
      </w:r>
      <w:r/>
    </w:p>
    <w:p>
      <w:pPr>
        <w:numPr>
          <w:ilvl w:val="0"/>
          <w:numId w:val="23"/>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每日上午远程检查仪器运行状态，检查数据传输系统是否正常，如发现数据持续异常情况，立即前往站点进行检查。</w:t>
      </w:r>
      <w:r/>
    </w:p>
    <w:p>
      <w:pPr>
        <w:numPr>
          <w:ilvl w:val="0"/>
          <w:numId w:val="23"/>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每周一次对监测系统进行现场维护，现场维护内容包括：</w:t>
      </w:r>
      <w:r/>
    </w:p>
    <w:p>
      <w:pPr>
        <w:numPr>
          <w:ilvl w:val="0"/>
          <w:numId w:val="24"/>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检查各台在线气相色谱仪及辅助设备的运行状态和主要技术参数，判断运行是否正常。</w:t>
      </w:r>
      <w:r/>
    </w:p>
    <w:p>
      <w:pPr>
        <w:numPr>
          <w:ilvl w:val="0"/>
          <w:numId w:val="24"/>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调看VOC监测数据的小时报表，观察是否有异常高值出现，是否有典型污染物监测值为零的情况。若存在，需前往现场进行历史图谱数据调看，图谱分析是否正常。</w:t>
      </w:r>
      <w:r/>
    </w:p>
    <w:p>
      <w:pPr>
        <w:numPr>
          <w:ilvl w:val="0"/>
          <w:numId w:val="24"/>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检查子站的接地线路是否可靠，排风排气装置工作是否正常，标准气钢瓶阀门是否漏气， 标准气的消耗情况。</w:t>
      </w:r>
      <w:r/>
    </w:p>
    <w:p>
      <w:pPr>
        <w:numPr>
          <w:ilvl w:val="0"/>
          <w:numId w:val="24"/>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检查站房内电路系统、通讯系统是否正常。</w:t>
      </w:r>
      <w:r/>
    </w:p>
    <w:p>
      <w:pPr>
        <w:numPr>
          <w:ilvl w:val="0"/>
          <w:numId w:val="24"/>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检查避雷设施是否可靠，站房是否有漏雨现象，气象杆和天线是否损坏，站房外围的其它设施是否有损坏，如遇以上问题及时处理，保证系统能安全运行。</w:t>
      </w:r>
      <w:r/>
    </w:p>
    <w:p>
      <w:pPr>
        <w:numPr>
          <w:ilvl w:val="0"/>
          <w:numId w:val="24"/>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检查在线气相色谱仪的采样入口与采样支路管线结合部之间安装的过滤膜的污染情况，若发现滤膜明显受到污染，则及时更换。</w:t>
      </w:r>
      <w:r/>
    </w:p>
    <w:p>
      <w:pPr>
        <w:numPr>
          <w:ilvl w:val="0"/>
          <w:numId w:val="23"/>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每周对色谱的峰窗进行检查，如发现漂移，及时调整。</w:t>
      </w:r>
      <w:r/>
    </w:p>
    <w:p>
      <w:pPr>
        <w:numPr>
          <w:ilvl w:val="0"/>
          <w:numId w:val="23"/>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检查各个子站每日小时数据，并确认它们是正常的。以下必须注意：所用标准气浓度正确；任何影响测量数据的子站仪器操作及时记录；注意：维护人员不负责解释环境测量数据。</w:t>
      </w:r>
      <w:r/>
    </w:p>
    <w:p>
      <w:pPr>
        <w:numPr>
          <w:ilvl w:val="0"/>
          <w:numId w:val="23"/>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巡检：注意异常数据及噪音；注意观察子站周围可能影响监测结果的活动，并将之记录在记录表中。检查空调运转情况并记录站房内温度。温度保持在20－30℃内，最好在25*C以上以防止结露。建议11月－4月设在25℃，5－10月设在27℃。不要使空调直吹采样管及气路；目视检查仪器面板显示，观察数据是否合理及有无报警信号；检查发生器工作是否正常，输出压力是否满足在线气相色谱需求。</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每周运维工作</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检查钢瓶气压力，将读数添在钢瓶气消耗记录表中。与上次压力比较，看压力是否有异常变化。如果压力下降异常，表明有漏气之处，从而要设法处理之。</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检查采样总管及采样气路是否有破裂，是否有清洁，是否过于潮湿，并及时采取措施。</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检查并酌情更换各仪器滤膜以及仪器风扇滤网。</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检查干燥剂并适时更换。</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检查空调温度是否合适。</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检查并记录各仪器主要参数，如流量、温度、光强等。</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检查色谱参数，包含气相色谱分析仪的炉箱温度（柱温）、预浓缩温度和采样温度压力等运行参数。</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每周对各仪器进行依次零/跨检查，并填写好记录。</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检查色谱谱图，观察是否出现保留时间漂移，若存在该现象进行峰窗调整。</w:t>
      </w:r>
      <w:r/>
    </w:p>
    <w:p>
      <w:pPr>
        <w:numPr>
          <w:ilvl w:val="0"/>
          <w:numId w:val="25"/>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检查色谱基线是否平稳。</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每月/季工作项目</w:t>
      </w:r>
      <w:r/>
    </w:p>
    <w:p>
      <w:pPr>
        <w:numPr>
          <w:ilvl w:val="0"/>
          <w:numId w:val="26"/>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检查标气钢瓶压力并做好记录。将当前压力值与过去的压力值比较以估计标准气的消耗速度。如果预测一个月后压力将降到100PSI（压力下限），就安排更换钢瓶。</w:t>
      </w:r>
      <w:r/>
    </w:p>
    <w:p>
      <w:pPr>
        <w:numPr>
          <w:ilvl w:val="0"/>
          <w:numId w:val="26"/>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注意钢瓶上标注的日期。</w:t>
      </w:r>
      <w:r/>
    </w:p>
    <w:p>
      <w:pPr>
        <w:numPr>
          <w:ilvl w:val="0"/>
          <w:numId w:val="26"/>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清洁空调滤网，清洁站房。</w:t>
      </w:r>
      <w:r/>
    </w:p>
    <w:p>
      <w:pPr>
        <w:numPr>
          <w:ilvl w:val="0"/>
          <w:numId w:val="26"/>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清洁各仪器滤网。</w:t>
      </w:r>
      <w:r/>
    </w:p>
    <w:p>
      <w:pPr>
        <w:numPr>
          <w:ilvl w:val="0"/>
          <w:numId w:val="26"/>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对在线式气相色谱进行工作点校准。</w:t>
      </w:r>
      <w:r/>
    </w:p>
    <w:p>
      <w:pPr>
        <w:numPr>
          <w:ilvl w:val="0"/>
          <w:numId w:val="26"/>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察看在线气相色谱仪滤膜更换记录，是否到了更换时间（每两个月更换一次）。</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半年工作项目</w:t>
      </w:r>
      <w:r/>
    </w:p>
    <w:p>
      <w:pPr>
        <w:numPr>
          <w:ilvl w:val="0"/>
          <w:numId w:val="27"/>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检查气路连接的密封性。</w:t>
      </w:r>
      <w:r/>
    </w:p>
    <w:p>
      <w:pPr>
        <w:numPr>
          <w:ilvl w:val="0"/>
          <w:numId w:val="27"/>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清洁或更换采样口及采样管，根据子站具体情况频率可适当增加，如路边站。对该部分的维护时间最好不超过4 小时，维护期间的数据应视为无效。</w:t>
      </w:r>
      <w:r/>
    </w:p>
    <w:p>
      <w:pPr>
        <w:numPr>
          <w:ilvl w:val="0"/>
          <w:numId w:val="27"/>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屋顶采样口及气象杆密封胶检查。</w:t>
      </w:r>
      <w:r/>
    </w:p>
    <w:p>
      <w:pPr>
        <w:numPr>
          <w:ilvl w:val="0"/>
          <w:numId w:val="27"/>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察看在线气相色谱仪多点线性校准，是否到了校准时间（每半年校准一次）。</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年度维护工作</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每年对各监测仪器的准确度进行一次审核。</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更换在线气相色谱仪采样泵上的活性炭。</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将仪器于现场进行内部检查清洁，先用毛刷和吸尘器清扫，再清洁电磁阀，限流孔，内部样气过滤器。</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主要检查包括各仪器采样泵隔膜，各连接部密封圈，机械动作是否正常。</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清洁，耗材更换完毕后开机检查仪器各参数，与说明书中给出范围比较，如接近或超过限度则作相应调节或更换。</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对分析仪进行多点校准。</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清洁色谱仪检测器，清洁/更换横隔膜，清洗十通阀。</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更换在线气相色谱仪载气过滤器，更换预浓缩管。</w:t>
      </w:r>
      <w:r/>
    </w:p>
    <w:p>
      <w:pPr>
        <w:numPr>
          <w:ilvl w:val="0"/>
          <w:numId w:val="28"/>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对动态校准仪的流量控制器进行校准、传递。</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系统检修</w:t>
      </w:r>
      <w:r/>
    </w:p>
    <w:p>
      <w:pPr>
        <w:numPr>
          <w:ilvl w:val="0"/>
          <w:numId w:val="29"/>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若发现仪器故障，检修时需要仪器设备停用、拆除或更换的，应事先报经用户同意。</w:t>
      </w:r>
      <w:r/>
    </w:p>
    <w:p>
      <w:pPr>
        <w:numPr>
          <w:ilvl w:val="0"/>
          <w:numId w:val="29"/>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在接到用户故障通知后，在工作时间 4 小时内赶到现场进行处理。对于一些容易诊断的故障，维修时间不超过 24 小时；对不易诊断和维修的仪器故障，在72 小时内排除。</w:t>
      </w:r>
      <w:r/>
    </w:p>
    <w:p>
      <w:pPr>
        <w:numPr>
          <w:ilvl w:val="0"/>
          <w:numId w:val="29"/>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仪器经过维修后，在正常使用和运行之前应确保维修内容全部完成，性能通过检测程序。若对监测仪器进行了核心部件更换，在正常使用和运行之前应对仪器进行一次多点校准和性能考核。</w:t>
      </w:r>
      <w:r/>
    </w:p>
    <w:p>
      <w:pPr>
        <w:numPr>
          <w:ilvl w:val="0"/>
          <w:numId w:val="29"/>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若数据存储/控制仪发生故障，在 24 小时内给出解决方案，72 小时内修复或更换，并保证已采集的数据不丢失。</w:t>
      </w:r>
      <w:r/>
    </w:p>
    <w:p>
      <w:pPr>
        <w:numPr>
          <w:ilvl w:val="0"/>
          <w:numId w:val="29"/>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检修人员进行维修时及时做好维修记录。维修记录应包含该故障发生的时间、故障现象、维修措施和内容、维修结果、校准检查等记录。</w:t>
      </w:r>
      <w:r/>
    </w:p>
    <w:p>
      <w:pPr>
        <w:numPr>
          <w:ilvl w:val="0"/>
          <w:numId w:val="29"/>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对于重大事故，严重影响系统运行或无法运行时，双方组织有关领导和技术人员到现场进行实地考察，经研究后，共同商定解决方案。</w:t>
      </w:r>
      <w:r/>
    </w:p>
    <w:p>
      <w:pPr>
        <w:ind w:left="0" w:firstLine="482"/>
        <w:jc w:val="both"/>
        <w:keepLines/>
        <w:keepNext/>
        <w:pageBreakBefore w:val="0"/>
        <w:spacing w:before="0" w:after="0" w:line="480" w:lineRule="exact"/>
        <w:widowControl w:val="off"/>
        <w:tabs>
          <w:tab w:val="left" w:pos="900" w:leader="none"/>
          <w:tab w:val="left" w:pos="993" w:leader="none"/>
          <w:tab w:val="left" w:pos="1260" w:leader="none"/>
        </w:tabs>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系统年度维护及大修工作</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为了保证空气自动监测站的长期正常运行，每年度对系统进行年度维护和大修，必要时，对气路和关键零部件进行更换，对不合理的地方进行改造。具体内容如下：</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按仪器使用和维护手册规定的要求，根据使用寿命更换监测仪器中的传感器、制冷装置、转换炉和抽气泵膜等关键零部件。</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对仪器电路各测试点进行测试与调整。</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对仪器进行气路检漏和流量检查。</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对仪器光路、气路、电路板和各种接头及插座等进行检查和清洁处理。</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对仪器的输出零点和满量程进行检查和校准，并检查仪器的输出线性。</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在每次完成仪器年度维护和大修后，或更换了仪器中的关键零部件后，应对仪器重新进行多点校准和检查。</w:t>
      </w:r>
      <w:r/>
    </w:p>
    <w:p>
      <w:pPr>
        <w:numPr>
          <w:ilvl w:val="0"/>
          <w:numId w:val="30"/>
        </w:num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维护人员在进行年度维护和大修时，及时做好维护记录。维护记录包含对仪器采取的维护措施和 内容，以及校准核查等记录。</w:t>
      </w:r>
      <w:r/>
    </w:p>
    <w:p>
      <w:pPr>
        <w:ind w:left="0" w:right="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对所有的色谱历史图谱、数据、文件进行备份。</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恶臭自动监测系统运维要求</w:t>
      </w:r>
      <w:r/>
    </w:p>
    <w:p>
      <w:pPr>
        <w:ind w:left="0" w:firstLine="480"/>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从事环境空气恶臭排放自动监测系统日常运行管理的单位应根据该自动监测系统使用说明书和本要求编制仪器运行管理规程，以此确定系统运行操作人员和管理维护人员的工作职责。运维人员应当熟练掌握恶臭自动监测系统的原理、使用和维护方法。</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日常巡查</w:t>
      </w:r>
      <w:r/>
    </w:p>
    <w:p>
      <w:pPr>
        <w:ind w:left="0" w:firstLine="480"/>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维单位应根据本要求和仪器适用说明中相关要求制订巡检规程，严格按照规程开展日常巡检并做好记录。日常巡检记录应包括检查项目、检查日期、被检项目的运行状态等内容，每次巡检应记录并归档。日常巡检间隔不超过7</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日常维护保养</w:t>
      </w:r>
      <w:r/>
    </w:p>
    <w:p>
      <w:pPr>
        <w:ind w:left="0" w:firstLine="480"/>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环境空气恶臭气体自动监测系统说明书的要求对保养内容、保养周期或耗材更换周期等作出明确规定，每次保养情况应记录并归档。每次进行备件或材料更换时，更换的备件或材料的品名、规格、数量等应记录并归档。如更换标准物质还需记录新标准物质的来源、有效期和浓度等信息。对日常巡检或维护保养中发现的故障或问题，系统管理维护人员应及时处理并记录。</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校准和校验</w:t>
      </w:r>
      <w:r/>
    </w:p>
    <w:p>
      <w:pPr>
        <w:ind w:left="0" w:firstLine="480"/>
        <w:pageBreakBefore w:val="0"/>
        <w:spacing w:line="4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根据本要求中规定的方法和质量保证规定的周期制订环境空气恶臭气体自动监测系统的日常校准和校验操作规程。校准和校验记录应及时归档。</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定期校准</w:t>
      </w:r>
      <w:r/>
    </w:p>
    <w:p>
      <w:pPr>
        <w:ind w:left="0" w:firstLine="48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定期校准应做到：</w:t>
      </w:r>
      <w:r/>
    </w:p>
    <w:p>
      <w:pPr>
        <w:numPr>
          <w:ilvl w:val="0"/>
          <w:numId w:val="31"/>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每7</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至少校准一次仪器的零点和量程，同时测试并记录零点漂移和量程漂移；</w:t>
      </w:r>
      <w:r/>
    </w:p>
    <w:p>
      <w:pPr>
        <w:numPr>
          <w:ilvl w:val="0"/>
          <w:numId w:val="31"/>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每3个月至少进行一次全系统的检查，要求应检查包括采样管路、过滤器、洗涤器、调节器、分析仪表在内的所有部件损耗老化情况，并进行零点、量程漂移、示值误差和响应时间的检测；</w:t>
      </w:r>
      <w:r/>
    </w:p>
    <w:p>
      <w:pPr>
        <w:numPr>
          <w:ilvl w:val="0"/>
          <w:numId w:val="31"/>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校准技术指标应满足表1要求。</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定期维护</w:t>
      </w:r>
      <w:r/>
    </w:p>
    <w:p>
      <w:pPr>
        <w:ind w:left="0" w:firstLine="48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定期维护应做到：</w:t>
      </w:r>
      <w:r/>
    </w:p>
    <w:p>
      <w:pPr>
        <w:numPr>
          <w:ilvl w:val="0"/>
          <w:numId w:val="32"/>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定期检查自动监测系统的过滤器、采样探头和管路的结灰和冷凝水情况、气体冷却部件、转换器、泵膜老化状态；</w:t>
      </w:r>
      <w:r/>
    </w:p>
    <w:p>
      <w:pPr>
        <w:numPr>
          <w:ilvl w:val="0"/>
          <w:numId w:val="32"/>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定期检查探头的和腐蚀情况、和管路的工作状态。</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定期校验</w:t>
      </w:r>
      <w:r/>
    </w:p>
    <w:p>
      <w:pPr>
        <w:ind w:left="0" w:firstLine="48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自动监测系统投入使用后，环境温度的变化、湿度的影响、安装点的振动等都会造成自动监测系统的偏移和干扰。定期校验应做到：</w:t>
      </w:r>
      <w:r/>
    </w:p>
    <w:p>
      <w:pPr>
        <w:numPr>
          <w:ilvl w:val="0"/>
          <w:numId w:val="33"/>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每6个月至少做一次校验；校验用参比方法和自动监测系统同时段数据进行比对；</w:t>
      </w:r>
      <w:r/>
    </w:p>
    <w:p>
      <w:pPr>
        <w:numPr>
          <w:ilvl w:val="0"/>
          <w:numId w:val="33"/>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校验结果应符合表1要求。</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常见故障分析及排除</w:t>
      </w:r>
      <w:r/>
    </w:p>
    <w:p>
      <w:pPr>
        <w:ind w:left="0" w:firstLine="48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当自动监测系统发生故障时，系统管理维护人员应及时处理并记录。维修处理过程中，要注意以下几点：</w:t>
      </w:r>
      <w:r/>
    </w:p>
    <w:p>
      <w:pPr>
        <w:numPr>
          <w:ilvl w:val="0"/>
          <w:numId w:val="34"/>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环境空气恶臭气体自动监测系统需要停用、拆除或者更换的，应当事先报经主管部门批准；</w:t>
      </w:r>
      <w:r/>
    </w:p>
    <w:p>
      <w:pPr>
        <w:numPr>
          <w:ilvl w:val="0"/>
          <w:numId w:val="34"/>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运行单位发现故障或接到故障通知，应在4小时内赶到现场进行处理；</w:t>
      </w:r>
      <w:r/>
    </w:p>
    <w:p>
      <w:pPr>
        <w:numPr>
          <w:ilvl w:val="0"/>
          <w:numId w:val="34"/>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对于一些容易诊断的故障，如电磁阀控制失灵、过滤器饱和、气路堵塞、数据采集仪死机等，可携带工具或者备件到现场进行针对性维修，此类故障维修时间不应超过8小时；</w:t>
      </w:r>
      <w:r/>
    </w:p>
    <w:p>
      <w:pPr>
        <w:numPr>
          <w:ilvl w:val="0"/>
          <w:numId w:val="34"/>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仪器经过维修后，在正常使用和运行前应确保维修内容全部完成，性能通过检测程序，按本要求对仪器进行校验检查。</w:t>
      </w:r>
      <w:r/>
    </w:p>
    <w:p>
      <w:pPr>
        <w:numPr>
          <w:ilvl w:val="0"/>
          <w:numId w:val="34"/>
        </w:num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若数据存储/控制仪发生故障，应在12小时内修复或更换，并保证已采集的数据不丢失；监测设备因故障不能正常采集、传输数据时，应及时向主管部门报告。</w:t>
      </w:r>
      <w:r/>
    </w:p>
    <w:p>
      <w:pPr>
        <w:ind w:left="0"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定期校准校验技术指标要求</w:t>
      </w:r>
      <w:r/>
    </w:p>
    <w:p>
      <w:pPr>
        <w:ind w:left="0" w:firstLine="48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环境空气恶臭气体自动监测系统定期校准校验技术指标要求见下表</w:t>
      </w:r>
      <w:r/>
    </w:p>
    <w:p>
      <w:pPr>
        <w:ind w:left="0" w:firstLine="422"/>
        <w:jc w:val="center"/>
        <w:pageBreakBefore w:val="0"/>
        <w:spacing w:line="48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表1 环境空气恶臭气体自动监测系统定期校准校验技术指标要求</w:t>
      </w:r>
      <w:r/>
    </w:p>
    <w:tbl>
      <w:tblPr>
        <w:tblStyle w:val="725"/>
        <w:tblW w:w="8339" w:type="dxa"/>
        <w:tblInd w:w="123" w:type="dxa"/>
        <w:tblLayout w:type="fixed"/>
        <w:tblCellMar>
          <w:left w:w="0" w:type="dxa"/>
          <w:top w:w="0" w:type="dxa"/>
          <w:right w:w="0" w:type="dxa"/>
          <w:bottom w:w="0" w:type="dxa"/>
        </w:tblCellMar>
        <w:tblLook w:val="04A0" w:firstRow="1" w:lastRow="0" w:firstColumn="1" w:lastColumn="0" w:noHBand="0" w:noVBand="1"/>
      </w:tblPr>
      <w:tblGrid>
        <w:gridCol w:w="1083"/>
        <w:gridCol w:w="1080"/>
        <w:gridCol w:w="1395"/>
        <w:gridCol w:w="2730"/>
        <w:gridCol w:w="2051"/>
      </w:tblGrid>
      <w:tr>
        <w:trPr>
          <w:trHeight w:val="668" w:hRule="exact"/>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项目</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校准周期</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明细</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技术指标要求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最少样品数（对）</w:t>
            </w:r>
            <w:r/>
          </w:p>
        </w:tc>
      </w:tr>
      <w:tr>
        <w:trPr>
          <w:trHeight w:val="538" w:hRule="exact"/>
        </w:trPr>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定期校验</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24h</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零点漂移</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不超过±5%F.S</w:t>
            </w:r>
            <w:r/>
          </w:p>
        </w:tc>
        <w:tc>
          <w:tcPr>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ind w:left="0" w:firstLine="0"/>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538" w:hRule="exact"/>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量程漂移</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不超过±5%F.S</w:t>
            </w:r>
            <w:r/>
          </w:p>
        </w:tc>
        <w:tc>
          <w:tcPr>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r>
      <w:tr>
        <w:trPr>
          <w:trHeight w:val="538" w:hRule="exact"/>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7d</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零点漂移</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不超过±5%F.S</w:t>
            </w:r>
            <w:r/>
          </w:p>
        </w:tc>
        <w:tc>
          <w:tcPr>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r>
      <w:tr>
        <w:trPr>
          <w:trHeight w:val="538" w:hRule="exact"/>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量程漂移</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不超过±5%F.S</w:t>
            </w:r>
            <w:r/>
          </w:p>
        </w:tc>
        <w:tc>
          <w:tcPr>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r>
            <w:r/>
          </w:p>
        </w:tc>
      </w:tr>
      <w:tr>
        <w:trPr>
          <w:trHeight w:val="714" w:hRule="exact"/>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定期校验</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6个月</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准确度</w:t>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zh-CN" w:eastAsia="zh-CN" w:bidi="zh-CN"/>
              </w:rPr>
              <w:outlineLvl w:val="9"/>
            </w:pPr>
            <w:r>
              <w:rPr>
                <w:rFonts w:hint="eastAsia" w:ascii="宋体" w:hAnsi="宋体" w:eastAsia="宋体" w:cs="宋体"/>
                <w:color w:val="auto"/>
                <w:sz w:val="24"/>
                <w:szCs w:val="24"/>
                <w:highlight w:val="none"/>
                <w:lang w:val="zh-CN" w:eastAsia="zh-CN" w:bidi="zh-CN"/>
              </w:rPr>
              <w:t xml:space="preserve">相对误差不超过30%</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ind w:left="0" w:firstLine="0"/>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r>
    </w:tbl>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考核要求</w:t>
      </w:r>
      <w:r/>
    </w:p>
    <w:p>
      <w:pPr>
        <w:numPr>
          <w:ilvl w:val="0"/>
          <w:numId w:val="35"/>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运维记录、报告等按照上述技术需求中的内容与时间，交由采购人，报告未按要求提交，则按相关统计数据为零，进行相应扣款。</w:t>
      </w:r>
      <w:r/>
    </w:p>
    <w:p>
      <w:pPr>
        <w:numPr>
          <w:ilvl w:val="0"/>
          <w:numId w:val="35"/>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两率考核：</w:t>
      </w:r>
      <w:r/>
    </w:p>
    <w:p>
      <w:pPr>
        <w:numPr>
          <w:ilvl w:val="0"/>
          <w:numId w:val="36"/>
        </w:num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数据在线率</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根据月报统计结果进行考核，单站设备运行率高于90%(含)时，才能按照以下条款对单站点数据有效率进行考核，低于90%，扣除该站点单月全额运维经费。</w:t>
      </w:r>
      <w:r/>
    </w:p>
    <w:p>
      <w:pPr>
        <w:numPr>
          <w:ilvl w:val="0"/>
          <w:numId w:val="36"/>
        </w:numPr>
        <w:ind w:left="0" w:firstLine="482"/>
        <w:keepLines w:val="0"/>
        <w:keepNext w:val="0"/>
        <w:pageBreakBefore w:val="0"/>
        <w:spacing w:line="48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数据有效率</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单站监测数据有效率高于90%(含)的，支付该站点当月全额运维经费</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单站监测数据有效率在80%(含)-90%的，则按实际有效率*该站点单月全额运维经费支付；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单站点月均有效率＜80%，扣除该站点单月全额运维经费</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备注：因不可抗力原因造成数据缺失的，不计入考核。</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维单位在考核中出现20%站点未达到数据有效性要求的，给予警告；连续2次考核出现20%站点未达到或者单次考核30%以上站点未达到数据有效性要求的，终止运维合同。同一站点连续两个月未达到数据有效性要求的，扣除该站点半年的运维费；连续3个月未达到数据有效性要求的，扣除该站点全年的运维费；连续4个月未达到数据有效性要求的，终止运维合同。</w:t>
      </w:r>
      <w:r/>
    </w:p>
    <w:p>
      <w:pPr>
        <w:ind w:firstLine="480"/>
        <w:jc w:val="both"/>
        <w:keepLines/>
        <w:keepNext/>
        <w:pageBreakBefore w:val="0"/>
        <w:spacing w:before="0" w:after="0" w:line="480" w:lineRule="exact"/>
        <w:widowControl w:val="off"/>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质控方案</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切实可行的质控措施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环境空气质量在线监测系统的运行稳定和监测准确，确保环保主管部门对污染源排放进行科学全面的监管，我公司中标后将严格遵循国家相关规范和技术标准，科学、准确、高效地承担本项目环境空气自动监控系统的运营维护服务。</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val="en-US" w:eastAsia="zh-CN" w:bidi="ar-SA"/>
        </w:rPr>
        <w:outlineLvl w:val="4"/>
      </w:pPr>
      <w:r>
        <w:rPr>
          <w:rFonts w:hint="eastAsia" w:ascii="宋体" w:hAnsi="宋体" w:eastAsia="宋体" w:cs="宋体"/>
          <w:b/>
          <w:bCs/>
          <w:color w:val="auto"/>
          <w:sz w:val="24"/>
          <w:szCs w:val="24"/>
          <w:highlight w:val="none"/>
          <w:lang w:val="en-US" w:eastAsia="zh-CN" w:bidi="ar-SA"/>
        </w:rPr>
        <w:t xml:space="preserve">标准传递</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对用于传递的分析天平、流量计、标准气压表、压力计、真空表、温度计表每年至少1次送国家有关部门进行质量检验和标准传递。</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对标准气象传感器每年至少1次送往国家有关部门进行质量检验和标准传递。</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对用于工作标准的流量计、气压表、压力计和真空表，用经国家有关部门传递过的标准每半年进行1次间接传递。</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对于现场仪器设备中使用的温度显示及控制装置、流量显示及控制装置、气压检测装置和压力检测装置，用工作标准每半年至少进行一次标定。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用于工作标准的臭氧校准仪，如配备光度计，至少每半年使用传递标准进行1次量值传递，如未配备光度计，至少每三个月使用传递标准进行1次量值传递。用作传递标准的臭氧校准仪至少每半年送至有资质的标准传递单位进行1次量值溯源。</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6）对动态校准仪中的质量流量控制器，至少每季度使用标准流量计进行 1 次单点检查，流量误差应≤1%，否则应及时进行校准。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7）对零气发生器中的分子筛、氧化剂、活性炭等气体净化材料进行定期更换，净化材料每6个月至少更换1次。如发现各项目的监测误差和零点漂移明显增大，将查明原因，必要时更换净化材料。</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对于与前面提到校准设备结构不同的内置校准单元，根据仪器设备的使用手册或质量保证手册提出的技术指标及操作要求进行标定或校准。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按仪器使用手册和质量保证手册的技术要求，如需使用上述未提到标准传递方法，也可以采用国内外权威机构认可的标准传递方法，但在操作记录中应注明方法出处。</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eastAsia="zh-CN" w:bidi="ar-SA"/>
        </w:rPr>
        <w:outlineLvl w:val="4"/>
      </w:pPr>
      <w:r>
        <w:rPr>
          <w:rFonts w:hint="eastAsia" w:ascii="宋体" w:hAnsi="宋体" w:eastAsia="宋体" w:cs="宋体"/>
          <w:b/>
          <w:bCs/>
          <w:color w:val="auto"/>
          <w:sz w:val="24"/>
          <w:szCs w:val="24"/>
          <w:highlight w:val="none"/>
          <w:lang w:eastAsia="zh-CN" w:bidi="ar-SA"/>
        </w:rPr>
        <w:t xml:space="preserve">气态污染物精密度审核和准确度审核</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（一）精密度审核</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精密度审核用于对环境空气连续自动监测系统进行外部质量控制，审核人员不从事所审核仪器的日常操作和维护。用于精密度审核的标准物质和相关设备不得用于日常的质量控制。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在精密度审核之前，不能改动监测仪器的任何设置参数，若精密度审核与仪器零/跨调节一起进行时，则要求精密度审核必须在零/跨调节之前进行。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精密度审核时，仪器示值相对标准偏差应≤5%。</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每3个月进行至少一次对每台监测仪器的精密度审核，每年每台监测仪器的精密度审核次数不能少于4次。</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附：精密度校准表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3"/>
        <w:gridCol w:w="1135"/>
        <w:gridCol w:w="2401"/>
        <w:gridCol w:w="2403"/>
      </w:tblGrid>
      <w:tr>
        <w:trPr>
          <w:trHeight w:val="465"/>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点位名称</w:t>
            </w:r>
            <w:r/>
          </w:p>
        </w:tc>
        <w:tc>
          <w:tcPr>
            <w:tcW w:w="1135"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401"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审核日期</w:t>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rHeight w:val="495"/>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仪器型号及编号</w:t>
            </w:r>
            <w:r/>
          </w:p>
        </w:tc>
        <w:tc>
          <w:tcPr>
            <w:tcW w:w="1135"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401"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室内温/湿度</w:t>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rHeight w:val="45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审核时间</w:t>
            </w:r>
            <w:r/>
          </w:p>
        </w:tc>
        <w:tc>
          <w:tcPr>
            <w:tcW w:w="1135"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c>
          <w:tcPr>
            <w:tcW w:w="2401"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标气编号/浓度</w:t>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rHeight w:val="48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审核次数</w:t>
            </w:r>
            <w:r/>
          </w:p>
        </w:tc>
        <w:tc>
          <w:tcPr>
            <w:tcW w:w="1135" w:type="dxa"/>
            <w:vAlign w:val="center"/>
            <w:textDirection w:val="lrTb"/>
            <w:noWrap w:val="false"/>
          </w:tcPr>
          <w:p>
            <w:pPr>
              <w:ind w:left="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标准值</w:t>
            </w:r>
            <w:r/>
          </w:p>
        </w:tc>
        <w:tc>
          <w:tcPr>
            <w:tcW w:w="2401"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仪器响应值</w:t>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相对误差（%）</w:t>
            </w:r>
            <w:r/>
          </w:p>
        </w:tc>
      </w:tr>
      <w:tr>
        <w:trPr>
          <w:trHeight w:val="48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5"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01" w:type="dxa"/>
            <w:vAlign w:val="bottom"/>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8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5"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01" w:type="dxa"/>
            <w:vAlign w:val="bottom"/>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8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35"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01" w:type="dxa"/>
            <w:vAlign w:val="bottom"/>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0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48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标准偏差</w:t>
            </w:r>
            <w:r/>
          </w:p>
        </w:tc>
        <w:tc>
          <w:tcPr>
            <w:gridSpan w:val="3"/>
            <w:tcW w:w="5939"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tc>
      </w:tr>
      <w:tr>
        <w:trPr>
          <w:trHeight w:val="750"/>
        </w:trPr>
        <w:tc>
          <w:tcPr>
            <w:tcW w:w="2583"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c>
          <w:tcPr>
            <w:gridSpan w:val="3"/>
            <w:tcW w:w="5939" w:type="dxa"/>
            <w:vAlign w:val="center"/>
            <w:textDirection w:val="lrTb"/>
            <w:noWrap w:val="false"/>
          </w:tcPr>
          <w:p>
            <w:pPr>
              <w:ind w:left="420" w:firstLine="0"/>
              <w:jc w:val="left"/>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对于SO</w:t>
            </w:r>
            <w:r>
              <w:rPr>
                <w:rFonts w:hint="eastAsia" w:ascii="宋体" w:hAnsi="宋体" w:eastAsia="宋体" w:cs="宋体"/>
                <w:color w:val="auto"/>
                <w:sz w:val="24"/>
                <w:szCs w:val="24"/>
                <w:highlight w:val="none"/>
                <w:vertAlign w:val="sub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、NO 和 O</w:t>
            </w:r>
            <w:r>
              <w:rPr>
                <w:rFonts w:hint="eastAsia" w:ascii="宋体" w:hAnsi="宋体" w:eastAsia="宋体" w:cs="宋体"/>
                <w:color w:val="auto"/>
                <w:sz w:val="24"/>
                <w:szCs w:val="24"/>
                <w:highlight w:val="none"/>
                <w:vertAlign w:val="subscript"/>
                <w:lang w:val="en-US" w:eastAsia="zh-CN" w:bidi="ar-SA"/>
              </w:rPr>
              <w:t xml:space="preserve">3</w:t>
            </w:r>
            <w:r>
              <w:rPr>
                <w:rFonts w:hint="eastAsia" w:ascii="宋体" w:hAnsi="宋体" w:eastAsia="宋体" w:cs="宋体"/>
                <w:color w:val="auto"/>
                <w:sz w:val="24"/>
                <w:szCs w:val="24"/>
                <w:highlight w:val="none"/>
                <w:lang w:val="en-US" w:eastAsia="zh-CN" w:bidi="ar-SA"/>
              </w:rPr>
              <w:t xml:space="preserve">，精密度检查浓度值在80-100ppb选取；对于CO，精密度检查浓度值在8-10ppm选取。</w:t>
            </w:r>
            <w:r/>
          </w:p>
        </w:tc>
      </w:tr>
    </w:tbl>
    <w:p>
      <w:pPr>
        <w:ind w:firstLine="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（二）准确度审核</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准确度审核用于对环境空气连续自动监测系统进行外部质量控制，审核人员不从事所审核仪器的日常操作和维护。用于准确度审核的标准物质和相关设备不得用于日常的质量控制。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在准确度审核之前，不能改动监测仪器的任何设置参数，若准确度审核连同仪器零/跨调节一起进行时，则要求准确度审核必须在零/跨调节之前进行。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每年对每台监测仪器的准确度审核至少1次。</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准确度审核时，仪器示值的平均相对误差≤5%。</w:t>
      </w:r>
      <w:r/>
    </w:p>
    <w:p>
      <w:pPr>
        <w:ind w:firstLine="482"/>
        <w:jc w:val="both"/>
        <w:keepLines/>
        <w:keepNext/>
        <w:pageBreakBefore w:val="0"/>
        <w:spacing w:before="0" w:after="0" w:line="480" w:lineRule="exact"/>
        <w:widowControl w:val="off"/>
        <w:tabs>
          <w:tab w:val="left" w:pos="900" w:leader="none"/>
          <w:tab w:val="left" w:pos="993" w:leader="none"/>
        </w:tabs>
        <w:rPr>
          <w:rFonts w:hint="eastAsia" w:ascii="宋体" w:hAnsi="宋体" w:eastAsia="宋体" w:cs="宋体"/>
          <w:b/>
          <w:bCs/>
          <w:color w:val="auto"/>
          <w:sz w:val="24"/>
          <w:szCs w:val="24"/>
          <w:highlight w:val="none"/>
          <w:lang w:eastAsia="zh-CN" w:bidi="ar-SA"/>
        </w:rPr>
        <w:outlineLvl w:val="4"/>
      </w:pPr>
      <w:r>
        <w:rPr>
          <w:rFonts w:hint="eastAsia" w:ascii="宋体" w:hAnsi="宋体" w:eastAsia="宋体" w:cs="宋体"/>
          <w:b/>
          <w:bCs/>
          <w:color w:val="auto"/>
          <w:sz w:val="24"/>
          <w:szCs w:val="24"/>
          <w:highlight w:val="none"/>
          <w:lang w:eastAsia="zh-CN" w:bidi="ar-SA"/>
        </w:rPr>
        <w:t xml:space="preserve">颗粒物（PM2.5、PM10）采样流量校准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对于用β射线法监测PM</w:t>
      </w:r>
      <w:r>
        <w:rPr>
          <w:rFonts w:hint="eastAsia" w:ascii="宋体" w:hAnsi="宋体" w:eastAsia="宋体" w:cs="宋体"/>
          <w:color w:val="auto"/>
          <w:sz w:val="24"/>
          <w:szCs w:val="24"/>
          <w:highlight w:val="none"/>
          <w:vertAlign w:val="subscript"/>
        </w:rPr>
        <w:t xml:space="preserve">10</w:t>
      </w:r>
      <w:r>
        <w:rPr>
          <w:rFonts w:hint="eastAsia" w:ascii="宋体" w:hAnsi="宋体" w:eastAsia="宋体" w:cs="宋体"/>
          <w:color w:val="auto"/>
          <w:sz w:val="24"/>
          <w:szCs w:val="24"/>
          <w:highlight w:val="none"/>
        </w:rPr>
        <w:t xml:space="preserve"> /PM</w:t>
      </w:r>
      <w:r>
        <w:rPr>
          <w:rFonts w:hint="eastAsia" w:ascii="宋体" w:hAnsi="宋体" w:eastAsia="宋体" w:cs="宋体"/>
          <w:color w:val="auto"/>
          <w:sz w:val="24"/>
          <w:szCs w:val="24"/>
          <w:highlight w:val="none"/>
          <w:vertAlign w:val="subscript"/>
        </w:rPr>
        <w:t xml:space="preserve">2.5</w:t>
      </w:r>
      <w:r>
        <w:rPr>
          <w:rFonts w:hint="eastAsia" w:ascii="宋体" w:hAnsi="宋体" w:eastAsia="宋体" w:cs="宋体"/>
          <w:color w:val="auto"/>
          <w:sz w:val="24"/>
          <w:szCs w:val="24"/>
          <w:highlight w:val="none"/>
        </w:rPr>
        <w:t xml:space="preserve">项目的监测分析仪器，每6个月应进行一次流量校准。每次换滤膜后，检查仪器的采样流量。在有条件时，可同时用标准膜进行标定。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对于PM</w:t>
      </w:r>
      <w:r>
        <w:rPr>
          <w:rFonts w:hint="eastAsia" w:ascii="宋体" w:hAnsi="宋体" w:eastAsia="宋体" w:cs="宋体"/>
          <w:color w:val="auto"/>
          <w:sz w:val="24"/>
          <w:szCs w:val="24"/>
          <w:highlight w:val="none"/>
          <w:vertAlign w:val="subscript"/>
        </w:rPr>
        <w:t xml:space="preserve">10</w:t>
      </w:r>
      <w:r>
        <w:rPr>
          <w:rFonts w:hint="eastAsia" w:ascii="宋体" w:hAnsi="宋体" w:eastAsia="宋体" w:cs="宋体"/>
          <w:color w:val="auto"/>
          <w:sz w:val="24"/>
          <w:szCs w:val="24"/>
          <w:highlight w:val="none"/>
        </w:rPr>
        <w:t xml:space="preserve"> /PM</w:t>
      </w:r>
      <w:r>
        <w:rPr>
          <w:rFonts w:hint="eastAsia" w:ascii="宋体" w:hAnsi="宋体" w:eastAsia="宋体" w:cs="宋体"/>
          <w:color w:val="auto"/>
          <w:sz w:val="24"/>
          <w:szCs w:val="24"/>
          <w:highlight w:val="none"/>
          <w:vertAlign w:val="subscript"/>
        </w:rPr>
        <w:t xml:space="preserve">2.5</w:t>
      </w:r>
      <w:r>
        <w:rPr>
          <w:rFonts w:hint="eastAsia" w:ascii="宋体" w:hAnsi="宋体" w:eastAsia="宋体" w:cs="宋体"/>
          <w:color w:val="auto"/>
          <w:sz w:val="24"/>
          <w:szCs w:val="24"/>
          <w:highlight w:val="none"/>
        </w:rPr>
        <w:t xml:space="preserve">监测仪器：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1）精密度审核采用标准流量计测定监测仪器的工作流量，将流量测定值与监测仪器的设定值比较，来确定仪器的精密度。</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2)准确度审核可采用标准滤膜检测，或与经典的重量法比对方式进行流量审核、气温审核、气压审核、湿度审核。</w:t>
      </w:r>
      <w:r/>
    </w:p>
    <w:p>
      <w:pPr>
        <w:ind w:firstLine="482"/>
        <w:keepLines w:val="0"/>
        <w:keepNext w:val="0"/>
        <w:pageBreakBefore w:val="0"/>
        <w:spacing w:line="480" w:lineRule="exact"/>
        <w:widowControl w:val="off"/>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rPr>
        <w:t xml:space="preserve">四、合同履行期限（服务时间）：自合同签订起二年。</w:t>
      </w:r>
      <w:r/>
    </w:p>
    <w:p>
      <w:pPr>
        <w:ind w:right="0" w:firstLine="482"/>
        <w:keepLines w:val="0"/>
        <w:keepNext w:val="0"/>
        <w:pageBreakBefore w:val="0"/>
        <w:spacing w:line="48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五、服务标准：参考服务标准及规范应当符合以下要求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《环境空气气态污染物 (SO₂、NO₂、O₃、CO) 连续自动监测系统运行和质控技术规范》（HJ 818-2018）</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《环境空气颗粒物 (PM10和 PM2.5) 连续自动监测系统运行和质控技术规范》（HJ 817-2018）</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《环境空气挥发性有机物气相色谱连续监测系统技术要求及检测方法》（HJ 1010-2018）</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《国家环境空气监测网环境空气挥发性有机物连续自动监测质量控制技术规定 (试行)》</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《地表水环境质量标准》（GB 3838-2002）</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《地表水环境质量监测技术规范》（HJ 91.2-2022）</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《污水监测技术规范》（HJ 91.1-2019）</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《国家地表水自动监测站运行管理办法》</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《环境水质监测质量保证手册》</w:t>
      </w:r>
      <w:r/>
    </w:p>
    <w:p>
      <w:pPr>
        <w:ind w:left="0" w:firstLine="482"/>
        <w:keepLines w:val="0"/>
        <w:keepNext w:val="0"/>
        <w:pageBreakBefore w:val="0"/>
        <w:spacing w:line="480" w:lineRule="exact"/>
        <w:widowControl w:val="off"/>
        <w:rPr>
          <w:rFonts w:ascii="黑体" w:hAnsi="黑体" w:eastAsia="宋体" w:cs="Times New Roman"/>
          <w:b/>
          <w:color w:val="auto"/>
          <w:sz w:val="24"/>
          <w:szCs w:val="21"/>
          <w:highlight w:val="none"/>
        </w:rPr>
        <w:outlineLvl w:val="9"/>
      </w:pPr>
      <w:r>
        <w:rPr>
          <w:rFonts w:hint="eastAsia" w:ascii="Times New Roman" w:hAnsi="Times New Roman" w:eastAsia="宋体" w:cs="Times New Roman"/>
          <w:b/>
          <w:bCs/>
          <w:sz w:val="24"/>
          <w:szCs w:val="21"/>
          <w:highlight w:val="none"/>
        </w:rPr>
        <w:t xml:space="preserve">当采购人依据国家或省有关规定和技术文件要求出台新的</w:t>
      </w:r>
      <w:r>
        <w:rPr>
          <w:rFonts w:hint="eastAsia" w:ascii="Times New Roman" w:hAnsi="Times New Roman" w:eastAsia="宋体" w:cs="Times New Roman"/>
          <w:b/>
          <w:bCs/>
          <w:sz w:val="24"/>
          <w:szCs w:val="21"/>
          <w:highlight w:val="none"/>
          <w:lang w:eastAsia="zh-CN"/>
        </w:rPr>
        <w:t xml:space="preserve">自动监测站</w:t>
      </w:r>
      <w:r>
        <w:rPr>
          <w:rFonts w:hint="eastAsia" w:ascii="Times New Roman" w:hAnsi="Times New Roman" w:eastAsia="宋体" w:cs="Times New Roman"/>
          <w:b/>
          <w:bCs/>
          <w:sz w:val="24"/>
          <w:szCs w:val="21"/>
          <w:highlight w:val="none"/>
        </w:rPr>
        <w:t xml:space="preserve">运维要求时，以新要求为准。如文件中有矛盾之处，以后发布的文件为准，采购人保留对文件的解释权。</w:t>
      </w:r>
      <w:r/>
    </w:p>
    <w:p>
      <w:pPr>
        <w:ind w:firstLine="482"/>
        <w:keepLines w:val="0"/>
        <w:keepNext w:val="0"/>
        <w:pageBreakBefore w:val="0"/>
        <w:spacing w:line="480" w:lineRule="exact"/>
        <w:widowControl w:val="off"/>
        <w:rPr>
          <w:rFonts w:ascii="黑体" w:hAnsi="黑体" w:eastAsia="黑体" w:cs="Times New Roman"/>
          <w:b/>
          <w:color w:val="auto"/>
          <w:sz w:val="24"/>
          <w:szCs w:val="21"/>
          <w:highlight w:val="none"/>
        </w:rPr>
      </w:pPr>
      <w:r>
        <w:rPr>
          <w:rFonts w:hint="eastAsia" w:ascii="黑体" w:hAnsi="黑体" w:eastAsia="黑体" w:cs="Times New Roman"/>
          <w:b/>
          <w:color w:val="auto"/>
          <w:sz w:val="24"/>
          <w:szCs w:val="21"/>
          <w:highlight w:val="none"/>
        </w:rPr>
        <w:t xml:space="preserve">六、培训要求</w:t>
      </w:r>
      <w:r/>
    </w:p>
    <w:p>
      <w:pPr>
        <w:ind w:firstLine="480"/>
        <w:keepLines w:val="0"/>
        <w:keepNext w:val="0"/>
        <w:pageBreakBefore w:val="0"/>
        <w:spacing w:line="480" w:lineRule="exact"/>
        <w:widowControl w:val="off"/>
        <w:rPr>
          <w:rFonts w:ascii="黑体" w:hAnsi="黑体" w:eastAsia="黑体" w:cs="Times New Roman"/>
          <w:b/>
          <w:color w:val="auto"/>
          <w:sz w:val="24"/>
          <w:szCs w:val="21"/>
          <w:highlight w:val="none"/>
        </w:rPr>
      </w:pPr>
      <w:r>
        <w:rPr>
          <w:rFonts w:hint="eastAsia" w:ascii="宋体" w:hAnsi="宋体" w:eastAsia="宋体" w:cs="Times New Roman"/>
          <w:color w:val="auto"/>
          <w:sz w:val="24"/>
          <w:szCs w:val="21"/>
          <w:highlight w:val="none"/>
        </w:rPr>
        <w:t xml:space="preserve">投标人应针对本次服务项目制定详细的人员教育培训方案，建立</w:t>
      </w:r>
      <w:r>
        <w:rPr>
          <w:rFonts w:ascii="宋体" w:hAnsi="宋体" w:eastAsia="宋体" w:cs="Times New Roman"/>
          <w:color w:val="auto"/>
          <w:sz w:val="24"/>
          <w:szCs w:val="21"/>
          <w:highlight w:val="none"/>
        </w:rPr>
        <w:t xml:space="preserve">业务培训制度，明确培训</w:t>
      </w:r>
      <w:r>
        <w:rPr>
          <w:rFonts w:hint="eastAsia" w:ascii="宋体" w:hAnsi="宋体" w:eastAsia="宋体" w:cs="Times New Roman"/>
          <w:color w:val="auto"/>
          <w:sz w:val="24"/>
          <w:szCs w:val="21"/>
          <w:highlight w:val="none"/>
        </w:rPr>
        <w:t xml:space="preserve">的</w:t>
      </w:r>
      <w:r>
        <w:rPr>
          <w:rFonts w:ascii="宋体" w:hAnsi="宋体" w:eastAsia="宋体" w:cs="Times New Roman"/>
          <w:color w:val="auto"/>
          <w:sz w:val="24"/>
          <w:szCs w:val="21"/>
          <w:highlight w:val="none"/>
        </w:rPr>
        <w:t xml:space="preserve">方式、内容、时间、频次和记录等要求</w:t>
      </w:r>
      <w:r>
        <w:rPr>
          <w:rFonts w:hint="eastAsia" w:ascii="宋体" w:hAnsi="宋体" w:eastAsia="宋体" w:cs="Times New Roman"/>
          <w:color w:val="auto"/>
          <w:sz w:val="24"/>
          <w:szCs w:val="21"/>
          <w:highlight w:val="none"/>
        </w:rPr>
        <w:t xml:space="preserve">。</w:t>
      </w:r>
      <w:r/>
    </w:p>
    <w:p>
      <w:pPr>
        <w:numPr>
          <w:ilvl w:val="0"/>
          <w:numId w:val="37"/>
        </w:numPr>
        <w:ind w:left="0" w:firstLine="482"/>
        <w:jc w:val="left"/>
        <w:keepLines w:val="0"/>
        <w:keepNext w:val="0"/>
        <w:pageBreakBefore w:val="0"/>
        <w:spacing w:line="480" w:lineRule="exact"/>
        <w:widowControl w:val="off"/>
        <w:rPr>
          <w:rFonts w:ascii="黑体" w:hAnsi="黑体" w:eastAsia="黑体" w:cs="Times New Roman"/>
          <w:b/>
          <w:color w:val="auto"/>
          <w:sz w:val="24"/>
          <w:szCs w:val="21"/>
          <w:highlight w:val="none"/>
        </w:rPr>
      </w:pPr>
      <w:r>
        <w:rPr>
          <w:rFonts w:hint="eastAsia" w:ascii="黑体" w:hAnsi="黑体" w:eastAsia="黑体" w:cs="Times New Roman"/>
          <w:b/>
          <w:color w:val="auto"/>
          <w:sz w:val="24"/>
          <w:szCs w:val="21"/>
          <w:highlight w:val="none"/>
        </w:rPr>
        <w:t xml:space="preserve">考核标准及考核办法</w:t>
      </w:r>
      <w:r/>
    </w:p>
    <w:p>
      <w:pPr>
        <w:ind w:right="40" w:firstLine="480"/>
        <w:keepLines w:val="0"/>
        <w:keepNext w:val="0"/>
        <w:pageBreakBefore w:val="0"/>
        <w:spacing w:line="48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Pr>
        <w:t xml:space="preserve">、</w:t>
      </w:r>
      <w:r>
        <w:rPr>
          <w:rFonts w:ascii="宋体" w:hAnsi="宋体" w:eastAsia="宋体" w:cs="宋体"/>
          <w:color w:val="auto"/>
          <w:sz w:val="24"/>
          <w:szCs w:val="21"/>
          <w:highlight w:val="none"/>
        </w:rPr>
        <w:t xml:space="preserve">每月组织对运维机构进行考核。</w:t>
      </w:r>
      <w:r/>
    </w:p>
    <w:p>
      <w:pPr>
        <w:ind w:right="40" w:firstLine="480"/>
        <w:keepLines w:val="0"/>
        <w:keepNext w:val="0"/>
        <w:pageBreakBefore w:val="0"/>
        <w:spacing w:line="48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rPr>
        <w:t xml:space="preserve">、</w:t>
      </w:r>
      <w:r>
        <w:rPr>
          <w:rFonts w:ascii="宋体" w:hAnsi="宋体" w:eastAsia="宋体" w:cs="宋体"/>
          <w:color w:val="auto"/>
          <w:sz w:val="24"/>
          <w:szCs w:val="21"/>
          <w:highlight w:val="none"/>
        </w:rPr>
        <w:t xml:space="preserve">考核采取百分制、单站考核的方式。</w:t>
      </w:r>
      <w:r/>
    </w:p>
    <w:p>
      <w:pPr>
        <w:ind w:right="40" w:firstLine="480"/>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ascii="宋体" w:hAnsi="宋体" w:eastAsia="宋体" w:cs="宋体"/>
          <w:color w:val="auto"/>
          <w:sz w:val="24"/>
          <w:szCs w:val="21"/>
          <w:highlight w:val="none"/>
        </w:rPr>
        <w:t xml:space="preserve">单站设备在线率高于 80%，数据有效率高于 85%（含），数据质控合格率必须高于 80%。</w:t>
      </w:r>
      <w:r/>
    </w:p>
    <w:p>
      <w:pPr>
        <w:ind w:right="40" w:firstLine="480"/>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ascii="宋体" w:hAnsi="宋体" w:eastAsia="宋体" w:cs="宋体"/>
          <w:color w:val="auto"/>
          <w:sz w:val="24"/>
          <w:szCs w:val="21"/>
          <w:highlight w:val="none"/>
        </w:rPr>
        <w:t xml:space="preserve">运行维护情况由业主组织检查核实，核查内容包括日常运维任务完成情况、异常情况处理情况、站房环境保障效果、采样系统维护效果、仪器日常维护效果、质量控制效果、通讯系统维护效果（数据上传情况）、人员与档案记录管理情况等。</w:t>
      </w:r>
      <w:r/>
    </w:p>
    <w:p>
      <w:pPr>
        <w:ind w:right="40" w:firstLine="480"/>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ascii="宋体" w:hAnsi="宋体" w:eastAsia="宋体" w:cs="宋体"/>
          <w:color w:val="auto"/>
          <w:sz w:val="24"/>
          <w:szCs w:val="21"/>
          <w:highlight w:val="none"/>
        </w:rPr>
        <w:t xml:space="preserve">考核总分低于 80 分的，不予支付该站点当期运维费；绩效考核总分 95（含）分以上的，支付该站点当期全额运维费；绩效考核总分在 80（含）至 95 分的，该站点当期运维费=（实际考核总分/95）×单站点当期全额。</w:t>
      </w:r>
      <w:r/>
    </w:p>
    <w:p>
      <w:pPr>
        <w:ind w:right="40" w:firstLine="480"/>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现场运维检查考核要求，结合实际运维站点情况进行考核如下：</w:t>
      </w:r>
      <w:r/>
    </w:p>
    <w:tbl>
      <w:tblPr>
        <w:tblStyle w:val="725"/>
        <w:tblpPr w:horzAnchor="page" w:tblpX="1619" w:vertAnchor="text" w:tblpY="515" w:leftFromText="180" w:topFromText="0" w:rightFromText="180" w:bottomFromText="0"/>
        <w:tblW w:w="5247" w:type="pct"/>
        <w:jc w:val="center"/>
        <w:tblLayout w:type="fixed"/>
        <w:tblCellMar>
          <w:left w:w="108" w:type="dxa"/>
          <w:top w:w="0" w:type="dxa"/>
          <w:right w:w="108" w:type="dxa"/>
          <w:bottom w:w="0" w:type="dxa"/>
        </w:tblCellMar>
        <w:tblLook w:val="04A0" w:firstRow="1" w:lastRow="0" w:firstColumn="1" w:lastColumn="0" w:noHBand="0" w:noVBand="1"/>
      </w:tblPr>
      <w:tblGrid>
        <w:gridCol w:w="1113"/>
        <w:gridCol w:w="2805"/>
        <w:gridCol w:w="790"/>
        <w:gridCol w:w="3416"/>
        <w:gridCol w:w="819"/>
      </w:tblGrid>
      <w:tr>
        <w:trPr>
          <w:jc w:val="center"/>
          <w:trHeight w:val="540"/>
        </w:trPr>
        <w:tc>
          <w:tcPr>
            <w:shd w:val="clear" w:color="auto" w:fill="auto"/>
            <w:tcBorders>
              <w:top w:val="single" w:color="auto" w:sz="4" w:space="0"/>
              <w:left w:val="single" w:color="auto" w:sz="4" w:space="0"/>
              <w:bottom w:val="single" w:color="auto" w:sz="4" w:space="0"/>
              <w:right w:val="single" w:color="auto" w:sz="4" w:space="0"/>
            </w:tcBorders>
            <w:tcW w:w="622" w:type="pct"/>
            <w:vAlign w:val="center"/>
            <w:textDirection w:val="lrTb"/>
            <w:noWrap w:val="false"/>
          </w:tcPr>
          <w:p>
            <w:pPr>
              <w:jc w:val="cente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检查项目</w:t>
            </w:r>
            <w:r/>
          </w:p>
        </w:tc>
        <w:tc>
          <w:tcPr>
            <w:shd w:val="clear" w:color="auto" w:fill="auto"/>
            <w:tcBorders>
              <w:top w:val="single" w:color="auto" w:sz="4" w:space="0"/>
              <w:left w:val="none" w:color="000000" w:sz="4" w:space="0"/>
              <w:bottom w:val="single" w:color="auto" w:sz="4" w:space="0"/>
              <w:right w:val="single" w:color="auto" w:sz="4" w:space="0"/>
            </w:tcBorders>
            <w:tcW w:w="1568" w:type="pct"/>
            <w:vAlign w:val="center"/>
            <w:textDirection w:val="lrTb"/>
            <w:noWrap w:val="false"/>
          </w:tcPr>
          <w:p>
            <w:pPr>
              <w:jc w:val="cente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检查要点</w:t>
            </w:r>
            <w:r/>
          </w:p>
        </w:tc>
        <w:tc>
          <w:tcPr>
            <w:shd w:val="clear" w:color="auto" w:fill="auto"/>
            <w:tcBorders>
              <w:top w:val="single" w:color="auto" w:sz="4" w:space="0"/>
              <w:left w:val="none" w:color="000000" w:sz="4" w:space="0"/>
              <w:bottom w:val="single" w:color="auto" w:sz="4" w:space="0"/>
              <w:right w:val="single" w:color="auto" w:sz="4" w:space="0"/>
            </w:tcBorders>
            <w:tcW w:w="441" w:type="pct"/>
            <w:vAlign w:val="center"/>
            <w:textDirection w:val="lrTb"/>
            <w:noWrap w:val="false"/>
          </w:tcPr>
          <w:p>
            <w:pPr>
              <w:jc w:val="cente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单项分值</w:t>
            </w:r>
            <w:r/>
          </w:p>
        </w:tc>
        <w:tc>
          <w:tcPr>
            <w:shd w:val="clear" w:color="auto" w:fill="auto"/>
            <w:tcBorders>
              <w:top w:val="single" w:color="auto" w:sz="4" w:space="0"/>
              <w:left w:val="none" w:color="000000" w:sz="4" w:space="0"/>
              <w:bottom w:val="single" w:color="auto" w:sz="4" w:space="0"/>
              <w:right w:val="single" w:color="auto" w:sz="4" w:space="0"/>
            </w:tcBorders>
            <w:tcW w:w="1909" w:type="pct"/>
            <w:vAlign w:val="center"/>
            <w:textDirection w:val="lrTb"/>
            <w:noWrap w:val="false"/>
          </w:tcPr>
          <w:p>
            <w:pPr>
              <w:jc w:val="cente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评分说明</w:t>
            </w:r>
            <w:r/>
          </w:p>
        </w:tc>
        <w:tc>
          <w:tcPr>
            <w:shd w:val="clear" w:color="auto" w:fill="auto"/>
            <w:tcBorders>
              <w:top w:val="single" w:color="auto" w:sz="4" w:space="0"/>
              <w:left w:val="none" w:color="000000" w:sz="4" w:space="0"/>
              <w:bottom w:val="single" w:color="auto" w:sz="4" w:space="0"/>
              <w:right w:val="single" w:color="auto" w:sz="4" w:space="0"/>
            </w:tcBorders>
            <w:tcW w:w="457" w:type="pct"/>
            <w:vAlign w:val="center"/>
            <w:textDirection w:val="lrTb"/>
            <w:noWrap w:val="false"/>
          </w:tcPr>
          <w:p>
            <w:pPr>
              <w:jc w:val="cente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得分</w:t>
            </w:r>
            <w:r/>
          </w:p>
        </w:tc>
      </w:tr>
      <w:tr>
        <w:trPr>
          <w:jc w:val="center"/>
          <w:trHeight w:val="297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vMerge w:val="restart"/>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01站房环境保障情况(10分)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站房环境是否清洁，是否符合监测要求。</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1.站房地面清洁，无杂物。</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2.设备机壳清洁。</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3.仪器设备排风扇、滤网清洁。</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4.机柜顶板到底板。</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5.工控机排风扇、滤网。</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6.采样泵表面，空压机表面，标气瓶和支架。</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7.总采样管排气扇管内清洗。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8.采总样管管内清洗、防雨罩清洗。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9.站房排气风扇是否正常。</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10.空调表面和滤尘网。</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站房温度是否控制在25±5℃，相对湿度控制在80%以下）</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1.温度在范围</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2.湿度不超范围</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81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防水、防雷、供电是否满足规范要求，是否具备外接电源，其他基础设施是否满足监测要求。</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1.用电安全</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2.站房是否存在漏水</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3.防雷</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81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vMerge w:val="restart"/>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02采样系统维护 效果（12分）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采样口距离地面、房顶高度、周围空间是否符合规范要求</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1.采样口距离围墙是否超出50公分，周边是否360度开阔</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2.站房高度是否在3--18米范围</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采样总管和采样支管材质是否满足规范要求</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1.材质为聚四氟乙烯或硼硅酸盐玻璃材料</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2.总管与支管接头是聚四氟乙烯材质</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35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采样系统清洁程度：采样头、采样管道是否清洁，有无积灰、积水或障碍物，采样风机是否正常工作</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1．风扇排气管管内清洗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2．采样总管管内清洗、防雨罩清洗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3．排气风扇风叶清洗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4.采样管采样支管接头清洗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5.VOC采样管脏立即更换</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监测仪器与支管接头连接的管线长度是否小于3m</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接头和采样管是否松动、采样管距离设备是否小于3米。</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81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采样管路联接是否规范，是否避免被空调直吹</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1.采样管路布置整齐、线路整齐避免蜘蛛网混乱</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2.空调是否直吹采样杆</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采样总管是否有加热装置，加热功能是否正常</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1.采样管是否有动态加热装置</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2.动态加热装置是否加热正常</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81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vMerge w:val="restart"/>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03仪器日常维护效果（8分）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仪器工作状态是否正常，是否存在报警信息 </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1.设备运行是否正常 </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2.设备参数有无报警项，对报警项是否做 出处理</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仪器过滤膜是否及时更换，散热风扇是否及时清洗</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采样滤膜是否定期更换</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散热风扇有无集尘，是否清晰</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氢气发生器、零气发生器相关耗材是否及时更换</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1.零气发生器耗材是否及时更换并记录</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2.氢气发生器硅胶是否及时更换并记录</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采样泵相关耗材是否及时更换</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1.根据现场情况而定</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62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vMerge w:val="restart"/>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04质量控制效果（20分）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动态校准仪质量流量控制器（MFC）单点流量测试（要求相对误差≤±2%）：</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零气MFC流量： L/min，标准流量计测值：  L/min，相对误差： %</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标气MFC流量： ml/min，标准流量计测值：mL，相对误差： %</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1.零气流量超误差范围</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2.标气流量超误差范围</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3.是否有流量单点检查、多点校准记录</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08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VOC污染物采样流量测试（要求相对误差≤±10%）：</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GC-FID显示流量： L/min，标准流量计测值： L/min，相对误差： %</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1.流量是否在相对误差范围内</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2.日常是否有流量检查记录，若流量不符要求，是否校正</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08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GC-FID按规范完成每日、每周、每月、每季度、每半年、每年运维要求</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1.按规范保质保量完成运维要求</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2.当仪器多次未达标时，是否有及时采取措施</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3.是否定期更换配件、耗材及记录</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350"/>
        </w:trPr>
        <w:tc>
          <w:tcPr>
            <w:tcBorders>
              <w:top w:val="none" w:color="000000" w:sz="4" w:space="0"/>
              <w:left w:val="single" w:color="auto" w:sz="4" w:space="0"/>
              <w:bottom w:val="single" w:color="auto" w:sz="4" w:space="0"/>
              <w:right w:val="single" w:color="auto" w:sz="4" w:space="0"/>
            </w:tcBorders>
            <w:tcW w:w="622" w:type="pct"/>
            <w:vAlign w:val="center"/>
            <w:vMerge w:val="continue"/>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用于校准的设备（流量计、温度计、大气压计）是否每年通过国家计量检定，标准气体是否在有效期内使用。</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1.站房温湿度计、大气压计是否有检定证书，若无及时检定</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2.标气是否符合国家要求，标气是否在有效期</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3.流量计有无检定证书</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05通讯系统维护效果（3分）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能否正常采集上报数据</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不正常立即配合完成</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54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06运维人员要求（2分）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运维人员是否持证上岗</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积极考证</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08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07档案记录（10分）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是否按照规范要求填写运维记录，记录是否规范和齐全</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1.记录书写工整，笔迹一致，填错按要</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求修改</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2.设备信息和参数记录要详细完整</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3.运维人员签字、复核签字</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89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08运维工作完成情况（20分)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是否按照运维要求完成当月运维工作</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1.周记录，月记录，季度记录，半年记录是否完整或未作</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2.记录内容和时间段能与电脑质控相符，有据可查 </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3.涉及到需计算的记录都要计算</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4.设备不满足性能要求及时维修或更换</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5.有无更换标气、耗材、配件记录</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189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09异常情况处理情况（15分）</w:t>
            </w:r>
            <w:r/>
          </w:p>
        </w:tc>
        <w:tc>
          <w:tcPr>
            <w:shd w:val="clear" w:color="auto" w:fill="auto"/>
            <w:tcBorders>
              <w:top w:val="none" w:color="000000" w:sz="4" w:space="0"/>
              <w:left w:val="none" w:color="000000" w:sz="4" w:space="0"/>
              <w:bottom w:val="single" w:color="auto" w:sz="4" w:space="0"/>
              <w:right w:val="single" w:color="auto" w:sz="4" w:space="0"/>
            </w:tcBorders>
            <w:tcW w:w="1568"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是否及时处理异常情况的（如故障应急处理等）</w:t>
            </w:r>
            <w:r/>
          </w:p>
        </w:tc>
        <w:tc>
          <w:tcPr>
            <w:shd w:val="clear" w:color="auto" w:fill="auto"/>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center"/>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09" w:type="pct"/>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1.包括停电记录</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2.现场维修，有故障时及时应急，及时完成维修</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3.更换备机和备机故障及时维修</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4.提前两个月申购常用配件、标气、耗材情况，避免发生故障无配件可用。</w:t>
            </w:r>
            <w:r/>
          </w:p>
          <w:p>
            <w:pPr>
              <w:jc w:val="left"/>
              <w:keepLines w:val="0"/>
              <w:keepNext w:val="0"/>
              <w:pageBreakBefore w:val="0"/>
              <w:spacing w:line="40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5.日常仪器维护情况和预防性维护情况</w:t>
            </w:r>
            <w:r/>
          </w:p>
        </w:tc>
        <w:tc>
          <w:tcPr>
            <w:shd w:val="clear" w:color="auto" w:fill="auto"/>
            <w:tcBorders>
              <w:top w:val="none" w:color="000000" w:sz="4" w:space="0"/>
              <w:left w:val="none" w:color="000000" w:sz="4" w:space="0"/>
              <w:bottom w:val="single" w:color="auto" w:sz="4" w:space="0"/>
              <w:right w:val="single" w:color="auto" w:sz="4" w:space="0"/>
            </w:tcBorders>
            <w:tcW w:w="457"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22" w:type="pct"/>
            <w:vAlign w:val="center"/>
            <w:textDirection w:val="lrTb"/>
            <w:noWrap w:val="false"/>
          </w:tcPr>
          <w:p>
            <w:pPr>
              <w:jc w:val="left"/>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考核要求</w:t>
            </w:r>
            <w:r/>
          </w:p>
        </w:tc>
        <w:tc>
          <w:tcPr>
            <w:gridSpan w:val="4"/>
            <w:shd w:val="clear" w:color="auto" w:fill="auto"/>
            <w:tcBorders>
              <w:top w:val="single" w:color="auto" w:sz="4" w:space="0"/>
              <w:left w:val="none" w:color="000000" w:sz="4" w:space="0"/>
              <w:bottom w:val="single" w:color="auto" w:sz="4" w:space="0"/>
              <w:right w:val="single" w:color="auto" w:sz="4" w:space="0"/>
            </w:tcBorders>
            <w:tcW w:w="4377" w:type="pct"/>
            <w:vAlign w:val="center"/>
            <w:textDirection w:val="lrTb"/>
            <w:noWrap/>
          </w:tcPr>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每月现场运维检查得分在95（包括95）分以上，可酌情考虑奖励</w:t>
            </w:r>
            <w:r/>
          </w:p>
        </w:tc>
      </w:tr>
    </w:tbl>
    <w:p>
      <w:pPr>
        <w:jc w:val="left"/>
        <w:keepLines w:val="0"/>
        <w:keepNext w:val="0"/>
        <w:pageBreakBefore w:val="0"/>
        <w:spacing w:line="480" w:lineRule="exact"/>
        <w:widowControl w:val="off"/>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keepLines w:val="0"/>
        <w:keepNext w:val="0"/>
        <w:pageBreakBefore w:val="0"/>
        <w:spacing w:line="480" w:lineRule="exact"/>
        <w:widowControl w:val="off"/>
        <w:rPr>
          <w:rFonts w:ascii="黑体" w:hAnsi="黑体" w:eastAsia="黑体" w:cs="Times New Roman"/>
          <w:b/>
          <w:color w:val="auto"/>
          <w:sz w:val="24"/>
          <w:szCs w:val="21"/>
          <w:highlight w:val="none"/>
        </w:rPr>
      </w:pPr>
      <w:r>
        <w:rPr>
          <w:rFonts w:hint="eastAsia" w:ascii="黑体" w:hAnsi="黑体" w:eastAsia="黑体" w:cs="Times New Roman"/>
          <w:b/>
          <w:color w:val="auto"/>
          <w:sz w:val="24"/>
          <w:szCs w:val="21"/>
          <w:highlight w:val="none"/>
        </w:rPr>
        <w:t xml:space="preserve">八、履约验收</w:t>
      </w:r>
      <w:r/>
    </w:p>
    <w:p>
      <w:pPr>
        <w:ind w:firstLine="480"/>
        <w:keepLines w:val="0"/>
        <w:keepNext w:val="0"/>
        <w:pageBreakBefore w:val="0"/>
        <w:spacing w:before="0" w:after="0" w:line="480" w:lineRule="exact"/>
        <w:widowControl w:val="off"/>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1、验收主体：采购人； </w:t>
      </w:r>
      <w:r/>
    </w:p>
    <w:p>
      <w:pPr>
        <w:ind w:firstLine="480"/>
        <w:keepLines w:val="0"/>
        <w:keepNext w:val="0"/>
        <w:pageBreakBefore w:val="0"/>
        <w:spacing w:before="0" w:after="0" w:line="480" w:lineRule="exact"/>
        <w:widowControl w:val="off"/>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2、验收程序：由采购人组织中标人开展验收工作，验收完成共同签署项目验收单； </w:t>
      </w:r>
      <w:r/>
    </w:p>
    <w:p>
      <w:pPr>
        <w:ind w:firstLine="480"/>
        <w:keepLines w:val="0"/>
        <w:keepNext w:val="0"/>
        <w:pageBreakBefore w:val="0"/>
        <w:spacing w:before="0" w:after="0" w:line="480" w:lineRule="exact"/>
        <w:widowControl w:val="off"/>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3、验收内容：采购文件中的全部内容； </w:t>
      </w:r>
      <w:r/>
    </w:p>
    <w:p>
      <w:pPr>
        <w:ind w:firstLine="480"/>
        <w:keepLines w:val="0"/>
        <w:keepNext w:val="0"/>
        <w:pageBreakBefore w:val="0"/>
        <w:spacing w:before="0" w:after="0" w:line="480" w:lineRule="exact"/>
        <w:widowControl w:val="off"/>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 xml:space="preserve">4、验收标准：规划设计需符合国家、省、市相关规范与要求。设计方案科学、合理，满足可持续性发展的要求，并充分考虑甲方意见，达到合格。</w:t>
      </w:r>
      <w:r/>
    </w:p>
    <w:p>
      <w:pPr>
        <w:keepLines w:val="0"/>
        <w:keepNext w:val="0"/>
        <w:pageBreakBefore w:val="0"/>
        <w:spacing w:line="480" w:lineRule="exact"/>
        <w:widowControl w:val="off"/>
        <w:rPr>
          <w:rFonts w:ascii="黑体" w:hAnsi="黑体" w:eastAsia="黑体" w:cs="Times New Roman"/>
          <w:b/>
          <w:color w:val="auto"/>
          <w:sz w:val="24"/>
          <w:szCs w:val="21"/>
          <w:highlight w:val="none"/>
        </w:rPr>
      </w:pPr>
      <w:r>
        <w:rPr>
          <w:rFonts w:hint="eastAsia" w:ascii="黑体" w:hAnsi="黑体" w:eastAsia="黑体" w:cs="Times New Roman"/>
          <w:b/>
          <w:color w:val="auto"/>
          <w:sz w:val="24"/>
          <w:szCs w:val="21"/>
          <w:highlight w:val="none"/>
        </w:rPr>
        <w:t xml:space="preserve">九、付款方式与履约保证金</w:t>
      </w:r>
      <w:r/>
    </w:p>
    <w:p>
      <w:pPr>
        <w:ind w:firstLine="480"/>
        <w:keepLines w:val="0"/>
        <w:keepNext w:val="0"/>
        <w:pageBreakBefore w:val="0"/>
        <w:spacing w:line="480" w:lineRule="exact"/>
        <w:widowControl w:val="off"/>
        <w:rPr>
          <w:rFonts w:ascii="Times New Roman" w:hAnsi="Times New Roman" w:eastAsia="宋体" w:cs="Times New Roman"/>
          <w:b w:val="0"/>
          <w:bCs w:val="0"/>
          <w:i/>
          <w:iCs/>
          <w:color w:val="auto"/>
          <w:sz w:val="24"/>
          <w:szCs w:val="21"/>
          <w:highlight w:val="none"/>
          <w:u w:val="single"/>
        </w:rPr>
      </w:pPr>
      <w:r>
        <w:rPr>
          <w:rFonts w:hint="eastAsia" w:ascii="Times New Roman" w:hAnsi="Times New Roman" w:eastAsia="宋体" w:cs="Times New Roman"/>
          <w:b w:val="0"/>
          <w:bCs w:val="0"/>
          <w:i/>
          <w:iCs/>
          <w:color w:val="auto"/>
          <w:sz w:val="24"/>
          <w:szCs w:val="21"/>
          <w:highlight w:val="none"/>
          <w:u w:val="single"/>
        </w:rPr>
        <w:t xml:space="preserve">1、付款方式</w:t>
      </w:r>
      <w:r/>
    </w:p>
    <w:p>
      <w:pPr>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b w:val="0"/>
          <w:bCs w:val="0"/>
          <w:i/>
          <w:iCs/>
          <w:color w:val="auto"/>
          <w:sz w:val="24"/>
          <w:szCs w:val="21"/>
          <w:highlight w:val="none"/>
          <w:u w:val="single"/>
          <w:lang w:val="en-US" w:eastAsia="zh-CN" w:bidi="ar-SA"/>
        </w:rPr>
      </w:pPr>
      <w:r>
        <w:rPr>
          <w:rFonts w:hint="eastAsia" w:ascii="宋体" w:hAnsi="宋体" w:eastAsia="宋体" w:cs="宋体"/>
          <w:b w:val="0"/>
          <w:bCs w:val="0"/>
          <w:i/>
          <w:iCs/>
          <w:color w:val="auto"/>
          <w:sz w:val="24"/>
          <w:szCs w:val="21"/>
          <w:highlight w:val="none"/>
          <w:u w:val="single"/>
          <w:lang w:val="en-US" w:eastAsia="zh-CN" w:bidi="ar-SA"/>
        </w:rPr>
        <w:t xml:space="preserve">本合同服务期共两年，合同款项每半年支付一次。每半年服务期满，经甲方对乙方进行考核合格，且收到乙方开具的合法等额发票后15个工作日内，甲方支付合同总价款的25%，作为半年度服务款。</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2、履约保证金</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本项目不收取履约保证金。</w:t>
      </w:r>
      <w:r/>
    </w:p>
    <w:p>
      <w:pPr>
        <w:keepLines w:val="0"/>
        <w:keepNext w:val="0"/>
        <w:pageBreakBefore w:val="0"/>
        <w:spacing w:line="480" w:lineRule="exact"/>
        <w:widowControl w:val="off"/>
        <w:rPr>
          <w:rFonts w:ascii="黑体" w:hAnsi="黑体" w:eastAsia="黑体" w:cs="Times New Roman"/>
          <w:b/>
          <w:i/>
          <w:iCs/>
          <w:color w:val="auto"/>
          <w:sz w:val="24"/>
          <w:szCs w:val="21"/>
          <w:highlight w:val="none"/>
          <w:u w:val="single"/>
        </w:rPr>
      </w:pPr>
      <w:r>
        <w:rPr>
          <w:rFonts w:hint="eastAsia" w:ascii="黑体" w:hAnsi="黑体" w:eastAsia="黑体" w:cs="Times New Roman"/>
          <w:b/>
          <w:i/>
          <w:iCs/>
          <w:color w:val="auto"/>
          <w:sz w:val="24"/>
          <w:szCs w:val="21"/>
          <w:highlight w:val="none"/>
          <w:u w:val="single"/>
        </w:rPr>
        <w:t xml:space="preserve">十、报价要求</w:t>
      </w:r>
      <w:r/>
    </w:p>
    <w:p>
      <w:pPr>
        <w:numPr>
          <w:ilvl w:val="0"/>
          <w:numId w:val="0"/>
        </w:numPr>
        <w:ind w:firstLine="480"/>
        <w:keepLines w:val="0"/>
        <w:keepNext w:val="0"/>
        <w:pageBreakBefore w:val="0"/>
        <w:spacing w:line="480" w:lineRule="exact"/>
        <w:widowControl w:val="off"/>
        <w:rPr>
          <w:rFonts w:ascii="Times New Roman" w:hAnsi="Times New Roman" w:eastAsia="宋体" w:cs="Times New Roman"/>
          <w:b w:val="0"/>
          <w:bCs w:val="0"/>
          <w:color w:val="auto"/>
          <w:szCs w:val="21"/>
          <w:highlight w:val="none"/>
        </w:rPr>
      </w:pPr>
      <w:r>
        <w:rPr>
          <w:rFonts w:hint="eastAsia" w:ascii="宋体" w:hAnsi="宋体" w:eastAsia="宋体" w:cs="宋体"/>
          <w:b w:val="0"/>
          <w:bCs w:val="0"/>
          <w:i/>
          <w:iCs/>
          <w:color w:val="auto"/>
          <w:sz w:val="24"/>
          <w:szCs w:val="21"/>
          <w:highlight w:val="none"/>
          <w:u w:val="single"/>
        </w:rPr>
        <w:t xml:space="preserve">投标报价包含本项目有关的所有费用，包括维修费、税费、人工费、零配件费、交通费、维保费等与本合同标的相关的所有费用，除本合同另有约定外采购人无需再向中标人支付任何其他费用。</w:t>
      </w:r>
      <w:r/>
    </w:p>
    <w:p>
      <w:pPr>
        <w:keepLines w:val="0"/>
        <w:keepNext w:val="0"/>
        <w:pageBreakBefore w:val="0"/>
        <w:spacing w:line="480" w:lineRule="exact"/>
        <w:widowControl w:val="off"/>
        <w:rPr>
          <w:rFonts w:ascii="黑体" w:hAnsi="黑体" w:eastAsia="黑体" w:cs="Times New Roman"/>
          <w:b/>
          <w:color w:val="auto"/>
          <w:sz w:val="24"/>
          <w:szCs w:val="21"/>
          <w:highlight w:val="none"/>
        </w:rPr>
      </w:pPr>
      <w:r>
        <w:rPr>
          <w:rFonts w:hint="eastAsia" w:ascii="黑体" w:hAnsi="黑体" w:eastAsia="黑体" w:cs="Times New Roman"/>
          <w:b/>
          <w:color w:val="auto"/>
          <w:sz w:val="24"/>
          <w:szCs w:val="21"/>
          <w:highlight w:val="none"/>
        </w:rPr>
        <w:t xml:space="preserve">十一、其他</w:t>
      </w:r>
      <w:r/>
    </w:p>
    <w:p>
      <w:pPr>
        <w:ind w:firstLine="480"/>
        <w:spacing w:line="360" w:lineRule="auto"/>
        <w:rPr>
          <w:rFonts w:hint="eastAsia" w:ascii="Times New Roman" w:hAnsi="Times New Roman" w:eastAsia="宋体" w:cs="Times New Roman"/>
          <w:color w:val="auto"/>
          <w:sz w:val="24"/>
          <w:szCs w:val="21"/>
          <w:highlight w:val="none"/>
        </w:rPr>
      </w:pPr>
      <w:r>
        <w:rPr>
          <w:rFonts w:hint="eastAsia" w:ascii="宋体" w:hAnsi="宋体" w:eastAsia="宋体" w:cs="Times New Roman"/>
          <w:sz w:val="24"/>
          <w:szCs w:val="24"/>
          <w:highlight w:val="none"/>
        </w:rPr>
        <w:t xml:space="preserve">本项目报价不得超过预算价（最高限价）。</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特别提醒投标人：应根据国家收费标准并结合市场实际进行报价，总价包干。</w:t>
      </w:r>
      <w:r/>
    </w:p>
    <w:p>
      <w:pPr>
        <w:ind w:firstLine="480"/>
        <w:jc w:val="both"/>
        <w:keepLines w:val="0"/>
        <w:keepNext w:val="0"/>
        <w:pageBreakBefore w:val="0"/>
        <w:spacing w:before="0" w:after="0" w:line="480" w:lineRule="exact"/>
        <w:widowControl w:val="off"/>
        <w:tabs>
          <w:tab w:val="left" w:pos="843" w:leader="none"/>
        </w:tabs>
        <w:rPr>
          <w:rFonts w:hint="eastAsia" w:ascii="Times New Roman" w:hAnsi="Times New Roman" w:eastAsia="宋体" w:cs="Times New Roman"/>
          <w:color w:val="auto"/>
          <w:sz w:val="22"/>
          <w:szCs w:val="22"/>
          <w:highlight w:val="none"/>
          <w:lang w:val="zh-TW" w:eastAsia="zh-CN" w:bidi="zh-TW"/>
        </w:rPr>
      </w:pPr>
      <w:r>
        <w:rPr>
          <w:rFonts w:hint="eastAsia" w:ascii="宋体" w:hAnsi="宋体" w:eastAsia="宋体" w:cs="宋体"/>
          <w:color w:val="auto"/>
          <w:sz w:val="24"/>
          <w:szCs w:val="22"/>
          <w:highlight w:val="none"/>
          <w:lang w:val="zh-TW" w:eastAsia="zh-TW" w:bidi="zh-TW"/>
        </w:rPr>
        <w:t xml:space="preserve">工作中涉及的敏感资料、电子数据等相关信息，中标供应商应严格执行保密的相关规定，不得以任何方式向任何第三人披露、泄露或许可第三人使用，否则追究其相应法律责任</w:t>
      </w:r>
      <w:r>
        <w:rPr>
          <w:rFonts w:hint="eastAsia" w:ascii="宋体" w:hAnsi="宋体" w:eastAsia="宋体" w:cs="宋体"/>
          <w:color w:val="auto"/>
          <w:sz w:val="24"/>
          <w:szCs w:val="22"/>
          <w:highlight w:val="none"/>
          <w:lang w:val="zh-TW" w:eastAsia="zh-CN" w:bidi="zh-TW"/>
        </w:rPr>
        <w:t xml:space="preserve">。</w:t>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pStyle w:val="721"/>
        <w:jc w:val="center"/>
        <w:spacing w:line="360" w:lineRule="auto"/>
        <w:rPr>
          <w:rFonts w:ascii="黑体" w:hAnsi="黑体" w:eastAsia="黑体"/>
          <w:sz w:val="24"/>
          <w:szCs w:val="24"/>
          <w:highlight w:val="none"/>
        </w:rPr>
      </w:pPr>
      <w:r/>
      <w:bookmarkStart w:id="4" w:name="_Toc163482577"/>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4"/>
      <w:r/>
      <w:r/>
    </w:p>
    <w:p>
      <w:pPr>
        <w:ind w:firstLine="482"/>
        <w:jc w:val="left"/>
        <w:keepLines w:val="0"/>
        <w:keepNext w:val="0"/>
        <w:pageBreakBefore w:val="0"/>
        <w:spacing w:line="480" w:lineRule="exact"/>
        <w:widowControl w:val="off"/>
        <w:rPr>
          <w:rFonts w:ascii="宋体" w:hAnsi="宋体"/>
          <w:b/>
          <w:sz w:val="24"/>
          <w:szCs w:val="24"/>
          <w:highlight w:val="none"/>
        </w:rPr>
      </w:pPr>
      <w:r>
        <w:rPr>
          <w:rFonts w:hint="eastAsia" w:ascii="宋体" w:hAnsi="宋体"/>
          <w:b/>
          <w:sz w:val="24"/>
          <w:szCs w:val="24"/>
          <w:highlight w:val="none"/>
        </w:rPr>
        <w:t xml:space="preserve">一、评标方法</w:t>
      </w:r>
      <w:r/>
    </w:p>
    <w:p>
      <w:pPr>
        <w:ind w:firstLine="480"/>
        <w:jc w:val="left"/>
        <w:keepLines w:val="0"/>
        <w:keepNext w:val="0"/>
        <w:pageBreakBefore w:val="0"/>
        <w:spacing w:line="480" w:lineRule="exact"/>
        <w:widowControl w:val="off"/>
        <w:rPr>
          <w:rFonts w:hint="eastAsia"/>
          <w:sz w:val="24"/>
          <w:szCs w:val="24"/>
          <w:highlight w:val="none"/>
        </w:rPr>
      </w:pPr>
      <w:r>
        <w:rPr>
          <w:rFonts w:hint="eastAsia"/>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jc w:val="left"/>
        <w:keepLines w:val="0"/>
        <w:keepNext w:val="0"/>
        <w:pageBreakBefore w:val="0"/>
        <w:spacing w:line="480" w:lineRule="exact"/>
        <w:widowControl w:val="off"/>
        <w:rPr>
          <w:rFonts w:hint="eastAsia" w:ascii="宋体" w:hAnsi="宋体"/>
          <w:b/>
          <w:sz w:val="24"/>
          <w:szCs w:val="24"/>
          <w:highlight w:val="none"/>
        </w:rPr>
      </w:pPr>
      <w:r>
        <w:rPr>
          <w:rFonts w:hint="eastAsia" w:ascii="宋体" w:hAnsi="宋体"/>
          <w:b/>
          <w:sz w:val="24"/>
          <w:szCs w:val="24"/>
          <w:highlight w:val="none"/>
          <w:lang w:val="en-US" w:eastAsia="zh-CN"/>
        </w:rPr>
        <w:t xml:space="preserve">二</w:t>
      </w:r>
      <w:r>
        <w:rPr>
          <w:rFonts w:hint="eastAsia" w:ascii="宋体" w:hAnsi="宋体"/>
          <w:b/>
          <w:sz w:val="24"/>
          <w:szCs w:val="24"/>
          <w:highlight w:val="none"/>
        </w:rPr>
        <w:t xml:space="preserve">、评标原则</w:t>
      </w:r>
      <w:r/>
    </w:p>
    <w:p>
      <w:pPr>
        <w:ind w:firstLine="480"/>
        <w:jc w:val="left"/>
        <w:keepLines w:val="0"/>
        <w:keepNext w:val="0"/>
        <w:pageBreakBefore w:val="0"/>
        <w:spacing w:line="480" w:lineRule="exact"/>
        <w:widowControl w:val="off"/>
        <w:rPr>
          <w:rFonts w:hint="eastAsia"/>
          <w:sz w:val="24"/>
          <w:szCs w:val="24"/>
          <w:highlight w:val="none"/>
        </w:rPr>
      </w:pPr>
      <w:r>
        <w:rPr>
          <w:rFonts w:hint="eastAsia"/>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keepLines w:val="0"/>
        <w:keepNext w:val="0"/>
        <w:pageBreakBefore w:val="0"/>
        <w:spacing w:line="480" w:lineRule="exact"/>
        <w:widowControl w:val="off"/>
        <w:rPr>
          <w:rFonts w:ascii="宋体" w:hAnsi="宋体"/>
          <w:b/>
          <w:sz w:val="24"/>
          <w:szCs w:val="24"/>
          <w:highlight w:val="none"/>
        </w:rPr>
      </w:pPr>
      <w:r>
        <w:rPr>
          <w:rFonts w:hint="eastAsia" w:ascii="宋体" w:hAnsi="宋体"/>
          <w:b/>
          <w:sz w:val="24"/>
          <w:szCs w:val="24"/>
          <w:highlight w:val="none"/>
          <w:lang w:val="en-US" w:eastAsia="zh-CN"/>
        </w:rPr>
        <w:t xml:space="preserve">三</w:t>
      </w:r>
      <w:r>
        <w:rPr>
          <w:rFonts w:ascii="宋体" w:hAnsi="宋体"/>
          <w:b/>
          <w:sz w:val="24"/>
          <w:szCs w:val="24"/>
          <w:highlight w:val="none"/>
        </w:rPr>
        <w:t xml:space="preserve">、评标标准</w:t>
      </w:r>
      <w:r/>
    </w:p>
    <w:p>
      <w:pPr>
        <w:ind w:firstLine="480"/>
        <w:jc w:val="left"/>
        <w:keepLines w:val="0"/>
        <w:keepNext w:val="0"/>
        <w:pageBreakBefore w:val="0"/>
        <w:spacing w:line="480" w:lineRule="exact"/>
        <w:widowControl w:val="off"/>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w:t>
      </w:r>
      <w:r/>
    </w:p>
    <w:p>
      <w:pPr>
        <w:ind w:firstLine="480"/>
        <w:jc w:val="left"/>
        <w:keepLines w:val="0"/>
        <w:keepNext w:val="0"/>
        <w:pageBreakBefore w:val="0"/>
        <w:spacing w:line="480" w:lineRule="exact"/>
        <w:widowControl w:val="off"/>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keepLines w:val="0"/>
        <w:keepNext w:val="0"/>
        <w:pageBreakBefore w:val="0"/>
        <w:spacing w:line="480" w:lineRule="exact"/>
        <w:widowControl w:val="off"/>
        <w:rPr>
          <w:rFonts w:hint="eastAsia"/>
          <w:sz w:val="24"/>
          <w:szCs w:val="24"/>
          <w:highlight w:val="none"/>
        </w:rPr>
      </w:pPr>
      <w:r>
        <w:rPr>
          <w:rFonts w:hint="eastAsia"/>
          <w:sz w:val="24"/>
          <w:szCs w:val="24"/>
          <w:highlight w:val="none"/>
        </w:rPr>
        <w:t xml:space="preserve">（3）总得分=价格分+商务技术分。</w:t>
      </w:r>
      <w:r/>
    </w:p>
    <w:p>
      <w:pPr>
        <w:ind w:firstLine="480"/>
        <w:jc w:val="left"/>
        <w:keepLines w:val="0"/>
        <w:keepNext w:val="0"/>
        <w:pageBreakBefore w:val="0"/>
        <w:spacing w:line="480" w:lineRule="exact"/>
        <w:widowControl w:val="off"/>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4）中标标准：</w:t>
      </w:r>
      <w:r>
        <w:rPr>
          <w:rFonts w:hint="eastAsia"/>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sz w:val="24"/>
          <w:szCs w:val="24"/>
          <w:highlight w:val="none"/>
        </w:rPr>
        <w:t xml:space="preserve">推荐</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名中标候选人</w:t>
      </w:r>
      <w:r>
        <w:rPr>
          <w:rFonts w:hint="eastAsia"/>
          <w:sz w:val="24"/>
          <w:szCs w:val="24"/>
          <w:highlight w:val="none"/>
        </w:rPr>
        <w:t xml:space="preserve">。</w:t>
      </w:r>
      <w:r/>
    </w:p>
    <w:p>
      <w:pPr>
        <w:jc w:val="center"/>
        <w:keepLines w:val="0"/>
        <w:keepNext w:val="0"/>
        <w:pageBreakBefore w:val="0"/>
        <w:spacing w:line="480" w:lineRule="exact"/>
        <w:widowControl w:val="off"/>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keepLines w:val="0"/>
        <w:keepNext w:val="0"/>
        <w:pageBreakBefore w:val="0"/>
        <w:spacing w:line="480" w:lineRule="exact"/>
        <w:widowControl w:val="off"/>
        <w:rPr>
          <w:b/>
          <w:sz w:val="24"/>
          <w:szCs w:val="24"/>
          <w:highlight w:val="none"/>
        </w:rPr>
      </w:pPr>
      <w:r>
        <w:rPr>
          <w:rFonts w:hint="eastAsia" w:ascii="宋体" w:hAnsi="宋体" w:eastAsia="宋体" w:cs="宋体"/>
          <w:b/>
          <w:sz w:val="24"/>
          <w:szCs w:val="24"/>
          <w:highlight w:val="none"/>
        </w:rPr>
        <w:t xml:space="preserve">1.价格分（</w:t>
      </w:r>
      <w:r>
        <w:rPr>
          <w:rFonts w:hint="eastAsia" w:ascii="宋体" w:hAnsi="宋体" w:eastAsia="宋体" w:cs="宋体"/>
          <w:b/>
          <w:sz w:val="24"/>
          <w:szCs w:val="24"/>
          <w:highlight w:val="none"/>
          <w:lang w:val="en-US" w:eastAsia="zh-CN"/>
        </w:rPr>
        <w:t xml:space="preserve">10</w:t>
      </w:r>
      <w:r>
        <w:rPr>
          <w:rFonts w:hint="eastAsia" w:ascii="宋体" w:hAnsi="宋体" w:eastAsia="宋体" w:cs="宋体"/>
          <w:b/>
          <w:sz w:val="24"/>
          <w:szCs w:val="24"/>
          <w:highlight w:val="none"/>
        </w:rPr>
        <w:t xml:space="preserve">分）</w:t>
      </w:r>
      <w:r/>
    </w:p>
    <w:p>
      <w:pPr>
        <w:ind w:firstLine="480"/>
        <w:jc w:val="left"/>
        <w:keepLines w:val="0"/>
        <w:keepNext w:val="0"/>
        <w:pageBreakBefore w:val="0"/>
        <w:spacing w:line="480" w:lineRule="exact"/>
        <w:widowControl w:val="off"/>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480" w:lineRule="exact"/>
        <w:widowControl w:val="off"/>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10</w:t>
      </w:r>
      <w:r>
        <w:rPr>
          <w:rFonts w:hint="eastAsia"/>
          <w:sz w:val="24"/>
          <w:szCs w:val="24"/>
          <w:highlight w:val="none"/>
        </w:rPr>
        <w:t xml:space="preserve">分。</w:t>
      </w:r>
      <w:r/>
    </w:p>
    <w:p>
      <w:pPr>
        <w:ind w:firstLine="480"/>
        <w:jc w:val="left"/>
        <w:keepLines w:val="0"/>
        <w:keepNext w:val="0"/>
        <w:pageBreakBefore w:val="0"/>
        <w:spacing w:line="480" w:lineRule="exact"/>
        <w:widowControl w:val="off"/>
        <w:rPr>
          <w:rFonts w:hint="eastAsia" w:ascii="宋体" w:hAnsi="宋体" w:eastAsia="宋体" w:cs="宋体"/>
          <w:b/>
          <w:sz w:val="24"/>
          <w:szCs w:val="24"/>
          <w:highlight w:val="none"/>
        </w:rPr>
      </w:pPr>
      <w:r>
        <w:rPr>
          <w:rFonts w:hint="eastAsia"/>
          <w:sz w:val="24"/>
          <w:szCs w:val="24"/>
          <w:highlight w:val="none"/>
        </w:rPr>
        <w:t xml:space="preserve">评标过程中，不得去掉报价中的最高报价和最低报价。</w:t>
      </w:r>
      <w:r/>
    </w:p>
    <w:p>
      <w:pPr>
        <w:ind w:firstLine="482"/>
        <w:jc w:val="left"/>
        <w:keepLines w:val="0"/>
        <w:keepNext w:val="0"/>
        <w:pageBreakBefore w:val="0"/>
        <w:spacing w:line="480" w:lineRule="exact"/>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2.商务</w:t>
      </w:r>
      <w:r>
        <w:rPr>
          <w:rFonts w:hint="eastAsia" w:ascii="宋体" w:hAnsi="宋体" w:eastAsia="宋体" w:cs="宋体"/>
          <w:b/>
          <w:sz w:val="24"/>
          <w:szCs w:val="24"/>
          <w:highlight w:val="none"/>
          <w:lang w:val="en-US" w:eastAsia="zh-CN"/>
        </w:rPr>
        <w:t xml:space="preserve">技术</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90</w:t>
      </w:r>
      <w:r>
        <w:rPr>
          <w:rFonts w:hint="eastAsia" w:ascii="宋体" w:hAnsi="宋体" w:eastAsia="宋体" w:cs="宋体"/>
          <w:b/>
          <w:sz w:val="24"/>
          <w:szCs w:val="24"/>
          <w:highlight w:val="none"/>
        </w:rPr>
        <w:t xml:space="preserve">分）</w:t>
      </w:r>
      <w:r/>
    </w:p>
    <w:tbl>
      <w:tblPr>
        <w:tblStyle w:val="725"/>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599"/>
        <w:gridCol w:w="7560"/>
      </w:tblGrid>
      <w:tr>
        <w:trPr>
          <w:gridBefore w:val="1"/>
          <w:trHeight w:val="496"/>
        </w:trPr>
        <w:tc>
          <w:tcPr>
            <w:tcW w:w="1599" w:type="dxa"/>
            <w:vAlign w:val="center"/>
            <w:textDirection w:val="lrTb"/>
            <w:noWrap w:val="false"/>
          </w:tcPr>
          <w:p>
            <w:pPr>
              <w:ind w:left="61" w:right="50"/>
              <w:jc w:val="center"/>
              <w:keepLines w:val="0"/>
              <w:keepNext w:val="0"/>
              <w:pageBreakBefore w:val="0"/>
              <w:spacing w:before="75" w:line="400" w:lineRule="exact"/>
              <w:widowControl w:val="off"/>
              <w:rPr>
                <w:rFonts w:ascii="宋体" w:hAnsi="宋体" w:eastAsia="宋体" w:cs="宋体"/>
                <w:b/>
                <w:bCs/>
                <w:sz w:val="24"/>
                <w:szCs w:val="24"/>
                <w:highlight w:val="none"/>
                <w:lang w:val="zh-CN" w:eastAsia="zh-CN" w:bidi="zh-CN"/>
              </w:rPr>
            </w:pPr>
            <w:r>
              <w:rPr>
                <w:rFonts w:hint="eastAsia" w:ascii="宋体" w:hAnsi="宋体" w:eastAsia="宋体" w:cs="宋体"/>
                <w:b/>
                <w:bCs/>
                <w:spacing w:val="-4"/>
                <w:sz w:val="24"/>
                <w:szCs w:val="24"/>
                <w:highlight w:val="none"/>
                <w:lang w:val="zh-CN" w:eastAsia="zh-CN" w:bidi="zh-CN"/>
              </w:rPr>
              <w:t xml:space="preserve">评审因素</w:t>
            </w:r>
            <w:r/>
          </w:p>
        </w:tc>
        <w:tc>
          <w:tcPr>
            <w:tcW w:w="7560" w:type="dxa"/>
            <w:vAlign w:val="center"/>
            <w:textDirection w:val="lrTb"/>
            <w:noWrap w:val="false"/>
          </w:tcPr>
          <w:p>
            <w:pPr>
              <w:ind w:left="1901" w:right="1888"/>
              <w:jc w:val="center"/>
              <w:keepLines w:val="0"/>
              <w:keepNext w:val="0"/>
              <w:pageBreakBefore w:val="0"/>
              <w:spacing w:before="75" w:line="400" w:lineRule="exact"/>
              <w:widowControl w:val="off"/>
              <w:rPr>
                <w:rFonts w:ascii="宋体" w:hAnsi="宋体" w:eastAsia="宋体" w:cs="宋体"/>
                <w:b/>
                <w:bCs/>
                <w:sz w:val="24"/>
                <w:szCs w:val="24"/>
                <w:highlight w:val="none"/>
                <w:lang w:val="zh-CN" w:eastAsia="zh-CN" w:bidi="zh-CN"/>
              </w:rPr>
            </w:pPr>
            <w:r>
              <w:rPr>
                <w:rFonts w:hint="eastAsia" w:ascii="宋体" w:hAnsi="宋体" w:eastAsia="宋体" w:cs="宋体"/>
                <w:b/>
                <w:bCs/>
                <w:spacing w:val="-4"/>
                <w:sz w:val="24"/>
                <w:szCs w:val="24"/>
                <w:highlight w:val="none"/>
                <w:lang w:val="zh-CN" w:eastAsia="zh-CN" w:bidi="zh-CN"/>
              </w:rPr>
              <w:t xml:space="preserve">评审标准</w:t>
            </w:r>
            <w:r/>
          </w:p>
        </w:tc>
      </w:tr>
      <w:tr>
        <w:trPr>
          <w:trHeight w:val="1298"/>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line="400" w:lineRule="exact"/>
              <w:rPr>
                <w:rFonts w:hint="eastAsia" w:ascii="宋体" w:hAnsi="宋体" w:eastAsia="宋体" w:cs="宋体"/>
                <w:spacing w:val="-2"/>
                <w:position w:val="6"/>
                <w:sz w:val="21"/>
                <w:szCs w:val="21"/>
                <w:highlight w:val="none"/>
              </w:rPr>
            </w:pPr>
            <w:r>
              <w:rPr>
                <w:rFonts w:hint="eastAsia" w:ascii="宋体" w:hAnsi="宋体" w:eastAsia="宋体" w:cs="宋体"/>
                <w:spacing w:val="-2"/>
                <w:position w:val="6"/>
                <w:sz w:val="21"/>
                <w:szCs w:val="21"/>
                <w:highlight w:val="none"/>
              </w:rPr>
              <w:t xml:space="preserve">类似业绩</w:t>
            </w:r>
            <w:r/>
          </w:p>
          <w:p>
            <w:pPr>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pacing w:val="-2"/>
                <w:position w:val="6"/>
                <w:sz w:val="21"/>
                <w:szCs w:val="21"/>
                <w:highlight w:val="none"/>
              </w:rPr>
              <w:t xml:space="preserve">（</w:t>
            </w:r>
            <w:r>
              <w:rPr>
                <w:rFonts w:hint="eastAsia" w:ascii="宋体" w:hAnsi="宋体" w:eastAsia="宋体" w:cs="宋体"/>
                <w:spacing w:val="-2"/>
                <w:position w:val="6"/>
                <w:sz w:val="21"/>
                <w:szCs w:val="21"/>
                <w:highlight w:val="none"/>
                <w:lang w:val="en-US" w:eastAsia="zh-CN"/>
              </w:rPr>
              <w:t xml:space="preserve">9</w:t>
            </w:r>
            <w:r>
              <w:rPr>
                <w:rFonts w:hint="eastAsia" w:ascii="宋体" w:hAnsi="宋体" w:eastAsia="宋体" w:cs="宋体"/>
                <w:spacing w:val="-2"/>
                <w:position w:val="6"/>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w:t>
            </w:r>
            <w:r>
              <w:rPr>
                <w:rFonts w:hint="eastAsia" w:ascii="宋体" w:hAnsi="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月至今（以合同签订时间为准）承担过类似</w:t>
            </w:r>
            <w:r>
              <w:rPr>
                <w:rFonts w:hint="eastAsia" w:ascii="宋体" w:hAnsi="宋体" w:cs="宋体"/>
                <w:color w:val="000000"/>
                <w:sz w:val="21"/>
                <w:szCs w:val="21"/>
                <w:highlight w:val="none"/>
                <w:lang w:val="en-US" w:eastAsia="zh-CN"/>
              </w:rPr>
              <w:t xml:space="preserve">项目业绩的</w:t>
            </w:r>
            <w:r>
              <w:rPr>
                <w:rFonts w:hint="eastAsia" w:ascii="宋体" w:hAnsi="宋体" w:eastAsia="宋体" w:cs="宋体"/>
                <w:color w:val="000000"/>
                <w:sz w:val="21"/>
                <w:szCs w:val="21"/>
                <w:highlight w:val="none"/>
              </w:rPr>
              <w:t xml:space="preserve">，每提供一个得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提供合同原件扫描件上传于电子投标文件中，否则不得分</w:t>
            </w:r>
            <w:r>
              <w:rPr>
                <w:rFonts w:hint="eastAsia" w:ascii="宋体" w:hAnsi="宋体" w:eastAsia="宋体" w:cs="宋体"/>
                <w:b/>
                <w:bCs/>
                <w:color w:val="000000"/>
                <w:sz w:val="21"/>
                <w:szCs w:val="21"/>
                <w:highlight w:val="none"/>
              </w:rPr>
              <w:t xml:space="preserve">。</w:t>
            </w:r>
            <w:r/>
          </w:p>
        </w:tc>
      </w:tr>
      <w:tr>
        <w:trPr>
          <w:trHeight w:val="978"/>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beforeAutospacing="0" w:afterAutospacing="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车辆配置</w:t>
            </w:r>
            <w:r/>
          </w:p>
          <w:p>
            <w:pPr>
              <w:jc w:val="center"/>
              <w:keepLines w:val="0"/>
              <w:keepNext w:val="0"/>
              <w:pageBreakBefore w:val="0"/>
              <w:spacing w:beforeAutospacing="0" w:afterAutospacing="0" w:line="400" w:lineRule="exact"/>
              <w:rPr>
                <w:rFonts w:hint="eastAsia" w:ascii="宋体" w:hAnsi="宋体" w:eastAsia="宋体" w:cs="宋体"/>
                <w:spacing w:val="-2"/>
                <w:position w:val="6"/>
                <w:sz w:val="21"/>
                <w:szCs w:val="21"/>
                <w:highlight w:val="none"/>
              </w:rPr>
            </w:pPr>
            <w:r>
              <w:rPr>
                <w:rFonts w:hint="eastAsia" w:ascii="宋体" w:hAnsi="宋体" w:eastAsia="宋体" w:cs="宋体"/>
                <w:color w:val="000000"/>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numPr>
                <w:ilvl w:val="0"/>
                <w:numId w:val="0"/>
              </w:numPr>
              <w:jc w:val="left"/>
              <w:keepLines w:val="0"/>
              <w:keepNext w:val="0"/>
              <w:pageBreakBefore w:val="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投标单位在招标文件要求专用巡检车的基础上，每增加1辆</w:t>
            </w:r>
            <w:r>
              <w:rPr>
                <w:rFonts w:hint="eastAsia" w:ascii="宋体" w:hAnsi="宋体" w:eastAsia="宋体" w:cs="宋体"/>
                <w:color w:val="auto"/>
                <w:sz w:val="21"/>
                <w:szCs w:val="21"/>
                <w:highlight w:val="none"/>
              </w:rPr>
              <w:t xml:space="preserve">运维车辆</w:t>
            </w:r>
            <w:r>
              <w:rPr>
                <w:rFonts w:hint="eastAsia" w:ascii="宋体" w:hAnsi="宋体" w:eastAsia="宋体" w:cs="宋体"/>
                <w:color w:val="auto"/>
                <w:sz w:val="21"/>
                <w:szCs w:val="21"/>
                <w:highlight w:val="none"/>
                <w:lang w:val="en-US" w:eastAsia="zh-CN"/>
              </w:rPr>
              <w:t xml:space="preserve">得3分，最高得6分。</w:t>
            </w:r>
            <w:r/>
          </w:p>
          <w:p>
            <w:pPr>
              <w:numPr>
                <w:ilvl w:val="-1"/>
                <w:numId w:val="0"/>
              </w:numPr>
              <w:ind w:left="0" w:firstLine="0"/>
              <w:jc w:val="left"/>
              <w:keepLines w:val="0"/>
              <w:keepNext w:val="0"/>
              <w:pageBreakBefore w:val="0"/>
              <w:spacing w:line="400" w:lineRule="exact"/>
              <w:rPr>
                <w:rFonts w:hint="default" w:ascii="宋体" w:hAnsi="宋体" w:eastAsia="宋体" w:cs="宋体"/>
                <w:color w:val="000000"/>
                <w:sz w:val="21"/>
                <w:szCs w:val="21"/>
                <w:highlight w:val="none"/>
                <w:lang w:val="en-US"/>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须提供车辆行驶证扫描件，如车辆行驶证非本单位，须提供相应的租车合同，租车有效期须涵盖项目服务周期。</w:t>
            </w:r>
            <w:r/>
          </w:p>
        </w:tc>
      </w:tr>
      <w:tr>
        <w:trPr>
          <w:trHeight w:val="431"/>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before="183" w:afterAutospacing="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备件耗材质量保障</w:t>
            </w:r>
            <w:r/>
          </w:p>
          <w:p>
            <w:pPr>
              <w:jc w:val="center"/>
              <w:keepLines w:val="0"/>
              <w:keepNext w:val="0"/>
              <w:pageBreakBefore w:val="0"/>
              <w:spacing w:beforeAutospacing="0" w:line="400" w:lineRule="exact"/>
              <w:rPr>
                <w:rFonts w:hint="default" w:ascii="宋体" w:hAnsi="宋体" w:eastAsia="宋体" w:cs="宋体"/>
                <w:sz w:val="21"/>
                <w:szCs w:val="21"/>
                <w:highlight w:val="none"/>
                <w:lang w:val="en-US"/>
              </w:rPr>
            </w:pPr>
            <w:r>
              <w:rPr>
                <w:rFonts w:hint="eastAsia" w:ascii="宋体" w:hAnsi="宋体" w:eastAsia="宋体" w:cs="宋体"/>
                <w:color w:val="000000"/>
                <w:sz w:val="21"/>
                <w:szCs w:val="21"/>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numPr>
                <w:ilvl w:val="0"/>
                <w:numId w:val="0"/>
              </w:numPr>
              <w:keepLines w:val="0"/>
              <w:keepNext w:val="0"/>
              <w:pageBreakBefore w:val="0"/>
              <w:spacing w:line="400" w:lineRule="exact"/>
              <w:rPr>
                <w:rFonts w:hint="default"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为保障本项目中台套数较多的</w:t>
            </w:r>
            <w:r>
              <w:rPr>
                <w:rFonts w:hint="default" w:ascii="宋体" w:hAnsi="宋体" w:eastAsia="宋体" w:cs="宋体"/>
                <w:color w:val="000000"/>
                <w:sz w:val="21"/>
                <w:szCs w:val="21"/>
                <w:highlight w:val="none"/>
                <w:lang w:val="en-US" w:eastAsia="zh-CN"/>
              </w:rPr>
              <w:t xml:space="preserve">CO、SO₂、NOₓ、PM10、</w:t>
            </w:r>
            <w:r>
              <w:rPr>
                <w:rFonts w:hint="eastAsia" w:ascii="宋体" w:hAnsi="宋体" w:eastAsia="宋体" w:cs="宋体"/>
                <w:color w:val="000000"/>
                <w:sz w:val="21"/>
                <w:szCs w:val="21"/>
                <w:highlight w:val="none"/>
                <w:lang w:val="en-US" w:eastAsia="zh-CN"/>
              </w:rPr>
              <w:t xml:space="preserve">PM2.5、非甲烷总烃、苯系物、硫化氢、氯气、氯化氢、氨气等设备的运维服务</w:t>
            </w:r>
            <w:r>
              <w:rPr>
                <w:rFonts w:hint="eastAsia" w:ascii="宋体" w:hAnsi="宋体" w:cs="宋体"/>
                <w:color w:val="000000"/>
                <w:sz w:val="21"/>
                <w:szCs w:val="21"/>
                <w:highlight w:val="none"/>
                <w:lang w:val="en-US" w:eastAsia="zh-CN"/>
              </w:rPr>
              <w:t xml:space="preserve">，</w:t>
            </w:r>
            <w:r>
              <w:rPr>
                <w:rFonts w:hint="default" w:ascii="宋体" w:hAnsi="宋体" w:eastAsia="宋体" w:cs="宋体"/>
                <w:b/>
                <w:bCs/>
                <w:color w:val="000000"/>
                <w:sz w:val="21"/>
                <w:szCs w:val="21"/>
                <w:highlight w:val="none"/>
                <w:lang w:val="en-US" w:eastAsia="zh-CN"/>
              </w:rPr>
              <w:t xml:space="preserve">投标人承诺本项目所使用的设备备件、耗材均为对应设备原厂正规配套配件，</w:t>
            </w:r>
            <w:r>
              <w:rPr>
                <w:rFonts w:hint="eastAsia" w:ascii="宋体" w:hAnsi="宋体" w:cs="宋体"/>
                <w:b/>
                <w:bCs/>
                <w:color w:val="000000"/>
                <w:sz w:val="21"/>
                <w:szCs w:val="21"/>
                <w:highlight w:val="none"/>
                <w:lang w:val="en-US" w:eastAsia="zh-CN"/>
              </w:rPr>
              <w:t xml:space="preserve">能够</w:t>
            </w:r>
            <w:r>
              <w:rPr>
                <w:rFonts w:hint="default" w:ascii="宋体" w:hAnsi="宋体" w:eastAsia="宋体" w:cs="宋体"/>
                <w:b/>
                <w:bCs/>
                <w:color w:val="000000"/>
                <w:sz w:val="21"/>
                <w:szCs w:val="21"/>
                <w:highlight w:val="none"/>
                <w:lang w:val="en-US" w:eastAsia="zh-CN"/>
              </w:rPr>
              <w:t xml:space="preserve">提供稳定的售后服务及备件耗材长期供应保障。投标文件中提供</w:t>
            </w:r>
            <w:r>
              <w:rPr>
                <w:rFonts w:hint="eastAsia" w:ascii="宋体" w:hAnsi="宋体" w:cs="宋体"/>
                <w:b/>
                <w:bCs/>
                <w:color w:val="000000"/>
                <w:sz w:val="21"/>
                <w:szCs w:val="21"/>
                <w:highlight w:val="none"/>
                <w:lang w:val="en-US" w:eastAsia="zh-CN"/>
              </w:rPr>
              <w:t xml:space="preserve">该项</w:t>
            </w:r>
            <w:r>
              <w:rPr>
                <w:rFonts w:hint="default" w:ascii="宋体" w:hAnsi="宋体" w:eastAsia="宋体" w:cs="宋体"/>
                <w:b/>
                <w:bCs/>
                <w:color w:val="000000"/>
                <w:sz w:val="21"/>
                <w:szCs w:val="21"/>
                <w:highlight w:val="none"/>
                <w:lang w:val="en-US" w:eastAsia="zh-CN"/>
              </w:rPr>
              <w:t xml:space="preserve">承诺函的得7分，未提供或承诺内容不全的不得分</w:t>
            </w:r>
            <w:r>
              <w:rPr>
                <w:rFonts w:hint="eastAsia" w:ascii="宋体" w:hAnsi="宋体" w:eastAsia="宋体" w:cs="宋体"/>
                <w:b w:val="0"/>
                <w:bCs w:val="0"/>
                <w:color w:val="000000"/>
                <w:sz w:val="21"/>
                <w:szCs w:val="21"/>
                <w:highlight w:val="none"/>
                <w:lang w:val="en-US" w:eastAsia="zh-CN"/>
              </w:rPr>
              <w:t xml:space="preserve">（承诺书格式自拟）</w:t>
            </w:r>
            <w:r>
              <w:rPr>
                <w:rFonts w:hint="default" w:ascii="宋体" w:hAnsi="宋体" w:eastAsia="宋体" w:cs="宋体"/>
                <w:b/>
                <w:bCs/>
                <w:color w:val="000000"/>
                <w:sz w:val="21"/>
                <w:szCs w:val="21"/>
                <w:highlight w:val="none"/>
                <w:lang w:val="en-US" w:eastAsia="zh-CN"/>
              </w:rPr>
              <w:t xml:space="preserve">。</w:t>
            </w:r>
            <w:r/>
          </w:p>
          <w:p>
            <w:pPr>
              <w:numPr>
                <w:ilvl w:val="0"/>
                <w:numId w:val="0"/>
              </w:numPr>
              <w:keepLines w:val="0"/>
              <w:keepNext w:val="0"/>
              <w:pageBreakBefore w:val="0"/>
              <w:spacing w:line="400" w:lineRule="exact"/>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注：中标人履约阶段须落实本承诺内容，采购人有权在履约期间核查备件耗材来源；若核查发现未按承诺采用原厂配套配件，采购人有权按照合同约定追究违约责任。</w:t>
            </w:r>
            <w:r/>
          </w:p>
        </w:tc>
      </w:tr>
      <w:tr>
        <w:trPr>
          <w:trHeight w:val="761"/>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before="183" w:afterAutospacing="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检测工具</w:t>
            </w:r>
            <w:r/>
          </w:p>
          <w:p>
            <w:pPr>
              <w:jc w:val="center"/>
              <w:keepLines w:val="0"/>
              <w:keepNext w:val="0"/>
              <w:pageBreakBefore w:val="0"/>
              <w:spacing w:beforeAutospacing="0" w:line="40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ind w:right="0"/>
              <w:jc w:val="both"/>
              <w:keepLines w:val="0"/>
              <w:keepNext w:val="0"/>
              <w:pageBreakBefore w:val="0"/>
              <w:spacing w:line="400" w:lineRule="exact"/>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color w:val="000000"/>
                <w:spacing w:val="0"/>
                <w:sz w:val="21"/>
                <w:szCs w:val="21"/>
                <w:highlight w:val="none"/>
                <w:lang w:val="en-US" w:eastAsia="zh-CN"/>
              </w:rPr>
              <w:t xml:space="preserve">为了保证污染溯源、环境应急工作的精度和准确性，投标人提供的</w:t>
            </w:r>
            <w:r>
              <w:rPr>
                <w:rFonts w:hint="eastAsia" w:ascii="宋体" w:hAnsi="宋体" w:eastAsia="宋体" w:cs="宋体"/>
                <w:b w:val="0"/>
                <w:bCs w:val="0"/>
                <w:color w:val="000000"/>
                <w:sz w:val="21"/>
                <w:szCs w:val="21"/>
                <w:highlight w:val="none"/>
                <w:lang w:val="en-US" w:eastAsia="zh-CN"/>
              </w:rPr>
              <w:t xml:space="preserve">全自动校准仪、便携傅里叶红外分析仪、便携非甲烷总烃检测仪、手持式VOC检测仪、红外热成像气体泄漏检测仪、便携式气相色谱-质谱联用仪</w:t>
            </w:r>
            <w:r>
              <w:rPr>
                <w:rFonts w:hint="eastAsia" w:ascii="宋体" w:hAnsi="宋体" w:eastAsia="宋体" w:cs="宋体"/>
                <w:b w:val="0"/>
                <w:color w:val="000000"/>
                <w:spacing w:val="0"/>
                <w:sz w:val="21"/>
                <w:szCs w:val="21"/>
                <w:highlight w:val="none"/>
              </w:rPr>
              <w:t xml:space="preserve">技术参数及要求的响应情况进行综合打分，所投产品全部参数及要求完全满足招标文件的，得</w:t>
            </w:r>
            <w:r>
              <w:rPr>
                <w:rFonts w:hint="eastAsia" w:ascii="宋体" w:hAnsi="宋体" w:eastAsia="宋体" w:cs="宋体"/>
                <w:b w:val="0"/>
                <w:color w:val="000000"/>
                <w:spacing w:val="0"/>
                <w:sz w:val="21"/>
                <w:szCs w:val="21"/>
                <w:highlight w:val="none"/>
                <w:lang w:val="en-US" w:eastAsia="zh-CN"/>
              </w:rPr>
              <w:t xml:space="preserve">20</w:t>
            </w:r>
            <w:r>
              <w:rPr>
                <w:rFonts w:hint="eastAsia" w:ascii="宋体" w:hAnsi="宋体" w:eastAsia="宋体" w:cs="宋体"/>
                <w:b w:val="0"/>
                <w:color w:val="000000"/>
                <w:spacing w:val="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标“▲”的技术指标，每有一项负偏离扣1分，扣完为止。</w:t>
            </w:r>
            <w:r/>
          </w:p>
          <w:p>
            <w:pPr>
              <w:pStyle w:val="728"/>
              <w:keepLines w:val="0"/>
              <w:keepNext w:val="0"/>
              <w:pageBreakBefore w:val="0"/>
              <w:spacing w:line="400" w:lineRule="exact"/>
              <w:rPr>
                <w:rFonts w:hint="default"/>
                <w:sz w:val="21"/>
                <w:szCs w:val="21"/>
                <w:highlight w:val="none"/>
                <w:lang w:val="en-US" w:eastAsia="zh-CN"/>
              </w:rPr>
            </w:pPr>
            <w:r>
              <w:rPr>
                <w:rFonts w:hint="eastAsia" w:ascii="宋体" w:hAnsi="宋体" w:eastAsia="宋体" w:cs="宋体"/>
                <w:b/>
                <w:sz w:val="21"/>
                <w:szCs w:val="21"/>
                <w:highlight w:val="none"/>
                <w:lang w:val="en-US" w:eastAsia="zh-CN"/>
              </w:rPr>
              <w:t xml:space="preserve">注：投标人须提供投标产品的技术要求响应及偏离表（须按序号清晰列出技术参数指标功能等，以便与招标的技术参数要求相对比）。标“▲”指标要求按照项目需求中的具体参数需求响应，并按招标文件要求提供相关证明材料原件彩色扫描件，</w:t>
            </w:r>
            <w:r>
              <w:rPr>
                <w:rFonts w:hint="eastAsia" w:ascii="宋体" w:hAnsi="宋体" w:eastAsia="宋体" w:cs="宋体"/>
                <w:b/>
                <w:sz w:val="21"/>
                <w:szCs w:val="21"/>
                <w:highlight w:val="none"/>
                <w:lang w:val="en-GB" w:eastAsia="zh-CN"/>
              </w:rPr>
              <w:t xml:space="preserve">并标明证明材料在投标文件中的具体位置并做明显标识，便于评审。证明材料未提供的或提供与要求不符的视为负偏离。</w:t>
            </w:r>
            <w:r/>
          </w:p>
        </w:tc>
      </w:tr>
      <w:tr>
        <w:trPr>
          <w:trHeight w:val="4142"/>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before="217" w:afterAutospacing="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项目理解及运维服务方案</w:t>
            </w:r>
            <w:r/>
          </w:p>
          <w:p>
            <w:pPr>
              <w:jc w:val="center"/>
              <w:keepLines w:val="0"/>
              <w:keepNext w:val="0"/>
              <w:pageBreakBefore w:val="0"/>
              <w:spacing w:beforeAutospacing="0" w:line="400" w:lineRule="exact"/>
              <w:rPr>
                <w:rFonts w:hint="eastAsia" w:ascii="宋体" w:hAnsi="宋体" w:eastAsia="宋体" w:cs="宋体"/>
                <w:spacing w:val="1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的理解（至少包括本项目建设情况、现有设备运行情况摸排）及日常运行维护方案（至少包括运维计划、日常维护频次、定期巡检内容和故障维修措施）的合理性、逻辑性、完整性及可操作性进行评分。</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对项目整体认识全面、到位，方案科学合理、逻辑性强、服务内容完整、可操作性强的，得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对项目整体认识较全面、较到位，方案较科学合理、逻辑性较强、服务内容较完整、可操作性较强的，得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对项目整体认识基本全面、基本到位，方案基本科学合理、逻辑性基本强、服务内容基本完整、可操作性基本强的，得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 </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对项目整体认识不全面、不到位，方案不科学、不合理、逻辑性基不强、服务内容不完整、可操作性基本强的，得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未提供的不得分。</w:t>
            </w:r>
            <w:r/>
          </w:p>
        </w:tc>
      </w:tr>
      <w:tr>
        <w:trPr>
          <w:trHeight w:val="90"/>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运维</w:t>
            </w:r>
            <w:r>
              <w:rPr>
                <w:rFonts w:hint="eastAsia" w:ascii="宋体" w:hAnsi="宋体" w:eastAsia="宋体" w:cs="宋体"/>
                <w:color w:val="000000"/>
                <w:sz w:val="21"/>
                <w:szCs w:val="21"/>
                <w:highlight w:val="none"/>
              </w:rPr>
              <w:t xml:space="preserve">质量保证</w:t>
            </w:r>
            <w:r/>
          </w:p>
          <w:p>
            <w:pPr>
              <w:ind w:firstLine="210"/>
              <w:jc w:val="center"/>
              <w:keepLines w:val="0"/>
              <w:keepNext w:val="0"/>
              <w:pageBreakBefore w:val="0"/>
              <w:spacing w:line="400" w:lineRule="exact"/>
              <w:widowControl/>
              <w:rPr>
                <w:rFonts w:hint="eastAsia" w:ascii="宋体" w:hAnsi="宋体" w:eastAsia="宋体" w:cs="宋体"/>
                <w:spacing w:val="1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根据投标文件中提供的针对本项目的质控方案（至少包括质量保证控制措施、质量保证控制计划、质量控制具体内容）的科学性、合理性、针对性及可操作性进行评分。</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方案科学全面、详细合理、针对性及可操作性强的得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val="en-US" w:eastAsia="zh-CN"/>
              </w:rPr>
              <w:t xml:space="preserve">；</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方案较全面、较详细合理、针对性及可操作性较强的得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p>
          <w:p>
            <w:pPr>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方案基本全面、基本详细合理、针对性及可操作性基本强的得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p>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全面、</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详细合理、针对性及可操作性</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强的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p>
          <w:p>
            <w:pPr>
              <w:keepLines w:val="0"/>
              <w:keepNext w:val="0"/>
              <w:pageBreakBefore w:val="0"/>
              <w:spacing w:line="400" w:lineRule="exact"/>
              <w:widowControl/>
              <w:rPr>
                <w:rFonts w:hint="eastAsia" w:ascii="Times New Roman" w:hAnsi="Times New Roman" w:eastAsia="宋体" w:cs="Times New Roman"/>
                <w:sz w:val="21"/>
                <w:szCs w:val="21"/>
                <w:highlight w:val="none"/>
              </w:rPr>
            </w:pPr>
            <w:r>
              <w:rPr>
                <w:rFonts w:hint="eastAsia" w:ascii="宋体" w:hAnsi="宋体" w:eastAsia="宋体" w:cs="宋体"/>
                <w:b/>
                <w:bCs/>
                <w:color w:val="000000"/>
                <w:sz w:val="21"/>
                <w:szCs w:val="21"/>
                <w:highlight w:val="none"/>
              </w:rPr>
              <w:t xml:space="preserve">未提供的不得分</w:t>
            </w:r>
            <w:r>
              <w:rPr>
                <w:rFonts w:hint="eastAsia" w:ascii="宋体" w:hAnsi="宋体" w:eastAsia="宋体" w:cs="宋体"/>
                <w:b/>
                <w:bCs/>
                <w:color w:val="000000"/>
                <w:sz w:val="21"/>
                <w:szCs w:val="21"/>
                <w:highlight w:val="none"/>
                <w:lang w:eastAsia="zh-CN"/>
              </w:rPr>
              <w:t xml:space="preserve">。</w:t>
            </w:r>
            <w:r/>
          </w:p>
        </w:tc>
      </w:tr>
      <w:tr>
        <w:trPr>
          <w:trHeight w:val="836"/>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before="120" w:afterAutospacing="0"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培训方案</w:t>
            </w:r>
            <w:r/>
          </w:p>
          <w:p>
            <w:pPr>
              <w:jc w:val="center"/>
              <w:keepLines w:val="0"/>
              <w:keepNext w:val="0"/>
              <w:pageBreakBefore w:val="0"/>
              <w:spacing w:beforeAutospacing="0" w:afterAutospacing="0"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60" w:type="dxa"/>
            <w:textDirection w:val="lrTb"/>
            <w:noWrap w:val="false"/>
          </w:tcPr>
          <w:p>
            <w:pP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投标文件中提供培训方案，方案包括但不限于培训计划、培训内容、培训方式等内容：</w:t>
            </w:r>
            <w:r/>
          </w:p>
          <w:p>
            <w:pP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方案内容详尽完善，培训计划安排合理性强、培训内容全面、培训方式切实可行的得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方案内容比较完善，培训计划安排较合理、培训内容比较全面、培训方式可行性较强的得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方案内容简单粗糙，培训计划安排合理性一般、培训内容单一、培训方式可行性一般的得5</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val="en-US" w:eastAsia="zh-CN"/>
              </w:rPr>
              <w:t xml:space="preserve">；</w:t>
            </w:r>
            <w:r/>
          </w:p>
          <w:p>
            <w:pPr>
              <w:keepLines w:val="0"/>
              <w:keepNext w:val="0"/>
              <w:pageBreakBefore w:val="0"/>
              <w:spacing w:line="400" w:lineRule="exact"/>
              <w:widowControl w:val="off"/>
              <w:rPr>
                <w:rFonts w:hint="eastAsia"/>
                <w:sz w:val="21"/>
                <w:szCs w:val="21"/>
                <w:highlight w:val="none"/>
                <w:lang w:val="en-US" w:eastAsia="zh-CN"/>
              </w:rPr>
            </w:pPr>
            <w:r>
              <w:rPr>
                <w:rFonts w:hint="eastAsia" w:ascii="宋体" w:hAnsi="宋体" w:eastAsia="宋体" w:cs="宋体"/>
                <w:sz w:val="21"/>
                <w:szCs w:val="21"/>
                <w:highlight w:val="none"/>
                <w:lang w:val="en-US" w:eastAsia="zh-CN"/>
              </w:rPr>
              <w:t xml:space="preserve">方案内容不完善，培训计划安排不合理、培训内容不全面、培训方式可行性不强的，得3分；</w:t>
            </w:r>
            <w:r/>
          </w:p>
          <w:p>
            <w:pPr>
              <w:keepLines w:val="0"/>
              <w:keepNext w:val="0"/>
              <w:pageBreakBefore w:val="0"/>
              <w:spacing w:line="400" w:lineRule="exac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
                <w:bCs/>
                <w:color w:val="000000"/>
                <w:sz w:val="21"/>
                <w:szCs w:val="21"/>
                <w:highlight w:val="none"/>
              </w:rPr>
              <w:t xml:space="preserve">未提供的不得分</w:t>
            </w:r>
            <w:r>
              <w:rPr>
                <w:rFonts w:hint="eastAsia" w:ascii="宋体" w:hAnsi="宋体" w:eastAsia="宋体" w:cs="宋体"/>
                <w:b/>
                <w:bCs/>
                <w:sz w:val="21"/>
                <w:szCs w:val="21"/>
                <w:highlight w:val="none"/>
                <w:lang w:val="en-US" w:eastAsia="zh-CN"/>
              </w:rPr>
              <w:t xml:space="preserve">。</w:t>
            </w:r>
            <w:r/>
          </w:p>
        </w:tc>
      </w:tr>
      <w:tr>
        <w:trPr>
          <w:trHeight w:val="855"/>
        </w:trPr>
        <w:tc>
          <w:tcPr>
            <w:gridSpan w:val="2"/>
            <w:tcBorders>
              <w:left w:val="single" w:color="auto" w:sz="4" w:space="0"/>
              <w:right w:val="single" w:color="auto" w:sz="4" w:space="0"/>
            </w:tcBorders>
            <w:tcW w:w="16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应急预案</w:t>
            </w:r>
            <w:r/>
          </w:p>
          <w:p>
            <w:pPr>
              <w:jc w:val="center"/>
              <w:keepLines w:val="0"/>
              <w:keepNext w:val="0"/>
              <w:pageBreakBefore w:val="0"/>
              <w:spacing w:line="400" w:lineRule="exact"/>
              <w:widowControl/>
              <w:rPr>
                <w:rFonts w:hint="eastAsia" w:ascii="宋体" w:hAnsi="宋体" w:eastAsia="宋体" w:cs="宋体"/>
                <w:spacing w:val="1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文件中提供的应急预案的全面性及可操作性进行评分。包括但不限于运营期间出现的严重影响系统运行和数据质量的重大问题以及突发环境污染事件时的应对方案，如何利用走航车、应急监测车进行污染溯源、协助处理事件等。</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方案健全完善，可操作性强的，得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 </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方案较为完善，可操作性较强的，得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 </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方案基本完善，可操作性一般的，得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方案不完善，可操作性较差的，得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未提供的不得分。</w:t>
            </w:r>
            <w:r/>
          </w:p>
        </w:tc>
      </w:tr>
      <w:tr>
        <w:trPr>
          <w:trHeight w:val="557"/>
        </w:trPr>
        <w:tc>
          <w:tcPr>
            <w:gridSpan w:val="2"/>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keepLines w:val="0"/>
              <w:keepNext w:val="0"/>
              <w:pageBreakBefore w:val="0"/>
              <w:spacing w:afterAutospacing="0"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数据分析方案</w:t>
            </w:r>
            <w:r/>
          </w:p>
          <w:p>
            <w:pPr>
              <w:ind w:firstLine="210"/>
              <w:jc w:val="center"/>
              <w:keepLines w:val="0"/>
              <w:keepNext w:val="0"/>
              <w:pageBreakBefore w:val="0"/>
              <w:spacing w:beforeAutospacing="0" w:line="40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7560" w:type="dxa"/>
            <w:vAlign w:val="center"/>
            <w:textDirection w:val="lrTb"/>
            <w:noWrap w:val="false"/>
          </w:tcPr>
          <w:p>
            <w:pPr>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提供的数据分析报告进行综合评审：本项目运维服务期间需提供基于灌云临港产业区环境空气质量的数据分析报告模板，需包含但不限于日报、周报、月报等，投标人需在投标文件中提供相关数据分析报告模板。根据整套分析报告样例是否详尽透彻，描述是否清晰准确，是否科学合理进行综合打分。</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方案健全完善，可操作性强的，得10分； </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方案较为完善，可操作性较强的，得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 </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方案基本完善，可操作性一般的，得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方案不完善，可操作性较差的，得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left"/>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未提供的不得分。</w:t>
            </w:r>
            <w:r/>
          </w:p>
        </w:tc>
      </w:tr>
    </w:tbl>
    <w:p>
      <w:pPr>
        <w:jc w:val="left"/>
        <w:widowControl/>
        <w:rPr>
          <w:sz w:val="24"/>
          <w:szCs w:val="24"/>
          <w:highlight w:val="none"/>
        </w:rPr>
      </w:pPr>
      <w:r>
        <w:rPr>
          <w:sz w:val="24"/>
          <w:szCs w:val="24"/>
          <w:highlight w:val="none"/>
        </w:rPr>
        <w:br w:type="page" w:clear="all"/>
      </w:r>
      <w:r/>
    </w:p>
    <w:p>
      <w:pPr>
        <w:pStyle w:val="721"/>
        <w:jc w:val="center"/>
        <w:spacing w:line="360" w:lineRule="auto"/>
        <w:rPr>
          <w:rFonts w:ascii="黑体" w:hAnsi="黑体" w:eastAsia="黑体"/>
          <w:b w:val="0"/>
          <w:highlight w:val="none"/>
        </w:rPr>
      </w:pPr>
      <w:r/>
      <w:bookmarkStart w:id="5" w:name="_Toc163482578"/>
      <w:r>
        <w:rPr>
          <w:rFonts w:hint="eastAsia" w:ascii="黑体" w:hAnsi="黑体" w:eastAsia="黑体"/>
          <w:b w:val="0"/>
          <w:highlight w:val="none"/>
        </w:rPr>
        <w:t xml:space="preserve">第六章  投标文件格式</w:t>
      </w:r>
      <w:bookmarkEnd w:id="5"/>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sz w:val="32"/>
          <w:szCs w:val="36"/>
          <w:highlight w:val="none"/>
        </w:rPr>
        <w:outlineLvl w:val="1"/>
      </w:pPr>
      <w:r>
        <w:rPr>
          <w:rFonts w:hint="eastAsia" w:ascii="宋体" w:hAnsi="宋体" w:eastAsia="宋体" w:cs="宋体"/>
          <w:sz w:val="32"/>
          <w:szCs w:val="36"/>
          <w:highlight w:val="none"/>
        </w:rPr>
        <w:t xml:space="preserve">一、法人或者其他组织的营业执照等证明文件，自然人的身份证明</w:t>
      </w:r>
      <w:r/>
    </w:p>
    <w:p>
      <w:pPr>
        <w:rPr>
          <w:highlight w:val="none"/>
        </w:rPr>
      </w:pPr>
      <w:r>
        <w:rPr>
          <w:highlight w:val="none"/>
        </w:rPr>
      </w:r>
      <w:r/>
    </w:p>
    <w:p>
      <w:pPr>
        <w:pStyle w:val="728"/>
        <w:rPr>
          <w:highlight w:val="none"/>
        </w:rPr>
      </w:pPr>
      <w:r>
        <w:rPr>
          <w:highlight w:val="none"/>
        </w:rPr>
      </w:r>
      <w:r/>
    </w:p>
    <w:p>
      <w:pPr>
        <w:rPr>
          <w:highlight w:val="none"/>
        </w:rPr>
      </w:pPr>
      <w:r>
        <w:rPr>
          <w:highlight w:val="none"/>
        </w:rPr>
      </w:r>
      <w:r/>
    </w:p>
    <w:p>
      <w:pPr>
        <w:pStyle w:val="728"/>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二、具有良好的商业信誉和健全的财务会计制度</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三、依法缴纳税收和社会保障资金的相关材料</w:t>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pStyle w:val="728"/>
        <w:rPr>
          <w:highlight w:val="none"/>
        </w:rPr>
      </w:pPr>
      <w:r>
        <w:rPr>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pStyle w:val="728"/>
        <w:rPr>
          <w:highlight w:val="none"/>
        </w:rPr>
      </w:pPr>
      <w:r>
        <w:rPr>
          <w:highlight w:val="none"/>
        </w:rPr>
      </w:r>
      <w:r/>
    </w:p>
    <w:p>
      <w:pPr>
        <w:rPr>
          <w:highlight w:val="none"/>
        </w:rPr>
      </w:pPr>
      <w:r>
        <w:rPr>
          <w:highlight w:val="none"/>
        </w:rPr>
      </w:r>
      <w:r/>
    </w:p>
    <w:p>
      <w:pPr>
        <w:pStyle w:val="728"/>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四、具备履行合同所必需的设备和专业技术能力的声明及证明材料</w:t>
      </w:r>
      <w:r/>
    </w:p>
    <w:p>
      <w:pPr>
        <w:rPr>
          <w:highlight w:val="none"/>
        </w:rPr>
      </w:pPr>
      <w:r>
        <w:rPr>
          <w:highlight w:val="none"/>
        </w:rPr>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ascii="黑体" w:hAnsi="黑体" w:eastAsia="黑体" w:cs="宋体"/>
          <w:bCs/>
          <w:sz w:val="36"/>
          <w:szCs w:val="28"/>
          <w:highlight w:val="none"/>
        </w:rPr>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28"/>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728"/>
        <w:rPr>
          <w:highlight w:val="none"/>
        </w:rPr>
      </w:pPr>
      <w:r>
        <w:rPr>
          <w:highlight w:val="none"/>
        </w:rPr>
      </w:r>
      <w:r/>
    </w:p>
    <w:p>
      <w:pPr>
        <w:jc w:val="left"/>
        <w:keepLines/>
        <w:keepNext/>
        <w:spacing w:before="360" w:after="200" w:line="360" w:lineRule="auto"/>
        <w:rPr>
          <w:rFonts w:ascii="Arial" w:hAnsi="Arial" w:eastAsia="宋体" w:cs="Arial"/>
          <w:sz w:val="32"/>
          <w:szCs w:val="32"/>
          <w:highlight w:val="none"/>
        </w:rPr>
        <w:outlineLvl w:val="1"/>
      </w:pPr>
      <w:r>
        <w:rPr>
          <w:rFonts w:hint="eastAsia" w:ascii="Arial" w:hAnsi="Arial" w:eastAsia="宋体" w:cs="Arial"/>
          <w:iCs/>
          <w:sz w:val="32"/>
          <w:highlight w:val="none"/>
        </w:rPr>
      </w:r>
      <w:r>
        <w:rPr>
          <w:rFonts w:hint="eastAsia" w:ascii="Arial" w:hAnsi="Arial" w:eastAsia="宋体" w:cs="Arial"/>
          <w:iCs/>
          <w:sz w:val="32"/>
          <w:highlight w:val="none"/>
        </w:rPr>
      </w:r>
    </w:p>
    <w:p>
      <w:pPr>
        <w:jc w:val="left"/>
        <w:keepLines/>
        <w:keepNext/>
        <w:spacing w:before="360" w:after="200" w:line="360" w:lineRule="auto"/>
        <w:rPr>
          <w:rFonts w:hint="eastAsia" w:ascii="Arial" w:hAnsi="Arial" w:eastAsia="宋体" w:cs="Arial"/>
          <w:iCs/>
          <w:sz w:val="32"/>
          <w:szCs w:val="32"/>
          <w:highlight w:val="none"/>
        </w:rPr>
        <w:outlineLvl w:val="1"/>
      </w:pPr>
      <w:r>
        <w:rPr>
          <w:rFonts w:hint="eastAsia" w:ascii="Arial" w:hAnsi="Arial" w:eastAsia="宋体" w:cs="Arial"/>
          <w:iCs/>
          <w:sz w:val="32"/>
          <w:highlight w:val="none"/>
        </w:rPr>
        <w:t xml:space="preserve">五、参加政府采购活动前3年内在经营活动中没有重大违法记录的书面声明</w:t>
      </w:r>
      <w:r/>
    </w:p>
    <w:p>
      <w:pPr>
        <w:rPr>
          <w:highlight w:val="none"/>
        </w:rPr>
      </w:pPr>
      <w:r>
        <w:rPr>
          <w:highlight w:val="none"/>
        </w:rPr>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 联系电话：</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917"/>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35"/>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72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hint="eastAsia" w:ascii="Calibri" w:hAnsi="Calibri" w:eastAsia="宋体" w:cs="Times New Roman"/>
          <w:sz w:val="24"/>
          <w:szCs w:val="24"/>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Calibri" w:hAnsi="Calibri" w:eastAsia="宋体" w:cs="Times New Roman"/>
          <w:sz w:val="24"/>
          <w:szCs w:val="24"/>
          <w:highlight w:val="none"/>
        </w:rPr>
        <w:t xml:space="preserve">日期：    年     月     日</w:t>
      </w:r>
      <w:r/>
    </w:p>
    <w:p>
      <w:pPr>
        <w:jc w:val="left"/>
        <w:keepLines/>
        <w:keepNext/>
        <w:spacing w:before="260" w:afterAutospacing="0" w:line="416" w:lineRule="auto"/>
        <w:rPr>
          <w:rFonts w:ascii="黑体" w:hAnsi="黑体" w:eastAsia="黑体" w:cs="Times New Roman"/>
          <w:b/>
          <w:color w:val="000000"/>
          <w:sz w:val="28"/>
          <w:szCs w:val="32"/>
          <w:highlight w:val="none"/>
        </w:rPr>
        <w:outlineLvl w:val="1"/>
      </w:pPr>
      <w:r>
        <w:rPr>
          <w:rFonts w:hint="eastAsia" w:ascii="Arial" w:hAnsi="Arial" w:eastAsia="宋体" w:cs="Arial"/>
          <w:iCs/>
          <w:sz w:val="32"/>
          <w:highlight w:val="none"/>
        </w:rPr>
        <w:t xml:space="preserve">十、投标函</w:t>
      </w:r>
      <w:r/>
    </w:p>
    <w:p>
      <w:pPr>
        <w:jc w:val="center"/>
        <w:spacing w:beforeAutospacing="0"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360" w:lineRule="auto"/>
        <w:rPr>
          <w:rFonts w:hint="default"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u w:val="single"/>
          <w:lang w:val="en-US" w:eastAsia="zh-CN"/>
        </w:rPr>
        <w:t xml:space="preserve">  （采购人名称）    </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1.按招标文件规定的各项要求，向买方提供所需服务（包含与服务相关的货物、工程）。</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highlight w:val="none"/>
        </w:rPr>
        <w:t xml:space="preserve">十</w:t>
      </w:r>
      <w:r>
        <w:rPr>
          <w:rFonts w:hint="eastAsia" w:ascii="Arial" w:hAnsi="Arial" w:eastAsia="宋体" w:cs="Arial"/>
          <w:sz w:val="32"/>
          <w:highlight w:val="none"/>
        </w:rPr>
        <w:t xml:space="preserve">一、中小企业声明函（</w:t>
      </w:r>
      <w:r>
        <w:rPr>
          <w:rFonts w:hint="eastAsia" w:ascii="Arial" w:hAnsi="Arial" w:eastAsia="宋体" w:cs="Arial"/>
          <w:sz w:val="32"/>
          <w:highlight w:val="none"/>
          <w:lang w:val="en-US" w:eastAsia="zh-CN"/>
        </w:rPr>
        <w:t xml:space="preserve">服务</w:t>
      </w:r>
      <w:r>
        <w:rPr>
          <w:rFonts w:hint="eastAsia" w:ascii="Arial" w:hAnsi="Arial" w:eastAsia="宋体" w:cs="Arial"/>
          <w:sz w:val="32"/>
          <w:highlight w:val="none"/>
        </w:rPr>
        <w:t xml:space="preserve">）</w:t>
      </w:r>
      <w:r/>
    </w:p>
    <w:p>
      <w:pPr>
        <w:jc w:val="center"/>
        <w:spacing w:line="360" w:lineRule="auto"/>
        <w:tabs>
          <w:tab w:val="left" w:pos="360" w:leader="none"/>
        </w:tabs>
        <w:rPr>
          <w:rFonts w:hint="default"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hint="default" w:ascii="宋体" w:hAnsi="宋体" w:eastAsia="宋体" w:cs="Times New Roman"/>
          <w:sz w:val="24"/>
          <w:highlight w:val="none"/>
        </w:rPr>
        <w:t xml:space="preserve">服务全部由符合政策要求的中小企业承接。</w:t>
      </w:r>
      <w:r/>
    </w:p>
    <w:p>
      <w:pPr>
        <w:ind w:firstLine="480"/>
        <w:spacing w:line="5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p>
    <w:p>
      <w:pPr>
        <w:ind w:firstLine="480"/>
        <w:spacing w:line="50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2、请供应商如实填写，所填内容须与报价明细表一致，如填写不完整或不一致或填写有误，将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sz w:val="24"/>
          <w:szCs w:val="24"/>
          <w:highlight w:val="none"/>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w:t>
      </w:r>
      <w:r>
        <w:rPr>
          <w:rFonts w:hint="eastAsia" w:ascii="宋体" w:hAnsi="宋体" w:eastAsia="宋体" w:cs="宋体"/>
          <w:color w:val="000000"/>
          <w:sz w:val="24"/>
          <w:szCs w:val="21"/>
          <w:highlight w:val="none"/>
        </w:rPr>
        <w:t xml:space="preserve">141号）的规定，本单位为符合条件的残疾人福利性单位，且本单位参加</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单位的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，分包号：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1"/>
          <w:highlight w:val="none"/>
        </w:rPr>
        <w:t xml:space="preserve">）采购活动由本单位提供全部服务。</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请供应商如实填写，所填内容须与报价明细表一致，如填写不完整或不一致或填写有误，将</w:t>
      </w:r>
      <w:r>
        <w:rPr>
          <w:rFonts w:hint="eastAsia" w:ascii="宋体" w:hAnsi="宋体" w:eastAsia="宋体" w:cs="Times New Roman"/>
          <w:sz w:val="24"/>
          <w:szCs w:val="24"/>
          <w:highlight w:val="none"/>
          <w:lang w:val="en-US" w:eastAsia="zh-CN"/>
        </w:rPr>
        <w:t xml:space="preserve">承担一切不利后果</w:t>
      </w:r>
      <w:r>
        <w:rPr>
          <w:rFonts w:hint="eastAsia" w:ascii="宋体" w:hAnsi="宋体"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jc w:val="left"/>
        <w:keepLines/>
        <w:keepNext/>
        <w:spacing w:before="360" w:after="200" w:line="360" w:lineRule="auto"/>
        <w:rPr>
          <w:rFonts w:hint="eastAsia" w:ascii="Arial" w:hAnsi="Arial" w:eastAsia="宋体" w:cs="Arial"/>
          <w:sz w:val="32"/>
          <w:highlight w:val="none"/>
        </w:rPr>
        <w:outlineLvl w:val="1"/>
      </w:pPr>
      <w:r>
        <w:rPr>
          <w:rFonts w:hint="eastAsia" w:ascii="Arial" w:hAnsi="Arial" w:eastAsia="宋体" w:cs="Arial"/>
          <w:sz w:val="32"/>
          <w:highlight w:val="none"/>
          <w:lang w:val="en-US" w:eastAsia="zh-CN"/>
        </w:rPr>
        <w:t xml:space="preserve">十三、</w:t>
      </w:r>
      <w:r>
        <w:rPr>
          <w:rFonts w:hint="eastAsia" w:ascii="Arial" w:hAnsi="Arial" w:eastAsia="宋体" w:cs="Arial"/>
          <w:sz w:val="32"/>
          <w:highlight w:val="none"/>
        </w:rPr>
        <w:t xml:space="preserve">关于符合本国产品标准的声明函</w:t>
      </w:r>
      <w:r/>
    </w:p>
    <w:p>
      <w:pPr>
        <w:pStyle w:val="734"/>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3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2"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69.5pt;mso-position-horizontal:absolute;mso-position-vertical-relative:text;margin-top:54.5pt;mso-position-vertical:absolute;width:44.5pt;height:10.3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3" name="自选图形 9"/>
                <wp:cNvGraphicFramePr/>
                <a:graphic xmlns:a="http://schemas.openxmlformats.org/drawingml/2006/main">
                  <a:graphicData uri="http://schemas.microsoft.com/office/word/2010/wordprocessingShape">
                    <wps:wsp>
                      <wps:cNvPr id="0" name=""/>
                      <wps:cNvSpPr/>
                      <wps:spPr bwMode="auto">
                        <a:xfrm flipV="1">
                          <a:off x="0" y="0"/>
                          <a:ext cx="876299" cy="120014"/>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43.9pt;mso-position-horizontal:absolute;mso-position-vertical-relative:text;margin-top:54.6pt;mso-position-vertical:absolute;width:69.0pt;height:9.4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4"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6.8pt;mso-position-horizontal:absolute;mso-position-vertical-relative:text;margin-top:55.9pt;mso-position-vertical:absolute;width:28.7pt;height:7.7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5" name="自选图形 4"/>
                <wp:cNvGraphicFramePr/>
                <a:graphic xmlns:a="http://schemas.openxmlformats.org/drawingml/2006/main">
                  <a:graphicData uri="http://schemas.microsoft.com/office/word/2010/wordprocessingShape">
                    <wps:wsp>
                      <wps:cNvPr id="0" name=""/>
                      <wps:cNvSpPr/>
                      <wps:spPr bwMode="auto">
                        <a:xfrm flipV="1">
                          <a:off x="0" y="0"/>
                          <a:ext cx="816610" cy="103504"/>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313.2pt;mso-position-horizontal:absolute;mso-position-vertical-relative:text;margin-top:30.7pt;mso-position-vertical:absolute;width:64.3pt;height:8.2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6"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72.3pt;mso-position-horizontal:absolute;mso-position-vertical-relative:text;margin-top:7.6pt;mso-position-vertical:absolute;width:45.4pt;height:7.2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36"/>
          <w:rFonts w:hint="eastAsia" w:ascii="宋体" w:hAnsi="宋体" w:eastAsia="宋体" w:cs="宋体"/>
          <w:i w:val="0"/>
          <w:color w:val="auto"/>
          <w:sz w:val="24"/>
          <w:szCs w:val="24"/>
          <w:highlight w:val="none"/>
          <w:u w:val="single"/>
          <w:shd w:val="clear" w:color="auto" w:fill="ffffff"/>
        </w:rPr>
        <w:t xml:space="preserve">（产品名称1）</w:t>
      </w:r>
      <w:r>
        <w:rPr>
          <w:rStyle w:val="736"/>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36"/>
          <w:rFonts w:hint="eastAsia" w:ascii="宋体" w:hAnsi="宋体" w:eastAsia="宋体" w:cs="宋体"/>
          <w:i w:val="0"/>
          <w:color w:val="auto"/>
          <w:sz w:val="24"/>
          <w:szCs w:val="24"/>
          <w:highlight w:val="none"/>
          <w:u w:val="single"/>
          <w:shd w:val="clear" w:color="auto" w:fill="ffffff"/>
        </w:rPr>
        <w:t xml:space="preserve">（厂名）</w:t>
      </w:r>
      <w:r>
        <w:rPr>
          <w:rStyle w:val="736"/>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36"/>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36"/>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36"/>
          <w:rFonts w:hint="eastAsia" w:ascii="宋体" w:hAnsi="宋体" w:eastAsia="宋体" w:cs="宋体"/>
          <w:i w:val="0"/>
          <w:color w:val="auto"/>
          <w:sz w:val="24"/>
          <w:szCs w:val="24"/>
          <w:highlight w:val="none"/>
          <w:u w:val="single"/>
          <w:shd w:val="clear" w:color="auto" w:fill="ffffff"/>
        </w:rPr>
        <w:t xml:space="preserve">（规定比例）</w:t>
      </w:r>
      <w:r>
        <w:rPr>
          <w:rStyle w:val="736"/>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3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36"/>
          <w:rFonts w:hint="eastAsia" w:ascii="宋体" w:hAnsi="宋体" w:eastAsia="宋体" w:cs="宋体"/>
          <w:i w:val="0"/>
          <w:color w:val="auto"/>
          <w:sz w:val="24"/>
          <w:szCs w:val="24"/>
          <w:highlight w:val="none"/>
          <w:u w:val="single"/>
          <w:shd w:val="clear" w:color="auto" w:fill="ffffff"/>
        </w:rPr>
        <w:t xml:space="preserve">（关键组件）</w:t>
      </w:r>
      <w:r>
        <w:rPr>
          <w:rStyle w:val="736"/>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3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36"/>
          <w:rFonts w:hint="eastAsia" w:ascii="宋体" w:hAnsi="宋体" w:eastAsia="宋体" w:cs="宋体"/>
          <w:i w:val="0"/>
          <w:color w:val="auto"/>
          <w:sz w:val="24"/>
          <w:szCs w:val="24"/>
          <w:highlight w:val="none"/>
          <w:u w:val="single"/>
          <w:shd w:val="clear" w:color="auto" w:fill="ffffff"/>
        </w:rPr>
        <w:t xml:space="preserve">（关键工序）</w:t>
      </w:r>
      <w:r>
        <w:rPr>
          <w:rStyle w:val="736"/>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3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8"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32.0pt;mso-position-horizontal:absolute;mso-position-vertical-relative:text;margin-top:54.5pt;mso-position-vertical:absolute;width:71.5pt;height:11.1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9" name="自选图形 14"/>
                <wp:cNvGraphicFramePr/>
                <a:graphic xmlns:a="http://schemas.openxmlformats.org/drawingml/2006/main">
                  <a:graphicData uri="http://schemas.microsoft.com/office/word/2010/wordprocessingShape">
                    <wps:wsp>
                      <wps:cNvPr id="0" name=""/>
                      <wps:cNvSpPr/>
                      <wps:spPr bwMode="auto">
                        <a:xfrm flipV="1">
                          <a:off x="0" y="0"/>
                          <a:ext cx="462279"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79.4pt;mso-position-horizontal:absolute;mso-position-vertical-relative:text;margin-top:28.1pt;mso-position-vertical:absolute;width:36.4pt;height:11.6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25.3pt;mso-position-horizontal:absolute;mso-position-vertical-relative:text;margin-top:54.0pt;mso-position-vertical:absolute;width:64.3pt;height:11.6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1" name="自选图形 17"/>
                <wp:cNvGraphicFramePr/>
                <a:graphic xmlns:a="http://schemas.openxmlformats.org/drawingml/2006/main">
                  <a:graphicData uri="http://schemas.microsoft.com/office/word/2010/wordprocessingShape">
                    <wps:wsp>
                      <wps:cNvPr id="0" name=""/>
                      <wps:cNvSpPr/>
                      <wps:spPr bwMode="auto">
                        <a:xfrm flipV="1">
                          <a:off x="0" y="0"/>
                          <a:ext cx="718184"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56.2pt;mso-position-horizontal:absolute;mso-position-vertical-relative:text;margin-top:9.2pt;mso-position-vertical:absolute;width:56.5pt;height:7.7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122555</wp:posOffset>
                </wp:positionH>
                <wp:positionV relativeFrom="paragraph">
                  <wp:posOffset>692785</wp:posOffset>
                </wp:positionV>
                <wp:extent cx="821690" cy="102870"/>
                <wp:effectExtent l="635" t="4445" r="15875" b="6985"/>
                <wp:wrapNone/>
                <wp:docPr id="12" name="自选图形 10"/>
                <wp:cNvGraphicFramePr/>
                <a:graphic xmlns:a="http://schemas.openxmlformats.org/drawingml/2006/main">
                  <a:graphicData uri="http://schemas.microsoft.com/office/word/2010/wordprocessingShape">
                    <wps:wsp>
                      <wps:cNvPr id="0" name=""/>
                      <wps:cNvSpPr/>
                      <wps:spPr bwMode="auto">
                        <a:xfrm flipV="1">
                          <a:off x="0" y="0"/>
                          <a:ext cx="821689" cy="102869"/>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9.7pt;mso-position-horizontal:absolute;mso-position-vertical-relative:text;margin-top:54.5pt;mso-position-vertical:absolute;width:64.7pt;height:8.1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3" name="自选图形 12"/>
                <wp:cNvGraphicFramePr/>
                <a:graphic xmlns:a="http://schemas.openxmlformats.org/drawingml/2006/main">
                  <a:graphicData uri="http://schemas.microsoft.com/office/word/2010/wordprocessingShape">
                    <wps:wsp>
                      <wps:cNvPr id="0" name=""/>
                      <wps:cNvSpPr/>
                      <wps:spPr bwMode="auto">
                        <a:xfrm flipV="1">
                          <a:off x="0" y="0"/>
                          <a:ext cx="843914"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204.1pt;mso-position-horizontal:absolute;mso-position-vertical-relative:text;margin-top:29.6pt;mso-position-vertical:absolute;width:66.5pt;height:9.9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4" name="自选图形 13"/>
                <wp:cNvGraphicFramePr/>
                <a:graphic xmlns:a="http://schemas.openxmlformats.org/drawingml/2006/main">
                  <a:graphicData uri="http://schemas.microsoft.com/office/word/2010/wordprocessingShape">
                    <wps:wsp>
                      <wps:cNvPr id="0" name=""/>
                      <wps:cNvSpPr/>
                      <wps:spPr bwMode="auto">
                        <a:xfrm flipV="1">
                          <a:off x="0" y="0"/>
                          <a:ext cx="84962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89.9pt;mso-position-horizontal:absolute;mso-position-vertical-relative:text;margin-top:29.3pt;mso-position-vertical:absolute;width:66.9pt;height:9.4pt;mso-wrap-distance-left:0.0pt;mso-wrap-distance-top:0.0pt;mso-wrap-distance-right:0.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3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36"/>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36"/>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3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36"/>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3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36"/>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36"/>
          <w:rFonts w:hint="eastAsia" w:ascii="宋体" w:hAnsi="宋体" w:eastAsia="宋体" w:cs="宋体"/>
          <w:i w:val="0"/>
          <w:color w:val="auto"/>
          <w:sz w:val="24"/>
          <w:szCs w:val="24"/>
          <w:highlight w:val="none"/>
          <w:u w:val="single"/>
          <w:shd w:val="clear" w:color="auto" w:fill="ffffff"/>
        </w:rPr>
        <w:t xml:space="preserve">（产品名称</w:t>
      </w:r>
      <w:r>
        <w:rPr>
          <w:rStyle w:val="736"/>
          <w:rFonts w:hint="eastAsia" w:ascii="宋体" w:hAnsi="宋体" w:eastAsia="宋体" w:cs="宋体"/>
          <w:i w:val="0"/>
          <w:color w:val="auto"/>
          <w:sz w:val="24"/>
          <w:szCs w:val="24"/>
          <w:highlight w:val="none"/>
          <w:u w:val="single"/>
          <w:shd w:val="clear" w:color="auto" w:fill="ffffff"/>
          <w:lang w:val="en-US" w:eastAsia="zh-CN"/>
        </w:rPr>
        <w:t xml:space="preserve">2</w:t>
      </w:r>
      <w:r>
        <w:rPr>
          <w:rStyle w:val="736"/>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736"/>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3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3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r>
        <w:rPr>
          <w:rFonts w:hint="eastAsia" w:ascii="宋体" w:hAnsi="宋体" w:eastAsia="宋体" w:cs="宋体"/>
          <w:color w:val="auto"/>
          <w:sz w:val="24"/>
          <w:szCs w:val="24"/>
          <w:highlight w:val="none"/>
        </w:rPr>
      </w:r>
      <w:r/>
      <w:r>
        <w:rPr>
          <w:rFonts w:hint="eastAsia" w:ascii="宋体" w:hAnsi="宋体" w:eastAsia="宋体" w:cs="宋体"/>
          <w:color w:val="auto"/>
          <w:sz w:val="24"/>
          <w:szCs w:val="24"/>
          <w:highlight w:val="none"/>
        </w:rPr>
      </w:r>
    </w:p>
    <w:p>
      <w:pPr>
        <w:pStyle w:val="734"/>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34"/>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3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3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3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3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34"/>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734"/>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供应商提供虚假《声明函》、虚假证明文件谋取中标的，依照《中华人民共和国政府采购法》等法律法规规定追究相应责任。</w:t>
      </w:r>
      <w:r/>
    </w:p>
    <w:p>
      <w:pPr>
        <w:pStyle w:val="734"/>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pPr>
        <w:jc w:val="left"/>
        <w:keepLines/>
        <w:keepNext/>
        <w:spacing w:before="360" w:after="200" w:line="360" w:lineRule="auto"/>
        <w:rPr>
          <w:rFonts w:hint="default" w:ascii="黑体" w:hAnsi="黑体" w:eastAsia="黑体" w:cs="宋体"/>
          <w:bCs/>
          <w:sz w:val="36"/>
          <w:szCs w:val="28"/>
          <w:highlight w:val="none"/>
        </w:rPr>
        <w:outlineLvl w:val="1"/>
      </w:pPr>
      <w:r>
        <w:rPr>
          <w:rFonts w:hint="eastAsia" w:ascii="Arial" w:hAnsi="Arial" w:eastAsia="宋体" w:cs="Arial"/>
          <w:iCs/>
          <w:sz w:val="32"/>
          <w:highlight w:val="none"/>
        </w:rPr>
        <w:t xml:space="preserve">十四、投标分项报价表</w:t>
      </w:r>
      <w:r/>
    </w:p>
    <w:p>
      <w:pPr>
        <w:jc w:val="center"/>
        <w:spacing w:line="360" w:lineRule="auto"/>
        <w:tabs>
          <w:tab w:val="left" w:pos="360" w:leader="none"/>
        </w:tabs>
        <w:rPr>
          <w:rFonts w:hint="default"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hint="default"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p>
    <w:p>
      <w:pPr>
        <w:jc w:val="right"/>
        <w:spacing w:line="360" w:lineRule="auto"/>
        <w:rPr>
          <w:rFonts w:hint="default"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725"/>
        <w:tblW w:w="5510" w:type="pct"/>
        <w:tblInd w:w="-4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8"/>
        <w:gridCol w:w="1281"/>
        <w:gridCol w:w="1581"/>
        <w:gridCol w:w="669"/>
        <w:gridCol w:w="724"/>
        <w:gridCol w:w="1189"/>
        <w:gridCol w:w="1565"/>
        <w:gridCol w:w="1795"/>
      </w:tblGrid>
      <w:tr>
        <w:trPr>
          <w:trHeight w:val="98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站点名称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总价</w:t>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备注</w:t>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t xml:space="preserve">1</w:t>
            </w:r>
            <w:r/>
          </w:p>
        </w:tc>
        <w:tc>
          <w:tcPr>
            <w:tcBorders>
              <w:top w:val="single" w:color="000000" w:sz="4" w:space="0"/>
              <w:left w:val="single" w:color="000000" w:sz="4" w:space="0"/>
              <w:right w:val="single" w:color="000000" w:sz="4" w:space="0"/>
            </w:tcBorders>
            <w:tcW w:w="681" w:type="pct"/>
            <w:vAlign w:val="center"/>
            <w:vMerge w:val="restart"/>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空气站运维</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燕尾新区站</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left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灌西盐场站</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3</w:t>
            </w:r>
            <w:r/>
          </w:p>
        </w:tc>
        <w:tc>
          <w:tcPr>
            <w:tcBorders>
              <w:left w:val="single" w:color="000000" w:sz="4" w:space="0"/>
              <w:bottom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三百弓村站</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4</w:t>
            </w:r>
            <w:r/>
          </w:p>
        </w:tc>
        <w:tc>
          <w:tcPr>
            <w:tcBorders>
              <w:top w:val="single" w:color="000000" w:sz="4" w:space="0"/>
              <w:left w:val="single" w:color="000000" w:sz="4" w:space="0"/>
              <w:right w:val="single" w:color="000000" w:sz="4" w:space="0"/>
            </w:tcBorders>
            <w:tcW w:w="681" w:type="pct"/>
            <w:vAlign w:val="center"/>
            <w:vMerge w:val="restart"/>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厂界站运维</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远征东门</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5</w:t>
            </w:r>
            <w:r/>
          </w:p>
        </w:tc>
        <w:tc>
          <w:tcPr>
            <w:tcBorders>
              <w:left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经七纬九</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6</w:t>
            </w:r>
            <w:r/>
          </w:p>
        </w:tc>
        <w:tc>
          <w:tcPr>
            <w:tcBorders>
              <w:left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经八纬八</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7</w:t>
            </w:r>
            <w:r/>
          </w:p>
        </w:tc>
        <w:tc>
          <w:tcPr>
            <w:tcBorders>
              <w:left w:val="single" w:color="000000" w:sz="4" w:space="0"/>
              <w:bottom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经八纬五</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8</w:t>
            </w:r>
            <w:r/>
          </w:p>
        </w:tc>
        <w:tc>
          <w:tcPr>
            <w:tcBorders>
              <w:top w:val="single" w:color="000000" w:sz="4" w:space="0"/>
              <w:left w:val="single" w:color="000000" w:sz="4" w:space="0"/>
              <w:right w:val="single" w:color="000000" w:sz="4" w:space="0"/>
            </w:tcBorders>
            <w:tcW w:w="681" w:type="pct"/>
            <w:vAlign w:val="center"/>
            <w:vMerge w:val="restart"/>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恶臭站运维</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燕尾新区</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9</w:t>
            </w:r>
            <w:r/>
          </w:p>
        </w:tc>
        <w:tc>
          <w:tcPr>
            <w:tcBorders>
              <w:left w:val="single" w:color="000000" w:sz="4" w:space="0"/>
              <w:bottom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经七纬九</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eastAsia"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10</w:t>
            </w:r>
            <w:r/>
          </w:p>
        </w:tc>
        <w:tc>
          <w:tcPr>
            <w:tcBorders>
              <w:top w:val="single" w:color="000000" w:sz="4" w:space="0"/>
              <w:left w:val="single" w:color="000000" w:sz="4" w:space="0"/>
              <w:right w:val="single" w:color="000000" w:sz="4" w:space="0"/>
            </w:tcBorders>
            <w:tcW w:w="681" w:type="pct"/>
            <w:vAlign w:val="center"/>
            <w:vMerge w:val="restart"/>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水站运维</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经八纬九</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11</w:t>
            </w:r>
            <w:r/>
          </w:p>
        </w:tc>
        <w:tc>
          <w:tcPr>
            <w:tcBorders>
              <w:left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经九纬六</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12</w:t>
            </w:r>
            <w:r/>
          </w:p>
        </w:tc>
        <w:tc>
          <w:tcPr>
            <w:tcBorders>
              <w:left w:val="single" w:color="000000"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经七纬九</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bidi="ar-SA"/>
              </w:rPr>
            </w:r>
            <w:r/>
          </w:p>
        </w:tc>
      </w:tr>
      <w:tr>
        <w:trPr>
          <w:trHeight w:val="538"/>
        </w:trPr>
        <w:tc>
          <w:tcPr>
            <w:tcBorders>
              <w:top w:val="single" w:color="000000" w:sz="4" w:space="0"/>
              <w:left w:val="single" w:color="000000" w:sz="4" w:space="0"/>
              <w:bottom w:val="single" w:color="auto"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13</w:t>
            </w:r>
            <w:r/>
          </w:p>
        </w:tc>
        <w:tc>
          <w:tcPr>
            <w:tcBorders>
              <w:left w:val="single" w:color="000000" w:sz="4" w:space="0"/>
              <w:bottom w:val="single" w:color="auto" w:sz="4" w:space="0"/>
              <w:right w:val="single" w:color="000000" w:sz="4" w:space="0"/>
            </w:tcBorders>
            <w:tcW w:w="681" w:type="pct"/>
            <w:vAlign w:val="center"/>
            <w:vMerge w:val="continue"/>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841"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经八纬五</w:t>
            </w:r>
            <w:r/>
          </w:p>
        </w:tc>
        <w:tc>
          <w:tcPr>
            <w:tcBorders>
              <w:top w:val="single" w:color="000000" w:sz="4" w:space="0"/>
              <w:left w:val="single" w:color="000000" w:sz="4" w:space="0"/>
              <w:bottom w:val="single" w:color="auto" w:sz="4" w:space="0"/>
              <w:right w:val="single" w:color="000000" w:sz="4" w:space="0"/>
            </w:tcBorders>
            <w:tcW w:w="356" w:type="pct"/>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auto" w:sz="4" w:space="0"/>
              <w:right w:val="single" w:color="000000" w:sz="4" w:space="0"/>
            </w:tcBorders>
            <w:tcW w:w="385"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ind w:firstLine="420"/>
              <w:jc w:val="both"/>
              <w:keepLines w:val="0"/>
              <w:keepNext w:val="0"/>
              <w:widowControl/>
              <w:rPr>
                <w:rFonts w:hint="eastAsia"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833"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r>
        <w:trPr>
          <w:trHeight w:val="583"/>
        </w:trPr>
        <w:tc>
          <w:tcPr>
            <w:tcBorders>
              <w:top w:val="single" w:color="auto" w:sz="4" w:space="0"/>
              <w:left w:val="single" w:color="000000" w:sz="4" w:space="0"/>
              <w:bottom w:val="single" w:color="auto" w:sz="4" w:space="0"/>
              <w:right w:val="single" w:color="000000" w:sz="4" w:space="0"/>
            </w:tcBorders>
            <w:tcW w:w="313" w:type="pct"/>
            <w:vAlign w:val="center"/>
            <w:textDirection w:val="lrTb"/>
            <w:noWrap/>
          </w:tcPr>
          <w:p>
            <w:pPr>
              <w:ind w:firstLine="0"/>
              <w:jc w:val="center"/>
              <w:keepLines w:val="0"/>
              <w:keepNext w:val="0"/>
              <w:pageBreakBefore w:val="0"/>
              <w:spacing w:line="240" w:lineRule="atLeast"/>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eastAsia" w:ascii="Times New Roman" w:hAnsi="Times New Roman" w:eastAsia="宋体" w:cs="Times New Roman"/>
                <w:b w:val="0"/>
                <w:bCs w:val="0"/>
                <w:i w:val="0"/>
                <w:iCs w:val="0"/>
                <w:color w:val="000000"/>
                <w:sz w:val="21"/>
                <w:szCs w:val="21"/>
                <w:highlight w:val="none"/>
                <w:u w:val="none"/>
                <w:lang w:val="en-US" w:eastAsia="zh-CN"/>
              </w:rPr>
              <w:t xml:space="preserve">14</w:t>
            </w:r>
            <w:r/>
          </w:p>
        </w:tc>
        <w:tc>
          <w:tcPr>
            <w:gridSpan w:val="2"/>
            <w:tcBorders>
              <w:top w:val="single" w:color="auto" w:sz="4" w:space="0"/>
              <w:left w:val="single" w:color="000000" w:sz="4" w:space="0"/>
              <w:bottom w:val="single" w:color="auto" w:sz="4" w:space="0"/>
              <w:right w:val="single" w:color="000000" w:sz="4" w:space="0"/>
            </w:tcBorders>
            <w:tcW w:w="1523" w:type="pct"/>
            <w:vAlign w:val="center"/>
            <w:textDirection w:val="lrTb"/>
            <w:noWrap/>
          </w:tcPr>
          <w:p>
            <w:pPr>
              <w:ind w:firstLine="0"/>
              <w:jc w:val="center"/>
              <w:keepLines w:val="0"/>
              <w:keepNext w:val="0"/>
              <w:pageBreakBefore w:val="0"/>
              <w:spacing w:line="240" w:lineRule="atLeast"/>
              <w:widowControl/>
              <w:rPr>
                <w:rFonts w:hint="default"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rPr>
              <w:t xml:space="preserve">总计</w:t>
            </w:r>
            <w:r/>
          </w:p>
        </w:tc>
        <w:tc>
          <w:tcPr>
            <w:gridSpan w:val="4"/>
            <w:tcBorders>
              <w:top w:val="single" w:color="auto" w:sz="4" w:space="0"/>
              <w:left w:val="single" w:color="000000" w:sz="4" w:space="0"/>
              <w:bottom w:val="single" w:color="auto" w:sz="4" w:space="0"/>
              <w:right w:val="single" w:color="000000" w:sz="4" w:space="0"/>
            </w:tcBorders>
            <w:tcW w:w="2207"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c>
          <w:tcPr>
            <w:tcBorders>
              <w:top w:val="single" w:color="auto" w:sz="4" w:space="0"/>
              <w:left w:val="single" w:color="000000" w:sz="4" w:space="0"/>
              <w:bottom w:val="single" w:color="auto" w:sz="4" w:space="0"/>
              <w:right w:val="single" w:color="000000" w:sz="4" w:space="0"/>
            </w:tcBorders>
            <w:tcW w:w="955" w:type="pct"/>
            <w:vAlign w:val="center"/>
            <w:textDirection w:val="lrTb"/>
            <w:noWrap/>
          </w:tcPr>
          <w:p>
            <w:pPr>
              <w:ind w:firstLine="420"/>
              <w:jc w:val="both"/>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rPr>
              <w:suppressLineNumbers w:val="0"/>
            </w:pPr>
            <w:r>
              <w:rPr>
                <w:rFonts w:hint="default" w:ascii="Times New Roman" w:hAnsi="Times New Roman" w:eastAsia="宋体" w:cs="Times New Roman"/>
                <w:b w:val="0"/>
                <w:bCs w:val="0"/>
                <w:i w:val="0"/>
                <w:iCs w:val="0"/>
                <w:color w:val="000000"/>
                <w:sz w:val="21"/>
                <w:szCs w:val="21"/>
                <w:highlight w:val="none"/>
                <w:u w:val="none"/>
                <w:lang w:val="en-US" w:eastAsia="zh-CN"/>
              </w:rPr>
            </w:r>
            <w:r/>
          </w:p>
        </w:tc>
      </w:tr>
    </w:tbl>
    <w:p>
      <w:pPr>
        <w:pStyle w:val="728"/>
        <w:ind w:left="0" w:firstLine="0"/>
        <w:rPr>
          <w:rFonts w:hint="default"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说明：</w:t>
      </w:r>
      <w:r>
        <w:rPr>
          <w:rFonts w:hint="default" w:ascii="Times New Roman" w:hAnsi="Times New Roman" w:eastAsia="宋体" w:cs="Times New Roman"/>
          <w:color w:val="000000"/>
          <w:szCs w:val="24"/>
          <w:highlight w:val="none"/>
        </w:rPr>
        <w:t xml:space="preserve">投标报价包含本项目有关的所有费用，包括维修费、税费、人工费、零配件费、交通费、维保费等与本合同标的相关的所有费用。</w:t>
      </w:r>
      <w:r/>
    </w:p>
    <w:p>
      <w:pPr>
        <w:rPr>
          <w:rFonts w:hint="default"/>
          <w:highlight w:val="none"/>
        </w:rPr>
      </w:pPr>
      <w:r>
        <w:rPr>
          <w:rFonts w:hint="default"/>
          <w:highlight w:val="none"/>
        </w:rPr>
      </w:r>
      <w:r/>
    </w:p>
    <w:p>
      <w:pPr>
        <w:ind w:firstLine="420"/>
        <w:spacing w:line="360" w:lineRule="auto"/>
        <w:rPr>
          <w:rFonts w:hint="default"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hint="default"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hint="default"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hint="eastAsia" w:ascii="宋体" w:hAnsi="宋体"/>
          <w:sz w:val="24"/>
          <w:szCs w:val="24"/>
          <w:highlight w:val="none"/>
        </w:rPr>
      </w:pPr>
      <w:r>
        <w:rPr>
          <w:rFonts w:hint="eastAsia" w:ascii="Times New Roman" w:hAnsi="Times New Roman" w:eastAsia="宋体" w:cs="Times New Roman"/>
          <w:color w:val="000000"/>
          <w:szCs w:val="24"/>
          <w:highlight w:val="none"/>
        </w:rPr>
        <w:t xml:space="preserve">日期：    年     月     日</w:t>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五</w:t>
      </w:r>
      <w:r>
        <w:rPr>
          <w:rFonts w:hint="eastAsia" w:ascii="Arial" w:hAnsi="Arial" w:eastAsia="宋体" w:cs="Arial"/>
          <w:iCs/>
          <w:sz w:val="32"/>
          <w:highlight w:val="none"/>
        </w:rPr>
        <w:t xml:space="preserve">、技术要求响应及偏离表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25"/>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23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jc w:val="left"/>
        <w:keepLines/>
        <w:keepNext/>
        <w:spacing w:before="360" w:after="200" w:line="360" w:lineRule="auto"/>
        <w:rPr>
          <w:rFonts w:ascii="Arial" w:hAnsi="Arial" w:eastAsia="宋体" w:cs="Arial"/>
          <w:iCs/>
          <w:sz w:val="32"/>
          <w:highlight w:val="none"/>
        </w:rPr>
        <w:outlineLvl w:val="1"/>
      </w:pPr>
      <w:r/>
      <w:bookmarkStart w:id="6" w:name="_Hlt26955054"/>
      <w:r/>
      <w:bookmarkEnd w:id="6"/>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六</w:t>
      </w:r>
      <w:r>
        <w:rPr>
          <w:rFonts w:hint="eastAsia" w:ascii="Arial" w:hAnsi="Arial" w:eastAsia="宋体" w:cs="Arial"/>
          <w:iCs/>
          <w:sz w:val="32"/>
          <w:highlight w:val="none"/>
        </w:rPr>
        <w:t xml:space="preserve">、商务要求响应及偏离表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25"/>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bookmarkStart w:id="7" w:name="_Hlt26955064"/>
            <w:r/>
            <w:bookmarkEnd w:id="7"/>
            <w:r/>
            <w:bookmarkStart w:id="8" w:name="_Hlt26609391"/>
            <w:r/>
            <w:bookmarkEnd w:id="8"/>
            <w:r/>
            <w:bookmarkStart w:id="9" w:name="_Hlt26671372"/>
            <w:r/>
            <w:bookmarkEnd w:id="9"/>
            <w:r/>
            <w:bookmarkStart w:id="10" w:name="_Hlt26580838"/>
            <w:r/>
            <w:bookmarkEnd w:id="10"/>
            <w:r/>
            <w:bookmarkStart w:id="11" w:name="_Hlt26955056"/>
            <w:r/>
            <w:bookmarkEnd w:id="11"/>
            <w:r/>
            <w:bookmarkStart w:id="12" w:name="_Hlt24879081"/>
            <w:r/>
            <w:bookmarkEnd w:id="12"/>
            <w:r/>
            <w:bookmarkStart w:id="13" w:name="_Hlt26671343"/>
            <w:r/>
            <w:bookmarkEnd w:id="13"/>
            <w:r/>
            <w:bookmarkStart w:id="14" w:name="_Hlt26782999"/>
            <w:r/>
            <w:bookmarkEnd w:id="14"/>
            <w:r>
              <w:rPr>
                <w:rFonts w:hint="eastAsia" w:ascii="宋体" w:hAnsi="宋体" w:eastAsia="宋体" w:cs="Times New Roman"/>
                <w:color w:val="000000"/>
                <w:sz w:val="24"/>
                <w:szCs w:val="24"/>
                <w:highlight w:val="none"/>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3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15" w:name="_Hlt26955066"/>
      <w:r/>
      <w:bookmarkEnd w:id="15"/>
      <w:r/>
      <w:bookmarkStart w:id="16" w:name="_格式2__法定代表人授权书"/>
      <w:r/>
      <w:bookmarkEnd w:id="16"/>
      <w:r/>
      <w:bookmarkStart w:id="17" w:name="_Hlt26671374"/>
      <w:r/>
      <w:bookmarkEnd w:id="17"/>
      <w:r/>
      <w:bookmarkStart w:id="18" w:name="_Hlt26609389"/>
      <w:r/>
      <w:bookmarkEnd w:id="18"/>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七</w:t>
      </w:r>
      <w:r>
        <w:rPr>
          <w:rFonts w:hint="eastAsia" w:ascii="Arial" w:hAnsi="Arial" w:eastAsia="宋体" w:cs="Arial"/>
          <w:iCs/>
          <w:sz w:val="36"/>
          <w:highlight w:val="none"/>
        </w:rPr>
        <w:t xml:space="preserve">、类似项目业绩一览表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25"/>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89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11"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0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6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szCs w:val="36"/>
          <w:highlight w:val="none"/>
        </w:rPr>
        <w:outlineLvl w:val="1"/>
      </w:pPr>
      <w:r>
        <w:rPr>
          <w:rFonts w:hint="eastAsia" w:ascii="Arial" w:hAnsi="Arial" w:eastAsia="宋体" w:cs="Arial"/>
          <w:iCs/>
          <w:sz w:val="36"/>
          <w:highlight w:val="none"/>
        </w:rPr>
      </w:r>
      <w:r>
        <w:rPr>
          <w:rFonts w:hint="eastAsia" w:ascii="Arial" w:hAnsi="Arial" w:eastAsia="宋体" w:cs="Arial"/>
          <w:iCs/>
          <w:sz w:val="36"/>
          <w:highlight w:val="none"/>
        </w:rPr>
      </w:r>
    </w:p>
    <w:p>
      <w:pPr>
        <w:jc w:val="left"/>
        <w:keepLines/>
        <w:keepNext/>
        <w:spacing w:before="360" w:after="200" w:line="360" w:lineRule="auto"/>
        <w:rPr>
          <w:rFonts w:hint="eastAsia" w:ascii="Arial" w:hAnsi="Arial" w:eastAsia="宋体" w:cs="Arial"/>
          <w:iCs/>
          <w:sz w:val="36"/>
          <w:szCs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八</w:t>
      </w:r>
      <w:r>
        <w:rPr>
          <w:rFonts w:hint="eastAsia" w:ascii="Arial" w:hAnsi="Arial" w:eastAsia="宋体" w:cs="Arial"/>
          <w:iCs/>
          <w:sz w:val="36"/>
          <w:highlight w:val="none"/>
        </w:rPr>
        <w:t xml:space="preserve">、项目团队人员一览表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25"/>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黑体" w:hAnsi="黑体" w:eastAsia="黑体" w:cs="Times New Roman"/>
          <w:b/>
          <w:color w:val="000000"/>
          <w:sz w:val="32"/>
          <w:szCs w:val="32"/>
          <w:highlight w:val="none"/>
        </w:rPr>
        <w:outlineLvl w:val="1"/>
      </w:pPr>
      <w:r>
        <w:rPr>
          <w:rFonts w:hint="eastAsia" w:ascii="Arial" w:hAnsi="Arial" w:eastAsia="宋体" w:cs="Arial"/>
          <w:sz w:val="32"/>
          <w:highlight w:val="none"/>
          <w:lang w:val="en-US" w:eastAsia="zh-CN"/>
        </w:rPr>
        <w:t xml:space="preserve">十九</w:t>
      </w:r>
      <w:r>
        <w:rPr>
          <w:rFonts w:hint="eastAsia" w:ascii="Arial" w:hAnsi="Arial" w:eastAsia="宋体" w:cs="Arial"/>
          <w:sz w:val="32"/>
          <w:highlight w:val="none"/>
        </w:rPr>
        <w:t xml:space="preserve">、开标一览表</w:t>
      </w:r>
      <w:r/>
    </w:p>
    <w:p>
      <w:pPr>
        <w:jc w:val="left"/>
        <w:spacing w:line="360" w:lineRule="auto"/>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r>
      <w:r/>
    </w:p>
    <w:p>
      <w:pPr>
        <w:jc w:val="left"/>
        <w:spacing w:line="360" w:lineRule="auto"/>
        <w:rPr>
          <w:rFonts w:hint="default" w:ascii="Arial" w:hAnsi="Arial" w:eastAsia="宋体" w:cs="Arial"/>
          <w:color w:val="000000"/>
          <w:sz w:val="36"/>
          <w:highlight w:val="none"/>
        </w:rPr>
      </w:pPr>
      <w:r>
        <w:rPr>
          <w:rFonts w:hint="eastAsia" w:ascii="宋体" w:hAnsi="宋体" w:eastAsia="宋体" w:cs="方正仿宋_GBK"/>
          <w:color w:val="000000"/>
          <w:sz w:val="24"/>
          <w:szCs w:val="24"/>
          <w:highlight w:val="none"/>
        </w:rPr>
        <w:t xml:space="preserve">项目编号：      分包号：</w:t>
      </w:r>
      <w:r/>
    </w:p>
    <w:p>
      <w:pPr>
        <w:ind w:firstLine="480"/>
        <w:jc w:val="right"/>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货币单位：人民币元</w:t>
      </w:r>
      <w:r/>
    </w:p>
    <w:tbl>
      <w:tblPr>
        <w:tblStyle w:val="7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eastAsia" w:ascii="宋体" w:hAnsi="宋体" w:eastAsia="宋体" w:cs="方正仿宋_GBK"/>
                <w:color w:val="000000"/>
                <w:sz w:val="24"/>
                <w:szCs w:val="24"/>
                <w:highlight w:val="none"/>
              </w:rPr>
              <w:t xml:space="preserve">项目名称：</w:t>
            </w:r>
            <w:r/>
          </w:p>
        </w:tc>
        <w:tc>
          <w:tcPr>
            <w:tcW w:w="2841"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项目内容</w:t>
            </w:r>
            <w:r/>
          </w:p>
        </w:tc>
        <w:tc>
          <w:tcPr>
            <w:tcW w:w="2841"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总价</w:t>
            </w:r>
            <w:r>
              <w:rPr>
                <w:rFonts w:hint="eastAsia" w:ascii="Times New Roman" w:hAnsi="Times New Roman" w:eastAsia="宋体" w:cs="Times New Roman"/>
                <w:color w:val="000000"/>
                <w:sz w:val="24"/>
                <w:szCs w:val="24"/>
                <w:highlight w:val="none"/>
              </w:rPr>
              <w:t xml:space="preserve">（小写）</w:t>
            </w:r>
            <w:r/>
          </w:p>
        </w:tc>
      </w:tr>
      <w:tr>
        <w:trPr/>
        <w:tc>
          <w:tcPr>
            <w:tcW w:w="2840"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c>
          <w:tcPr>
            <w:tcW w:w="2841"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详见投标文件</w:t>
            </w:r>
            <w:r/>
          </w:p>
        </w:tc>
        <w:tc>
          <w:tcPr>
            <w:tcW w:w="2841"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元</w:t>
            </w:r>
            <w:r/>
          </w:p>
        </w:tc>
      </w:tr>
      <w:tr>
        <w:trPr/>
        <w:tc>
          <w:tcPr>
            <w:tcW w:w="2840"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总价（大写）</w:t>
            </w:r>
            <w:r/>
          </w:p>
        </w:tc>
        <w:tc>
          <w:tcPr>
            <w:gridSpan w:val="2"/>
            <w:tcW w:w="5682" w:type="dxa"/>
            <w:textDirection w:val="lrTb"/>
            <w:noWrap/>
          </w:tcPr>
          <w:p>
            <w:pPr>
              <w:jc w:val="cente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r>
            <w:r/>
          </w:p>
        </w:tc>
      </w:tr>
    </w:tbl>
    <w:p>
      <w:pPr>
        <w:spacing w:line="5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投标人公章：</w:t>
      </w:r>
      <w:r>
        <w:rPr>
          <w:rFonts w:hint="eastAsia" w:ascii="Times New Roman" w:hAnsi="Times New Roman" w:eastAsia="宋体" w:cs="Times New Roman"/>
          <w:color w:val="000000"/>
          <w:sz w:val="24"/>
          <w:szCs w:val="24"/>
          <w:highlight w:val="none"/>
        </w:rPr>
        <w:t xml:space="preserve">             （电子签章）</w:t>
      </w:r>
      <w:r/>
    </w:p>
    <w:p>
      <w:pPr>
        <w:ind w:firstLine="480"/>
        <w:jc w:val="right"/>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Cambria Math">
    <w:panose1 w:val="02040503050406030204"/>
  </w:font>
  <w:font w:name="Symbol">
    <w:panose1 w:val="05050102010706020507"/>
  </w:font>
  <w:font w:name="Wingdings">
    <w:panose1 w:val="05000000000000000000"/>
  </w:font>
  <w:font w:name="Courier New">
    <w:panose1 w:val="02070309020205020404"/>
  </w:font>
  <w:font w:name="MS Mincho">
    <w:panose1 w:val="02020603050405090304"/>
  </w:font>
  <w:font w:name="楷体_GB2312">
    <w:panose1 w:val="02010609060101010101"/>
  </w:font>
  <w:font w:name="黑体">
    <w:panose1 w:val="02010609060101010101"/>
  </w:font>
  <w:font w:name="仿宋_GB2312">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r/>
  </w:p>
  <w:p>
    <w:pPr>
      <w:pStyle w:val="7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1"/>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rPr>
    </w:lvl>
    <w:lvl w:ilvl="2">
      <w:start w:val="1"/>
      <w:numFmt w:val="decimal"/>
      <w:isLgl w:val="false"/>
      <w:suff w:val="nothing"/>
      <w:lvlText w:val="（%3）"/>
      <w:lvlJc w:val="left"/>
      <w:pPr>
        <w:ind w:left="1074" w:hanging="567"/>
      </w:pPr>
      <w:rPr>
        <w:color w:val="000000"/>
        <w:sz w:val="24"/>
        <w:szCs w:val="24"/>
        <w:lang w:val="en-US"/>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0" w:hanging="420"/>
      </w:pPr>
      <w:rPr>
        <w:rFonts w:hint="default" w:ascii="宋体" w:hAnsi="宋体" w:eastAsia="宋体" w:cs="宋体"/>
        <w:i w:val="0"/>
        <w:iCs w:val="0"/>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cs="Wingdings"/>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4">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lowerLetter"/>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0" w:hanging="420"/>
      </w:pPr>
      <w:rPr>
        <w:rFonts w:hint="eastAsia"/>
      </w:rPr>
    </w:lvl>
    <w:lvl w:ilvl="1">
      <w:start w:val="1"/>
      <w:numFmt w:val="decimal"/>
      <w:isLgl w:val="false"/>
      <w:suff w:val="space"/>
      <w:lvlText w:val="%2)"/>
      <w:lvlJc w:val="left"/>
      <w:pPr>
        <w:ind w:left="397" w:hanging="397"/>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0" w:hanging="420"/>
      </w:pPr>
      <w:rPr>
        <w:sz w:val="24"/>
        <w:szCs w:val="24"/>
        <w:lang w:val="en-US"/>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9">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isLgl w:val="false"/>
      <w:suff w:val="space"/>
      <w:lvlText w:val="%1)"/>
      <w:lvlJc w:val="left"/>
      <w:pPr>
        <w:ind w:left="397" w:hanging="397"/>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8">
    <w:multiLevelType w:val="hybridMultilevel"/>
    <w:lvl w:ilvl="0">
      <w:start w:val="1"/>
      <w:numFmt w:val="decimal"/>
      <w:isLgl w:val="false"/>
      <w:suff w:val="space"/>
      <w:lvlText w:val="%1)"/>
      <w:lvlJc w:val="left"/>
      <w:pPr>
        <w:ind w:left="397" w:hanging="397"/>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0">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2"/>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4">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space"/>
      <w:lvlText w:val="%1)"/>
      <w:lvlJc w:val="left"/>
      <w:pPr>
        <w:ind w:left="420" w:hanging="420"/>
      </w:pPr>
      <w:rPr>
        <w:rFonts w:hint="eastAsia"/>
        <w:b w:val="0"/>
      </w:rPr>
    </w:lvl>
    <w:lvl w:ilvl="1">
      <w:start w:val="1"/>
      <w:numFmt w:val="bullet"/>
      <w:isLgl w:val="false"/>
      <w:suff w:val="tab"/>
      <w:lvlText w:val="▲"/>
      <w:lvlJc w:val="left"/>
      <w:pPr>
        <w:ind w:left="780" w:hanging="360"/>
      </w:pPr>
      <w:rPr>
        <w:rFonts w:hint="default" w:ascii="Times New Roman" w:hAnsi="Times New Roman"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7"/>
  </w:num>
  <w:num w:numId="2">
    <w:abstractNumId w:val="15"/>
  </w:num>
  <w:num w:numId="3">
    <w:abstractNumId w:val="11"/>
  </w:num>
  <w:num w:numId="4">
    <w:abstractNumId w:val="34"/>
  </w:num>
  <w:num w:numId="5">
    <w:abstractNumId w:val="35"/>
  </w:num>
  <w:num w:numId="6">
    <w:abstractNumId w:val="32"/>
  </w:num>
  <w:num w:numId="7">
    <w:abstractNumId w:val="16"/>
  </w:num>
  <w:num w:numId="8">
    <w:abstractNumId w:val="28"/>
  </w:num>
  <w:num w:numId="9">
    <w:abstractNumId w:val="24"/>
  </w:num>
  <w:num w:numId="10">
    <w:abstractNumId w:val="21"/>
  </w:num>
  <w:num w:numId="11">
    <w:abstractNumId w:val="0"/>
  </w:num>
  <w:num w:numId="12">
    <w:abstractNumId w:val="18"/>
  </w:num>
  <w:num w:numId="13">
    <w:abstractNumId w:val="3"/>
  </w:num>
  <w:num w:numId="14">
    <w:abstractNumId w:val="2"/>
  </w:num>
  <w:num w:numId="15">
    <w:abstractNumId w:val="20"/>
  </w:num>
  <w:num w:numId="16">
    <w:abstractNumId w:val="22"/>
  </w:num>
  <w:num w:numId="17">
    <w:abstractNumId w:val="25"/>
  </w:num>
  <w:num w:numId="18">
    <w:abstractNumId w:val="9"/>
  </w:num>
  <w:num w:numId="19">
    <w:abstractNumId w:val="27"/>
  </w:num>
  <w:num w:numId="20">
    <w:abstractNumId w:val="36"/>
  </w:num>
  <w:num w:numId="21">
    <w:abstractNumId w:val="23"/>
  </w:num>
  <w:num w:numId="22">
    <w:abstractNumId w:val="26"/>
  </w:num>
  <w:num w:numId="23">
    <w:abstractNumId w:val="31"/>
  </w:num>
  <w:num w:numId="24">
    <w:abstractNumId w:val="13"/>
  </w:num>
  <w:num w:numId="25">
    <w:abstractNumId w:val="30"/>
  </w:num>
  <w:num w:numId="26">
    <w:abstractNumId w:val="5"/>
  </w:num>
  <w:num w:numId="27">
    <w:abstractNumId w:val="19"/>
  </w:num>
  <w:num w:numId="28">
    <w:abstractNumId w:val="29"/>
  </w:num>
  <w:num w:numId="29">
    <w:abstractNumId w:val="14"/>
  </w:num>
  <w:num w:numId="30">
    <w:abstractNumId w:val="33"/>
  </w:num>
  <w:num w:numId="31">
    <w:abstractNumId w:val="4"/>
  </w:num>
  <w:num w:numId="32">
    <w:abstractNumId w:val="12"/>
  </w:num>
  <w:num w:numId="33">
    <w:abstractNumId w:val="10"/>
  </w:num>
  <w:num w:numId="34">
    <w:abstractNumId w:val="1"/>
  </w:num>
  <w:num w:numId="35">
    <w:abstractNumId w:val="6"/>
  </w:num>
  <w:num w:numId="36">
    <w:abstractNumId w:val="17"/>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21"/>
    <w:uiPriority w:val="9"/>
    <w:rPr>
      <w:rFonts w:ascii="Arial" w:hAnsi="Arial" w:eastAsia="Arial" w:cs="Arial"/>
      <w:sz w:val="40"/>
      <w:szCs w:val="40"/>
    </w:rPr>
  </w:style>
  <w:style w:type="character" w:styleId="15">
    <w:name w:val="Heading 2 Char"/>
    <w:basedOn w:val="724"/>
    <w:link w:val="722"/>
    <w:uiPriority w:val="9"/>
    <w:rPr>
      <w:rFonts w:ascii="Arial" w:hAnsi="Arial" w:eastAsia="Arial" w:cs="Arial"/>
      <w:sz w:val="34"/>
    </w:rPr>
  </w:style>
  <w:style w:type="character" w:styleId="17">
    <w:name w:val="Heading 3 Char"/>
    <w:basedOn w:val="724"/>
    <w:link w:val="723"/>
    <w:uiPriority w:val="9"/>
    <w:rPr>
      <w:rFonts w:ascii="Arial" w:hAnsi="Arial" w:eastAsia="Arial" w:cs="Arial"/>
      <w:sz w:val="30"/>
      <w:szCs w:val="30"/>
    </w:rPr>
  </w:style>
  <w:style w:type="paragraph" w:styleId="18">
    <w:name w:val="Heading 4"/>
    <w:basedOn w:val="720"/>
    <w:next w:val="7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4"/>
    <w:link w:val="18"/>
    <w:uiPriority w:val="9"/>
    <w:rPr>
      <w:rFonts w:ascii="Arial" w:hAnsi="Arial" w:eastAsia="Arial" w:cs="Arial"/>
      <w:b/>
      <w:bCs/>
      <w:sz w:val="26"/>
      <w:szCs w:val="26"/>
    </w:rPr>
  </w:style>
  <w:style w:type="paragraph" w:styleId="20">
    <w:name w:val="Heading 5"/>
    <w:basedOn w:val="720"/>
    <w:next w:val="7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4"/>
    <w:link w:val="20"/>
    <w:uiPriority w:val="9"/>
    <w:rPr>
      <w:rFonts w:ascii="Arial" w:hAnsi="Arial" w:eastAsia="Arial" w:cs="Arial"/>
      <w:b/>
      <w:bCs/>
      <w:sz w:val="24"/>
      <w:szCs w:val="24"/>
    </w:rPr>
  </w:style>
  <w:style w:type="paragraph" w:styleId="22">
    <w:name w:val="Heading 6"/>
    <w:basedOn w:val="720"/>
    <w:next w:val="7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4"/>
    <w:link w:val="22"/>
    <w:uiPriority w:val="9"/>
    <w:rPr>
      <w:rFonts w:ascii="Arial" w:hAnsi="Arial" w:eastAsia="Arial" w:cs="Arial"/>
      <w:b/>
      <w:bCs/>
      <w:sz w:val="22"/>
      <w:szCs w:val="22"/>
    </w:rPr>
  </w:style>
  <w:style w:type="paragraph" w:styleId="24">
    <w:name w:val="Heading 7"/>
    <w:basedOn w:val="720"/>
    <w:next w:val="7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4"/>
    <w:link w:val="24"/>
    <w:uiPriority w:val="9"/>
    <w:rPr>
      <w:rFonts w:ascii="Arial" w:hAnsi="Arial" w:eastAsia="Arial" w:cs="Arial"/>
      <w:b/>
      <w:bCs/>
      <w:i/>
      <w:iCs/>
      <w:sz w:val="22"/>
      <w:szCs w:val="22"/>
    </w:rPr>
  </w:style>
  <w:style w:type="paragraph" w:styleId="26">
    <w:name w:val="Heading 8"/>
    <w:basedOn w:val="720"/>
    <w:next w:val="7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4"/>
    <w:link w:val="26"/>
    <w:uiPriority w:val="9"/>
    <w:rPr>
      <w:rFonts w:ascii="Arial" w:hAnsi="Arial" w:eastAsia="Arial" w:cs="Arial"/>
      <w:i/>
      <w:iCs/>
      <w:sz w:val="22"/>
      <w:szCs w:val="22"/>
    </w:rPr>
  </w:style>
  <w:style w:type="paragraph" w:styleId="28">
    <w:name w:val="Heading 9"/>
    <w:basedOn w:val="720"/>
    <w:next w:val="7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4"/>
    <w:link w:val="28"/>
    <w:uiPriority w:val="9"/>
    <w:rPr>
      <w:rFonts w:ascii="Arial" w:hAnsi="Arial" w:eastAsia="Arial" w:cs="Arial"/>
      <w:i/>
      <w:iCs/>
      <w:sz w:val="21"/>
      <w:szCs w:val="21"/>
    </w:rPr>
  </w:style>
  <w:style w:type="paragraph" w:styleId="30">
    <w:name w:val="List Paragraph"/>
    <w:basedOn w:val="7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0"/>
    <w:next w:val="720"/>
    <w:link w:val="34"/>
    <w:uiPriority w:val="10"/>
    <w:qFormat/>
    <w:pPr>
      <w:contextualSpacing/>
      <w:spacing w:before="300" w:after="200"/>
    </w:pPr>
    <w:rPr>
      <w:sz w:val="48"/>
      <w:szCs w:val="48"/>
    </w:rPr>
  </w:style>
  <w:style w:type="character" w:styleId="34">
    <w:name w:val="Title Char"/>
    <w:basedOn w:val="724"/>
    <w:link w:val="33"/>
    <w:uiPriority w:val="10"/>
    <w:rPr>
      <w:sz w:val="48"/>
      <w:szCs w:val="48"/>
    </w:rPr>
  </w:style>
  <w:style w:type="paragraph" w:styleId="35">
    <w:name w:val="Subtitle"/>
    <w:basedOn w:val="720"/>
    <w:next w:val="720"/>
    <w:link w:val="36"/>
    <w:uiPriority w:val="11"/>
    <w:qFormat/>
    <w:pPr>
      <w:spacing w:before="200" w:after="200"/>
    </w:pPr>
    <w:rPr>
      <w:sz w:val="24"/>
      <w:szCs w:val="24"/>
    </w:rPr>
  </w:style>
  <w:style w:type="character" w:styleId="36">
    <w:name w:val="Subtitle Char"/>
    <w:basedOn w:val="724"/>
    <w:link w:val="35"/>
    <w:uiPriority w:val="11"/>
    <w:rPr>
      <w:sz w:val="24"/>
      <w:szCs w:val="24"/>
    </w:rPr>
  </w:style>
  <w:style w:type="paragraph" w:styleId="37">
    <w:name w:val="Quote"/>
    <w:basedOn w:val="720"/>
    <w:next w:val="720"/>
    <w:link w:val="38"/>
    <w:uiPriority w:val="29"/>
    <w:qFormat/>
    <w:pPr>
      <w:ind w:left="720" w:right="720"/>
    </w:pPr>
    <w:rPr>
      <w:i/>
    </w:rPr>
  </w:style>
  <w:style w:type="character" w:styleId="38">
    <w:name w:val="Quote Char"/>
    <w:link w:val="37"/>
    <w:uiPriority w:val="29"/>
    <w:rPr>
      <w:i/>
    </w:rPr>
  </w:style>
  <w:style w:type="paragraph" w:styleId="39">
    <w:name w:val="Intense Quote"/>
    <w:basedOn w:val="720"/>
    <w:next w:val="7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4"/>
    <w:link w:val="732"/>
    <w:uiPriority w:val="99"/>
  </w:style>
  <w:style w:type="character" w:styleId="44">
    <w:name w:val="Footer Char"/>
    <w:basedOn w:val="724"/>
    <w:link w:val="731"/>
    <w:uiPriority w:val="99"/>
  </w:style>
  <w:style w:type="paragraph" w:styleId="45">
    <w:name w:val="Caption"/>
    <w:basedOn w:val="720"/>
    <w:next w:val="720"/>
    <w:uiPriority w:val="35"/>
    <w:semiHidden/>
    <w:unhideWhenUsed/>
    <w:qFormat/>
    <w:pPr>
      <w:spacing w:line="276" w:lineRule="auto"/>
    </w:pPr>
    <w:rPr>
      <w:b/>
      <w:bCs/>
      <w:color w:val="4f81bd" w:themeColor="accent1"/>
      <w:sz w:val="18"/>
      <w:szCs w:val="18"/>
    </w:rPr>
  </w:style>
  <w:style w:type="character" w:styleId="46">
    <w:name w:val="Caption Char"/>
    <w:basedOn w:val="45"/>
    <w:link w:val="731"/>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4"/>
    <w:uiPriority w:val="99"/>
    <w:unhideWhenUsed/>
    <w:rPr>
      <w:vertAlign w:val="superscript"/>
    </w:rPr>
  </w:style>
  <w:style w:type="paragraph" w:styleId="177">
    <w:name w:val="endnote text"/>
    <w:basedOn w:val="7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4"/>
    <w:uiPriority w:val="99"/>
    <w:semiHidden/>
    <w:unhideWhenUsed/>
    <w:rPr>
      <w:vertAlign w:val="superscript"/>
    </w:rPr>
  </w:style>
  <w:style w:type="paragraph" w:styleId="181">
    <w:name w:val="toc 2"/>
    <w:basedOn w:val="720"/>
    <w:next w:val="720"/>
    <w:uiPriority w:val="39"/>
    <w:unhideWhenUsed/>
    <w:pPr>
      <w:ind w:left="283" w:right="0" w:firstLine="0"/>
      <w:spacing w:after="57"/>
    </w:pPr>
  </w:style>
  <w:style w:type="paragraph" w:styleId="182">
    <w:name w:val="toc 3"/>
    <w:basedOn w:val="720"/>
    <w:next w:val="720"/>
    <w:uiPriority w:val="39"/>
    <w:unhideWhenUsed/>
    <w:pPr>
      <w:ind w:left="567" w:right="0" w:firstLine="0"/>
      <w:spacing w:after="57"/>
    </w:pPr>
  </w:style>
  <w:style w:type="paragraph" w:styleId="183">
    <w:name w:val="toc 4"/>
    <w:basedOn w:val="720"/>
    <w:next w:val="720"/>
    <w:uiPriority w:val="39"/>
    <w:unhideWhenUsed/>
    <w:pPr>
      <w:ind w:left="850" w:right="0" w:firstLine="0"/>
      <w:spacing w:after="57"/>
    </w:pPr>
  </w:style>
  <w:style w:type="paragraph" w:styleId="184">
    <w:name w:val="toc 5"/>
    <w:basedOn w:val="720"/>
    <w:next w:val="720"/>
    <w:uiPriority w:val="39"/>
    <w:unhideWhenUsed/>
    <w:pPr>
      <w:ind w:left="1134" w:right="0" w:firstLine="0"/>
      <w:spacing w:after="57"/>
    </w:pPr>
  </w:style>
  <w:style w:type="paragraph" w:styleId="185">
    <w:name w:val="toc 6"/>
    <w:basedOn w:val="720"/>
    <w:next w:val="720"/>
    <w:uiPriority w:val="39"/>
    <w:unhideWhenUsed/>
    <w:pPr>
      <w:ind w:left="1417" w:right="0" w:firstLine="0"/>
      <w:spacing w:after="57"/>
    </w:pPr>
  </w:style>
  <w:style w:type="paragraph" w:styleId="186">
    <w:name w:val="toc 7"/>
    <w:basedOn w:val="720"/>
    <w:next w:val="720"/>
    <w:uiPriority w:val="39"/>
    <w:unhideWhenUsed/>
    <w:pPr>
      <w:ind w:left="1701" w:right="0" w:firstLine="0"/>
      <w:spacing w:after="57"/>
    </w:pPr>
  </w:style>
  <w:style w:type="paragraph" w:styleId="187">
    <w:name w:val="toc 8"/>
    <w:basedOn w:val="720"/>
    <w:next w:val="720"/>
    <w:uiPriority w:val="39"/>
    <w:unhideWhenUsed/>
    <w:pPr>
      <w:ind w:left="1984" w:right="0" w:firstLine="0"/>
      <w:spacing w:after="57"/>
    </w:pPr>
  </w:style>
  <w:style w:type="paragraph" w:styleId="188">
    <w:name w:val="toc 9"/>
    <w:basedOn w:val="720"/>
    <w:next w:val="7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0"/>
    <w:next w:val="720"/>
    <w:uiPriority w:val="99"/>
    <w:unhideWhenUsed/>
    <w:pPr>
      <w:spacing w:after="0" w:afterAutospacing="0"/>
    </w:pPr>
  </w:style>
  <w:style w:type="paragraph" w:styleId="720" w:default="1">
    <w:name w:val="Normal"/>
    <w:uiPriority w:val="0"/>
    <w:qFormat/>
    <w:pPr>
      <w:jc w:val="both"/>
      <w:widowControl w:val="off"/>
    </w:pPr>
    <w:rPr>
      <w:rFonts w:ascii="Calibri" w:hAnsi="Calibri" w:eastAsia="宋体" w:cs="宋体"/>
      <w:sz w:val="21"/>
      <w:szCs w:val="22"/>
      <w:lang w:val="en-US" w:eastAsia="zh-CN" w:bidi="ar-SA"/>
    </w:rPr>
  </w:style>
  <w:style w:type="paragraph" w:styleId="721">
    <w:name w:val="Heading 1"/>
    <w:basedOn w:val="720"/>
    <w:next w:val="720"/>
    <w:link w:val="741"/>
    <w:uiPriority w:val="9"/>
    <w:qFormat/>
    <w:pPr>
      <w:keepLines/>
      <w:keepNext/>
      <w:spacing w:before="340" w:after="330" w:line="578" w:lineRule="auto"/>
      <w:outlineLvl w:val="0"/>
    </w:pPr>
    <w:rPr>
      <w:b/>
      <w:bCs/>
      <w:sz w:val="44"/>
      <w:szCs w:val="44"/>
    </w:rPr>
  </w:style>
  <w:style w:type="paragraph" w:styleId="722">
    <w:name w:val="Heading 2"/>
    <w:basedOn w:val="720"/>
    <w:next w:val="720"/>
    <w:link w:val="743"/>
    <w:uiPriority w:val="9"/>
    <w:qFormat/>
    <w:pPr>
      <w:keepLines/>
      <w:keepNext/>
      <w:spacing w:before="260" w:after="260" w:line="416" w:lineRule="auto"/>
      <w:outlineLvl w:val="1"/>
    </w:pPr>
    <w:rPr>
      <w:rFonts w:ascii="Cambria" w:hAnsi="Cambria" w:eastAsia="宋体" w:cs="宋体"/>
      <w:b/>
      <w:bCs/>
      <w:sz w:val="28"/>
      <w:szCs w:val="32"/>
    </w:rPr>
  </w:style>
  <w:style w:type="paragraph" w:styleId="723">
    <w:name w:val="Heading 3"/>
    <w:basedOn w:val="720"/>
    <w:next w:val="720"/>
    <w:link w:val="744"/>
    <w:uiPriority w:val="9"/>
    <w:qFormat/>
    <w:pPr>
      <w:keepLines/>
      <w:keepNext/>
      <w:spacing w:before="260" w:after="260" w:line="416" w:lineRule="auto"/>
      <w:outlineLvl w:val="2"/>
    </w:pPr>
    <w:rPr>
      <w:b/>
      <w:bCs/>
      <w:sz w:val="32"/>
      <w:szCs w:val="32"/>
    </w:rPr>
  </w:style>
  <w:style w:type="character" w:styleId="724" w:default="1">
    <w:name w:val="Default Paragraph Font"/>
    <w:uiPriority w:val="1"/>
    <w:qFormat/>
  </w:style>
  <w:style w:type="table" w:styleId="725" w:default="1">
    <w:name w:val="Normal Table"/>
    <w:uiPriority w:val="99"/>
    <w:qFormat/>
    <w:tblPr>
      <w:tblCellMar>
        <w:left w:w="108" w:type="dxa"/>
        <w:top w:w="0" w:type="dxa"/>
        <w:right w:w="108" w:type="dxa"/>
        <w:bottom w:w="0" w:type="dxa"/>
      </w:tblCellMar>
    </w:tblPr>
  </w:style>
  <w:style w:type="paragraph" w:styleId="726">
    <w:name w:val="Document Map"/>
    <w:basedOn w:val="720"/>
    <w:link w:val="742"/>
    <w:uiPriority w:val="99"/>
    <w:qFormat/>
    <w:rPr>
      <w:rFonts w:ascii="宋体" w:eastAsia="宋体"/>
      <w:sz w:val="18"/>
      <w:szCs w:val="18"/>
    </w:rPr>
  </w:style>
  <w:style w:type="paragraph" w:styleId="727">
    <w:name w:val="annotation text"/>
    <w:basedOn w:val="720"/>
    <w:link w:val="746"/>
    <w:uiPriority w:val="0"/>
    <w:qFormat/>
    <w:pPr>
      <w:ind w:firstLine="922"/>
      <w:jc w:val="left"/>
      <w:spacing w:line="360" w:lineRule="auto"/>
    </w:pPr>
    <w:rPr>
      <w:rFonts w:ascii="Times New Roman" w:hAnsi="Times New Roman" w:eastAsia="宋体" w:cs="Times New Roman"/>
      <w:szCs w:val="24"/>
    </w:rPr>
  </w:style>
  <w:style w:type="paragraph" w:styleId="728">
    <w:name w:val="Body Text Indent"/>
    <w:basedOn w:val="720"/>
    <w:next w:val="720"/>
    <w:uiPriority w:val="0"/>
    <w:qFormat/>
    <w:pPr>
      <w:ind w:firstLine="420"/>
      <w:spacing w:line="360" w:lineRule="auto"/>
    </w:pPr>
    <w:rPr>
      <w:rFonts w:ascii="宋体"/>
      <w:sz w:val="24"/>
      <w:szCs w:val="20"/>
    </w:rPr>
  </w:style>
  <w:style w:type="paragraph" w:styleId="729">
    <w:name w:val="Date"/>
    <w:basedOn w:val="720"/>
    <w:next w:val="720"/>
    <w:link w:val="745"/>
    <w:uiPriority w:val="99"/>
    <w:qFormat/>
    <w:pPr>
      <w:ind w:left="100"/>
    </w:pPr>
  </w:style>
  <w:style w:type="paragraph" w:styleId="730">
    <w:name w:val="Balloon Text"/>
    <w:basedOn w:val="720"/>
    <w:link w:val="747"/>
    <w:uiPriority w:val="99"/>
    <w:qFormat/>
    <w:rPr>
      <w:sz w:val="18"/>
      <w:szCs w:val="18"/>
    </w:rPr>
  </w:style>
  <w:style w:type="paragraph" w:styleId="731">
    <w:name w:val="Footer"/>
    <w:basedOn w:val="720"/>
    <w:link w:val="740"/>
    <w:uiPriority w:val="99"/>
    <w:qFormat/>
    <w:pPr>
      <w:jc w:val="left"/>
      <w:tabs>
        <w:tab w:val="center" w:pos="4153" w:leader="none"/>
        <w:tab w:val="right" w:pos="8306" w:leader="none"/>
      </w:tabs>
    </w:pPr>
    <w:rPr>
      <w:sz w:val="18"/>
      <w:szCs w:val="18"/>
    </w:rPr>
  </w:style>
  <w:style w:type="paragraph" w:styleId="732">
    <w:name w:val="Header"/>
    <w:basedOn w:val="720"/>
    <w:link w:val="739"/>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20"/>
    <w:next w:val="720"/>
    <w:uiPriority w:val="39"/>
    <w:qFormat/>
    <w:pPr>
      <w:jc w:val="center"/>
      <w:spacing w:line="480" w:lineRule="auto"/>
      <w:tabs>
        <w:tab w:val="right" w:pos="9628" w:leader="dot"/>
      </w:tabs>
    </w:pPr>
    <w:rPr>
      <w:b/>
      <w:sz w:val="44"/>
      <w:szCs w:val="44"/>
    </w:rPr>
  </w:style>
  <w:style w:type="paragraph" w:styleId="734">
    <w:name w:val="Normal (Web)"/>
    <w:basedOn w:val="720"/>
    <w:uiPriority w:val="99"/>
    <w:qFormat/>
    <w:pPr>
      <w:ind w:left="0" w:right="0"/>
      <w:jc w:val="left"/>
      <w:spacing w:before="100" w:beforeAutospacing="1" w:after="100" w:afterAutospacing="1"/>
    </w:pPr>
    <w:rPr>
      <w:sz w:val="24"/>
      <w:lang w:val="en-US" w:eastAsia="zh-CN"/>
    </w:rPr>
  </w:style>
  <w:style w:type="table" w:styleId="735">
    <w:name w:val="Table Grid"/>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mphasis"/>
    <w:uiPriority w:val="0"/>
    <w:qFormat/>
    <w:rPr>
      <w:i/>
    </w:rPr>
  </w:style>
  <w:style w:type="character" w:styleId="737">
    <w:name w:val="Hyperlink"/>
    <w:uiPriority w:val="99"/>
    <w:qFormat/>
    <w:rPr>
      <w:color w:val="0000ff"/>
      <w:u w:val="none"/>
    </w:rPr>
  </w:style>
  <w:style w:type="character" w:styleId="738">
    <w:name w:val="annotation reference"/>
    <w:uiPriority w:val="0"/>
    <w:qFormat/>
    <w:rPr>
      <w:sz w:val="21"/>
      <w:szCs w:val="21"/>
    </w:rPr>
  </w:style>
  <w:style w:type="character" w:styleId="739" w:customStyle="1">
    <w:name w:val="页眉 Char"/>
    <w:basedOn w:val="724"/>
    <w:link w:val="732"/>
    <w:uiPriority w:val="99"/>
    <w:qFormat/>
    <w:rPr>
      <w:sz w:val="18"/>
      <w:szCs w:val="18"/>
    </w:rPr>
  </w:style>
  <w:style w:type="character" w:styleId="740" w:customStyle="1">
    <w:name w:val="页脚 Char"/>
    <w:basedOn w:val="724"/>
    <w:link w:val="731"/>
    <w:uiPriority w:val="99"/>
    <w:qFormat/>
    <w:rPr>
      <w:sz w:val="18"/>
      <w:szCs w:val="18"/>
    </w:rPr>
  </w:style>
  <w:style w:type="character" w:styleId="741" w:customStyle="1">
    <w:name w:val="标题 1 Char"/>
    <w:basedOn w:val="724"/>
    <w:link w:val="721"/>
    <w:uiPriority w:val="9"/>
    <w:qFormat/>
    <w:rPr>
      <w:b/>
      <w:bCs/>
      <w:sz w:val="44"/>
      <w:szCs w:val="44"/>
    </w:rPr>
  </w:style>
  <w:style w:type="character" w:styleId="742" w:customStyle="1">
    <w:name w:val="文档结构图 Char"/>
    <w:basedOn w:val="724"/>
    <w:link w:val="726"/>
    <w:uiPriority w:val="99"/>
    <w:qFormat/>
    <w:rPr>
      <w:rFonts w:ascii="宋体" w:eastAsia="宋体"/>
      <w:sz w:val="18"/>
      <w:szCs w:val="18"/>
    </w:rPr>
  </w:style>
  <w:style w:type="character" w:styleId="743" w:customStyle="1">
    <w:name w:val="标题 2 Char"/>
    <w:basedOn w:val="724"/>
    <w:link w:val="722"/>
    <w:uiPriority w:val="9"/>
    <w:qFormat/>
    <w:rPr>
      <w:rFonts w:ascii="Cambria" w:hAnsi="Cambria" w:eastAsia="宋体" w:cs="宋体"/>
      <w:b/>
      <w:bCs/>
      <w:sz w:val="28"/>
      <w:szCs w:val="32"/>
    </w:rPr>
  </w:style>
  <w:style w:type="character" w:styleId="744" w:customStyle="1">
    <w:name w:val="标题 3 Char"/>
    <w:basedOn w:val="724"/>
    <w:link w:val="723"/>
    <w:uiPriority w:val="9"/>
    <w:qFormat/>
    <w:rPr>
      <w:b/>
      <w:bCs/>
      <w:sz w:val="32"/>
      <w:szCs w:val="32"/>
    </w:rPr>
  </w:style>
  <w:style w:type="character" w:styleId="745" w:customStyle="1">
    <w:name w:val="日期 Char"/>
    <w:basedOn w:val="724"/>
    <w:link w:val="729"/>
    <w:uiPriority w:val="99"/>
    <w:qFormat/>
  </w:style>
  <w:style w:type="character" w:styleId="746" w:customStyle="1">
    <w:name w:val="批注文字 Char"/>
    <w:basedOn w:val="724"/>
    <w:link w:val="727"/>
    <w:uiPriority w:val="0"/>
    <w:qFormat/>
    <w:rPr>
      <w:rFonts w:ascii="Times New Roman" w:hAnsi="Times New Roman" w:eastAsia="宋体" w:cs="Times New Roman"/>
      <w:szCs w:val="24"/>
    </w:rPr>
  </w:style>
  <w:style w:type="character" w:styleId="747" w:customStyle="1">
    <w:name w:val="批注框文本 Char"/>
    <w:basedOn w:val="724"/>
    <w:link w:val="730"/>
    <w:uiPriority w:val="99"/>
    <w:qFormat/>
    <w:rPr>
      <w:sz w:val="18"/>
      <w:szCs w:val="18"/>
    </w:rPr>
  </w:style>
  <w:style w:type="paragraph" w:styleId="748" w:customStyle="1">
    <w:name w:val="正文首行缩进11"/>
    <w:basedOn w:val="749"/>
    <w:uiPriority w:val="0"/>
    <w:qFormat/>
    <w:pPr>
      <w:ind w:firstLine="200"/>
      <w:spacing w:line="360" w:lineRule="auto"/>
    </w:pPr>
    <w:rPr>
      <w:rFonts w:ascii="仿宋_GB2312" w:hAnsi="Times New Roman" w:eastAsia="仿宋_GB2312"/>
      <w:sz w:val="30"/>
      <w:szCs w:val="30"/>
    </w:rPr>
  </w:style>
  <w:style w:type="paragraph" w:styleId="749" w:customStyle="1">
    <w:name w:val="正文文本11"/>
    <w:basedOn w:val="720"/>
    <w:next w:val="720"/>
    <w:uiPriority w:val="0"/>
    <w:qFormat/>
    <w:rPr>
      <w:rFonts w:ascii="楷体_GB2312" w:hAnsi="Arial" w:eastAsia="楷体_GB2312"/>
      <w:sz w:val="28"/>
      <w:szCs w:val="28"/>
      <w:lang w:eastAsia="en-US"/>
    </w:rPr>
  </w:style>
  <w:style w:type="paragraph" w:styleId="750"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751" w:customStyle="1">
    <w:name w:val="标题 11"/>
    <w:basedOn w:val="752"/>
    <w:next w:val="752"/>
    <w:uiPriority w:val="9"/>
    <w:qFormat/>
    <w:pPr>
      <w:keepLines/>
      <w:keepNext/>
      <w:spacing w:before="340" w:after="330" w:line="578" w:lineRule="auto"/>
      <w:outlineLvl w:val="0"/>
    </w:pPr>
    <w:rPr>
      <w:b/>
      <w:bCs/>
      <w:sz w:val="44"/>
      <w:szCs w:val="44"/>
    </w:rPr>
  </w:style>
  <w:style w:type="paragraph" w:styleId="752"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753" w:customStyle="1">
    <w:name w:val="批注文字1"/>
    <w:basedOn w:val="720"/>
    <w:uiPriority w:val="0"/>
    <w:qFormat/>
    <w:pPr>
      <w:ind w:firstLine="922"/>
      <w:jc w:val="left"/>
      <w:spacing w:line="360" w:lineRule="auto"/>
    </w:pPr>
    <w:rPr>
      <w:rFonts w:ascii="Times New Roman" w:hAnsi="Times New Roman" w:eastAsia="宋体" w:cs="Times New Roman"/>
      <w:szCs w:val="24"/>
    </w:rPr>
  </w:style>
  <w:style w:type="paragraph" w:styleId="754" w:customStyle="1">
    <w:name w:val="正文首行缩进 21"/>
    <w:basedOn w:val="755"/>
    <w:next w:val="720"/>
    <w:uiPriority w:val="0"/>
    <w:qFormat/>
    <w:pPr>
      <w:ind w:left="0" w:firstLine="420"/>
      <w:spacing w:after="0" w:line="360" w:lineRule="auto"/>
    </w:pPr>
    <w:rPr>
      <w:rFonts w:ascii="宋体" w:hAnsi="宋体" w:eastAsia="宋体" w:cs="Times New Roman"/>
      <w:szCs w:val="20"/>
    </w:rPr>
  </w:style>
  <w:style w:type="paragraph" w:styleId="755" w:customStyle="1">
    <w:name w:val="正文文本缩进1"/>
    <w:basedOn w:val="720"/>
    <w:uiPriority w:val="0"/>
    <w:qFormat/>
    <w:pPr>
      <w:ind w:left="420"/>
      <w:spacing w:after="120"/>
    </w:pPr>
  </w:style>
  <w:style w:type="table" w:styleId="756" w:customStyle="1">
    <w:name w:val="网格型1"/>
    <w:uiPriority w:val="59"/>
    <w:qFormat/>
    <w:tblPr>
      <w:tblCellMar>
        <w:left w:w="0" w:type="dxa"/>
        <w:top w:w="0" w:type="dxa"/>
        <w:right w:w="0" w:type="dxa"/>
        <w:bottom w:w="0" w:type="dxa"/>
      </w:tblCellMar>
    </w:tblPr>
  </w:style>
  <w:style w:type="table" w:styleId="757" w:customStyle="1">
    <w:name w:val="普通表格1"/>
    <w:uiPriority w:val="99"/>
    <w:qFormat/>
    <w:rPr>
      <w:rFonts w:ascii="Calibri" w:hAnsi="Calibri"/>
      <w:sz w:val="21"/>
      <w:szCs w:val="22"/>
    </w:rPr>
    <w:tblPr>
      <w:tblCellMar>
        <w:left w:w="0" w:type="dxa"/>
        <w:top w:w="0" w:type="dxa"/>
        <w:right w:w="0" w:type="dxa"/>
        <w:bottom w:w="0" w:type="dxa"/>
      </w:tblCellMar>
    </w:tblPr>
  </w:style>
  <w:style w:type="numbering" w:styleId="13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杜林</cp:lastModifiedBy>
  <cp:revision>1</cp:revision>
  <dcterms:created xsi:type="dcterms:W3CDTF">2024-01-04T11:50:00Z</dcterms:created>
  <dcterms:modified xsi:type="dcterms:W3CDTF">2026-10-22T01:30:22Z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eyJoZGlkIjoiN2NiZjJlYWIyZDQ0MDc0MTViNDdkMWUwOWY0YjcyMjYiLCJ1c2VySWQiOiI2NjEwNjMyNTEifQ==</vt:lpwstr>
  </property>
  <property fmtid="{D5CDD505-2E9C-101B-9397-08002B2CF9AE}" pid="3" name="KSOProductBuildVer">
    <vt:lpwstr>2052-12.1.0.28043</vt:lpwstr>
  </property>
  <property fmtid="{D5CDD505-2E9C-101B-9397-08002B2CF9AE}" pid="4" name="ICV">
    <vt:lpwstr>FFF12DDA7D8D4755AEAE9DE24E2378D1_13</vt:lpwstr>
  </property>
</Properties>
</file>