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0B2D4C">
      <w:pPr>
        <w:pStyle w:val="220"/>
        <w:ind w:firstLine="422"/>
        <w:jc w:val="center"/>
        <w:rPr>
          <w:rFonts w:hint="eastAsia" w:eastAsia="黑体"/>
          <w:b/>
          <w:bCs/>
          <w:color w:val="000000" w:themeColor="text1"/>
          <w:sz w:val="84"/>
          <w:highlight w:val="none"/>
          <w14:textFill>
            <w14:solidFill>
              <w14:schemeClr w14:val="tx1"/>
            </w14:solidFill>
          </w14:textFill>
        </w:rPr>
      </w:pPr>
    </w:p>
    <w:p w14:paraId="094EB0D3">
      <w:pPr>
        <w:pStyle w:val="220"/>
        <w:ind w:left="0" w:firstLine="0"/>
        <w:jc w:val="center"/>
        <w:rPr>
          <w:rFonts w:eastAsia="黑体"/>
          <w:b/>
          <w:bCs/>
          <w:color w:val="000000" w:themeColor="text1"/>
          <w:sz w:val="84"/>
          <w:highlight w:val="none"/>
          <w14:textFill>
            <w14:solidFill>
              <w14:schemeClr w14:val="tx1"/>
            </w14:solidFill>
          </w14:textFill>
        </w:rPr>
      </w:pPr>
      <w:r>
        <w:rPr>
          <w:rFonts w:hint="eastAsia" w:eastAsia="黑体"/>
          <w:b/>
          <w:bCs/>
          <w:color w:val="000000" w:themeColor="text1"/>
          <w:sz w:val="84"/>
          <w:highlight w:val="none"/>
          <w14:textFill>
            <w14:solidFill>
              <w14:schemeClr w14:val="tx1"/>
            </w14:solidFill>
          </w14:textFill>
        </w:rPr>
        <w:t>招　标　文　件</w:t>
      </w:r>
    </w:p>
    <w:p w14:paraId="72789E11">
      <w:pPr>
        <w:pStyle w:val="220"/>
        <w:ind w:firstLine="161"/>
        <w:rPr>
          <w:b/>
          <w:bCs/>
          <w:color w:val="000000" w:themeColor="text1"/>
          <w:sz w:val="32"/>
          <w:highlight w:val="none"/>
          <w14:textFill>
            <w14:solidFill>
              <w14:schemeClr w14:val="tx1"/>
            </w14:solidFill>
          </w14:textFill>
        </w:rPr>
      </w:pPr>
    </w:p>
    <w:p w14:paraId="35AA94E3">
      <w:pPr>
        <w:pStyle w:val="220"/>
        <w:ind w:firstLine="141"/>
        <w:rPr>
          <w:b/>
          <w:bCs/>
          <w:color w:val="000000" w:themeColor="text1"/>
          <w:spacing w:val="-20"/>
          <w:sz w:val="32"/>
          <w:highlight w:val="none"/>
          <w14:textFill>
            <w14:solidFill>
              <w14:schemeClr w14:val="tx1"/>
            </w14:solidFill>
          </w14:textFill>
        </w:rPr>
      </w:pPr>
    </w:p>
    <w:p w14:paraId="3DED6F62">
      <w:pPr>
        <w:pStyle w:val="220"/>
        <w:keepNext w:val="0"/>
        <w:keepLines w:val="0"/>
        <w:pageBreakBefore w:val="0"/>
        <w:widowControl/>
        <w:ind w:left="0" w:right="-420" w:firstLine="0"/>
        <w:jc w:val="center"/>
        <w:rPr>
          <w:rFonts w:hint="eastAsia" w:eastAsia="宋体" w:cs="宋体"/>
          <w:b/>
          <w:bCs/>
          <w:color w:val="000000" w:themeColor="text1"/>
          <w:sz w:val="30"/>
          <w:szCs w:val="30"/>
          <w:highlight w:val="none"/>
          <w:lang w:val="en-US" w:eastAsia="zh-CN"/>
          <w14:textFill>
            <w14:solidFill>
              <w14:schemeClr w14:val="tx1"/>
            </w14:solidFill>
          </w14:textFill>
        </w:rPr>
      </w:pPr>
      <w:r>
        <w:rPr>
          <w:rFonts w:hint="eastAsia"/>
          <w:b/>
          <w:bCs/>
          <w:color w:val="000000" w:themeColor="text1"/>
          <w:sz w:val="30"/>
          <w:szCs w:val="30"/>
          <w:highlight w:val="none"/>
          <w14:textFill>
            <w14:solidFill>
              <w14:schemeClr w14:val="tx1"/>
            </w14:solidFill>
          </w14:textFill>
        </w:rPr>
        <w:t>项目名称：</w:t>
      </w:r>
      <w:r>
        <w:rPr>
          <w:rFonts w:hint="eastAsia" w:cs="宋体"/>
          <w:b/>
          <w:bCs/>
          <w:color w:val="000000" w:themeColor="text1"/>
          <w:sz w:val="30"/>
          <w:szCs w:val="30"/>
          <w:highlight w:val="none"/>
          <w:lang w:val="en-US" w:eastAsia="zh-CN"/>
          <w14:textFill>
            <w14:solidFill>
              <w14:schemeClr w14:val="tx1"/>
            </w14:solidFill>
          </w14:textFill>
        </w:rPr>
        <w:t>宝应县泾河镇刘上村建筑垃圾消纳场综合治理项目</w:t>
      </w:r>
    </w:p>
    <w:p w14:paraId="44ED7590">
      <w:pPr>
        <w:pStyle w:val="220"/>
        <w:keepNext w:val="0"/>
        <w:keepLines w:val="0"/>
        <w:pageBreakBefore w:val="0"/>
        <w:widowControl/>
        <w:ind w:left="0" w:right="-420" w:firstLine="0"/>
        <w:jc w:val="center"/>
        <w:rPr>
          <w:rFonts w:hint="eastAsia" w:ascii="Arial" w:hAnsi="Arial" w:eastAsia="宋体" w:cs="宋体"/>
          <w:b/>
          <w:bCs/>
          <w:color w:val="000000" w:themeColor="text1"/>
          <w:sz w:val="30"/>
          <w:szCs w:val="30"/>
          <w:highlight w:val="none"/>
          <w:lang w:val="en-US" w:eastAsia="zh-CN" w:bidi="ar-SA"/>
          <w14:textFill>
            <w14:solidFill>
              <w14:schemeClr w14:val="tx1"/>
            </w14:solidFill>
          </w14:textFill>
        </w:rPr>
      </w:pPr>
      <w:r>
        <w:rPr>
          <w:rFonts w:hint="eastAsia" w:ascii="Arial" w:hAnsi="Arial"/>
          <w:b/>
          <w:bCs/>
          <w:color w:val="000000" w:themeColor="text1"/>
          <w:sz w:val="30"/>
          <w:szCs w:val="30"/>
          <w:highlight w:val="none"/>
          <w14:textFill>
            <w14:solidFill>
              <w14:schemeClr w14:val="tx1"/>
            </w14:solidFill>
          </w14:textFill>
        </w:rPr>
        <w:t>项目编号：</w:t>
      </w:r>
      <w:r>
        <w:rPr>
          <w:rFonts w:hint="eastAsia" w:cs="宋体"/>
          <w:b/>
          <w:bCs/>
          <w:color w:val="000000" w:themeColor="text1"/>
          <w:sz w:val="30"/>
          <w:szCs w:val="30"/>
          <w:highlight w:val="none"/>
          <w:lang w:val="en-US" w:eastAsia="zh-CN" w:bidi="ar-SA"/>
          <w14:textFill>
            <w14:solidFill>
              <w14:schemeClr w14:val="tx1"/>
            </w14:solidFill>
          </w14:textFill>
        </w:rPr>
        <w:t>JSZC-321023-YZCQ-G2026-0004</w:t>
      </w:r>
    </w:p>
    <w:p w14:paraId="5E6FC926">
      <w:pPr>
        <w:pStyle w:val="220"/>
        <w:spacing w:before="0" w:after="0"/>
        <w:ind w:firstLine="120"/>
        <w:jc w:val="center"/>
        <w:rPr>
          <w:rFonts w:ascii="宋体" w:hAnsi="宋体"/>
          <w:color w:val="000000" w:themeColor="text1"/>
          <w:highlight w:val="none"/>
          <w14:textFill>
            <w14:solidFill>
              <w14:schemeClr w14:val="tx1"/>
            </w14:solidFill>
          </w14:textFill>
        </w:rPr>
      </w:pPr>
    </w:p>
    <w:p w14:paraId="543629AC">
      <w:pPr>
        <w:pStyle w:val="220"/>
        <w:spacing w:before="0" w:after="0"/>
        <w:ind w:firstLine="120"/>
        <w:rPr>
          <w:rFonts w:ascii="宋体" w:hAnsi="宋体"/>
          <w:color w:val="000000" w:themeColor="text1"/>
          <w:highlight w:val="none"/>
          <w14:textFill>
            <w14:solidFill>
              <w14:schemeClr w14:val="tx1"/>
            </w14:solidFill>
          </w14:textFill>
        </w:rPr>
      </w:pPr>
    </w:p>
    <w:p w14:paraId="331419BC">
      <w:pPr>
        <w:pStyle w:val="220"/>
        <w:spacing w:before="0" w:after="0"/>
        <w:ind w:firstLine="120"/>
        <w:rPr>
          <w:rFonts w:ascii="宋体" w:hAnsi="宋体"/>
          <w:color w:val="000000" w:themeColor="text1"/>
          <w:highlight w:val="none"/>
          <w14:textFill>
            <w14:solidFill>
              <w14:schemeClr w14:val="tx1"/>
            </w14:solidFill>
          </w14:textFill>
        </w:rPr>
      </w:pPr>
    </w:p>
    <w:p w14:paraId="4337D821">
      <w:pPr>
        <w:pStyle w:val="220"/>
        <w:spacing w:before="0" w:after="0"/>
        <w:ind w:left="0" w:firstLine="0"/>
        <w:rPr>
          <w:rFonts w:ascii="宋体" w:hAnsi="宋体"/>
          <w:color w:val="000000" w:themeColor="text1"/>
          <w:highlight w:val="none"/>
          <w14:textFill>
            <w14:solidFill>
              <w14:schemeClr w14:val="tx1"/>
            </w14:solidFill>
          </w14:textFill>
        </w:rPr>
      </w:pPr>
    </w:p>
    <w:p w14:paraId="7F8388B1">
      <w:pPr>
        <w:pStyle w:val="220"/>
        <w:spacing w:before="0" w:after="0"/>
        <w:ind w:firstLine="120"/>
        <w:rPr>
          <w:rFonts w:ascii="宋体" w:hAnsi="宋体"/>
          <w:color w:val="000000" w:themeColor="text1"/>
          <w:highlight w:val="none"/>
          <w14:textFill>
            <w14:solidFill>
              <w14:schemeClr w14:val="tx1"/>
            </w14:solidFill>
          </w14:textFill>
        </w:rPr>
      </w:pPr>
    </w:p>
    <w:p w14:paraId="1E6DFA1E">
      <w:pPr>
        <w:pStyle w:val="220"/>
        <w:spacing w:before="0" w:after="0"/>
        <w:ind w:firstLine="120"/>
        <w:rPr>
          <w:rFonts w:ascii="宋体" w:hAnsi="宋体"/>
          <w:color w:val="000000" w:themeColor="text1"/>
          <w:highlight w:val="none"/>
          <w14:textFill>
            <w14:solidFill>
              <w14:schemeClr w14:val="tx1"/>
            </w14:solidFill>
          </w14:textFill>
        </w:rPr>
      </w:pPr>
    </w:p>
    <w:p w14:paraId="13B2DB89">
      <w:pPr>
        <w:pStyle w:val="220"/>
        <w:spacing w:before="0" w:after="0"/>
        <w:ind w:firstLine="120"/>
        <w:rPr>
          <w:rFonts w:ascii="宋体" w:hAnsi="宋体"/>
          <w:color w:val="000000" w:themeColor="text1"/>
          <w:highlight w:val="none"/>
          <w14:textFill>
            <w14:solidFill>
              <w14:schemeClr w14:val="tx1"/>
            </w14:solidFill>
          </w14:textFill>
        </w:rPr>
      </w:pPr>
    </w:p>
    <w:p w14:paraId="47EF7F38">
      <w:pPr>
        <w:pStyle w:val="220"/>
        <w:spacing w:before="0" w:after="0"/>
        <w:ind w:firstLine="120"/>
        <w:rPr>
          <w:rFonts w:ascii="宋体" w:hAnsi="宋体"/>
          <w:color w:val="000000" w:themeColor="text1"/>
          <w:highlight w:val="none"/>
          <w14:textFill>
            <w14:solidFill>
              <w14:schemeClr w14:val="tx1"/>
            </w14:solidFill>
          </w14:textFill>
        </w:rPr>
      </w:pPr>
    </w:p>
    <w:p w14:paraId="2D77D6B8">
      <w:pPr>
        <w:pStyle w:val="220"/>
        <w:spacing w:before="0" w:after="0"/>
        <w:ind w:firstLine="120"/>
        <w:rPr>
          <w:rFonts w:ascii="宋体" w:hAnsi="宋体"/>
          <w:color w:val="000000" w:themeColor="text1"/>
          <w:highlight w:val="none"/>
          <w14:textFill>
            <w14:solidFill>
              <w14:schemeClr w14:val="tx1"/>
            </w14:solidFill>
          </w14:textFill>
        </w:rPr>
      </w:pPr>
    </w:p>
    <w:p w14:paraId="46CA5531">
      <w:pPr>
        <w:pStyle w:val="220"/>
        <w:spacing w:before="0" w:after="0"/>
        <w:ind w:firstLine="120"/>
        <w:rPr>
          <w:rFonts w:ascii="宋体" w:hAnsi="宋体"/>
          <w:color w:val="000000" w:themeColor="text1"/>
          <w:highlight w:val="none"/>
          <w14:textFill>
            <w14:solidFill>
              <w14:schemeClr w14:val="tx1"/>
            </w14:solidFill>
          </w14:textFill>
        </w:rPr>
      </w:pPr>
    </w:p>
    <w:p w14:paraId="197C9403">
      <w:pPr>
        <w:pStyle w:val="220"/>
        <w:spacing w:before="0" w:after="0"/>
        <w:ind w:firstLine="120"/>
        <w:rPr>
          <w:rFonts w:ascii="宋体" w:hAnsi="宋体"/>
          <w:color w:val="000000" w:themeColor="text1"/>
          <w:highlight w:val="none"/>
          <w14:textFill>
            <w14:solidFill>
              <w14:schemeClr w14:val="tx1"/>
            </w14:solidFill>
          </w14:textFill>
        </w:rPr>
      </w:pPr>
    </w:p>
    <w:p w14:paraId="4C6E3C62">
      <w:pPr>
        <w:ind w:firstLine="1440"/>
        <w:rPr>
          <w:rFonts w:hint="eastAsia"/>
          <w:color w:val="000000" w:themeColor="text1"/>
          <w:sz w:val="32"/>
          <w:szCs w:val="32"/>
          <w:highlight w:val="none"/>
          <w14:textFill>
            <w14:solidFill>
              <w14:schemeClr w14:val="tx1"/>
            </w14:solidFill>
          </w14:textFill>
        </w:rPr>
      </w:pPr>
    </w:p>
    <w:p w14:paraId="27DA057D">
      <w:pPr>
        <w:spacing w:line="360" w:lineRule="auto"/>
        <w:jc w:val="center"/>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采 </w:t>
      </w:r>
      <w:r>
        <w:rPr>
          <w:rFonts w:hint="eastAsia"/>
          <w:color w:val="000000" w:themeColor="text1"/>
          <w:sz w:val="32"/>
          <w:szCs w:val="32"/>
          <w:highlight w:val="none"/>
          <w:lang w:val="en-US" w:eastAsia="zh-CN"/>
          <w14:textFill>
            <w14:solidFill>
              <w14:schemeClr w14:val="tx1"/>
            </w14:solidFill>
          </w14:textFill>
        </w:rPr>
        <w:t xml:space="preserve">  </w:t>
      </w:r>
      <w:r>
        <w:rPr>
          <w:rFonts w:hint="eastAsia"/>
          <w:color w:val="000000" w:themeColor="text1"/>
          <w:sz w:val="32"/>
          <w:szCs w:val="32"/>
          <w:highlight w:val="none"/>
          <w14:textFill>
            <w14:solidFill>
              <w14:schemeClr w14:val="tx1"/>
            </w14:solidFill>
          </w14:textFill>
        </w:rPr>
        <w:t>购</w:t>
      </w:r>
      <w:r>
        <w:rPr>
          <w:rFonts w:hint="eastAsia"/>
          <w:color w:val="000000" w:themeColor="text1"/>
          <w:sz w:val="32"/>
          <w:szCs w:val="32"/>
          <w:highlight w:val="none"/>
          <w:lang w:val="en-US" w:eastAsia="zh-CN"/>
          <w14:textFill>
            <w14:solidFill>
              <w14:schemeClr w14:val="tx1"/>
            </w14:solidFill>
          </w14:textFill>
        </w:rPr>
        <w:t xml:space="preserve">  </w:t>
      </w:r>
      <w:r>
        <w:rPr>
          <w:rFonts w:hint="eastAsia"/>
          <w:color w:val="000000" w:themeColor="text1"/>
          <w:sz w:val="32"/>
          <w:szCs w:val="32"/>
          <w:highlight w:val="none"/>
          <w14:textFill>
            <w14:solidFill>
              <w14:schemeClr w14:val="tx1"/>
            </w14:solidFill>
          </w14:textFill>
        </w:rPr>
        <w:t xml:space="preserve"> 人：</w:t>
      </w:r>
      <w:r>
        <w:rPr>
          <w:rFonts w:hint="eastAsia" w:cs="宋体"/>
          <w:color w:val="000000" w:themeColor="text1"/>
          <w:sz w:val="32"/>
          <w:szCs w:val="32"/>
          <w:highlight w:val="none"/>
          <w:lang w:eastAsia="zh-CN"/>
          <w14:textFill>
            <w14:solidFill>
              <w14:schemeClr w14:val="tx1"/>
            </w14:solidFill>
          </w14:textFill>
        </w:rPr>
        <w:t>宝应县渣土管理大队</w:t>
      </w:r>
    </w:p>
    <w:p w14:paraId="04ECBA16">
      <w:pPr>
        <w:spacing w:line="360" w:lineRule="auto"/>
        <w:jc w:val="center"/>
        <w:rPr>
          <w:rFonts w:hint="eastAsia" w:eastAsia="宋体"/>
          <w:b/>
          <w:bCs/>
          <w:color w:val="000000" w:themeColor="text1"/>
          <w:sz w:val="32"/>
          <w:highlight w:val="none"/>
          <w:lang w:eastAsia="zh-CN"/>
          <w14:textFill>
            <w14:solidFill>
              <w14:schemeClr w14:val="tx1"/>
            </w14:solidFill>
          </w14:textFill>
        </w:rPr>
      </w:pPr>
      <w:r>
        <w:rPr>
          <w:rFonts w:hint="eastAsia"/>
          <w:color w:val="000000" w:themeColor="text1"/>
          <w:sz w:val="32"/>
          <w:szCs w:val="32"/>
          <w:highlight w:val="none"/>
          <w14:textFill>
            <w14:solidFill>
              <w14:schemeClr w14:val="tx1"/>
            </w14:solidFill>
          </w14:textFill>
        </w:rPr>
        <w:t>采购代理机构：</w:t>
      </w:r>
      <w:r>
        <w:rPr>
          <w:rFonts w:hint="eastAsia"/>
          <w:color w:val="000000" w:themeColor="text1"/>
          <w:sz w:val="32"/>
          <w:szCs w:val="32"/>
          <w:highlight w:val="none"/>
          <w:lang w:eastAsia="zh-CN"/>
          <w14:textFill>
            <w14:solidFill>
              <w14:schemeClr w14:val="tx1"/>
            </w14:solidFill>
          </w14:textFill>
        </w:rPr>
        <w:t>扬州诚庆工程咨询管理有限公司</w:t>
      </w:r>
    </w:p>
    <w:p w14:paraId="68DE39EF">
      <w:pPr>
        <w:spacing w:line="360" w:lineRule="auto"/>
        <w:jc w:val="center"/>
        <w:rPr>
          <w:rFonts w:hint="eastAsia"/>
          <w:b/>
          <w:bCs/>
          <w:color w:val="000000" w:themeColor="text1"/>
          <w:sz w:val="32"/>
          <w:highlight w:val="none"/>
          <w14:textFill>
            <w14:solidFill>
              <w14:schemeClr w14:val="tx1"/>
            </w14:solidFill>
          </w14:textFill>
        </w:rPr>
      </w:pPr>
      <w:r>
        <w:rPr>
          <w:rFonts w:hint="eastAsia"/>
          <w:b/>
          <w:bCs/>
          <w:color w:val="000000" w:themeColor="text1"/>
          <w:sz w:val="32"/>
          <w:highlight w:val="none"/>
          <w14:textFill>
            <w14:solidFill>
              <w14:schemeClr w14:val="tx1"/>
            </w14:solidFill>
          </w14:textFill>
        </w:rPr>
        <w:t>202</w:t>
      </w:r>
      <w:r>
        <w:rPr>
          <w:rFonts w:hint="eastAsia"/>
          <w:b/>
          <w:bCs/>
          <w:color w:val="000000" w:themeColor="text1"/>
          <w:sz w:val="32"/>
          <w:highlight w:val="none"/>
          <w:lang w:val="en-US" w:eastAsia="zh-CN"/>
          <w14:textFill>
            <w14:solidFill>
              <w14:schemeClr w14:val="tx1"/>
            </w14:solidFill>
          </w14:textFill>
        </w:rPr>
        <w:t>6</w:t>
      </w:r>
      <w:r>
        <w:rPr>
          <w:rFonts w:hint="eastAsia"/>
          <w:b/>
          <w:bCs/>
          <w:color w:val="000000" w:themeColor="text1"/>
          <w:sz w:val="32"/>
          <w:highlight w:val="none"/>
          <w14:textFill>
            <w14:solidFill>
              <w14:schemeClr w14:val="tx1"/>
            </w14:solidFill>
          </w14:textFill>
        </w:rPr>
        <w:t>年</w:t>
      </w:r>
      <w:r>
        <w:rPr>
          <w:rFonts w:hint="eastAsia"/>
          <w:b/>
          <w:bCs/>
          <w:color w:val="000000" w:themeColor="text1"/>
          <w:sz w:val="32"/>
          <w:highlight w:val="none"/>
          <w:lang w:val="en-US" w:eastAsia="zh-CN"/>
          <w14:textFill>
            <w14:solidFill>
              <w14:schemeClr w14:val="tx1"/>
            </w14:solidFill>
          </w14:textFill>
        </w:rPr>
        <w:t>10</w:t>
      </w:r>
      <w:r>
        <w:rPr>
          <w:rFonts w:hint="eastAsia"/>
          <w:b/>
          <w:bCs/>
          <w:color w:val="000000" w:themeColor="text1"/>
          <w:sz w:val="32"/>
          <w:highlight w:val="none"/>
          <w14:textFill>
            <w14:solidFill>
              <w14:schemeClr w14:val="tx1"/>
            </w14:solidFill>
          </w14:textFill>
        </w:rPr>
        <w:t>月</w:t>
      </w:r>
    </w:p>
    <w:p w14:paraId="03BCA550">
      <w:pPr>
        <w:jc w:val="center"/>
        <w:rPr>
          <w:rFonts w:hint="eastAsia"/>
          <w:b/>
          <w:bCs/>
          <w:color w:val="000000" w:themeColor="text1"/>
          <w:sz w:val="32"/>
          <w:highlight w:val="none"/>
          <w14:textFill>
            <w14:solidFill>
              <w14:schemeClr w14:val="tx1"/>
            </w14:solidFill>
          </w14:textFill>
        </w:rPr>
        <w:sectPr>
          <w:footerReference r:id="rId4" w:type="first"/>
          <w:headerReference r:id="rId3" w:type="default"/>
          <w:pgSz w:w="11906" w:h="16838"/>
          <w:pgMar w:top="1417" w:right="1417" w:bottom="1134" w:left="1417" w:header="851" w:footer="992" w:gutter="0"/>
          <w:cols w:space="720" w:num="1"/>
          <w:docGrid w:linePitch="360" w:charSpace="0"/>
        </w:sectPr>
      </w:pPr>
    </w:p>
    <w:p w14:paraId="3B66345C">
      <w:pPr>
        <w:pStyle w:val="18"/>
        <w:rPr>
          <w:rFonts w:hint="eastAsia"/>
        </w:rPr>
      </w:pPr>
    </w:p>
    <w:p w14:paraId="6BD91491">
      <w:pPr>
        <w:jc w:val="center"/>
        <w:rPr>
          <w:rFonts w:ascii="宋体" w:hAnsi="宋体"/>
          <w:b/>
          <w:color w:val="000000" w:themeColor="text1"/>
          <w:sz w:val="44"/>
          <w:szCs w:val="44"/>
          <w:highlight w:val="none"/>
          <w14:textFill>
            <w14:solidFill>
              <w14:schemeClr w14:val="tx1"/>
            </w14:solidFill>
          </w14:textFill>
        </w:rPr>
      </w:pPr>
      <w:r>
        <w:rPr>
          <w:rFonts w:hint="eastAsia" w:ascii="宋体" w:hAnsi="宋体"/>
          <w:b/>
          <w:color w:val="000000" w:themeColor="text1"/>
          <w:sz w:val="44"/>
          <w:szCs w:val="44"/>
          <w:highlight w:val="none"/>
          <w14:textFill>
            <w14:solidFill>
              <w14:schemeClr w14:val="tx1"/>
            </w14:solidFill>
          </w14:textFill>
        </w:rPr>
        <w:t>目</w:t>
      </w:r>
      <w:r>
        <w:rPr>
          <w:rFonts w:ascii="宋体" w:hAnsi="宋体"/>
          <w:b/>
          <w:color w:val="000000" w:themeColor="text1"/>
          <w:sz w:val="44"/>
          <w:szCs w:val="44"/>
          <w:highlight w:val="none"/>
          <w14:textFill>
            <w14:solidFill>
              <w14:schemeClr w14:val="tx1"/>
            </w14:solidFill>
          </w14:textFill>
        </w:rPr>
        <w:t xml:space="preserve"> 录</w:t>
      </w:r>
    </w:p>
    <w:p w14:paraId="03A09B24">
      <w:pPr>
        <w:jc w:val="center"/>
        <w:rPr>
          <w:rFonts w:ascii="宋体" w:hAnsi="宋体"/>
          <w:b/>
          <w:color w:val="000000" w:themeColor="text1"/>
          <w:sz w:val="36"/>
          <w:szCs w:val="36"/>
          <w:highlight w:val="none"/>
          <w14:textFill>
            <w14:solidFill>
              <w14:schemeClr w14:val="tx1"/>
            </w14:solidFill>
          </w14:textFill>
        </w:rPr>
      </w:pPr>
    </w:p>
    <w:p w14:paraId="5B4DCD6B">
      <w:pPr>
        <w:pStyle w:val="32"/>
        <w:tabs>
          <w:tab w:val="right" w:leader="dot" w:pos="8296"/>
        </w:tabs>
        <w:spacing w:line="360" w:lineRule="auto"/>
        <w:rPr>
          <w:rFonts w:hint="eastAsia" w:ascii="Calibri" w:hAnsi="Calibri"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TOC \o "1-3" \f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第一章投标邀请</w:t>
      </w:r>
      <w:r>
        <w:rPr>
          <w:color w:val="000000" w:themeColor="text1"/>
          <w:highlight w:val="none"/>
          <w14:textFill>
            <w14:solidFill>
              <w14:schemeClr w14:val="tx1"/>
            </w14:solidFill>
          </w14:textFill>
        </w:rPr>
        <w:tab/>
      </w:r>
      <w:r>
        <w:rPr>
          <w:rFonts w:hint="eastAsia"/>
          <w:color w:val="000000" w:themeColor="text1"/>
          <w:highlight w:val="none"/>
          <w:lang w:val="en-US" w:eastAsia="zh-CN"/>
          <w14:textFill>
            <w14:solidFill>
              <w14:schemeClr w14:val="tx1"/>
            </w14:solidFill>
          </w14:textFill>
        </w:rPr>
        <w:t>2</w:t>
      </w:r>
    </w:p>
    <w:p w14:paraId="32553140">
      <w:pPr>
        <w:pStyle w:val="32"/>
        <w:tabs>
          <w:tab w:val="right" w:leader="dot" w:pos="8296"/>
        </w:tabs>
        <w:spacing w:line="360" w:lineRule="auto"/>
        <w:rPr>
          <w:rFonts w:hint="eastAsia" w:ascii="Calibri" w:hAnsi="Calibri" w:eastAsia="宋体"/>
          <w:color w:val="000000" w:themeColor="text1"/>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第二章投标人须知</w:t>
      </w:r>
      <w:r>
        <w:rPr>
          <w:color w:val="000000" w:themeColor="text1"/>
          <w:highlight w:val="none"/>
          <w14:textFill>
            <w14:solidFill>
              <w14:schemeClr w14:val="tx1"/>
            </w14:solidFill>
          </w14:textFill>
        </w:rPr>
        <w:tab/>
      </w:r>
      <w:r>
        <w:rPr>
          <w:rFonts w:hint="eastAsia"/>
          <w:color w:val="000000" w:themeColor="text1"/>
          <w:highlight w:val="none"/>
          <w:lang w:val="en-US" w:eastAsia="zh-CN"/>
          <w14:textFill>
            <w14:solidFill>
              <w14:schemeClr w14:val="tx1"/>
            </w14:solidFill>
          </w14:textFill>
        </w:rPr>
        <w:t>5</w:t>
      </w:r>
    </w:p>
    <w:p w14:paraId="5C560A02">
      <w:pPr>
        <w:pStyle w:val="32"/>
        <w:tabs>
          <w:tab w:val="right" w:leader="dot" w:pos="8296"/>
        </w:tabs>
        <w:spacing w:line="360" w:lineRule="auto"/>
        <w:rPr>
          <w:rFonts w:hint="eastAsia" w:ascii="Calibri" w:hAnsi="Calibri" w:eastAsia="宋体"/>
          <w:color w:val="000000" w:themeColor="text1"/>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第三章合同条款及格式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5</w:t>
      </w:r>
    </w:p>
    <w:p w14:paraId="60F5237F">
      <w:pPr>
        <w:pStyle w:val="32"/>
        <w:tabs>
          <w:tab w:val="right" w:leader="dot" w:pos="8296"/>
        </w:tabs>
        <w:spacing w:line="360" w:lineRule="auto"/>
        <w:rPr>
          <w:rFonts w:hint="default" w:ascii="Calibri" w:hAnsi="Calibri"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第四章项目需求</w:t>
      </w:r>
      <w:r>
        <w:rPr>
          <w:color w:val="000000" w:themeColor="text1"/>
          <w:highlight w:val="none"/>
          <w14:textFill>
            <w14:solidFill>
              <w14:schemeClr w14:val="tx1"/>
            </w14:solidFill>
          </w14:textFill>
        </w:rPr>
        <w:tab/>
      </w:r>
      <w:r>
        <w:rPr>
          <w:rFonts w:hint="eastAsia"/>
          <w:color w:val="000000" w:themeColor="text1"/>
          <w:highlight w:val="none"/>
          <w:lang w:val="en-US" w:eastAsia="zh-CN"/>
          <w14:textFill>
            <w14:solidFill>
              <w14:schemeClr w14:val="tx1"/>
            </w14:solidFill>
          </w14:textFill>
        </w:rPr>
        <w:t>18</w:t>
      </w:r>
    </w:p>
    <w:p w14:paraId="4D4265F9">
      <w:pPr>
        <w:pStyle w:val="32"/>
        <w:tabs>
          <w:tab w:val="right" w:leader="dot" w:pos="8296"/>
        </w:tabs>
        <w:spacing w:line="360" w:lineRule="auto"/>
        <w:rPr>
          <w:rFonts w:hint="default" w:ascii="Calibri" w:hAnsi="Calibri"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第五章评标方法及评标标准</w:t>
      </w:r>
      <w:r>
        <w:rPr>
          <w:color w:val="000000" w:themeColor="text1"/>
          <w:highlight w:val="none"/>
          <w14:textFill>
            <w14:solidFill>
              <w14:schemeClr w14:val="tx1"/>
            </w14:solidFill>
          </w14:textFill>
        </w:rPr>
        <w:tab/>
      </w:r>
      <w:r>
        <w:rPr>
          <w:rFonts w:hint="eastAsia"/>
          <w:color w:val="000000" w:themeColor="text1"/>
          <w:highlight w:val="none"/>
          <w:lang w:val="en-US" w:eastAsia="zh-CN"/>
          <w14:textFill>
            <w14:solidFill>
              <w14:schemeClr w14:val="tx1"/>
            </w14:solidFill>
          </w14:textFill>
        </w:rPr>
        <w:t>23</w:t>
      </w:r>
    </w:p>
    <w:p w14:paraId="35DDD7FA">
      <w:pPr>
        <w:pStyle w:val="32"/>
        <w:tabs>
          <w:tab w:val="right" w:leader="dot" w:pos="8296"/>
        </w:tabs>
        <w:spacing w:line="360" w:lineRule="auto"/>
        <w:rPr>
          <w:rFonts w:hint="default"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第六章投标文件格式</w:t>
      </w:r>
      <w:r>
        <w:rPr>
          <w:color w:val="000000" w:themeColor="text1"/>
          <w:highlight w:val="none"/>
          <w14:textFill>
            <w14:solidFill>
              <w14:schemeClr w14:val="tx1"/>
            </w14:solidFill>
          </w14:textFill>
        </w:rPr>
        <w:tab/>
      </w:r>
      <w:r>
        <w:rPr>
          <w:rFonts w:hint="eastAsia"/>
          <w:color w:val="000000" w:themeColor="text1"/>
          <w:highlight w:val="none"/>
          <w:lang w:val="en-US" w:eastAsia="zh-CN"/>
          <w14:textFill>
            <w14:solidFill>
              <w14:schemeClr w14:val="tx1"/>
            </w14:solidFill>
          </w14:textFill>
        </w:rPr>
        <w:t>26</w:t>
      </w:r>
    </w:p>
    <w:p w14:paraId="63D8778C">
      <w:pPr>
        <w:rPr>
          <w:color w:val="000000" w:themeColor="text1"/>
          <w:highlight w:val="none"/>
          <w14:textFill>
            <w14:solidFill>
              <w14:schemeClr w14:val="tx1"/>
            </w14:solidFill>
          </w14:textFill>
        </w:rPr>
      </w:pPr>
    </w:p>
    <w:p w14:paraId="4D0E17BA">
      <w:pPr>
        <w:rPr>
          <w:color w:val="000000" w:themeColor="text1"/>
          <w:highlight w:val="none"/>
          <w14:textFill>
            <w14:solidFill>
              <w14:schemeClr w14:val="tx1"/>
            </w14:solidFill>
          </w14:textFill>
        </w:rPr>
      </w:pPr>
    </w:p>
    <w:p w14:paraId="0D85045A">
      <w:pPr>
        <w:rPr>
          <w:color w:val="000000" w:themeColor="text1"/>
          <w:highlight w:val="none"/>
          <w14:textFill>
            <w14:solidFill>
              <w14:schemeClr w14:val="tx1"/>
            </w14:solidFill>
          </w14:textFill>
        </w:rPr>
      </w:pPr>
    </w:p>
    <w:p w14:paraId="6686E402">
      <w:pPr>
        <w:rPr>
          <w:color w:val="000000" w:themeColor="text1"/>
          <w:highlight w:val="none"/>
          <w14:textFill>
            <w14:solidFill>
              <w14:schemeClr w14:val="tx1"/>
            </w14:solidFill>
          </w14:textFill>
        </w:rPr>
      </w:pPr>
    </w:p>
    <w:p w14:paraId="527B82CF">
      <w:pPr>
        <w:rPr>
          <w:color w:val="000000" w:themeColor="text1"/>
          <w:highlight w:val="none"/>
          <w14:textFill>
            <w14:solidFill>
              <w14:schemeClr w14:val="tx1"/>
            </w14:solidFill>
          </w14:textFill>
        </w:rPr>
      </w:pPr>
    </w:p>
    <w:p w14:paraId="14C97AEE">
      <w:pPr>
        <w:spacing w:line="360" w:lineRule="auto"/>
        <w:jc w:val="center"/>
        <w:rPr>
          <w:rFonts w:ascii="宋体" w:hAnsi="宋体"/>
          <w:color w:val="000000" w:themeColor="text1"/>
          <w:sz w:val="28"/>
          <w:highlight w:val="none"/>
          <w14:textFill>
            <w14:solidFill>
              <w14:schemeClr w14:val="tx1"/>
            </w14:solidFill>
          </w14:textFill>
        </w:rPr>
        <w:sectPr>
          <w:footerReference r:id="rId5" w:type="default"/>
          <w:pgSz w:w="11906" w:h="16838"/>
          <w:pgMar w:top="1417" w:right="1417" w:bottom="1134" w:left="1417" w:header="851" w:footer="992" w:gutter="0"/>
          <w:pgNumType w:start="1"/>
          <w:cols w:space="720" w:num="1"/>
          <w:docGrid w:linePitch="360" w:charSpace="0"/>
        </w:sectPr>
      </w:pPr>
      <w:r>
        <w:rPr>
          <w:rFonts w:hint="eastAsia" w:ascii="宋体" w:hAnsi="宋体" w:cs="宋体"/>
          <w:color w:val="000000" w:themeColor="text1"/>
          <w:szCs w:val="21"/>
          <w:highlight w:val="none"/>
          <w14:textFill>
            <w14:solidFill>
              <w14:schemeClr w14:val="tx1"/>
            </w14:solidFill>
          </w14:textFill>
        </w:rPr>
        <w:fldChar w:fldCharType="end"/>
      </w:r>
    </w:p>
    <w:p w14:paraId="69E24621">
      <w:pPr>
        <w:pStyle w:val="222"/>
        <w:numPr>
          <w:ilvl w:val="0"/>
          <w:numId w:val="1"/>
        </w:numPr>
        <w:spacing w:line="440" w:lineRule="exact"/>
        <w:jc w:val="center"/>
        <w:rPr>
          <w:rFonts w:ascii="宋体" w:hAnsi="宋体"/>
          <w:color w:val="000000" w:themeColor="text1"/>
          <w:sz w:val="36"/>
          <w:highlight w:val="none"/>
          <w14:textFill>
            <w14:solidFill>
              <w14:schemeClr w14:val="tx1"/>
            </w14:solidFill>
          </w14:textFill>
        </w:rPr>
      </w:pPr>
      <w:bookmarkStart w:id="0" w:name="_Toc500859145"/>
      <w:r>
        <w:rPr>
          <w:rFonts w:hint="eastAsia" w:ascii="宋体" w:hAnsi="宋体"/>
          <w:color w:val="000000" w:themeColor="text1"/>
          <w:sz w:val="36"/>
          <w:highlight w:val="none"/>
          <w14:textFill>
            <w14:solidFill>
              <w14:schemeClr w14:val="tx1"/>
            </w14:solidFill>
          </w14:textFill>
        </w:rPr>
        <w:t>投标</w:t>
      </w:r>
      <w:r>
        <w:rPr>
          <w:rFonts w:ascii="宋体" w:hAnsi="宋体"/>
          <w:color w:val="000000" w:themeColor="text1"/>
          <w:sz w:val="36"/>
          <w:highlight w:val="none"/>
          <w14:textFill>
            <w14:solidFill>
              <w14:schemeClr w14:val="tx1"/>
            </w14:solidFill>
          </w14:textFill>
        </w:rPr>
        <w:t>邀请</w:t>
      </w:r>
    </w:p>
    <w:p w14:paraId="35047751">
      <w:pPr>
        <w:spacing w:line="440" w:lineRule="exact"/>
        <w:ind w:firstLine="316"/>
        <w:jc w:val="center"/>
        <w:rPr>
          <w:rFonts w:ascii="宋体" w:hAnsi="宋体" w:cs="宋体"/>
          <w:b/>
          <w:color w:val="000000" w:themeColor="text1"/>
          <w:szCs w:val="21"/>
          <w:highlight w:val="none"/>
          <w14:textFill>
            <w14:solidFill>
              <w14:schemeClr w14:val="tx1"/>
            </w14:solidFill>
          </w14:textFill>
        </w:rPr>
      </w:pPr>
    </w:p>
    <w:p w14:paraId="65D26F62">
      <w:pPr>
        <w:tabs>
          <w:tab w:val="left" w:pos="266"/>
        </w:tabs>
        <w:spacing w:line="360"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受</w:t>
      </w:r>
      <w:r>
        <w:rPr>
          <w:rFonts w:hint="eastAsia" w:ascii="宋体" w:hAnsi="宋体" w:cs="宋体"/>
          <w:color w:val="000000" w:themeColor="text1"/>
          <w:highlight w:val="none"/>
          <w:lang w:eastAsia="zh-CN"/>
          <w14:textFill>
            <w14:solidFill>
              <w14:schemeClr w14:val="tx1"/>
            </w14:solidFill>
          </w14:textFill>
        </w:rPr>
        <w:t>宝应县渣土管理大队</w:t>
      </w:r>
      <w:r>
        <w:rPr>
          <w:rFonts w:hint="eastAsia" w:ascii="宋体" w:hAnsi="宋体" w:cs="宋体"/>
          <w:color w:val="000000" w:themeColor="text1"/>
          <w:highlight w:val="none"/>
          <w14:textFill>
            <w14:solidFill>
              <w14:schemeClr w14:val="tx1"/>
            </w14:solidFill>
          </w14:textFill>
        </w:rPr>
        <w:t>的委托，</w:t>
      </w:r>
      <w:r>
        <w:rPr>
          <w:rFonts w:hint="eastAsia" w:ascii="宋体" w:hAnsi="宋体" w:cs="宋体"/>
          <w:color w:val="000000" w:themeColor="text1"/>
          <w:highlight w:val="none"/>
          <w:lang w:eastAsia="zh-CN"/>
          <w14:textFill>
            <w14:solidFill>
              <w14:schemeClr w14:val="tx1"/>
            </w14:solidFill>
          </w14:textFill>
        </w:rPr>
        <w:t>扬州诚庆工程咨询管理有限公司</w:t>
      </w:r>
      <w:r>
        <w:rPr>
          <w:rFonts w:hint="eastAsia" w:ascii="宋体" w:hAnsi="宋体" w:cs="宋体"/>
          <w:color w:val="000000" w:themeColor="text1"/>
          <w:highlight w:val="none"/>
          <w14:textFill>
            <w14:solidFill>
              <w14:schemeClr w14:val="tx1"/>
            </w14:solidFill>
          </w14:textFill>
        </w:rPr>
        <w:t>就</w:t>
      </w:r>
      <w:r>
        <w:rPr>
          <w:rFonts w:hint="eastAsia" w:ascii="宋体" w:hAnsi="宋体"/>
          <w:color w:val="000000" w:themeColor="text1"/>
          <w:szCs w:val="21"/>
          <w:highlight w:val="none"/>
          <w:u w:val="single"/>
          <w:lang w:eastAsia="zh-CN"/>
          <w14:textFill>
            <w14:solidFill>
              <w14:schemeClr w14:val="tx1"/>
            </w14:solidFill>
          </w14:textFill>
        </w:rPr>
        <w:t>宝应县泾河镇刘上村建筑垃圾消纳场综合治理项目</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eastAsia="zh-CN"/>
          <w14:textFill>
            <w14:solidFill>
              <w14:schemeClr w14:val="tx1"/>
            </w14:solidFill>
          </w14:textFill>
        </w:rPr>
        <w:t>JSZC-321023-YZCQ-G2026-0004</w:t>
      </w:r>
      <w:r>
        <w:rPr>
          <w:rFonts w:hint="eastAsia" w:ascii="宋体" w:hAnsi="宋体" w:cs="宋体"/>
          <w:color w:val="000000" w:themeColor="text1"/>
          <w:highlight w:val="none"/>
          <w14:textFill>
            <w14:solidFill>
              <w14:schemeClr w14:val="tx1"/>
            </w14:solidFill>
          </w14:textFill>
        </w:rPr>
        <w:t>)进行公开招标采购，欢迎符合条件的供应商投标。</w:t>
      </w:r>
    </w:p>
    <w:p w14:paraId="75ED6DF2">
      <w:pPr>
        <w:pBdr>
          <w:top w:val="single" w:color="auto" w:sz="4" w:space="1"/>
          <w:left w:val="single" w:color="auto" w:sz="4" w:space="4"/>
          <w:bottom w:val="single" w:color="auto" w:sz="4" w:space="1"/>
          <w:right w:val="single" w:color="auto" w:sz="4" w:space="4"/>
        </w:pBdr>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项目概况</w:t>
      </w:r>
    </w:p>
    <w:p w14:paraId="1EFB13F3">
      <w:pPr>
        <w:pBdr>
          <w:top w:val="single" w:color="auto" w:sz="4" w:space="1"/>
          <w:left w:val="single" w:color="auto" w:sz="4" w:space="4"/>
          <w:bottom w:val="single" w:color="auto" w:sz="4" w:space="1"/>
          <w:right w:val="single" w:color="auto" w:sz="4" w:space="4"/>
        </w:pBdr>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宝应县泾河镇刘上村建筑垃圾消纳场综合治理项目</w:t>
      </w:r>
      <w:r>
        <w:rPr>
          <w:rFonts w:ascii="宋体" w:hAnsi="宋体"/>
          <w:color w:val="000000" w:themeColor="text1"/>
          <w:szCs w:val="21"/>
          <w:highlight w:val="none"/>
          <w14:textFill>
            <w14:solidFill>
              <w14:schemeClr w14:val="tx1"/>
            </w14:solidFill>
          </w14:textFill>
        </w:rPr>
        <w:t>的潜在投标人可在</w:t>
      </w:r>
      <w:r>
        <w:rPr>
          <w:rFonts w:ascii="宋体" w:hAnsi="宋体"/>
          <w:color w:val="000000" w:themeColor="text1"/>
          <w:szCs w:val="21"/>
          <w:highlight w:val="none"/>
          <w:u w:val="single"/>
          <w14:textFill>
            <w14:solidFill>
              <w14:schemeClr w14:val="tx1"/>
            </w14:solidFill>
          </w14:textFill>
        </w:rPr>
        <w:t xml:space="preserve"> “扬州市政府采购网”、“江苏省政府采购网”</w:t>
      </w:r>
      <w:r>
        <w:rPr>
          <w:rFonts w:hint="eastAsia" w:ascii="MS Mincho" w:hAnsi="MS Mincho" w:eastAsia="MS Mincho" w:cs="MS Mincho"/>
          <w:color w:val="000000" w:themeColor="text1"/>
          <w:szCs w:val="21"/>
          <w:highlight w:val="none"/>
          <w:u w:val="single"/>
          <w14:textFill>
            <w14:solidFill>
              <w14:schemeClr w14:val="tx1"/>
            </w14:solidFill>
          </w14:textFill>
        </w:rPr>
        <w:t> </w:t>
      </w:r>
      <w:r>
        <w:rPr>
          <w:rFonts w:ascii="宋体" w:hAnsi="宋体"/>
          <w:color w:val="000000" w:themeColor="text1"/>
          <w:szCs w:val="21"/>
          <w:highlight w:val="none"/>
          <w14:textFill>
            <w14:solidFill>
              <w14:schemeClr w14:val="tx1"/>
            </w14:solidFill>
          </w14:textFill>
        </w:rPr>
        <w:t>自行下载招标文件，并于</w:t>
      </w:r>
      <w:r>
        <w:rPr>
          <w:rFonts w:hint="eastAsia" w:ascii="宋体" w:hAnsi="宋体"/>
          <w:color w:val="000000" w:themeColor="text1"/>
          <w:szCs w:val="21"/>
          <w:highlight w:val="none"/>
          <w:u w:val="single"/>
          <w:lang w:eastAsia="zh-CN"/>
          <w14:textFill>
            <w14:solidFill>
              <w14:schemeClr w14:val="tx1"/>
            </w14:solidFill>
          </w14:textFill>
        </w:rPr>
        <w:t>2026年11月</w:t>
      </w:r>
      <w:r>
        <w:rPr>
          <w:rFonts w:hint="eastAsia" w:ascii="宋体" w:hAnsi="宋体"/>
          <w:color w:val="000000" w:themeColor="text1"/>
          <w:szCs w:val="21"/>
          <w:highlight w:val="none"/>
          <w:u w:val="single"/>
          <w:lang w:val="en-US" w:eastAsia="zh-CN"/>
          <w14:textFill>
            <w14:solidFill>
              <w14:schemeClr w14:val="tx1"/>
            </w14:solidFill>
          </w14:textFill>
        </w:rPr>
        <w:t>20</w:t>
      </w:r>
      <w:r>
        <w:rPr>
          <w:rFonts w:hint="eastAsia" w:ascii="宋体" w:hAnsi="宋体"/>
          <w:color w:val="000000" w:themeColor="text1"/>
          <w:szCs w:val="21"/>
          <w:highlight w:val="none"/>
          <w:u w:val="single"/>
          <w:lang w:eastAsia="zh-CN"/>
          <w14:textFill>
            <w14:solidFill>
              <w14:schemeClr w14:val="tx1"/>
            </w14:solidFill>
          </w14:textFill>
        </w:rPr>
        <w:t>日</w:t>
      </w:r>
      <w:r>
        <w:rPr>
          <w:rFonts w:hint="eastAsia" w:ascii="宋体" w:hAnsi="宋体"/>
          <w:color w:val="000000" w:themeColor="text1"/>
          <w:szCs w:val="21"/>
          <w:highlight w:val="none"/>
          <w:u w:val="single"/>
          <w14:textFill>
            <w14:solidFill>
              <w14:schemeClr w14:val="tx1"/>
            </w14:solidFill>
          </w14:textFill>
        </w:rPr>
        <w:t>15</w:t>
      </w:r>
      <w:r>
        <w:rPr>
          <w:rFonts w:ascii="宋体" w:hAnsi="宋体"/>
          <w:color w:val="000000" w:themeColor="text1"/>
          <w:szCs w:val="21"/>
          <w:highlight w:val="none"/>
          <w:u w:val="single"/>
          <w14:textFill>
            <w14:solidFill>
              <w14:schemeClr w14:val="tx1"/>
            </w14:solidFill>
          </w14:textFill>
        </w:rPr>
        <w:t>点</w:t>
      </w:r>
      <w:r>
        <w:rPr>
          <w:rFonts w:hint="eastAsia" w:ascii="宋体" w:hAnsi="宋体"/>
          <w:color w:val="000000" w:themeColor="text1"/>
          <w:szCs w:val="21"/>
          <w:highlight w:val="none"/>
          <w:u w:val="single"/>
          <w14:textFill>
            <w14:solidFill>
              <w14:schemeClr w14:val="tx1"/>
            </w14:solidFill>
          </w14:textFill>
        </w:rPr>
        <w:t>0</w:t>
      </w:r>
      <w:r>
        <w:rPr>
          <w:rFonts w:ascii="宋体" w:hAnsi="宋体"/>
          <w:color w:val="000000" w:themeColor="text1"/>
          <w:szCs w:val="21"/>
          <w:highlight w:val="none"/>
          <w:u w:val="single"/>
          <w14:textFill>
            <w14:solidFill>
              <w14:schemeClr w14:val="tx1"/>
            </w14:solidFill>
          </w14:textFill>
        </w:rPr>
        <w:t>0分（</w:t>
      </w:r>
      <w:r>
        <w:rPr>
          <w:rFonts w:ascii="宋体" w:hAnsi="宋体"/>
          <w:color w:val="000000" w:themeColor="text1"/>
          <w:szCs w:val="21"/>
          <w:highlight w:val="none"/>
          <w14:textFill>
            <w14:solidFill>
              <w14:schemeClr w14:val="tx1"/>
            </w14:solidFill>
          </w14:textFill>
        </w:rPr>
        <w:t>北京时间）前递交投标文件</w:t>
      </w:r>
      <w:r>
        <w:rPr>
          <w:rFonts w:hint="eastAsia" w:ascii="宋体" w:hAnsi="宋体"/>
          <w:color w:val="000000" w:themeColor="text1"/>
          <w:szCs w:val="21"/>
          <w:highlight w:val="none"/>
          <w14:textFill>
            <w14:solidFill>
              <w14:schemeClr w14:val="tx1"/>
            </w14:solidFill>
          </w14:textFill>
        </w:rPr>
        <w:t>。</w:t>
      </w:r>
    </w:p>
    <w:p w14:paraId="2DD90663">
      <w:pPr>
        <w:pStyle w:val="3"/>
        <w:spacing w:line="240" w:lineRule="auto"/>
        <w:rPr>
          <w:rFonts w:ascii="宋体" w:hAnsi="宋体" w:eastAsia="宋体" w:cs="宋体"/>
          <w:color w:val="000000" w:themeColor="text1"/>
          <w:sz w:val="24"/>
          <w:szCs w:val="24"/>
          <w:highlight w:val="none"/>
          <w14:textFill>
            <w14:solidFill>
              <w14:schemeClr w14:val="tx1"/>
            </w14:solidFill>
          </w14:textFill>
        </w:rPr>
      </w:pPr>
      <w:bookmarkStart w:id="1" w:name="_Toc28359012"/>
      <w:bookmarkStart w:id="2" w:name="_Toc35393798"/>
      <w:bookmarkStart w:id="3" w:name="_Toc35393629"/>
      <w:bookmarkStart w:id="4" w:name="_Toc28359089"/>
      <w:r>
        <w:rPr>
          <w:rFonts w:hint="eastAsia" w:ascii="宋体" w:hAnsi="宋体" w:eastAsia="宋体" w:cs="宋体"/>
          <w:color w:val="000000" w:themeColor="text1"/>
          <w:sz w:val="24"/>
          <w:szCs w:val="24"/>
          <w:highlight w:val="none"/>
          <w14:textFill>
            <w14:solidFill>
              <w14:schemeClr w14:val="tx1"/>
            </w14:solidFill>
          </w14:textFill>
        </w:rPr>
        <w:t>一、项目基本情况</w:t>
      </w:r>
      <w:bookmarkEnd w:id="1"/>
      <w:bookmarkEnd w:id="2"/>
      <w:bookmarkEnd w:id="3"/>
      <w:bookmarkEnd w:id="4"/>
    </w:p>
    <w:p w14:paraId="4D06C8E8">
      <w:pPr>
        <w:spacing w:line="360" w:lineRule="auto"/>
        <w:ind w:firstLine="420" w:firstLineChars="20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1.项目编号：</w:t>
      </w:r>
      <w:r>
        <w:rPr>
          <w:rFonts w:hint="eastAsia" w:ascii="宋体" w:hAnsi="宋体" w:cs="宋体"/>
          <w:color w:val="000000" w:themeColor="text1"/>
          <w:highlight w:val="none"/>
          <w:lang w:eastAsia="zh-CN"/>
          <w14:textFill>
            <w14:solidFill>
              <w14:schemeClr w14:val="tx1"/>
            </w14:solidFill>
          </w14:textFill>
        </w:rPr>
        <w:t>JSZC-321023-YZCQ-G2026-0004</w:t>
      </w:r>
    </w:p>
    <w:p w14:paraId="5FE376CC">
      <w:pPr>
        <w:spacing w:line="360" w:lineRule="auto"/>
        <w:ind w:firstLine="42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2.项目名称：</w:t>
      </w:r>
      <w:r>
        <w:rPr>
          <w:rFonts w:hint="eastAsia" w:ascii="宋体" w:hAnsi="宋体" w:cs="宋体"/>
          <w:color w:val="000000" w:themeColor="text1"/>
          <w:highlight w:val="none"/>
          <w:lang w:eastAsia="zh-CN"/>
          <w14:textFill>
            <w14:solidFill>
              <w14:schemeClr w14:val="tx1"/>
            </w14:solidFill>
          </w14:textFill>
        </w:rPr>
        <w:t>宝应县泾河镇刘上村建筑垃圾消纳场综合治理项目</w:t>
      </w:r>
    </w:p>
    <w:p w14:paraId="589CE41E">
      <w:pPr>
        <w:spacing w:line="360" w:lineRule="auto"/>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3.预算金额：</w:t>
      </w:r>
      <w:r>
        <w:rPr>
          <w:rFonts w:hint="eastAsia" w:ascii="宋体" w:hAnsi="宋体" w:cs="宋体"/>
          <w:color w:val="000000" w:themeColor="text1"/>
          <w:highlight w:val="none"/>
          <w:lang w:val="en-US" w:eastAsia="zh-CN"/>
          <w14:textFill>
            <w14:solidFill>
              <w14:schemeClr w14:val="tx1"/>
            </w14:solidFill>
          </w14:textFill>
        </w:rPr>
        <w:t>333.5</w:t>
      </w:r>
      <w:r>
        <w:rPr>
          <w:rFonts w:hint="eastAsia" w:ascii="宋体" w:hAnsi="宋体" w:cs="宋体"/>
          <w:color w:val="000000" w:themeColor="text1"/>
          <w:highlight w:val="none"/>
          <w14:textFill>
            <w14:solidFill>
              <w14:schemeClr w14:val="tx1"/>
            </w14:solidFill>
          </w14:textFill>
        </w:rPr>
        <w:t>万元</w:t>
      </w:r>
    </w:p>
    <w:p w14:paraId="262343E7">
      <w:pPr>
        <w:spacing w:line="360" w:lineRule="auto"/>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4.最高限价：</w:t>
      </w:r>
      <w:r>
        <w:rPr>
          <w:rFonts w:hint="eastAsia" w:ascii="宋体" w:hAnsi="宋体" w:cs="宋体"/>
          <w:color w:val="000000" w:themeColor="text1"/>
          <w:highlight w:val="none"/>
          <w:lang w:val="en-US" w:eastAsia="zh-CN"/>
          <w14:textFill>
            <w14:solidFill>
              <w14:schemeClr w14:val="tx1"/>
            </w14:solidFill>
          </w14:textFill>
        </w:rPr>
        <w:t>300.15</w:t>
      </w:r>
      <w:r>
        <w:rPr>
          <w:rFonts w:hint="eastAsia" w:ascii="宋体" w:hAnsi="宋体" w:cs="宋体"/>
          <w:color w:val="000000" w:themeColor="text1"/>
          <w:highlight w:val="none"/>
          <w14:textFill>
            <w14:solidFill>
              <w14:schemeClr w14:val="tx1"/>
            </w14:solidFill>
          </w14:textFill>
        </w:rPr>
        <w:t>万元</w:t>
      </w:r>
    </w:p>
    <w:p w14:paraId="6229C9E4">
      <w:pPr>
        <w:numPr>
          <w:ilvl w:val="0"/>
          <w:numId w:val="0"/>
        </w:numPr>
        <w:spacing w:line="360" w:lineRule="auto"/>
        <w:ind w:firstLine="420" w:firstLineChars="200"/>
        <w:rPr>
          <w:rFonts w:hint="eastAsia" w:ascii="宋体" w:hAnsi="宋体" w:eastAsia="宋体"/>
          <w:color w:val="auto"/>
          <w:lang w:val="en-US" w:eastAsia="zh-CN"/>
        </w:rPr>
      </w:pPr>
      <w:r>
        <w:rPr>
          <w:rFonts w:hint="eastAsia" w:ascii="宋体" w:hAnsi="宋体" w:cs="宋体"/>
          <w:color w:val="000000" w:themeColor="text1"/>
          <w:highlight w:val="none"/>
          <w14:textFill>
            <w14:solidFill>
              <w14:schemeClr w14:val="tx1"/>
            </w14:solidFill>
          </w14:textFill>
        </w:rPr>
        <w:t>5.采购需求：</w:t>
      </w:r>
      <w:r>
        <w:rPr>
          <w:rFonts w:hint="eastAsia" w:ascii="Times New Roman" w:hAnsi="Times New Roman" w:eastAsia="宋体" w:cs="宋体"/>
          <w:color w:val="auto"/>
          <w:highlight w:val="none"/>
        </w:rPr>
        <w:t>见招标文件第四章</w:t>
      </w:r>
    </w:p>
    <w:p w14:paraId="7AC9AB81">
      <w:pPr>
        <w:numPr>
          <w:ilvl w:val="0"/>
          <w:numId w:val="0"/>
        </w:numPr>
        <w:spacing w:line="360" w:lineRule="auto"/>
        <w:ind w:firstLine="420" w:firstLineChars="200"/>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合同履行期限：</w:t>
      </w:r>
      <w:bookmarkStart w:id="5" w:name="_Toc28359090"/>
      <w:bookmarkStart w:id="6" w:name="_Toc35393630"/>
      <w:bookmarkStart w:id="7" w:name="_Toc35393799"/>
      <w:bookmarkStart w:id="8" w:name="_Toc28359013"/>
      <w:r>
        <w:rPr>
          <w:rFonts w:hint="eastAsia" w:ascii="宋体" w:hAnsi="宋体" w:cs="宋体"/>
          <w:color w:val="000000" w:themeColor="text1"/>
          <w:szCs w:val="21"/>
          <w:lang w:eastAsia="zh-CN"/>
          <w14:textFill>
            <w14:solidFill>
              <w14:schemeClr w14:val="tx1"/>
            </w14:solidFill>
          </w14:textFill>
        </w:rPr>
        <w:t>合同签订之日起</w:t>
      </w:r>
      <w:r>
        <w:rPr>
          <w:rFonts w:hint="eastAsia" w:ascii="宋体" w:hAnsi="宋体" w:cs="宋体"/>
          <w:color w:val="000000" w:themeColor="text1"/>
          <w:szCs w:val="21"/>
          <w:lang w:val="en-US" w:eastAsia="zh-CN"/>
          <w14:textFill>
            <w14:solidFill>
              <w14:schemeClr w14:val="tx1"/>
            </w14:solidFill>
          </w14:textFill>
        </w:rPr>
        <w:t>90</w:t>
      </w:r>
      <w:r>
        <w:rPr>
          <w:rFonts w:hint="eastAsia" w:ascii="宋体" w:hAnsi="宋体" w:cs="宋体"/>
          <w:color w:val="000000" w:themeColor="text1"/>
          <w:szCs w:val="21"/>
          <w:lang w:eastAsia="zh-CN"/>
          <w14:textFill>
            <w14:solidFill>
              <w14:schemeClr w14:val="tx1"/>
            </w14:solidFill>
          </w14:textFill>
        </w:rPr>
        <w:t>日历天内完成</w:t>
      </w:r>
    </w:p>
    <w:p w14:paraId="4A1BACCC">
      <w:pPr>
        <w:spacing w:line="360" w:lineRule="auto"/>
        <w:ind w:firstLine="420"/>
        <w:rPr>
          <w:rFonts w:hint="default"/>
          <w:lang w:val="en-US" w:eastAsia="zh-CN"/>
        </w:rPr>
      </w:pPr>
      <w:r>
        <w:rPr>
          <w:rFonts w:hint="eastAsia" w:ascii="宋体" w:hAnsi="宋体" w:cs="宋体"/>
          <w:color w:val="000000" w:themeColor="text1"/>
          <w:szCs w:val="21"/>
          <w:lang w:val="en-US" w:eastAsia="zh-CN"/>
          <w14:textFill>
            <w14:solidFill>
              <w14:schemeClr w14:val="tx1"/>
            </w14:solidFill>
          </w14:textFill>
        </w:rPr>
        <w:t>7.</w:t>
      </w:r>
      <w:r>
        <w:rPr>
          <w:rFonts w:hint="eastAsia" w:ascii="宋体"/>
          <w:highlight w:val="none"/>
        </w:rPr>
        <w:t>本项目</w:t>
      </w:r>
      <w:r>
        <w:rPr>
          <w:rFonts w:hint="eastAsia" w:ascii="宋体"/>
          <w:highlight w:val="none"/>
          <w:u w:val="none"/>
        </w:rPr>
        <w:t>不接受联合体</w:t>
      </w:r>
      <w:r>
        <w:rPr>
          <w:rFonts w:hint="eastAsia" w:ascii="宋体"/>
          <w:highlight w:val="none"/>
        </w:rPr>
        <w:t>投标</w:t>
      </w:r>
      <w:r>
        <w:rPr>
          <w:rFonts w:hint="eastAsia" w:ascii="宋体"/>
          <w:highlight w:val="none"/>
          <w:lang w:eastAsia="zh-CN"/>
        </w:rPr>
        <w:t>。</w:t>
      </w:r>
    </w:p>
    <w:p w14:paraId="3643952A">
      <w:pPr>
        <w:numPr>
          <w:ilvl w:val="0"/>
          <w:numId w:val="0"/>
        </w:num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二、申请人的资格要求：</w:t>
      </w:r>
      <w:bookmarkEnd w:id="5"/>
      <w:bookmarkEnd w:id="6"/>
      <w:bookmarkEnd w:id="7"/>
      <w:bookmarkEnd w:id="8"/>
    </w:p>
    <w:p w14:paraId="3C8742A8">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（一）通用资格要求</w:t>
      </w:r>
    </w:p>
    <w:p w14:paraId="07D20FD4">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bookmarkStart w:id="9" w:name="_Toc35393631"/>
      <w:bookmarkStart w:id="10" w:name="_Toc35393800"/>
      <w:bookmarkStart w:id="11" w:name="_Toc28359091"/>
      <w:bookmarkStart w:id="12" w:name="_Toc28359014"/>
      <w:r>
        <w:rPr>
          <w:rFonts w:hint="eastAsia" w:ascii="宋体" w:hAnsi="宋体" w:eastAsia="宋体" w:cs="宋体"/>
          <w:color w:val="000000" w:themeColor="text1"/>
          <w:szCs w:val="21"/>
          <w:highlight w:val="none"/>
          <w14:textFill>
            <w14:solidFill>
              <w14:schemeClr w14:val="tx1"/>
            </w14:solidFill>
          </w14:textFill>
        </w:rPr>
        <w:t>1.满足《中华人民共和国政府采购法》第二十二条规定，并提供下列材料：</w:t>
      </w:r>
    </w:p>
    <w:p w14:paraId="3FEC8C9E">
      <w:pPr>
        <w:spacing w:line="360" w:lineRule="auto"/>
        <w:ind w:firstLine="420"/>
        <w:rPr>
          <w:rFonts w:hint="eastAsia" w:ascii="宋体" w:hAnsi="宋体" w:eastAsia="宋体" w:cs="宋体"/>
          <w:i/>
          <w:iCs/>
          <w:color w:val="000000" w:themeColor="text1"/>
          <w:szCs w:val="21"/>
          <w:highlight w:val="none"/>
          <w:u w:val="single"/>
          <w14:textFill>
            <w14:solidFill>
              <w14:schemeClr w14:val="tx1"/>
            </w14:solidFill>
          </w14:textFill>
        </w:rPr>
      </w:pPr>
      <w:r>
        <w:rPr>
          <w:rFonts w:hint="eastAsia" w:ascii="宋体" w:hAnsi="宋体" w:eastAsia="宋体" w:cs="宋体"/>
          <w:i/>
          <w:iCs/>
          <w:color w:val="000000" w:themeColor="text1"/>
          <w:szCs w:val="21"/>
          <w:highlight w:val="none"/>
          <w:u w:val="single"/>
          <w14:textFill>
            <w14:solidFill>
              <w14:schemeClr w14:val="tx1"/>
            </w14:solidFill>
          </w14:textFill>
        </w:rPr>
        <w:t>1.1 法人或者其他组织的营业执照等证明文件，自然人的身份证明；</w:t>
      </w:r>
    </w:p>
    <w:p w14:paraId="7666C238">
      <w:pPr>
        <w:spacing w:line="360" w:lineRule="auto"/>
        <w:ind w:firstLine="420"/>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szCs w:val="21"/>
          <w:highlight w:val="none"/>
          <w:u w:val="single"/>
          <w14:textFill>
            <w14:solidFill>
              <w14:schemeClr w14:val="tx1"/>
            </w14:solidFill>
          </w14:textFill>
        </w:rPr>
        <w:t>1.2上一年度财务状况报</w:t>
      </w:r>
      <w:r>
        <w:rPr>
          <w:rFonts w:hint="eastAsia" w:ascii="宋体" w:hAnsi="宋体" w:eastAsia="宋体" w:cs="宋体"/>
          <w:i/>
          <w:iCs/>
          <w:color w:val="000000" w:themeColor="text1"/>
          <w:highlight w:val="none"/>
          <w:u w:val="single"/>
          <w14:textFill>
            <w14:solidFill>
              <w14:schemeClr w14:val="tx1"/>
            </w14:solidFill>
          </w14:textFill>
        </w:rPr>
        <w:t>告（成立不满一年无需提供）；</w:t>
      </w:r>
    </w:p>
    <w:p w14:paraId="2DD3A88C">
      <w:pPr>
        <w:spacing w:line="360" w:lineRule="auto"/>
        <w:ind w:firstLine="420"/>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14:textFill>
            <w14:solidFill>
              <w14:schemeClr w14:val="tx1"/>
            </w14:solidFill>
          </w14:textFill>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1FBD9A0E">
      <w:pPr>
        <w:spacing w:line="360" w:lineRule="auto"/>
        <w:ind w:firstLine="420"/>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14:textFill>
            <w14:solidFill>
              <w14:schemeClr w14:val="tx1"/>
            </w14:solidFill>
          </w14:textFill>
        </w:rPr>
        <w:t>1.4具备履行合同所必需的设备和专业技术能力的书面声明；</w:t>
      </w:r>
    </w:p>
    <w:p w14:paraId="7A14D737">
      <w:pPr>
        <w:spacing w:line="360" w:lineRule="auto"/>
        <w:ind w:firstLine="420"/>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14:textFill>
            <w14:solidFill>
              <w14:schemeClr w14:val="tx1"/>
            </w14:solidFill>
          </w14:textFill>
        </w:rPr>
        <w:t>1.5参加政府采购活动前3年内在经营活动中没有重大违法记录的书面声明；</w:t>
      </w:r>
    </w:p>
    <w:p w14:paraId="1ACE653A">
      <w:pPr>
        <w:spacing w:line="360" w:lineRule="auto"/>
        <w:ind w:firstLine="420"/>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14:textFill>
            <w14:solidFill>
              <w14:schemeClr w14:val="tx1"/>
            </w14:solidFill>
          </w14:textFill>
        </w:rPr>
        <w:t>1.6供应商信用承诺函；</w:t>
      </w:r>
    </w:p>
    <w:p w14:paraId="103A6C05">
      <w:pPr>
        <w:numPr>
          <w:ilvl w:val="0"/>
          <w:numId w:val="0"/>
        </w:numPr>
        <w:spacing w:line="360" w:lineRule="auto"/>
        <w:ind w:firstLine="420" w:firstLineChars="200"/>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cs="宋体"/>
          <w:i/>
          <w:iCs/>
          <w:color w:val="000000" w:themeColor="text1"/>
          <w:highlight w:val="none"/>
          <w:u w:val="single"/>
          <w:lang w:val="en-US" w:eastAsia="zh-CN"/>
          <w14:textFill>
            <w14:solidFill>
              <w14:schemeClr w14:val="tx1"/>
            </w14:solidFill>
          </w14:textFill>
        </w:rPr>
        <w:t>2.</w:t>
      </w:r>
      <w:r>
        <w:rPr>
          <w:rFonts w:hint="eastAsia" w:ascii="宋体" w:hAnsi="宋体" w:eastAsia="宋体" w:cs="宋体"/>
          <w:i/>
          <w:iCs/>
          <w:color w:val="000000" w:themeColor="text1"/>
          <w:highlight w:val="none"/>
          <w:u w:val="single"/>
          <w14:textFill>
            <w14:solidFill>
              <w14:schemeClr w14:val="tx1"/>
            </w14:solidFill>
          </w14:textFill>
        </w:rPr>
        <w:t>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p>
    <w:p w14:paraId="094F8FE7">
      <w:pPr>
        <w:numPr>
          <w:ilvl w:val="0"/>
          <w:numId w:val="0"/>
        </w:numPr>
        <w:spacing w:line="360" w:lineRule="auto"/>
        <w:ind w:firstLine="210" w:firstLineChars="100"/>
        <w:rPr>
          <w:rFonts w:hint="eastAsia" w:ascii="宋体" w:hAnsi="宋体" w:eastAsia="宋体" w:cs="宋体"/>
          <w:i/>
          <w:iCs/>
          <w:color w:val="000000" w:themeColor="text1"/>
          <w:sz w:val="21"/>
          <w:szCs w:val="22"/>
          <w:highlight w:val="none"/>
          <w:u w:val="single"/>
          <w:lang w:val="en-US" w:eastAsia="zh-CN"/>
          <w14:textFill>
            <w14:solidFill>
              <w14:schemeClr w14:val="tx1"/>
            </w14:solidFill>
          </w14:textFill>
        </w:rPr>
      </w:pPr>
      <w:r>
        <w:rPr>
          <w:rFonts w:hint="eastAsia" w:ascii="宋体" w:hAnsi="宋体" w:eastAsia="宋体" w:cs="宋体"/>
          <w:i/>
          <w:iCs/>
          <w:color w:val="000000" w:themeColor="text1"/>
          <w:sz w:val="21"/>
          <w:szCs w:val="22"/>
          <w:highlight w:val="none"/>
          <w:u w:val="single"/>
          <w:lang w:val="en-US" w:eastAsia="zh-CN"/>
          <w14:textFill>
            <w14:solidFill>
              <w14:schemeClr w14:val="tx1"/>
            </w14:solidFill>
          </w14:textFill>
        </w:rPr>
        <w:t>（二）</w:t>
      </w:r>
      <w:r>
        <w:rPr>
          <w:rFonts w:hint="eastAsia" w:ascii="宋体" w:hAnsi="宋体" w:eastAsia="宋体" w:cs="宋体"/>
          <w:i/>
          <w:iCs/>
          <w:color w:val="000000" w:themeColor="text1"/>
          <w:sz w:val="21"/>
          <w:szCs w:val="22"/>
          <w:highlight w:val="none"/>
          <w:u w:val="single"/>
          <w14:textFill>
            <w14:solidFill>
              <w14:schemeClr w14:val="tx1"/>
            </w14:solidFill>
          </w14:textFill>
        </w:rPr>
        <w:t>落实政府采购政策需满足的资格要求：</w:t>
      </w:r>
      <w:bookmarkStart w:id="13" w:name="OLE_LINK2"/>
      <w:bookmarkStart w:id="14" w:name="OLE_LINK1"/>
      <w:bookmarkStart w:id="15" w:name="OLE_LINK3"/>
      <w:r>
        <w:rPr>
          <w:rFonts w:hint="eastAsia" w:ascii="宋体" w:hAnsi="宋体" w:eastAsia="宋体" w:cs="宋体"/>
          <w:i/>
          <w:iCs/>
          <w:color w:val="000000" w:themeColor="text1"/>
          <w:sz w:val="21"/>
          <w:szCs w:val="22"/>
          <w:highlight w:val="none"/>
          <w:u w:val="single"/>
          <w:lang w:val="en-US" w:eastAsia="zh-CN"/>
          <w14:textFill>
            <w14:solidFill>
              <w14:schemeClr w14:val="tx1"/>
            </w14:solidFill>
          </w14:textFill>
        </w:rPr>
        <w:t>本项目专门面向中小企业采购。残疾人福利性单位、监狱和戒毒企业（简称监狱企业）视同小型、微型企业。</w:t>
      </w:r>
    </w:p>
    <w:bookmarkEnd w:id="13"/>
    <w:bookmarkEnd w:id="14"/>
    <w:bookmarkEnd w:id="15"/>
    <w:p w14:paraId="0D189331">
      <w:pPr>
        <w:pStyle w:val="41"/>
        <w:spacing w:beforeAutospacing="0" w:afterAutospacing="0" w:line="360" w:lineRule="auto"/>
        <w:ind w:firstLine="560"/>
        <w:jc w:val="both"/>
        <w:rPr>
          <w:rFonts w:hint="default" w:ascii="宋体" w:hAnsi="宋体" w:eastAsia="宋体" w:cs="宋体"/>
          <w:i/>
          <w:iCs/>
          <w:color w:val="000000" w:themeColor="text1"/>
          <w:sz w:val="21"/>
          <w:szCs w:val="22"/>
          <w:highlight w:val="none"/>
          <w:u w:val="single"/>
          <w:lang w:val="en-US" w:eastAsia="zh-CN"/>
          <w14:textFill>
            <w14:solidFill>
              <w14:schemeClr w14:val="tx1"/>
            </w14:solidFill>
          </w14:textFill>
        </w:rPr>
      </w:pPr>
      <w:r>
        <w:rPr>
          <w:rFonts w:hint="eastAsia" w:ascii="宋体" w:hAnsi="宋体" w:eastAsia="宋体" w:cs="宋体"/>
          <w:i/>
          <w:iCs/>
          <w:color w:val="000000" w:themeColor="text1"/>
          <w:sz w:val="21"/>
          <w:szCs w:val="22"/>
          <w:highlight w:val="none"/>
          <w:u w:val="single"/>
          <w:lang w:val="en-US" w:eastAsia="zh-CN"/>
          <w14:textFill>
            <w14:solidFill>
              <w14:schemeClr w14:val="tx1"/>
            </w14:solidFill>
          </w14:textFill>
        </w:rPr>
        <w:t>（三）本项目的特定资格要求：</w:t>
      </w:r>
      <w:bookmarkStart w:id="16" w:name="OLE_LINK85"/>
      <w:bookmarkStart w:id="17" w:name="OLE_LINK84"/>
      <w:r>
        <w:rPr>
          <w:rFonts w:hint="eastAsia" w:cs="宋体"/>
          <w:i/>
          <w:iCs/>
          <w:color w:val="000000" w:themeColor="text1"/>
          <w:sz w:val="21"/>
          <w:szCs w:val="22"/>
          <w:highlight w:val="none"/>
          <w:u w:val="single"/>
          <w:lang w:val="en-US" w:eastAsia="zh-CN"/>
          <w14:textFill>
            <w14:solidFill>
              <w14:schemeClr w14:val="tx1"/>
            </w14:solidFill>
          </w14:textFill>
        </w:rPr>
        <w:t>无。</w:t>
      </w:r>
    </w:p>
    <w:bookmarkEnd w:id="16"/>
    <w:bookmarkEnd w:id="17"/>
    <w:p w14:paraId="031757A3">
      <w:pPr>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三、</w:t>
      </w:r>
      <w:bookmarkEnd w:id="9"/>
      <w:bookmarkEnd w:id="10"/>
      <w:bookmarkEnd w:id="11"/>
      <w:bookmarkEnd w:id="12"/>
      <w:r>
        <w:rPr>
          <w:rFonts w:hint="eastAsia" w:ascii="宋体" w:hAnsi="宋体" w:cs="宋体"/>
          <w:b/>
          <w:bCs/>
          <w:color w:val="000000" w:themeColor="text1"/>
          <w:sz w:val="24"/>
          <w:highlight w:val="none"/>
          <w14:textFill>
            <w14:solidFill>
              <w14:schemeClr w14:val="tx1"/>
            </w14:solidFill>
          </w14:textFill>
        </w:rPr>
        <w:t>获取招标文件</w:t>
      </w:r>
    </w:p>
    <w:p w14:paraId="6F3F9DB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color w:val="000000" w:themeColor="text1"/>
          <w:szCs w:val="21"/>
          <w:highlight w:val="none"/>
          <w14:textFill>
            <w14:solidFill>
              <w14:schemeClr w14:val="tx1"/>
            </w14:solidFill>
          </w14:textFill>
        </w:rPr>
      </w:pPr>
      <w:bookmarkStart w:id="18" w:name="_Toc35393801"/>
      <w:bookmarkStart w:id="19" w:name="_Toc35393632"/>
      <w:bookmarkStart w:id="20" w:name="_Toc28359092"/>
      <w:bookmarkStart w:id="21" w:name="_Toc28359015"/>
      <w:r>
        <w:rPr>
          <w:rFonts w:hint="eastAsia" w:ascii="宋体" w:hAnsi="宋体" w:cs="宋体"/>
          <w:color w:val="000000" w:themeColor="text1"/>
          <w:szCs w:val="21"/>
          <w:highlight w:val="none"/>
          <w14:textFill>
            <w14:solidFill>
              <w14:schemeClr w14:val="tx1"/>
            </w14:solidFill>
          </w14:textFill>
        </w:rPr>
        <w:t>1.时间：自招标文件公告发布之日起5个工作日。5个工作日后仍可下载招标文件，但不作为供应商权益受到损害的证明材料和依据。</w:t>
      </w:r>
    </w:p>
    <w:p w14:paraId="74BB894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2.获取方式：本项目采用网上注册登记方式。</w:t>
      </w:r>
    </w:p>
    <w:p w14:paraId="18C3E19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3.潜在供应商访问政府采购管理交易系统（苏采云）的网络地址和方法：</w:t>
      </w:r>
    </w:p>
    <w:p w14:paraId="0DC37FE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BDBD07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（2）“CA数字证书”的获取：供应商需办理CA锁，“苏采云”系统目前仅支持“苏采云”系统下的政务CA，省内各地区办理的“苏采云”系统下的政务CA全省通用。</w:t>
      </w:r>
    </w:p>
    <w:p w14:paraId="3A4DED6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（3）“CA数字证书”的办理材料以及供应商操作手册详见：http：//zfcg.yangzhou.gov.cn/xzzx/art/2023/art_4d7de1f7865f4a2894fc22bc452f94d8.html。</w:t>
      </w:r>
    </w:p>
    <w:p w14:paraId="5466B72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（4）潜在供应商访问“苏采云”系统的网络地址和方法：“苏采云”系统的网址：http：//jszfcg.jsczt.cn/。</w:t>
      </w:r>
    </w:p>
    <w:p w14:paraId="72A4962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（5）采购文件（后缀名为“.kedt”）、供应商操作手册及政府采购客户端工具也可通过“苏采云”系统--已报名项目--报名详情页面内相应链接进行下载。</w:t>
      </w:r>
    </w:p>
    <w:p w14:paraId="26708CE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（6）招标代理机构（采购代理机构）将数据电文形式的采购文件加载至“苏采云”系统，供潜在供应商下载或者查阅。</w:t>
      </w:r>
    </w:p>
    <w:p w14:paraId="77D8CAA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（7）苏采云系统使用谷歌浏览器参与不见面开标。</w:t>
      </w:r>
    </w:p>
    <w:p w14:paraId="1CBD6B3F">
      <w:pPr>
        <w:pStyle w:val="3"/>
        <w:keepNext/>
        <w:keepLines/>
        <w:pageBreakBefore w:val="0"/>
        <w:widowControl w:val="0"/>
        <w:kinsoku/>
        <w:wordWrap/>
        <w:overflowPunct/>
        <w:topLinePunct w:val="0"/>
        <w:autoSpaceDE/>
        <w:autoSpaceDN/>
        <w:bidi w:val="0"/>
        <w:adjustRightInd/>
        <w:snapToGrid/>
        <w:spacing w:before="181" w:beforeLines="50" w:after="181" w:afterLines="50" w:line="240" w:lineRule="auto"/>
        <w:textAlignment w:val="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w:t>
      </w:r>
      <w:bookmarkEnd w:id="18"/>
      <w:bookmarkEnd w:id="19"/>
      <w:bookmarkEnd w:id="20"/>
      <w:bookmarkEnd w:id="21"/>
      <w:r>
        <w:rPr>
          <w:rFonts w:hint="eastAsia" w:ascii="宋体" w:hAnsi="宋体" w:eastAsia="宋体" w:cs="宋体"/>
          <w:color w:val="000000" w:themeColor="text1"/>
          <w:sz w:val="24"/>
          <w:szCs w:val="24"/>
          <w:highlight w:val="none"/>
          <w14:textFill>
            <w14:solidFill>
              <w14:schemeClr w14:val="tx1"/>
            </w14:solidFill>
          </w14:textFill>
        </w:rPr>
        <w:t>提交投标文件截止时间、开标时间和地点</w:t>
      </w:r>
    </w:p>
    <w:p w14:paraId="1182FF04">
      <w:pPr>
        <w:pageBreakBefore w:val="0"/>
        <w:spacing w:line="360" w:lineRule="auto"/>
        <w:ind w:firstLine="420"/>
        <w:rPr>
          <w:rFonts w:ascii="Times New Roman" w:hAnsi="Times New Roman" w:eastAsia="宋体" w:cs="宋体"/>
          <w:bCs/>
          <w:color w:val="auto"/>
          <w:szCs w:val="21"/>
          <w:highlight w:val="none"/>
          <w:u w:val="single"/>
        </w:rPr>
      </w:pPr>
      <w:r>
        <w:rPr>
          <w:rFonts w:hint="eastAsia" w:ascii="Times New Roman" w:hAnsi="Times New Roman" w:eastAsia="宋体" w:cs="宋体"/>
          <w:color w:val="auto"/>
          <w:highlight w:val="none"/>
        </w:rPr>
        <w:t>1.时间</w:t>
      </w:r>
      <w:r>
        <w:rPr>
          <w:rFonts w:hint="eastAsia" w:ascii="Times New Roman" w:hAnsi="Times New Roman" w:eastAsia="宋体" w:cs="宋体"/>
          <w:color w:val="000000" w:themeColor="text1"/>
          <w:highlight w:val="none"/>
          <w14:textFill>
            <w14:solidFill>
              <w14:schemeClr w14:val="tx1"/>
            </w14:solidFill>
          </w14:textFill>
        </w:rPr>
        <w:t>：</w:t>
      </w:r>
      <w:r>
        <w:rPr>
          <w:rFonts w:hint="eastAsia" w:cs="宋体"/>
          <w:color w:val="000000" w:themeColor="text1"/>
          <w:highlight w:val="none"/>
          <w:lang w:eastAsia="zh-CN"/>
          <w14:textFill>
            <w14:solidFill>
              <w14:schemeClr w14:val="tx1"/>
            </w14:solidFill>
          </w14:textFill>
        </w:rPr>
        <w:t>2026年11月</w:t>
      </w:r>
      <w:r>
        <w:rPr>
          <w:rFonts w:hint="eastAsia" w:cs="宋体"/>
          <w:color w:val="000000" w:themeColor="text1"/>
          <w:highlight w:val="none"/>
          <w:lang w:val="en-US" w:eastAsia="zh-CN"/>
          <w14:textFill>
            <w14:solidFill>
              <w14:schemeClr w14:val="tx1"/>
            </w14:solidFill>
          </w14:textFill>
        </w:rPr>
        <w:t>20</w:t>
      </w:r>
      <w:r>
        <w:rPr>
          <w:rFonts w:hint="eastAsia" w:cs="宋体"/>
          <w:color w:val="000000" w:themeColor="text1"/>
          <w:highlight w:val="none"/>
          <w:lang w:eastAsia="zh-CN"/>
          <w14:textFill>
            <w14:solidFill>
              <w14:schemeClr w14:val="tx1"/>
            </w14:solidFill>
          </w14:textFill>
        </w:rPr>
        <w:t>日</w:t>
      </w:r>
      <w:r>
        <w:rPr>
          <w:rFonts w:hint="eastAsia" w:cs="宋体"/>
          <w:color w:val="000000" w:themeColor="text1"/>
          <w:highlight w:val="none"/>
          <w:lang w:val="en-US" w:eastAsia="zh-CN"/>
          <w14:textFill>
            <w14:solidFill>
              <w14:schemeClr w14:val="tx1"/>
            </w14:solidFill>
          </w14:textFill>
        </w:rPr>
        <w:t xml:space="preserve">  </w:t>
      </w:r>
      <w:r>
        <w:rPr>
          <w:rFonts w:hint="eastAsia" w:ascii="Times New Roman" w:hAnsi="Times New Roman" w:cs="宋体"/>
          <w:color w:val="000000" w:themeColor="text1"/>
          <w:highlight w:val="none"/>
          <w14:textFill>
            <w14:solidFill>
              <w14:schemeClr w14:val="tx1"/>
            </w14:solidFill>
          </w14:textFill>
        </w:rPr>
        <w:t>15点00分</w:t>
      </w:r>
      <w:r>
        <w:rPr>
          <w:rFonts w:hint="eastAsia" w:ascii="Times New Roman" w:hAnsi="Times New Roman" w:eastAsia="宋体" w:cs="宋体"/>
          <w:bCs/>
          <w:color w:val="auto"/>
          <w:highlight w:val="none"/>
        </w:rPr>
        <w:t>（北京时间）</w:t>
      </w:r>
    </w:p>
    <w:p w14:paraId="67B22E6F">
      <w:pPr>
        <w:pageBreakBefore w:val="0"/>
        <w:spacing w:line="360" w:lineRule="auto"/>
        <w:ind w:firstLine="420"/>
        <w:rPr>
          <w:rFonts w:ascii="Times New Roman" w:hAnsi="Times New Roman" w:eastAsia="宋体"/>
          <w:b/>
          <w:color w:val="auto"/>
          <w:szCs w:val="21"/>
          <w:highlight w:val="none"/>
        </w:rPr>
      </w:pPr>
      <w:r>
        <w:rPr>
          <w:rFonts w:hint="eastAsia" w:ascii="Times New Roman" w:hAnsi="Times New Roman" w:eastAsia="宋体" w:cs="宋体"/>
          <w:color w:val="auto"/>
          <w:highlight w:val="none"/>
        </w:rPr>
        <w:t>2.开标地点：</w:t>
      </w:r>
      <w:r>
        <w:rPr>
          <w:rFonts w:hint="eastAsia" w:ascii="Times New Roman" w:hAnsi="Times New Roman" w:eastAsia="宋体" w:cs="宋体"/>
          <w:color w:val="auto"/>
          <w:szCs w:val="21"/>
          <w:highlight w:val="none"/>
        </w:rPr>
        <w:t>“苏采云”系统（网址：http：//jszfcg.jsczt.cn/）</w:t>
      </w:r>
    </w:p>
    <w:p w14:paraId="51FA7B9B">
      <w:pPr>
        <w:pStyle w:val="3"/>
        <w:keepNext/>
        <w:keepLines/>
        <w:pageBreakBefore w:val="0"/>
        <w:widowControl w:val="0"/>
        <w:numPr>
          <w:ilvl w:val="0"/>
          <w:numId w:val="4"/>
        </w:numPr>
        <w:kinsoku/>
        <w:wordWrap/>
        <w:overflowPunct/>
        <w:topLinePunct w:val="0"/>
        <w:autoSpaceDE/>
        <w:autoSpaceDN/>
        <w:bidi w:val="0"/>
        <w:adjustRightInd/>
        <w:snapToGrid/>
        <w:spacing w:before="0" w:after="0"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22" w:name="_Toc35393634"/>
      <w:bookmarkStart w:id="23" w:name="_Toc28359094"/>
      <w:bookmarkStart w:id="24" w:name="_Toc35393803"/>
      <w:bookmarkStart w:id="25" w:name="_Toc28359017"/>
      <w:r>
        <w:rPr>
          <w:rFonts w:hint="eastAsia" w:ascii="宋体" w:hAnsi="宋体" w:eastAsia="宋体" w:cs="宋体"/>
          <w:color w:val="000000" w:themeColor="text1"/>
          <w:sz w:val="24"/>
          <w:szCs w:val="24"/>
          <w:highlight w:val="none"/>
          <w14:textFill>
            <w14:solidFill>
              <w14:schemeClr w14:val="tx1"/>
            </w14:solidFill>
          </w14:textFill>
        </w:rPr>
        <w:t>公告期限</w:t>
      </w:r>
      <w:bookmarkEnd w:id="22"/>
      <w:bookmarkEnd w:id="23"/>
      <w:bookmarkEnd w:id="24"/>
      <w:bookmarkEnd w:id="25"/>
    </w:p>
    <w:p w14:paraId="659C3A24">
      <w:pPr>
        <w:pageBreakBefore w:val="0"/>
        <w:spacing w:line="360" w:lineRule="auto"/>
        <w:ind w:firstLine="420"/>
        <w:rPr>
          <w:rFonts w:hint="eastAsia" w:ascii="宋体" w:hAnsi="宋体" w:eastAsia="宋体" w:cs="宋体"/>
          <w:color w:val="auto"/>
          <w:sz w:val="21"/>
          <w:szCs w:val="21"/>
          <w:highlight w:val="none"/>
        </w:rPr>
      </w:pPr>
      <w:bookmarkStart w:id="26" w:name="_Toc35393635"/>
      <w:bookmarkStart w:id="27" w:name="_Toc35393804"/>
      <w:r>
        <w:rPr>
          <w:rFonts w:hint="eastAsia" w:ascii="宋体" w:hAnsi="宋体" w:eastAsia="宋体" w:cs="宋体"/>
          <w:color w:val="auto"/>
          <w:sz w:val="21"/>
          <w:szCs w:val="21"/>
          <w:highlight w:val="none"/>
        </w:rPr>
        <w:t>招标公告及招标文件公告期限为自本公告发布之日起5个工作日。</w:t>
      </w:r>
    </w:p>
    <w:p w14:paraId="18CCDC8F">
      <w:pPr>
        <w:pStyle w:val="3"/>
        <w:keepNext/>
        <w:keepLines/>
        <w:pageBreakBefore w:val="0"/>
        <w:widowControl w:val="0"/>
        <w:kinsoku/>
        <w:wordWrap/>
        <w:overflowPunct/>
        <w:topLinePunct w:val="0"/>
        <w:autoSpaceDE/>
        <w:autoSpaceDN/>
        <w:bidi w:val="0"/>
        <w:adjustRightInd/>
        <w:snapToGrid/>
        <w:spacing w:before="0" w:after="181" w:afterLines="50" w:line="240" w:lineRule="auto"/>
        <w:textAlignment w:val="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六、其他补充事宜</w:t>
      </w:r>
      <w:bookmarkEnd w:id="26"/>
      <w:bookmarkEnd w:id="27"/>
    </w:p>
    <w:p w14:paraId="6F71E09C">
      <w:pPr>
        <w:pageBreakBefore w:val="0"/>
        <w:spacing w:line="360" w:lineRule="auto"/>
        <w:ind w:firstLine="422"/>
        <w:rPr>
          <w:rFonts w:ascii="Times New Roman" w:hAnsi="Times New Roman" w:eastAsia="宋体"/>
          <w:b/>
          <w:bCs/>
          <w:color w:val="auto"/>
          <w:highlight w:val="none"/>
        </w:rPr>
      </w:pPr>
      <w:bookmarkStart w:id="28" w:name="_Toc35393636"/>
      <w:bookmarkStart w:id="29" w:name="_Toc28359095"/>
      <w:bookmarkStart w:id="30" w:name="_Toc35393805"/>
      <w:bookmarkStart w:id="31" w:name="_Toc28359018"/>
      <w:r>
        <w:rPr>
          <w:rFonts w:hint="eastAsia" w:ascii="Times New Roman" w:hAnsi="Times New Roman" w:eastAsia="宋体"/>
          <w:b/>
          <w:bCs/>
          <w:color w:val="auto"/>
          <w:highlight w:val="none"/>
        </w:rPr>
        <w:t>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p>
    <w:p w14:paraId="01558459">
      <w:pPr>
        <w:pageBreakBefore w:val="0"/>
        <w:spacing w:line="360" w:lineRule="auto"/>
        <w:ind w:firstLine="422"/>
        <w:rPr>
          <w:rFonts w:ascii="Times New Roman" w:hAnsi="Times New Roman" w:eastAsia="宋体"/>
          <w:b/>
          <w:bCs/>
          <w:color w:val="auto"/>
          <w:szCs w:val="21"/>
          <w:highlight w:val="none"/>
        </w:rPr>
      </w:pPr>
      <w:r>
        <w:rPr>
          <w:rFonts w:hint="eastAsia" w:ascii="Times New Roman" w:hAnsi="Times New Roman" w:eastAsia="宋体"/>
          <w:b/>
          <w:bCs/>
          <w:color w:val="auto"/>
          <w:highlight w:val="none"/>
        </w:rPr>
        <w:t>2.供应商如确定参加投标，可自行下载采购文件及有关资料，按照《操作手册》进行注册，领取CA和办理电子签章，并按《操作手册》要求制作、上传电子投标文件，技术支持联系方式：13813140731。</w:t>
      </w:r>
    </w:p>
    <w:p w14:paraId="1C20384C">
      <w:pPr>
        <w:pageBreakBefore w:val="0"/>
        <w:spacing w:line="360" w:lineRule="auto"/>
        <w:ind w:firstLine="420"/>
        <w:rPr>
          <w:rFonts w:ascii="Times New Roman" w:hAnsi="Times New Roman" w:eastAsia="宋体" w:cs="宋体"/>
          <w:bCs/>
          <w:color w:val="auto"/>
          <w:highlight w:val="none"/>
        </w:rPr>
      </w:pPr>
      <w:r>
        <w:rPr>
          <w:rFonts w:hint="eastAsia" w:ascii="Times New Roman" w:hAnsi="Times New Roman" w:eastAsia="宋体" w:cs="宋体"/>
          <w:bCs/>
          <w:color w:val="auto"/>
          <w:szCs w:val="21"/>
          <w:highlight w:val="none"/>
        </w:rPr>
        <w:t>3.</w:t>
      </w:r>
      <w:r>
        <w:rPr>
          <w:rFonts w:hint="eastAsia" w:ascii="Times New Roman" w:hAnsi="Times New Roman" w:eastAsia="宋体"/>
          <w:color w:val="auto"/>
          <w:highlight w:val="none"/>
        </w:rPr>
        <w:t>本次招标不收取投标保证金。</w:t>
      </w:r>
    </w:p>
    <w:p w14:paraId="69CD6F36">
      <w:pPr>
        <w:pageBreakBefore w:val="0"/>
        <w:spacing w:line="360" w:lineRule="auto"/>
        <w:ind w:firstLine="420"/>
        <w:rPr>
          <w:rFonts w:ascii="Times New Roman" w:hAnsi="Times New Roman" w:eastAsia="宋体" w:cs="宋体"/>
          <w:bCs/>
          <w:color w:val="auto"/>
          <w:highlight w:val="none"/>
        </w:rPr>
      </w:pPr>
      <w:r>
        <w:rPr>
          <w:rFonts w:hint="eastAsia" w:ascii="Times New Roman" w:hAnsi="Times New Roman" w:eastAsia="宋体"/>
          <w:color w:val="auto"/>
          <w:szCs w:val="21"/>
          <w:highlight w:val="none"/>
        </w:rPr>
        <w:t>4.</w:t>
      </w:r>
      <w:r>
        <w:rPr>
          <w:rFonts w:hint="eastAsia" w:ascii="Times New Roman" w:hAnsi="Times New Roman" w:eastAsia="宋体" w:cs="宋体"/>
          <w:bCs/>
          <w:color w:val="auto"/>
          <w:highlight w:val="none"/>
        </w:rPr>
        <w:t>有关本次招标的事项若存在变动或修改，敬请及时关注</w:t>
      </w:r>
      <w:r>
        <w:rPr>
          <w:rFonts w:hint="eastAsia" w:ascii="Times New Roman" w:hAnsi="Times New Roman"/>
          <w:bCs/>
          <w:color w:val="auto"/>
          <w:szCs w:val="21"/>
          <w:highlight w:val="none"/>
          <w:lang w:eastAsia="zh-CN"/>
        </w:rPr>
        <w:t>“扬州市政府采购网”、“江苏省政府采购网”</w:t>
      </w:r>
      <w:r>
        <w:rPr>
          <w:rFonts w:hint="eastAsia" w:ascii="Times New Roman" w:hAnsi="Times New Roman" w:eastAsia="宋体" w:cs="宋体"/>
          <w:bCs/>
          <w:color w:val="auto"/>
          <w:highlight w:val="none"/>
        </w:rPr>
        <w:t>发布的信息。</w:t>
      </w:r>
    </w:p>
    <w:p w14:paraId="0184E863">
      <w:pPr>
        <w:pageBreakBefore w:val="0"/>
        <w:tabs>
          <w:tab w:val="left" w:pos="266"/>
        </w:tabs>
        <w:spacing w:line="360" w:lineRule="auto"/>
        <w:ind w:firstLine="422"/>
        <w:rPr>
          <w:rFonts w:ascii="Times New Roman" w:hAnsi="Times New Roman" w:eastAsia="宋体" w:cs="宋体"/>
          <w:b/>
          <w:i/>
          <w:iCs/>
          <w:color w:val="auto"/>
          <w:highlight w:val="none"/>
          <w:u w:val="single"/>
        </w:rPr>
      </w:pPr>
      <w:r>
        <w:rPr>
          <w:rFonts w:hint="eastAsia" w:ascii="Times New Roman" w:hAnsi="Times New Roman" w:eastAsia="宋体" w:cs="宋体"/>
          <w:b/>
          <w:i/>
          <w:iCs/>
          <w:color w:val="auto"/>
          <w:highlight w:val="none"/>
          <w:u w:val="single"/>
        </w:rPr>
        <w:t>5.本项目招标文件中所有斜体下划线部分为实质性条款，如不满足，则为无效投标。</w:t>
      </w:r>
    </w:p>
    <w:p w14:paraId="1A2BBC85">
      <w:pPr>
        <w:pageBreakBefore w:val="0"/>
        <w:tabs>
          <w:tab w:val="left" w:pos="266"/>
        </w:tabs>
        <w:spacing w:line="360" w:lineRule="auto"/>
        <w:ind w:firstLine="420"/>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6.如在开标时间发生系统崩溃等不可预见的情况，造成开评标活动无法正常进行的，将延迟开评标，具体开评标时间另行通知。</w:t>
      </w:r>
    </w:p>
    <w:p w14:paraId="4DD65FF3">
      <w:pPr>
        <w:pageBreakBefore w:val="0"/>
        <w:tabs>
          <w:tab w:val="left" w:pos="266"/>
        </w:tabs>
        <w:spacing w:line="360" w:lineRule="auto"/>
        <w:ind w:firstLine="420"/>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7.为落实好政府采购履约资金扶持政策，中标/成交供应商可凭政府采购合同办理融资贷款，详见江苏政府采购网“政采贷”专栏。</w:t>
      </w:r>
    </w:p>
    <w:p w14:paraId="570399CC">
      <w:pPr>
        <w:pageBreakBefore w:val="0"/>
        <w:tabs>
          <w:tab w:val="left" w:pos="266"/>
        </w:tabs>
        <w:spacing w:line="360" w:lineRule="auto"/>
        <w:ind w:firstLine="420"/>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8.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p>
    <w:p w14:paraId="4CFA30BA">
      <w:pPr>
        <w:pStyle w:val="3"/>
        <w:pageBreakBefore w:val="0"/>
        <w:widowControl w:val="0"/>
        <w:kinsoku/>
        <w:wordWrap/>
        <w:overflowPunct/>
        <w:topLinePunct w:val="0"/>
        <w:autoSpaceDE/>
        <w:autoSpaceDN/>
        <w:bidi w:val="0"/>
        <w:adjustRightInd/>
        <w:snapToGrid/>
        <w:spacing w:before="0" w:after="0" w:line="360" w:lineRule="auto"/>
        <w:ind w:firstLine="420" w:firstLineChars="200"/>
        <w:textAlignment w:val="auto"/>
        <w:rPr>
          <w:rFonts w:hint="eastAsia" w:ascii="Times New Roman" w:hAnsi="Times New Roman" w:eastAsia="宋体" w:cs="宋体"/>
          <w:b w:val="0"/>
          <w:bCs/>
          <w:color w:val="auto"/>
          <w:sz w:val="21"/>
          <w:szCs w:val="22"/>
          <w:highlight w:val="none"/>
        </w:rPr>
      </w:pPr>
      <w:r>
        <w:rPr>
          <w:rFonts w:hint="eastAsia" w:ascii="Times New Roman" w:hAnsi="Times New Roman" w:eastAsia="宋体" w:cs="宋体"/>
          <w:b w:val="0"/>
          <w:bCs/>
          <w:color w:val="auto"/>
          <w:sz w:val="21"/>
          <w:szCs w:val="22"/>
          <w:highlight w:val="none"/>
        </w:rPr>
        <w:t>9.供应商对于所投产品的包装应按照“财办库〔2020〕123号《关于印发《商品包装政府采购需求标准（试行）》、《快递包装政府采购需求标准（试行）》的通知》”执行。</w:t>
      </w:r>
    </w:p>
    <w:bookmarkEnd w:id="28"/>
    <w:bookmarkEnd w:id="29"/>
    <w:bookmarkEnd w:id="30"/>
    <w:bookmarkEnd w:id="31"/>
    <w:p w14:paraId="2D4367DD">
      <w:pPr>
        <w:pStyle w:val="3"/>
        <w:keepNext/>
        <w:keepLines/>
        <w:pageBreakBefore w:val="0"/>
        <w:widowControl w:val="0"/>
        <w:kinsoku/>
        <w:wordWrap/>
        <w:overflowPunct/>
        <w:topLinePunct w:val="0"/>
        <w:autoSpaceDE/>
        <w:autoSpaceDN/>
        <w:bidi w:val="0"/>
        <w:adjustRightInd/>
        <w:snapToGrid/>
        <w:spacing w:before="0" w:after="181" w:afterLines="50" w:line="240" w:lineRule="auto"/>
        <w:textAlignment w:val="auto"/>
        <w:rPr>
          <w:rFonts w:hint="eastAsia" w:ascii="Times New Roman" w:hAnsi="Times New Roman" w:eastAsia="宋体" w:cs="宋体"/>
          <w:b w:val="0"/>
          <w:bCs/>
          <w:color w:val="auto"/>
          <w:sz w:val="21"/>
          <w:szCs w:val="22"/>
          <w:highlight w:val="none"/>
        </w:rPr>
      </w:pPr>
      <w:r>
        <w:rPr>
          <w:rFonts w:hint="eastAsia" w:ascii="宋体" w:hAnsi="宋体" w:eastAsia="宋体" w:cs="宋体"/>
          <w:color w:val="000000" w:themeColor="text1"/>
          <w:sz w:val="24"/>
          <w:szCs w:val="24"/>
          <w:highlight w:val="none"/>
          <w14:textFill>
            <w14:solidFill>
              <w14:schemeClr w14:val="tx1"/>
            </w14:solidFill>
          </w14:textFill>
        </w:rPr>
        <w:t>七、本次招标联系方式</w:t>
      </w:r>
    </w:p>
    <w:p w14:paraId="2AB897F7">
      <w:pPr>
        <w:spacing w:line="360" w:lineRule="auto"/>
        <w:ind w:firstLine="420"/>
        <w:rPr>
          <w:rFonts w:ascii="宋体" w:hAnsi="宋体" w:cs="宋体"/>
          <w:color w:val="000000" w:themeColor="text1"/>
          <w:szCs w:val="21"/>
          <w:highlight w:val="none"/>
          <w:u w:val="none"/>
          <w14:textFill>
            <w14:solidFill>
              <w14:schemeClr w14:val="tx1"/>
            </w14:solidFill>
          </w14:textFill>
        </w:rPr>
      </w:pPr>
      <w:r>
        <w:rPr>
          <w:rFonts w:hint="eastAsia" w:ascii="宋体" w:hAnsi="宋体" w:cs="宋体"/>
          <w:color w:val="000000" w:themeColor="text1"/>
          <w:szCs w:val="21"/>
          <w:highlight w:val="none"/>
          <w:u w:val="none"/>
          <w14:textFill>
            <w14:solidFill>
              <w14:schemeClr w14:val="tx1"/>
            </w14:solidFill>
          </w14:textFill>
        </w:rPr>
        <w:t>1.采购人信息</w:t>
      </w:r>
    </w:p>
    <w:p w14:paraId="543A4FA8">
      <w:pPr>
        <w:spacing w:line="360" w:lineRule="auto"/>
        <w:ind w:firstLine="420"/>
        <w:rPr>
          <w:rFonts w:hint="eastAsia" w:ascii="宋体" w:hAnsi="宋体" w:cs="宋体"/>
          <w:color w:val="000000" w:themeColor="text1"/>
          <w:szCs w:val="21"/>
          <w:highlight w:val="none"/>
          <w:u w:val="none"/>
          <w:lang w:eastAsia="zh-CN"/>
          <w14:textFill>
            <w14:solidFill>
              <w14:schemeClr w14:val="tx1"/>
            </w14:solidFill>
          </w14:textFill>
        </w:rPr>
      </w:pPr>
      <w:bookmarkStart w:id="32" w:name="_Toc28359009"/>
      <w:bookmarkStart w:id="33" w:name="_Toc28359086"/>
      <w:r>
        <w:rPr>
          <w:rFonts w:hint="eastAsia" w:ascii="宋体" w:hAnsi="宋体" w:cs="宋体"/>
          <w:color w:val="000000" w:themeColor="text1"/>
          <w:szCs w:val="21"/>
          <w:highlight w:val="none"/>
          <w:u w:val="none"/>
          <w14:textFill>
            <w14:solidFill>
              <w14:schemeClr w14:val="tx1"/>
            </w14:solidFill>
          </w14:textFill>
        </w:rPr>
        <w:t>名 称：</w:t>
      </w:r>
      <w:r>
        <w:rPr>
          <w:rFonts w:hint="eastAsia" w:ascii="宋体" w:hAnsi="宋体" w:cs="宋体"/>
          <w:color w:val="000000" w:themeColor="text1"/>
          <w:szCs w:val="21"/>
          <w:highlight w:val="none"/>
          <w:u w:val="none"/>
          <w:lang w:eastAsia="zh-CN"/>
          <w14:textFill>
            <w14:solidFill>
              <w14:schemeClr w14:val="tx1"/>
            </w14:solidFill>
          </w14:textFill>
        </w:rPr>
        <w:t>宝应县渣土管理大队</w:t>
      </w:r>
    </w:p>
    <w:p w14:paraId="54EC1D5D">
      <w:pPr>
        <w:spacing w:line="360" w:lineRule="auto"/>
        <w:ind w:firstLine="420"/>
        <w:rPr>
          <w:rFonts w:ascii="宋体" w:hAnsi="宋体" w:cs="宋体"/>
          <w:color w:val="000000" w:themeColor="text1"/>
          <w:szCs w:val="21"/>
          <w:highlight w:val="none"/>
          <w:u w:val="none"/>
          <w14:textFill>
            <w14:solidFill>
              <w14:schemeClr w14:val="tx1"/>
            </w14:solidFill>
          </w14:textFill>
        </w:rPr>
      </w:pPr>
      <w:r>
        <w:rPr>
          <w:rFonts w:hint="eastAsia" w:ascii="宋体" w:hAnsi="宋体" w:cs="宋体"/>
          <w:color w:val="000000" w:themeColor="text1"/>
          <w:szCs w:val="21"/>
          <w:highlight w:val="none"/>
          <w:u w:val="none"/>
          <w14:textFill>
            <w14:solidFill>
              <w14:schemeClr w14:val="tx1"/>
            </w14:solidFill>
          </w14:textFill>
        </w:rPr>
        <w:t>地 址：</w:t>
      </w:r>
      <w:r>
        <w:rPr>
          <w:rFonts w:hint="eastAsia" w:ascii="宋体" w:hAnsi="宋体" w:cs="宋体"/>
          <w:color w:val="000000" w:themeColor="text1"/>
          <w:szCs w:val="21"/>
          <w:highlight w:val="none"/>
          <w:u w:val="none"/>
          <w:lang w:eastAsia="zh-CN"/>
          <w14:textFill>
            <w14:solidFill>
              <w14:schemeClr w14:val="tx1"/>
            </w14:solidFill>
          </w14:textFill>
        </w:rPr>
        <w:t xml:space="preserve">宝应县南园中路1号 </w:t>
      </w:r>
    </w:p>
    <w:p w14:paraId="3F2E20C2">
      <w:pPr>
        <w:spacing w:line="360" w:lineRule="auto"/>
        <w:ind w:firstLine="420"/>
        <w:rPr>
          <w:rFonts w:hint="default" w:ascii="宋体" w:hAnsi="宋体" w:cs="宋体"/>
          <w:color w:val="000000" w:themeColor="text1"/>
          <w:szCs w:val="21"/>
          <w:highlight w:val="none"/>
          <w:u w:val="none"/>
          <w:lang w:val="en-US"/>
          <w14:textFill>
            <w14:solidFill>
              <w14:schemeClr w14:val="tx1"/>
            </w14:solidFill>
          </w14:textFill>
        </w:rPr>
      </w:pPr>
      <w:r>
        <w:rPr>
          <w:rFonts w:hint="eastAsia" w:ascii="宋体" w:hAnsi="宋体" w:cs="宋体"/>
          <w:color w:val="000000" w:themeColor="text1"/>
          <w:szCs w:val="21"/>
          <w:highlight w:val="none"/>
          <w:u w:val="none"/>
          <w14:textFill>
            <w14:solidFill>
              <w14:schemeClr w14:val="tx1"/>
            </w14:solidFill>
          </w14:textFill>
        </w:rPr>
        <w:t>联系人：</w:t>
      </w:r>
      <w:r>
        <w:rPr>
          <w:rFonts w:hint="eastAsia" w:ascii="宋体" w:hAnsi="宋体" w:cs="宋体"/>
          <w:color w:val="000000" w:themeColor="text1"/>
          <w:szCs w:val="21"/>
          <w:highlight w:val="none"/>
          <w:u w:val="none"/>
          <w:lang w:val="en-US" w:eastAsia="zh-CN"/>
          <w14:textFill>
            <w14:solidFill>
              <w14:schemeClr w14:val="tx1"/>
            </w14:solidFill>
          </w14:textFill>
        </w:rPr>
        <w:t>颜超</w:t>
      </w:r>
    </w:p>
    <w:p w14:paraId="0986B3BA">
      <w:pPr>
        <w:spacing w:line="360" w:lineRule="auto"/>
        <w:ind w:firstLine="420"/>
        <w:rPr>
          <w:rFonts w:hint="default" w:ascii="宋体" w:hAnsi="宋体" w:cs="宋体"/>
          <w:color w:val="000000" w:themeColor="text1"/>
          <w:szCs w:val="21"/>
          <w:highlight w:val="none"/>
          <w:u w:val="none"/>
          <w:lang w:val="en-US" w:eastAsia="zh-CN"/>
          <w14:textFill>
            <w14:solidFill>
              <w14:schemeClr w14:val="tx1"/>
            </w14:solidFill>
          </w14:textFill>
        </w:rPr>
      </w:pPr>
      <w:r>
        <w:rPr>
          <w:rFonts w:hint="eastAsia" w:ascii="宋体" w:hAnsi="宋体" w:cs="宋体"/>
          <w:color w:val="000000" w:themeColor="text1"/>
          <w:szCs w:val="21"/>
          <w:highlight w:val="none"/>
          <w:u w:val="none"/>
          <w14:textFill>
            <w14:solidFill>
              <w14:schemeClr w14:val="tx1"/>
            </w14:solidFill>
          </w14:textFill>
        </w:rPr>
        <w:t>联系方式：</w:t>
      </w:r>
      <w:r>
        <w:rPr>
          <w:rFonts w:hint="eastAsia" w:ascii="宋体" w:hAnsi="宋体" w:cs="宋体"/>
          <w:color w:val="000000" w:themeColor="text1"/>
          <w:szCs w:val="21"/>
          <w:highlight w:val="none"/>
          <w:u w:val="none"/>
          <w:lang w:val="en-US" w:eastAsia="zh-CN"/>
          <w14:textFill>
            <w14:solidFill>
              <w14:schemeClr w14:val="tx1"/>
            </w14:solidFill>
          </w14:textFill>
        </w:rPr>
        <w:t>13852565155</w:t>
      </w:r>
    </w:p>
    <w:p w14:paraId="2285F053">
      <w:pPr>
        <w:spacing w:line="360" w:lineRule="auto"/>
        <w:ind w:firstLine="420"/>
        <w:rPr>
          <w:rFonts w:ascii="宋体" w:hAnsi="宋体" w:cs="宋体"/>
          <w:color w:val="000000" w:themeColor="text1"/>
          <w:szCs w:val="21"/>
          <w:highlight w:val="none"/>
          <w:u w:val="none"/>
          <w14:textFill>
            <w14:solidFill>
              <w14:schemeClr w14:val="tx1"/>
            </w14:solidFill>
          </w14:textFill>
        </w:rPr>
      </w:pPr>
      <w:r>
        <w:rPr>
          <w:rFonts w:hint="eastAsia" w:ascii="宋体" w:hAnsi="宋体" w:cs="宋体"/>
          <w:color w:val="000000" w:themeColor="text1"/>
          <w:szCs w:val="21"/>
          <w:highlight w:val="none"/>
          <w:u w:val="none"/>
          <w14:textFill>
            <w14:solidFill>
              <w14:schemeClr w14:val="tx1"/>
            </w14:solidFill>
          </w14:textFill>
        </w:rPr>
        <w:t>2.</w:t>
      </w:r>
      <w:bookmarkEnd w:id="32"/>
      <w:bookmarkEnd w:id="33"/>
      <w:r>
        <w:rPr>
          <w:rFonts w:hint="eastAsia" w:ascii="宋体" w:hAnsi="宋体" w:cs="宋体"/>
          <w:color w:val="000000" w:themeColor="text1"/>
          <w:szCs w:val="21"/>
          <w:highlight w:val="none"/>
          <w:u w:val="none"/>
          <w14:textFill>
            <w14:solidFill>
              <w14:schemeClr w14:val="tx1"/>
            </w14:solidFill>
          </w14:textFill>
        </w:rPr>
        <w:t xml:space="preserve"> 代理机构信息</w:t>
      </w:r>
    </w:p>
    <w:p w14:paraId="280FE5CC">
      <w:pPr>
        <w:spacing w:line="360" w:lineRule="auto"/>
        <w:ind w:firstLine="420"/>
        <w:rPr>
          <w:rFonts w:hint="default" w:ascii="宋体" w:hAnsi="宋体" w:cs="宋体"/>
          <w:color w:val="000000" w:themeColor="text1"/>
          <w:szCs w:val="21"/>
          <w:highlight w:val="none"/>
          <w:u w:val="none"/>
          <w:lang w:val="en-US" w:eastAsia="zh-CN"/>
          <w14:textFill>
            <w14:solidFill>
              <w14:schemeClr w14:val="tx1"/>
            </w14:solidFill>
          </w14:textFill>
        </w:rPr>
      </w:pPr>
      <w:r>
        <w:rPr>
          <w:rFonts w:hint="eastAsia" w:ascii="宋体" w:hAnsi="宋体" w:cs="宋体"/>
          <w:color w:val="000000" w:themeColor="text1"/>
          <w:szCs w:val="21"/>
          <w:highlight w:val="none"/>
          <w:u w:val="none"/>
          <w14:textFill>
            <w14:solidFill>
              <w14:schemeClr w14:val="tx1"/>
            </w14:solidFill>
          </w14:textFill>
        </w:rPr>
        <w:t xml:space="preserve">名 </w:t>
      </w:r>
      <w:r>
        <w:rPr>
          <w:rFonts w:hint="eastAsia" w:ascii="宋体" w:hAnsi="宋体" w:cs="宋体"/>
          <w:color w:val="000000" w:themeColor="text1"/>
          <w:szCs w:val="21"/>
          <w:highlight w:val="none"/>
          <w:u w:val="none"/>
          <w:lang w:val="en-US" w:eastAsia="zh-CN"/>
          <w14:textFill>
            <w14:solidFill>
              <w14:schemeClr w14:val="tx1"/>
            </w14:solidFill>
          </w14:textFill>
        </w:rPr>
        <w:t xml:space="preserve">  </w:t>
      </w:r>
      <w:r>
        <w:rPr>
          <w:rFonts w:hint="eastAsia" w:ascii="宋体" w:hAnsi="宋体" w:cs="宋体"/>
          <w:color w:val="000000" w:themeColor="text1"/>
          <w:szCs w:val="21"/>
          <w:highlight w:val="none"/>
          <w:u w:val="none"/>
          <w14:textFill>
            <w14:solidFill>
              <w14:schemeClr w14:val="tx1"/>
            </w14:solidFill>
          </w14:textFill>
        </w:rPr>
        <w:t>称：</w:t>
      </w:r>
      <w:r>
        <w:rPr>
          <w:rFonts w:hint="eastAsia" w:ascii="宋体" w:hAnsi="宋体" w:cs="宋体"/>
          <w:color w:val="000000" w:themeColor="text1"/>
          <w:szCs w:val="21"/>
          <w:highlight w:val="none"/>
          <w:u w:val="none"/>
          <w:lang w:eastAsia="zh-CN"/>
          <w14:textFill>
            <w14:solidFill>
              <w14:schemeClr w14:val="tx1"/>
            </w14:solidFill>
          </w14:textFill>
        </w:rPr>
        <w:t>扬州诚庆工程咨询管理有限公司</w:t>
      </w:r>
    </w:p>
    <w:p w14:paraId="23865857">
      <w:pPr>
        <w:spacing w:line="360" w:lineRule="auto"/>
        <w:ind w:firstLine="420"/>
        <w:rPr>
          <w:rFonts w:hint="eastAsia" w:ascii="宋体" w:hAnsi="宋体" w:cs="宋体"/>
          <w:color w:val="000000" w:themeColor="text1"/>
          <w:szCs w:val="21"/>
          <w:highlight w:val="none"/>
          <w:u w:val="none"/>
          <w:lang w:val="en-US" w:eastAsia="zh-CN"/>
          <w14:textFill>
            <w14:solidFill>
              <w14:schemeClr w14:val="tx1"/>
            </w14:solidFill>
          </w14:textFill>
        </w:rPr>
      </w:pPr>
      <w:r>
        <w:rPr>
          <w:rFonts w:hint="eastAsia" w:ascii="宋体" w:hAnsi="宋体" w:cs="宋体"/>
          <w:color w:val="000000" w:themeColor="text1"/>
          <w:szCs w:val="21"/>
          <w:highlight w:val="none"/>
          <w:u w:val="none"/>
          <w14:textFill>
            <w14:solidFill>
              <w14:schemeClr w14:val="tx1"/>
            </w14:solidFill>
          </w14:textFill>
        </w:rPr>
        <w:t>地　址：</w:t>
      </w:r>
      <w:r>
        <w:rPr>
          <w:rFonts w:hint="eastAsia" w:ascii="宋体" w:hAnsi="宋体" w:cs="宋体"/>
          <w:color w:val="000000" w:themeColor="text1"/>
          <w:szCs w:val="21"/>
          <w:highlight w:val="none"/>
          <w:u w:val="none"/>
          <w:lang w:val="en-US" w:eastAsia="zh-CN"/>
          <w14:textFill>
            <w14:solidFill>
              <w14:schemeClr w14:val="tx1"/>
            </w14:solidFill>
          </w14:textFill>
        </w:rPr>
        <w:t>宝应经济开发区荷香路999号</w:t>
      </w:r>
    </w:p>
    <w:p w14:paraId="7C389FBF">
      <w:pPr>
        <w:spacing w:line="360" w:lineRule="auto"/>
        <w:ind w:firstLine="420"/>
        <w:rPr>
          <w:rFonts w:hint="default" w:ascii="宋体" w:hAnsi="宋体" w:cs="宋体"/>
          <w:color w:val="000000" w:themeColor="text1"/>
          <w:szCs w:val="21"/>
          <w:highlight w:val="none"/>
          <w:u w:val="none"/>
          <w:lang w:val="en-US" w:eastAsia="zh-CN"/>
          <w14:textFill>
            <w14:solidFill>
              <w14:schemeClr w14:val="tx1"/>
            </w14:solidFill>
          </w14:textFill>
        </w:rPr>
      </w:pPr>
      <w:r>
        <w:rPr>
          <w:rFonts w:hint="eastAsia" w:ascii="宋体" w:hAnsi="宋体" w:cs="宋体"/>
          <w:color w:val="000000" w:themeColor="text1"/>
          <w:szCs w:val="21"/>
          <w:highlight w:val="none"/>
          <w:u w:val="none"/>
          <w14:textFill>
            <w14:solidFill>
              <w14:schemeClr w14:val="tx1"/>
            </w14:solidFill>
          </w14:textFill>
        </w:rPr>
        <w:t>联系人：</w:t>
      </w:r>
      <w:r>
        <w:rPr>
          <w:rFonts w:hint="eastAsia" w:ascii="宋体" w:hAnsi="宋体" w:cs="宋体"/>
          <w:color w:val="000000" w:themeColor="text1"/>
          <w:szCs w:val="21"/>
          <w:highlight w:val="none"/>
          <w:u w:val="none"/>
          <w:lang w:val="en-US" w:eastAsia="zh-CN"/>
          <w14:textFill>
            <w14:solidFill>
              <w14:schemeClr w14:val="tx1"/>
            </w14:solidFill>
          </w14:textFill>
        </w:rPr>
        <w:t>潘工</w:t>
      </w:r>
    </w:p>
    <w:p w14:paraId="554A7534">
      <w:pPr>
        <w:spacing w:line="360" w:lineRule="auto"/>
        <w:ind w:firstLine="420"/>
        <w:rPr>
          <w:rFonts w:hint="eastAsia" w:ascii="宋体" w:hAnsi="宋体" w:cs="宋体"/>
          <w:color w:val="000000" w:themeColor="text1"/>
          <w:szCs w:val="21"/>
          <w:highlight w:val="none"/>
          <w:u w:val="none"/>
          <w:lang w:val="en-US" w:eastAsia="zh-CN"/>
          <w14:textFill>
            <w14:solidFill>
              <w14:schemeClr w14:val="tx1"/>
            </w14:solidFill>
          </w14:textFill>
        </w:rPr>
      </w:pPr>
      <w:r>
        <w:rPr>
          <w:rFonts w:hint="eastAsia" w:ascii="宋体" w:hAnsi="宋体" w:cs="宋体"/>
          <w:color w:val="000000" w:themeColor="text1"/>
          <w:szCs w:val="21"/>
          <w:highlight w:val="none"/>
          <w:u w:val="none"/>
          <w:lang w:eastAsia="zh-CN"/>
          <w14:textFill>
            <w14:solidFill>
              <w14:schemeClr w14:val="tx1"/>
            </w14:solidFill>
          </w14:textFill>
        </w:rPr>
        <w:t>联系方式：</w:t>
      </w:r>
      <w:r>
        <w:rPr>
          <w:rFonts w:hint="eastAsia" w:ascii="宋体" w:hAnsi="宋体" w:cs="宋体"/>
          <w:color w:val="000000" w:themeColor="text1"/>
          <w:szCs w:val="21"/>
          <w:highlight w:val="none"/>
          <w:u w:val="none"/>
          <w:lang w:val="en-US" w:eastAsia="zh-CN"/>
          <w14:textFill>
            <w14:solidFill>
              <w14:schemeClr w14:val="tx1"/>
            </w14:solidFill>
          </w14:textFill>
        </w:rPr>
        <w:t>15380366627</w:t>
      </w:r>
    </w:p>
    <w:p w14:paraId="410EE812">
      <w:pPr>
        <w:spacing w:line="360" w:lineRule="auto"/>
        <w:ind w:firstLine="420"/>
        <w:rPr>
          <w:rFonts w:hint="default" w:ascii="宋体" w:hAnsi="宋体" w:cs="宋体"/>
          <w:color w:val="000000" w:themeColor="text1"/>
          <w:szCs w:val="21"/>
          <w:highlight w:val="none"/>
          <w:u w:val="none"/>
          <w:lang w:val="en-US" w:eastAsia="zh-CN"/>
          <w14:textFill>
            <w14:solidFill>
              <w14:schemeClr w14:val="tx1"/>
            </w14:solidFill>
          </w14:textFill>
        </w:rPr>
      </w:pPr>
    </w:p>
    <w:bookmarkEnd w:id="0"/>
    <w:p w14:paraId="7172D10F">
      <w:pPr>
        <w:pStyle w:val="2"/>
        <w:pageBreakBefore w:val="0"/>
        <w:spacing w:before="0" w:after="0" w:line="360" w:lineRule="auto"/>
        <w:jc w:val="both"/>
        <w:rPr>
          <w:rFonts w:hint="eastAsia" w:ascii="Times New Roman" w:hAnsi="Times New Roman" w:eastAsia="宋体"/>
          <w:color w:val="auto"/>
          <w:sz w:val="36"/>
          <w:szCs w:val="36"/>
          <w:highlight w:val="none"/>
        </w:rPr>
      </w:pPr>
      <w:bookmarkStart w:id="34" w:name="_Toc4032"/>
      <w:bookmarkStart w:id="35" w:name="_Toc55204179"/>
      <w:bookmarkStart w:id="36" w:name="_Toc13939"/>
    </w:p>
    <w:p w14:paraId="430C4037">
      <w:pPr>
        <w:rPr>
          <w:rFonts w:hint="eastAsia" w:ascii="Times New Roman" w:hAnsi="Times New Roman" w:eastAsia="宋体"/>
          <w:color w:val="auto"/>
          <w:sz w:val="36"/>
          <w:szCs w:val="36"/>
          <w:highlight w:val="none"/>
        </w:rPr>
      </w:pPr>
    </w:p>
    <w:p w14:paraId="2CEEF7B8">
      <w:pPr>
        <w:rPr>
          <w:rFonts w:hint="eastAsia" w:ascii="Times New Roman" w:hAnsi="Times New Roman" w:eastAsia="宋体"/>
          <w:color w:val="auto"/>
          <w:sz w:val="36"/>
          <w:szCs w:val="36"/>
          <w:highlight w:val="none"/>
        </w:rPr>
      </w:pPr>
    </w:p>
    <w:p w14:paraId="2691626A">
      <w:pPr>
        <w:rPr>
          <w:rFonts w:hint="eastAsia" w:ascii="Times New Roman" w:hAnsi="Times New Roman" w:eastAsia="宋体"/>
          <w:color w:val="auto"/>
          <w:sz w:val="36"/>
          <w:szCs w:val="36"/>
          <w:highlight w:val="none"/>
        </w:rPr>
      </w:pPr>
    </w:p>
    <w:p w14:paraId="55B2320A">
      <w:pPr>
        <w:pStyle w:val="2"/>
        <w:pageBreakBefore w:val="0"/>
        <w:spacing w:before="0" w:after="0" w:line="360" w:lineRule="auto"/>
        <w:jc w:val="center"/>
        <w:rPr>
          <w:rFonts w:ascii="Times New Roman" w:hAnsi="Times New Roman" w:eastAsia="宋体"/>
          <w:color w:val="auto"/>
          <w:sz w:val="36"/>
          <w:szCs w:val="36"/>
          <w:highlight w:val="none"/>
        </w:rPr>
      </w:pPr>
      <w:r>
        <w:rPr>
          <w:rFonts w:hint="eastAsia" w:ascii="Times New Roman" w:hAnsi="Times New Roman" w:eastAsia="宋体"/>
          <w:color w:val="auto"/>
          <w:sz w:val="36"/>
          <w:szCs w:val="36"/>
          <w:highlight w:val="none"/>
        </w:rPr>
        <w:t>第二章投标人须知</w:t>
      </w:r>
      <w:bookmarkEnd w:id="34"/>
    </w:p>
    <w:p w14:paraId="249E804E">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1、招标方式</w:t>
      </w:r>
    </w:p>
    <w:p w14:paraId="402CD106">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1.1本次招标采取公开招标方式，本招标文件仅适用于</w:t>
      </w:r>
      <w:r>
        <w:rPr>
          <w:rFonts w:hint="eastAsia" w:ascii="宋体" w:hAnsi="宋体" w:cs="宋体"/>
          <w:color w:val="000000" w:themeColor="text1"/>
          <w:highlight w:val="none"/>
          <w:lang w:eastAsia="zh-CN"/>
          <w14:textFill>
            <w14:solidFill>
              <w14:schemeClr w14:val="tx1"/>
            </w14:solidFill>
          </w14:textFill>
        </w:rPr>
        <w:t>JSZC-321023-YZCQ-G2026-0004</w:t>
      </w:r>
      <w:r>
        <w:rPr>
          <w:rFonts w:hint="eastAsia" w:ascii="Times New Roman" w:hAnsi="Times New Roman"/>
          <w:bCs/>
          <w:color w:val="auto"/>
          <w:szCs w:val="21"/>
          <w:highlight w:val="none"/>
          <w:lang w:eastAsia="zh-CN"/>
        </w:rPr>
        <w:t>号</w:t>
      </w:r>
      <w:r>
        <w:rPr>
          <w:rFonts w:hint="eastAsia" w:ascii="Times New Roman" w:hAnsi="Times New Roman" w:eastAsia="宋体"/>
          <w:bCs/>
          <w:color w:val="auto"/>
          <w:szCs w:val="21"/>
          <w:highlight w:val="none"/>
        </w:rPr>
        <w:t>项目。</w:t>
      </w:r>
    </w:p>
    <w:p w14:paraId="5BC015D0">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2、投标人</w:t>
      </w:r>
    </w:p>
    <w:p w14:paraId="660A7570">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2.1本招标文件中“供应商”，即“投标人”，是指参加投标竞争，并符合招标文件规定资格条件的法人、其他组织或者自然人。</w:t>
      </w:r>
    </w:p>
    <w:p w14:paraId="2F3EC788">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2.2合格的投标人</w:t>
      </w:r>
    </w:p>
    <w:p w14:paraId="127A76E6">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2.2.1满足招标公告中供应商的资格条件要求的规定。</w:t>
      </w:r>
    </w:p>
    <w:p w14:paraId="7161C383">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2.2.2满足本文件实质性条款的规定。</w:t>
      </w:r>
    </w:p>
    <w:p w14:paraId="3B85A834">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3、适用法律</w:t>
      </w:r>
    </w:p>
    <w:p w14:paraId="14B3D584">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3.1本次招标及由此产生的合同受中华人民共和国有关的法律法规制约和保护。</w:t>
      </w:r>
    </w:p>
    <w:p w14:paraId="5B331844">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3.2在本项目政府采购活动过程中，如果所执行的标准有更新的，按照最新标准执行。</w:t>
      </w:r>
    </w:p>
    <w:p w14:paraId="2ADEED0B">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4、投标费用</w:t>
      </w:r>
    </w:p>
    <w:p w14:paraId="1133E54D">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4.1投标人应自行承担所有与参加投标有关的费用，无论投标过程中的做法和结果如何，代理机构在任何情况下均无义务和责任承担这些费用。</w:t>
      </w:r>
    </w:p>
    <w:p w14:paraId="299F4330">
      <w:pPr>
        <w:pageBreakBefore w:val="0"/>
        <w:spacing w:line="360" w:lineRule="auto"/>
        <w:ind w:firstLine="422"/>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4.</w:t>
      </w:r>
      <w:r>
        <w:rPr>
          <w:rFonts w:hint="default" w:ascii="Times New Roman" w:hAnsi="Times New Roman"/>
          <w:b/>
          <w:bCs/>
          <w:color w:val="auto"/>
          <w:szCs w:val="21"/>
          <w:highlight w:val="none"/>
          <w:lang w:val="en-US"/>
        </w:rPr>
        <w:t>2</w:t>
      </w:r>
      <w:r>
        <w:rPr>
          <w:rFonts w:hint="eastAsia" w:ascii="Times New Roman" w:hAnsi="Times New Roman"/>
          <w:b/>
          <w:bCs/>
          <w:color w:val="auto"/>
          <w:szCs w:val="21"/>
          <w:highlight w:val="none"/>
          <w:lang w:eastAsia="zh-CN"/>
        </w:rPr>
        <w:t>本次采购代理费由</w:t>
      </w:r>
      <w:r>
        <w:rPr>
          <w:rFonts w:hint="eastAsia"/>
          <w:b/>
          <w:bCs/>
          <w:color w:val="auto"/>
          <w:szCs w:val="21"/>
          <w:highlight w:val="none"/>
          <w:lang w:val="en-US" w:eastAsia="zh-CN"/>
        </w:rPr>
        <w:t>采购人</w:t>
      </w:r>
      <w:r>
        <w:rPr>
          <w:rFonts w:hint="eastAsia" w:ascii="Times New Roman" w:hAnsi="Times New Roman"/>
          <w:b/>
          <w:bCs/>
          <w:color w:val="auto"/>
          <w:szCs w:val="21"/>
          <w:highlight w:val="none"/>
          <w:lang w:eastAsia="zh-CN"/>
        </w:rPr>
        <w:t>支付，采购代理服务费按照关于印发《江苏省政府采购代理服务收费指导意见》的通知（苏政采协</w:t>
      </w:r>
      <w:r>
        <w:rPr>
          <w:rFonts w:hint="eastAsia"/>
          <w:b/>
          <w:bCs/>
          <w:color w:val="auto"/>
          <w:szCs w:val="21"/>
          <w:highlight w:val="none"/>
          <w:lang w:eastAsia="zh-CN"/>
        </w:rPr>
        <w:t>〔2024〕20号</w:t>
      </w:r>
      <w:r>
        <w:rPr>
          <w:rFonts w:hint="eastAsia" w:ascii="Times New Roman" w:hAnsi="Times New Roman"/>
          <w:b/>
          <w:bCs/>
          <w:color w:val="auto"/>
          <w:szCs w:val="21"/>
          <w:highlight w:val="none"/>
          <w:lang w:eastAsia="zh-CN"/>
        </w:rPr>
        <w:t>）规定</w:t>
      </w:r>
      <w:r>
        <w:rPr>
          <w:rFonts w:hint="eastAsia"/>
          <w:b/>
          <w:bCs/>
          <w:color w:val="auto"/>
          <w:szCs w:val="21"/>
          <w:highlight w:val="none"/>
          <w:lang w:val="en-US" w:eastAsia="zh-CN"/>
        </w:rPr>
        <w:t>的八折</w:t>
      </w:r>
      <w:r>
        <w:rPr>
          <w:rFonts w:hint="eastAsia" w:ascii="Times New Roman" w:hAnsi="Times New Roman"/>
          <w:b/>
          <w:bCs/>
          <w:color w:val="auto"/>
          <w:szCs w:val="21"/>
          <w:highlight w:val="none"/>
          <w:lang w:eastAsia="zh-CN"/>
        </w:rPr>
        <w:t>计取</w:t>
      </w:r>
      <w:r>
        <w:rPr>
          <w:rFonts w:hint="eastAsia"/>
          <w:b/>
          <w:bCs/>
          <w:color w:val="auto"/>
          <w:szCs w:val="21"/>
          <w:highlight w:val="none"/>
          <w:lang w:eastAsia="zh-CN"/>
        </w:rPr>
        <w:t>。</w:t>
      </w:r>
    </w:p>
    <w:p w14:paraId="37DCB840">
      <w:pPr>
        <w:pageBreakBefore w:val="0"/>
        <w:spacing w:line="360" w:lineRule="auto"/>
        <w:ind w:firstLine="422"/>
        <w:rPr>
          <w:rFonts w:ascii="Times New Roman" w:hAnsi="Times New Roman" w:eastAsia="宋体" w:cs="宋体"/>
          <w:b/>
          <w:bCs/>
          <w:color w:val="auto"/>
          <w:szCs w:val="21"/>
          <w:highlight w:val="none"/>
        </w:rPr>
      </w:pPr>
      <w:r>
        <w:rPr>
          <w:rFonts w:hint="eastAsia" w:ascii="Times New Roman" w:hAnsi="Times New Roman" w:eastAsia="宋体"/>
          <w:b/>
          <w:bCs/>
          <w:color w:val="auto"/>
          <w:szCs w:val="21"/>
          <w:highlight w:val="none"/>
        </w:rPr>
        <w:t>4.</w:t>
      </w:r>
      <w:r>
        <w:rPr>
          <w:rFonts w:hint="default" w:ascii="Times New Roman" w:hAnsi="Times New Roman"/>
          <w:b/>
          <w:bCs/>
          <w:color w:val="auto"/>
          <w:szCs w:val="21"/>
          <w:highlight w:val="none"/>
          <w:lang w:val="en-US"/>
        </w:rPr>
        <w:t>3</w:t>
      </w:r>
      <w:r>
        <w:rPr>
          <w:rFonts w:hint="eastAsia" w:ascii="Times New Roman" w:hAnsi="Times New Roman" w:eastAsia="宋体"/>
          <w:b/>
          <w:bCs/>
          <w:color w:val="auto"/>
          <w:szCs w:val="21"/>
          <w:highlight w:val="none"/>
        </w:rPr>
        <w:t>本次专家评审费由采购人支付，专家评审费按宝财购</w:t>
      </w:r>
      <w:r>
        <w:rPr>
          <w:rFonts w:hint="eastAsia"/>
          <w:b/>
          <w:bCs/>
          <w:color w:val="auto"/>
          <w:szCs w:val="21"/>
          <w:highlight w:val="none"/>
          <w:lang w:eastAsia="zh-CN"/>
        </w:rPr>
        <w:t>〔2020〕14号</w:t>
      </w:r>
      <w:r>
        <w:rPr>
          <w:rFonts w:hint="eastAsia" w:ascii="Times New Roman" w:hAnsi="Times New Roman" w:eastAsia="宋体"/>
          <w:b/>
          <w:bCs/>
          <w:color w:val="auto"/>
          <w:szCs w:val="21"/>
          <w:highlight w:val="none"/>
        </w:rPr>
        <w:t>《关于进一步规范宝应县政府采购专家评审费标准的通知》执行。</w:t>
      </w:r>
    </w:p>
    <w:p w14:paraId="791909BA">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5、招标文件的约束力</w:t>
      </w:r>
    </w:p>
    <w:p w14:paraId="7B7DE95B">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5.1投标人一旦参加本项目采购活动，即被认为接受了本招标文件的规定和约束。</w:t>
      </w:r>
    </w:p>
    <w:p w14:paraId="480941F5">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6、招标文件构成</w:t>
      </w:r>
    </w:p>
    <w:p w14:paraId="0338329D">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6.1招标文件由以下部分组成：</w:t>
      </w:r>
    </w:p>
    <w:p w14:paraId="68D2EF5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（1）招标公告</w:t>
      </w:r>
    </w:p>
    <w:p w14:paraId="11E1931F">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（2）投标人须知</w:t>
      </w:r>
      <w:r>
        <w:rPr>
          <w:rFonts w:hint="eastAsia" w:ascii="Times New Roman" w:hAnsi="Times New Roman" w:eastAsia="宋体"/>
          <w:bCs/>
          <w:color w:val="auto"/>
          <w:szCs w:val="21"/>
          <w:highlight w:val="none"/>
        </w:rPr>
        <w:tab/>
      </w:r>
    </w:p>
    <w:p w14:paraId="3ABECDEE">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（3）合同条款及格式</w:t>
      </w:r>
    </w:p>
    <w:p w14:paraId="4B872167">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（4）项目需求</w:t>
      </w:r>
    </w:p>
    <w:p w14:paraId="6FF7D14C">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（5）评标方法与评标标准</w:t>
      </w:r>
    </w:p>
    <w:p w14:paraId="40918357">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（6）投标文件格式</w:t>
      </w:r>
    </w:p>
    <w:p w14:paraId="4DE7333F">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请仔细检查招标文件是否齐全，如有缺漏请立即与代理机构联系解决。</w:t>
      </w:r>
    </w:p>
    <w:p w14:paraId="41400F91">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6.2招标的最小单位是包。招标服务数量及技术要求中未分包的，供应商对要求提供的服务不得部分投标；招标服务数量及技术要求中已经分包的，应当以包为单位投标。</w:t>
      </w:r>
    </w:p>
    <w:p w14:paraId="299A800D">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6.3招标文件如果要求供应商提交备选投标方案的，供应商可以提交备选方案；否则，备选方案将被拒绝。</w:t>
      </w:r>
    </w:p>
    <w:p w14:paraId="10C8B001">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6B6FD76">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7、招标文件的澄清</w:t>
      </w:r>
    </w:p>
    <w:p w14:paraId="78B08742">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7.1任何要求对招标文件进行澄清的投标人，应在投标截止日期的十日前按招标公告中的通讯地址，以书面形式通知代理机构。</w:t>
      </w:r>
    </w:p>
    <w:p w14:paraId="542A20D7">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8、招标文件的修改</w:t>
      </w:r>
    </w:p>
    <w:p w14:paraId="0C50E88C">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8.1在投标截止时间前，代理机构可以对招标文件进行修改。</w:t>
      </w:r>
    </w:p>
    <w:p w14:paraId="29198F7A">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8.2代理机构在招标文件要求提交投标文件截止时间前，有权按照法定要求推迟投标截止时间和开标时间。</w:t>
      </w:r>
    </w:p>
    <w:p w14:paraId="0E03ABA3">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8.3招标文件的修改将在</w:t>
      </w:r>
      <w:r>
        <w:rPr>
          <w:rFonts w:hint="eastAsia" w:ascii="Times New Roman" w:hAnsi="Times New Roman"/>
          <w:bCs/>
          <w:color w:val="auto"/>
          <w:szCs w:val="21"/>
          <w:highlight w:val="none"/>
          <w:lang w:eastAsia="zh-CN"/>
        </w:rPr>
        <w:t>“扬州市政府采购网”、“江苏省政府采购网”</w:t>
      </w:r>
      <w:r>
        <w:rPr>
          <w:rFonts w:hint="eastAsia" w:ascii="Times New Roman" w:hAnsi="Times New Roman" w:eastAsia="宋体"/>
          <w:bCs/>
          <w:color w:val="auto"/>
          <w:szCs w:val="21"/>
          <w:highlight w:val="none"/>
        </w:rPr>
        <w:t>公布，补充文件将作为招标文件的组成部分，并对投标人具有约束力。</w:t>
      </w:r>
    </w:p>
    <w:p w14:paraId="17F8304C">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9、投标文件的语言、度量衡单位、货币</w:t>
      </w:r>
    </w:p>
    <w:p w14:paraId="28B45B3D">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9.1投标人提交的投标文件以及投标人与代理机构就有关投标的所有来往通知、函件和文件均应使用简体中文。</w:t>
      </w:r>
    </w:p>
    <w:p w14:paraId="5E246DF0">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9.2除技术性能另有规定外，投标文件所使用的度量衡单位，均须采用国家法定计量单位。</w:t>
      </w:r>
    </w:p>
    <w:p w14:paraId="40DCF0FB">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9.3投标人应使用人民币报价。</w:t>
      </w:r>
    </w:p>
    <w:p w14:paraId="0BF3AAA4">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10、投标文件构成</w:t>
      </w:r>
    </w:p>
    <w:p w14:paraId="15E3E88C">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10.1投标文件由以下部分组成</w:t>
      </w:r>
    </w:p>
    <w:p w14:paraId="76226B4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（1）资格审查响应对照表</w:t>
      </w:r>
    </w:p>
    <w:p w14:paraId="568701FC">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（2）符合性审查响应对照表</w:t>
      </w:r>
    </w:p>
    <w:p w14:paraId="1EB4C116">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（3）非实质性响应对照表</w:t>
      </w:r>
    </w:p>
    <w:p w14:paraId="6F672D26">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（4）开标一览表</w:t>
      </w:r>
    </w:p>
    <w:p w14:paraId="4F81C976">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（5）分项报价表</w:t>
      </w:r>
    </w:p>
    <w:p w14:paraId="4A88C82E">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（6）技术参数响应及偏离表</w:t>
      </w:r>
    </w:p>
    <w:p w14:paraId="2246CF48">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（7）商务条款响应及偏离表</w:t>
      </w:r>
    </w:p>
    <w:p w14:paraId="06268A5F">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（8）其他（投标人认为有必要提供的声明和文件，如有自拟并自行添加）</w:t>
      </w:r>
    </w:p>
    <w:p w14:paraId="66C64165">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10.2投标人应当根据招标文件要求编制投标文件，投标文件应对招标文件提出的要求和条件作出响应，并在相应的投标文件中逐条标明满足与否。</w:t>
      </w:r>
    </w:p>
    <w:p w14:paraId="09501BA7">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11、证明投标人资格及符合招标文件规定的文件</w:t>
      </w:r>
    </w:p>
    <w:p w14:paraId="28D1342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11.1投标人应按要求提交资格证明文件及符合招标文件规定的文件。</w:t>
      </w:r>
    </w:p>
    <w:p w14:paraId="55966154">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11.2投标人应提交证明其有资格参加投标和中标后有能力独立履行合同的文件。</w:t>
      </w:r>
    </w:p>
    <w:p w14:paraId="0E3E4598">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11.3投标人除必须具有履行合同所需提供的产品或服务的能力外，还必须具备相应的财务、技术方面的能力。</w:t>
      </w:r>
    </w:p>
    <w:p w14:paraId="52CC3214">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11.4投标人应提交根据合同要求提供的证明服务质量合格以及符合招标文件规定的证明文件。</w:t>
      </w:r>
    </w:p>
    <w:p w14:paraId="4C3F7446">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11.5证明投标人所提供服务与招标文件的要求相一致的文件可以是手册、图纸、文字资料和数据。</w:t>
      </w:r>
    </w:p>
    <w:p w14:paraId="084B38B8">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12、分项报价表</w:t>
      </w:r>
    </w:p>
    <w:p w14:paraId="17DFF78D">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12.1投标人应按照招标文件规定格式填报分项报价表。每项货物和服务等只允许有一个报价，任何有选择的报价将不予接受。</w:t>
      </w:r>
    </w:p>
    <w:p w14:paraId="65FC8F33">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12.2标的物</w:t>
      </w:r>
    </w:p>
    <w:p w14:paraId="6FFA2F66">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采购人需求的服务供应、安装，调试及有关技术服务等。</w:t>
      </w:r>
    </w:p>
    <w:p w14:paraId="278F089F">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12.3有关费用处理</w:t>
      </w:r>
    </w:p>
    <w:p w14:paraId="53A0B1DC">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招标报价采用总承包方式，投标人的报价应包括为完成本项目发生的所有费用，招标文件中另有规定的除外。</w:t>
      </w:r>
    </w:p>
    <w:p w14:paraId="6E5AFCF3">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12.4其它费用处理</w:t>
      </w:r>
    </w:p>
    <w:p w14:paraId="294CCC9B">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招标文件未列明，而投标人认为必需的费用也需列入报价。</w:t>
      </w:r>
    </w:p>
    <w:p w14:paraId="5FF925BE">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12.5投标货币</w:t>
      </w:r>
    </w:p>
    <w:p w14:paraId="02470A80">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投标文件中的服务单价和总价无特殊规定的采用人民币报价，以元为单位标注。招标文件中另有规定的按规定执行。</w:t>
      </w:r>
    </w:p>
    <w:p w14:paraId="1500C44A">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13、技术参数响应及偏离表、商务条款响应及偏离表</w:t>
      </w:r>
    </w:p>
    <w:p w14:paraId="185DACF0">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13.1对招标文件中的技术与商务条款要求逐项作出响应或偏离，并说明原因；</w:t>
      </w:r>
    </w:p>
    <w:p w14:paraId="6F568AA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13.2提供参加本项目类似案例简介；</w:t>
      </w:r>
    </w:p>
    <w:p w14:paraId="56C2A2B7">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13.3培训计划；</w:t>
      </w:r>
    </w:p>
    <w:p w14:paraId="4FB16A2C">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13.</w:t>
      </w:r>
      <w:r>
        <w:rPr>
          <w:rFonts w:hint="eastAsia" w:ascii="Times New Roman" w:hAnsi="Times New Roman"/>
          <w:bCs/>
          <w:color w:val="auto"/>
          <w:szCs w:val="21"/>
          <w:highlight w:val="none"/>
          <w:lang w:val="en-US" w:eastAsia="zh-CN"/>
        </w:rPr>
        <w:t>4</w:t>
      </w:r>
      <w:r>
        <w:rPr>
          <w:rFonts w:hint="eastAsia" w:ascii="Times New Roman" w:hAnsi="Times New Roman" w:eastAsia="宋体"/>
          <w:bCs/>
          <w:color w:val="auto"/>
          <w:szCs w:val="21"/>
          <w:highlight w:val="none"/>
        </w:rPr>
        <w:t>投标人认为需要的其他技术文件或说明。</w:t>
      </w:r>
    </w:p>
    <w:p w14:paraId="77B6BC64">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14、服务承诺及售后服务机构、人员的情况介绍</w:t>
      </w:r>
    </w:p>
    <w:p w14:paraId="77EFF8F8">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14.1投标人的服务承诺应按不低于招标文件中商务要求的标准。</w:t>
      </w:r>
    </w:p>
    <w:p w14:paraId="206246F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14.2提供投标人有关售后服务的管理制度、售后服务机构的分布情况、售后服务人员的数量、素质、技术水平及售后服务的反应能力。</w:t>
      </w:r>
    </w:p>
    <w:p w14:paraId="2DCC401F">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15、投标函和开标一览表</w:t>
      </w:r>
    </w:p>
    <w:p w14:paraId="7322C5B1">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15.1投标人应按照招标文件中提供的格式完整、正确填写投标函、开标一览表。</w:t>
      </w:r>
    </w:p>
    <w:p w14:paraId="26EB36ED">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15.2开标一览表中的价格应与投标文件中分项报价表中的价格一致，如不一致，不作为无效投标处理，但评标时按开标一览表中价格为准。</w:t>
      </w:r>
    </w:p>
    <w:p w14:paraId="2B6B4775">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16、投标有效期</w:t>
      </w:r>
    </w:p>
    <w:p w14:paraId="093FFD50">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16.1投标有效期为开标之日起六十（60）天。投标有效期比规定短的将被视为非响应性投标而予以拒绝。</w:t>
      </w:r>
    </w:p>
    <w:p w14:paraId="63840210">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p>
    <w:p w14:paraId="2B2E7123">
      <w:pPr>
        <w:pageBreakBefore w:val="0"/>
        <w:spacing w:line="360" w:lineRule="auto"/>
        <w:ind w:firstLine="422"/>
        <w:rPr>
          <w:rFonts w:ascii="Times New Roman" w:hAnsi="Times New Roman" w:eastAsia="宋体"/>
          <w:b/>
          <w:color w:val="auto"/>
          <w:szCs w:val="21"/>
          <w:highlight w:val="none"/>
        </w:rPr>
      </w:pPr>
      <w:bookmarkStart w:id="37" w:name="_Toc462564084"/>
      <w:bookmarkStart w:id="38" w:name="_Toc20823297"/>
      <w:bookmarkStart w:id="39" w:name="_Toc16938541"/>
      <w:bookmarkStart w:id="40" w:name="_Toc513029225"/>
      <w:r>
        <w:rPr>
          <w:rFonts w:hint="eastAsia" w:ascii="Times New Roman" w:hAnsi="Times New Roman" w:eastAsia="宋体"/>
          <w:b/>
          <w:color w:val="auto"/>
          <w:szCs w:val="21"/>
          <w:highlight w:val="none"/>
        </w:rPr>
        <w:t>17、投标文件</w:t>
      </w:r>
      <w:bookmarkEnd w:id="37"/>
      <w:bookmarkEnd w:id="38"/>
      <w:bookmarkEnd w:id="39"/>
      <w:bookmarkEnd w:id="40"/>
      <w:r>
        <w:rPr>
          <w:rFonts w:hint="eastAsia" w:ascii="Times New Roman" w:hAnsi="Times New Roman" w:eastAsia="宋体"/>
          <w:b/>
          <w:color w:val="auto"/>
          <w:szCs w:val="21"/>
          <w:highlight w:val="none"/>
        </w:rPr>
        <w:t>的递交</w:t>
      </w:r>
    </w:p>
    <w:p w14:paraId="36394376">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17.1电子投标文件的递交投标人应当按照《操作手册》规定，在投标截止时间前制作并上传电子投标文件。</w:t>
      </w:r>
      <w:bookmarkStart w:id="41" w:name="_Toc513029226"/>
      <w:bookmarkStart w:id="42" w:name="_Toc20823298"/>
      <w:bookmarkStart w:id="43" w:name="_Toc16938542"/>
    </w:p>
    <w:p w14:paraId="7586CB24">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17.2</w:t>
      </w:r>
      <w:r>
        <w:rPr>
          <w:rFonts w:hint="eastAsia" w:ascii="Times New Roman" w:hAnsi="Times New Roman" w:eastAsia="宋体"/>
          <w:b/>
          <w:bCs/>
          <w:color w:val="auto"/>
          <w:szCs w:val="21"/>
          <w:highlight w:val="none"/>
        </w:rPr>
        <w:t>政府采购管理交易系统（苏采云）</w:t>
      </w:r>
      <w:r>
        <w:rPr>
          <w:rFonts w:hint="eastAsia" w:ascii="Times New Roman" w:hAnsi="Times New Roman" w:eastAsia="宋体"/>
          <w:b/>
          <w:color w:val="auto"/>
          <w:szCs w:val="21"/>
          <w:highlight w:val="none"/>
        </w:rPr>
        <w:t>相关要求是本招标文件的组成部分。</w:t>
      </w:r>
    </w:p>
    <w:p w14:paraId="4FEAA7E6">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17.3投标人应对CA证书妥善保管，如被他人盗用投标，因此带来的结果均由投标人自行承担。</w:t>
      </w:r>
    </w:p>
    <w:p w14:paraId="7978461A">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17.4投标人应当对招标文件提出的要求和条件作出实质性响应，并在电子投标系统逐条应答。</w:t>
      </w:r>
    </w:p>
    <w:p w14:paraId="641CE85D">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17.5投标人应对要求提供的资格证明文件（如资质证书、资格证书）、技术资料（如白皮书、彩页、手册、检测报告等）扫描上传至投标系统。</w:t>
      </w:r>
    </w:p>
    <w:p w14:paraId="5FD08556">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17.6投标人应当在招标文件要求提交投标文件的截止时间前，将投标文件提交至“苏采云”系统，逾期提交的投标文件，“苏采云”系统将自动拒收。</w:t>
      </w:r>
    </w:p>
    <w:p w14:paraId="2B325F05">
      <w:pPr>
        <w:pageBreakBefore w:val="0"/>
        <w:spacing w:line="360" w:lineRule="auto"/>
        <w:ind w:firstLine="422"/>
        <w:rPr>
          <w:rFonts w:ascii="Times New Roman" w:hAnsi="Times New Roman" w:eastAsia="宋体"/>
          <w:color w:val="auto"/>
          <w:highlight w:val="none"/>
        </w:rPr>
      </w:pPr>
      <w:r>
        <w:rPr>
          <w:rFonts w:hint="eastAsia" w:ascii="Times New Roman" w:hAnsi="Times New Roman" w:eastAsia="宋体"/>
          <w:b/>
          <w:color w:val="auto"/>
          <w:szCs w:val="21"/>
          <w:highlight w:val="none"/>
        </w:rPr>
        <w:t>17.7各投标人应在规定时间内凭CA证书进行网上解密。</w:t>
      </w:r>
    </w:p>
    <w:p w14:paraId="7C7E0BCE">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18、投标截止日期</w:t>
      </w:r>
      <w:bookmarkEnd w:id="41"/>
      <w:bookmarkEnd w:id="42"/>
      <w:bookmarkEnd w:id="43"/>
    </w:p>
    <w:p w14:paraId="14310E6E">
      <w:pPr>
        <w:pageBreakBefore w:val="0"/>
        <w:spacing w:line="360" w:lineRule="auto"/>
        <w:ind w:firstLine="420"/>
        <w:rPr>
          <w:rFonts w:ascii="Times New Roman" w:hAnsi="Times New Roman" w:eastAsia="宋体"/>
          <w:bCs/>
          <w:i/>
          <w:iCs/>
          <w:color w:val="auto"/>
          <w:szCs w:val="21"/>
          <w:highlight w:val="none"/>
          <w:u w:val="single"/>
        </w:rPr>
      </w:pPr>
      <w:r>
        <w:rPr>
          <w:rFonts w:hint="eastAsia" w:ascii="Times New Roman" w:hAnsi="Times New Roman" w:eastAsia="宋体"/>
          <w:bCs/>
          <w:i/>
          <w:iCs/>
          <w:color w:val="auto"/>
          <w:szCs w:val="21"/>
          <w:highlight w:val="none"/>
          <w:u w:val="single"/>
        </w:rPr>
        <w:t>18.1投标人上传电子投标文件的时间不得迟于招标公告中规定的投标截止时间。</w:t>
      </w:r>
    </w:p>
    <w:p w14:paraId="001BCD34">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投标人应充分考虑到网络环境、网络带宽等风险因素，如因投标人自身原因造成的电子投标文件上传不成功由投标人自行承担全部责任。</w:t>
      </w:r>
    </w:p>
    <w:p w14:paraId="017A06A5">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18.2代理机构可以按照规定，通过修改招标文件延长投标截止日期，在此情况下，投标人的所有权利和义务以及投标人受制的截止日期均应以延长后新的截止日期为准。</w:t>
      </w:r>
    </w:p>
    <w:p w14:paraId="68B31192">
      <w:pPr>
        <w:pageBreakBefore w:val="0"/>
        <w:spacing w:line="360" w:lineRule="auto"/>
        <w:ind w:firstLine="422"/>
        <w:rPr>
          <w:rFonts w:ascii="Times New Roman" w:hAnsi="Times New Roman" w:eastAsia="宋体"/>
          <w:b/>
          <w:color w:val="auto"/>
          <w:szCs w:val="21"/>
          <w:highlight w:val="none"/>
        </w:rPr>
      </w:pPr>
      <w:bookmarkStart w:id="44" w:name="_Toc513029227"/>
      <w:bookmarkStart w:id="45" w:name="_Toc20823299"/>
      <w:bookmarkStart w:id="46" w:name="_Toc16938543"/>
      <w:r>
        <w:rPr>
          <w:rFonts w:hint="eastAsia" w:ascii="Times New Roman" w:hAnsi="Times New Roman" w:eastAsia="宋体"/>
          <w:b/>
          <w:color w:val="auto"/>
          <w:szCs w:val="21"/>
          <w:highlight w:val="none"/>
        </w:rPr>
        <w:t>19、投标文件</w:t>
      </w:r>
      <w:bookmarkEnd w:id="44"/>
      <w:bookmarkEnd w:id="45"/>
      <w:bookmarkEnd w:id="46"/>
      <w:r>
        <w:rPr>
          <w:rFonts w:hint="eastAsia" w:ascii="Times New Roman" w:hAnsi="Times New Roman" w:eastAsia="宋体"/>
          <w:b/>
          <w:color w:val="auto"/>
          <w:szCs w:val="21"/>
          <w:highlight w:val="none"/>
        </w:rPr>
        <w:t>的拒收</w:t>
      </w:r>
    </w:p>
    <w:p w14:paraId="71D634B8">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19.1代理机构拒绝接收在其规定的投标截止时间后上传的任何投标文件。</w:t>
      </w:r>
    </w:p>
    <w:p w14:paraId="2E8F4208">
      <w:pPr>
        <w:pageBreakBefore w:val="0"/>
        <w:spacing w:line="360" w:lineRule="auto"/>
        <w:ind w:firstLine="422"/>
        <w:rPr>
          <w:rFonts w:ascii="Times New Roman" w:hAnsi="Times New Roman" w:eastAsia="宋体"/>
          <w:b/>
          <w:color w:val="auto"/>
          <w:szCs w:val="21"/>
          <w:highlight w:val="none"/>
        </w:rPr>
      </w:pPr>
      <w:bookmarkStart w:id="47" w:name="_Toc20823300"/>
      <w:bookmarkStart w:id="48" w:name="_Toc16938544"/>
      <w:bookmarkStart w:id="49" w:name="_Toc513029228"/>
      <w:r>
        <w:rPr>
          <w:rFonts w:hint="eastAsia" w:ascii="Times New Roman" w:hAnsi="Times New Roman" w:eastAsia="宋体"/>
          <w:b/>
          <w:color w:val="auto"/>
          <w:szCs w:val="21"/>
          <w:highlight w:val="none"/>
        </w:rPr>
        <w:t>20、投标文件的撤回和修改</w:t>
      </w:r>
      <w:bookmarkEnd w:id="47"/>
      <w:bookmarkEnd w:id="48"/>
      <w:bookmarkEnd w:id="49"/>
    </w:p>
    <w:p w14:paraId="30643192">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20.1投标文件的撤回</w:t>
      </w:r>
    </w:p>
    <w:p w14:paraId="1FBDC2DA">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20.1.1电子投标文件的撤回</w:t>
      </w:r>
    </w:p>
    <w:p w14:paraId="23BBD224">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投标人可在投标截止时间前，撤回其电子投标文件，具体操作方法见《操作手册》。</w:t>
      </w:r>
    </w:p>
    <w:p w14:paraId="506A8D7B">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20.1.2投标人撤回电子投标文件，则认为其不再参与本项目投标活动。</w:t>
      </w:r>
    </w:p>
    <w:p w14:paraId="187506CB">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20.2投标文件的修改</w:t>
      </w:r>
    </w:p>
    <w:p w14:paraId="511CEB3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投标人可在投标截止时间前，对其电子投标文件进行修改，具体操作方法见《操作手册》。</w:t>
      </w:r>
    </w:p>
    <w:p w14:paraId="2F0D2DF2">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20.3在投标截止时间之后，投标人不得对其电子投标文件作任何修改。</w:t>
      </w:r>
    </w:p>
    <w:p w14:paraId="7E119D2A">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20.4在投标截止时间至招标文件中规定的投标有效期满之间的这段时间内，投标人不得撤回其投标。</w:t>
      </w:r>
    </w:p>
    <w:p w14:paraId="2166413A">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21、开标</w:t>
      </w:r>
    </w:p>
    <w:p w14:paraId="0FA62F8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21.1代理机构将在招标公告中规定的时间和地点组织公开开标。投标人应当按照《操作手册》规定，参加开标活动。投标人未参加开标的，视同认可开标结果。</w:t>
      </w:r>
    </w:p>
    <w:p w14:paraId="069D9D98">
      <w:pPr>
        <w:pageBreakBefore w:val="0"/>
        <w:spacing w:line="360" w:lineRule="auto"/>
        <w:ind w:firstLine="422"/>
        <w:rPr>
          <w:rFonts w:ascii="Times New Roman" w:hAnsi="Times New Roman" w:eastAsia="宋体"/>
          <w:bCs/>
          <w:color w:val="auto"/>
          <w:szCs w:val="21"/>
          <w:highlight w:val="none"/>
        </w:rPr>
      </w:pPr>
      <w:r>
        <w:rPr>
          <w:rFonts w:hint="eastAsia" w:ascii="Times New Roman" w:hAnsi="Times New Roman" w:eastAsia="宋体"/>
          <w:b/>
          <w:color w:val="auto"/>
          <w:szCs w:val="21"/>
          <w:highlight w:val="none"/>
        </w:rPr>
        <w:t>21.2开标仪式由代理机构组织。“政府采购管理交易系统（苏采云）”将自动对项目进行开标，并宣读各投标人的《开标一览表》。</w:t>
      </w:r>
    </w:p>
    <w:p w14:paraId="42CCBE93">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21.3投标人在开标过程中涉及到的投标文件解密、开标结果确认等工作，应按照《操作手册》规定执行。</w:t>
      </w:r>
    </w:p>
    <w:p w14:paraId="2C0E35AA">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22、评标委员会</w:t>
      </w:r>
    </w:p>
    <w:p w14:paraId="605273E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22.1开标后，代理机构将立即组织评标委员会（以下简称评委会）进行评标。</w:t>
      </w:r>
    </w:p>
    <w:p w14:paraId="1869161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22.2评委会由采购人代表和有关技术、经济等方面的专家组成，且人员构成符合政府采购有关规定。</w:t>
      </w:r>
    </w:p>
    <w:p w14:paraId="2B6DE34E">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22.3评委会独立工作，负责评审所有投标文件并确定中标候选人。</w:t>
      </w:r>
    </w:p>
    <w:p w14:paraId="68B1CA80">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23、评标过程的保密与公正</w:t>
      </w:r>
    </w:p>
    <w:p w14:paraId="3B56FB97">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23.1公开开标后，直至签订合同之日止，凡是与审查、澄清、评价和比较投标的有关资料以及授标建议等，采购人、评委、代理机构工作人员均不得向投标人或与评标无关的其他人员透露。</w:t>
      </w:r>
    </w:p>
    <w:p w14:paraId="71C6499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23.2在评标过程中，投标人不得以任何行为影响评标过程，否则其投标文件将被作为无效投标文件。</w:t>
      </w:r>
    </w:p>
    <w:p w14:paraId="75617F0E">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23.3在评标期间，代理机构将设专门工作人员与投标人联系。</w:t>
      </w:r>
    </w:p>
    <w:p w14:paraId="1552374C">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23.4代理机构和评委会不向未中标的投标人解释未中标原因，也不公布评标过程中的相关细节。</w:t>
      </w:r>
    </w:p>
    <w:p w14:paraId="69CB3803">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23.5采用综合评分法的项目，未中标的投标人可于中标结果公告期限届满之日起通过“政府采购管理交易系统（苏采云）”查看自己的评审得分及排序情况。</w:t>
      </w:r>
    </w:p>
    <w:p w14:paraId="3096D7C3">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24、投标的澄清</w:t>
      </w:r>
    </w:p>
    <w:p w14:paraId="3E6EFBED">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24.1评标期间，为有助于对投标文件的审查、评价和比较，评委会有权以电子函件形式要求投标人对其投标文件进行澄清，但并非对每个投标人都作澄清要求。</w:t>
      </w:r>
    </w:p>
    <w:p w14:paraId="3EC7F7FD">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6B0F7DFA">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24.3接到评委会澄清要求的投标人如未按规定做出澄清，其风险由投标人自行承担。</w:t>
      </w:r>
    </w:p>
    <w:p w14:paraId="181F5514">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25、对投标文件的初审</w:t>
      </w:r>
    </w:p>
    <w:p w14:paraId="3EFFB1E7">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25.1投标文件初审分为资格审查和符合性审查。</w:t>
      </w:r>
    </w:p>
    <w:p w14:paraId="5E8EEC9C">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25.1.1资格审查：依据法律法规和招标文件的规定，由采购人对投标文件中的资格证明文件进行审查。并将审查结论以书面形式向评委会反馈。</w:t>
      </w:r>
    </w:p>
    <w:p w14:paraId="72FBE315">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p>
    <w:p w14:paraId="4600686D">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若接受联合体投标的项目，两个以上的自然人、法人或者其他组织组成一个联合体，以一个供应商的身份共同参加政府采购活动的,联合体成员存在不良信用记录的，视同联合体存在不良信用记录。</w:t>
      </w:r>
    </w:p>
    <w:p w14:paraId="530AFEB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25.1.2符合性检查：依据招标文件的规定，由评委会从投标文件的有效性、完整性和对招标文件的响应程度进行审查，以确定是否对招标文件的实质性要求作出响应。</w:t>
      </w:r>
    </w:p>
    <w:p w14:paraId="022F597A">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25.1.3未通过资格审查或符合性审查的投标人，代理机构将在“政府采购管理交易系统（苏采云）”中告知未通过资格审查或符合性审查的原因，评审结束后，代理机构将不再告知未通过资格审查或符合性审查的原因。</w:t>
      </w:r>
    </w:p>
    <w:p w14:paraId="37111B9F">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7667A9EF">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所谓重大偏离或保留是指与招标文件规定的实质性要求存在负偏离，或者在实质上与招标文件不一致，而且限制了合同中买方（采购人）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p>
    <w:p w14:paraId="529C98FE">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25.3如果投标文件实质上没有响应招标文件的要求，评委会将予以拒绝，投标人不得通过修改或撤销不合要求的偏离或保留而使其投标成为实质性响应的投标。</w:t>
      </w:r>
    </w:p>
    <w:p w14:paraId="4F875DDA">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25.4评委会将对确定为实质性响应的投标进行进一步审核，看其是否有计算上或累加上的算术错误，修正错误的原则如下：</w:t>
      </w:r>
    </w:p>
    <w:p w14:paraId="026484CB">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（1）投标文件中开标一览表内容与投标文件中相应内容不一致的，以开标一览表为准。</w:t>
      </w:r>
    </w:p>
    <w:p w14:paraId="722C2793">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（2）大写金额与小写金额不一致的，以大写金额为准。</w:t>
      </w:r>
    </w:p>
    <w:p w14:paraId="444949E1">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（3）单价金额小数点或者百分比有明显错位的，以开标一览表的总价为准，并修改单价。</w:t>
      </w:r>
    </w:p>
    <w:p w14:paraId="405169C6">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（4）总价金额与按单价汇总金额不一致的，以单价金额计算结果为准。</w:t>
      </w:r>
    </w:p>
    <w:p w14:paraId="3D8292D8">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同时出现两种以上错误的，按照前款规定的顺序修正。</w:t>
      </w:r>
    </w:p>
    <w:p w14:paraId="461E8127">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25.5评委会将按上述修正错误的方法调整投标文件中的投标报价，并通过“政府采购管理交易系统（苏采云）”告知投标人，调整后的价格应对投标人具有约束力。如果投标人不接受修正后的价格，则其投标将被拒绝。</w:t>
      </w:r>
    </w:p>
    <w:p w14:paraId="5149E99A">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25.6评委会将允许修正投标文件中不构成重大偏离的、微小的、非正规的、不一致的或不规则的地方，但这些修改不能影响任何投标人相应的名次排列。</w:t>
      </w:r>
    </w:p>
    <w:p w14:paraId="13DD5052">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p>
    <w:p w14:paraId="0C57CBE0">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p>
    <w:p w14:paraId="72AE3385">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非单一产品采购项目，招标文件中将载明其中的核心产品。多家投标人提供的核心产品品牌相同的，按前两款规定处理。</w:t>
      </w:r>
    </w:p>
    <w:p w14:paraId="352C2EA5">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25.8投标人在开、评标全过程中应保持通信畅通，并安排专人与代理机构及评委会联系。</w:t>
      </w:r>
    </w:p>
    <w:p w14:paraId="53F2C5AB">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25.9异常低价投标审查</w:t>
      </w:r>
    </w:p>
    <w:p w14:paraId="22D6D0B2">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25.9.1评标过程中出现下列情形之一的，评标委员会应当启动异常低价投标审查程序：</w:t>
      </w:r>
    </w:p>
    <w:p w14:paraId="3666C80D">
      <w:pPr>
        <w:pageBreakBefore w:val="0"/>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1.投标（响应）报价低于全部通过符合性审查供应商投标（响应）报价平均值50%的，即投标（响应）报价&lt;全部通过符合性审查供应商投标（响应）报价平均值×50%； </w:t>
      </w:r>
    </w:p>
    <w:p w14:paraId="2ACBEB62">
      <w:pPr>
        <w:pageBreakBefore w:val="0"/>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2.投标（响应）报价低于通过符合性审查的次低报价供应商投标（响应）报价50%的，即投标（响应）报价&lt;通过符合性审查的次低报价供应商投标（响应）报价×50%； </w:t>
      </w:r>
    </w:p>
    <w:p w14:paraId="21745CB8">
      <w:pPr>
        <w:pageBreakBefore w:val="0"/>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3.投标（响应）报价低于采购项目最高限价45%的，即投标（响应）报价&lt;采购项目最高限价×45%； </w:t>
      </w:r>
    </w:p>
    <w:p w14:paraId="31E8366D">
      <w:pPr>
        <w:pageBreakBefore w:val="0"/>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4.评审委员会基于专业判断，认为供应商报价过低，有可能影响产品质量或者不能诚信履约的其他情形。 </w:t>
      </w:r>
    </w:p>
    <w:p w14:paraId="0859DB4A">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采购人可以结合具体项目实际情况，提高上述第1项至第3项中启动异常低价投标（响应）审查的数值标准，但是最高不得超过65%。</w:t>
      </w:r>
    </w:p>
    <w:p w14:paraId="0D6F8B8A">
      <w:pPr>
        <w:pageBreakBefore w:val="0"/>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25.9.</w:t>
      </w:r>
      <w:r>
        <w:rPr>
          <w:rFonts w:hint="eastAsia" w:ascii="Times New Roman" w:hAnsi="Times New Roman" w:eastAsia="宋体"/>
          <w:bCs/>
          <w:color w:val="auto"/>
          <w:szCs w:val="21"/>
          <w:highlight w:val="none"/>
          <w:lang w:val="en-US" w:eastAsia="zh-CN"/>
        </w:rPr>
        <w:t>2</w:t>
      </w:r>
      <w:r>
        <w:rPr>
          <w:rFonts w:hint="eastAsia" w:ascii="Times New Roman" w:hAnsi="Times New Roman" w:eastAsia="宋体"/>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0A48B5AE">
      <w:pPr>
        <w:pageBreakBefore w:val="0"/>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25.9.</w:t>
      </w:r>
      <w:r>
        <w:rPr>
          <w:rFonts w:hint="eastAsia" w:ascii="Times New Roman" w:hAnsi="Times New Roman" w:eastAsia="宋体"/>
          <w:bCs/>
          <w:color w:val="auto"/>
          <w:szCs w:val="21"/>
          <w:highlight w:val="none"/>
          <w:lang w:val="en-US" w:eastAsia="zh-CN"/>
        </w:rPr>
        <w:t>3</w:t>
      </w:r>
      <w:r>
        <w:rPr>
          <w:rFonts w:hint="eastAsia" w:ascii="Times New Roman" w:hAnsi="Times New Roman" w:eastAsia="宋体"/>
          <w:bCs/>
          <w:color w:val="auto"/>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38E3053">
      <w:pPr>
        <w:pageBreakBefore w:val="0"/>
        <w:spacing w:line="360" w:lineRule="auto"/>
        <w:ind w:firstLine="420"/>
        <w:rPr>
          <w:rFonts w:hint="eastAsia" w:ascii="Times New Roman" w:hAnsi="Times New Roman" w:eastAsia="宋体"/>
          <w:b/>
          <w:color w:val="auto"/>
          <w:szCs w:val="21"/>
          <w:highlight w:val="none"/>
        </w:rPr>
      </w:pPr>
      <w:r>
        <w:rPr>
          <w:rFonts w:hint="eastAsia" w:ascii="Times New Roman" w:hAnsi="Times New Roman" w:eastAsia="宋体"/>
          <w:bCs/>
          <w:color w:val="auto"/>
          <w:szCs w:val="21"/>
          <w:highlight w:val="none"/>
          <w:lang w:val="en-US" w:eastAsia="zh-CN"/>
        </w:rPr>
        <w:t>25.9.4</w:t>
      </w:r>
      <w:r>
        <w:rPr>
          <w:rFonts w:hint="eastAsia" w:ascii="Times New Roman" w:hAnsi="Times New Roman" w:eastAsia="宋体"/>
          <w:bCs/>
          <w:color w:val="auto"/>
          <w:szCs w:val="21"/>
          <w:highlight w:val="none"/>
        </w:rPr>
        <w:t>异常低价投标（响应）审查的启动原因、审查意见和审查结果应当在评审报告中记录，并随供应商提供的相关书面说明及证明材料，以及评审委员会有关互联网浏览、查询历史一并归档。</w:t>
      </w:r>
    </w:p>
    <w:p w14:paraId="2D6946E1">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26、无效投标、废标及投标人不足三家的处理</w:t>
      </w:r>
    </w:p>
    <w:p w14:paraId="7272073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26.1无效投标条款</w:t>
      </w:r>
    </w:p>
    <w:p w14:paraId="7A7D6246">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26.1.1投标人未成功解密电子投标文件的。</w:t>
      </w:r>
    </w:p>
    <w:p w14:paraId="38745C84">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26.1.2投标人未按照招标文件要求上传电子投标文件的。</w:t>
      </w:r>
    </w:p>
    <w:p w14:paraId="422C3A27">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26.1.3投标人在报价时采用选择性报价的。</w:t>
      </w:r>
    </w:p>
    <w:p w14:paraId="67F5EDF2">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26.1.4投标人不具备招标文件中规定资格要求的。</w:t>
      </w:r>
    </w:p>
    <w:p w14:paraId="0AE35385">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26.1.5投标人的报价超过了采购预算或最高限价的。</w:t>
      </w:r>
    </w:p>
    <w:p w14:paraId="7EC976EC">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26.1.6未通过符合性审查的。</w:t>
      </w:r>
    </w:p>
    <w:p w14:paraId="1F90270D">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26.1.7不符合招标文件中规定的其他实质性要求和条件的（</w:t>
      </w:r>
      <w:r>
        <w:rPr>
          <w:rFonts w:hint="eastAsia" w:ascii="Times New Roman" w:hAnsi="Times New Roman" w:eastAsia="宋体"/>
          <w:bCs/>
          <w:i/>
          <w:iCs/>
          <w:color w:val="auto"/>
          <w:szCs w:val="21"/>
          <w:highlight w:val="none"/>
          <w:u w:val="single"/>
        </w:rPr>
        <w:t>本招标文件中斜体且有下划线部分为实质性要求和条件</w:t>
      </w:r>
      <w:r>
        <w:rPr>
          <w:rFonts w:hint="eastAsia" w:ascii="Times New Roman" w:hAnsi="Times New Roman" w:eastAsia="宋体"/>
          <w:bCs/>
          <w:color w:val="auto"/>
          <w:szCs w:val="21"/>
          <w:highlight w:val="none"/>
        </w:rPr>
        <w:t>）。</w:t>
      </w:r>
    </w:p>
    <w:p w14:paraId="35EBD951">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57A425E2">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26.1.9投标文件含有采购人不能接受的附加条件的。</w:t>
      </w:r>
    </w:p>
    <w:p w14:paraId="123969D5">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26.1.10评标委员会按照本招标文件规定对投标人进行异常低价投标审查后，认为投标人不能证明其报价合理性的。</w:t>
      </w:r>
    </w:p>
    <w:p w14:paraId="680802FE">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571C16FF">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26.1.12投标文件未按照招标文件要求加盖电子签章。</w:t>
      </w:r>
    </w:p>
    <w:p w14:paraId="6532315B">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26.1.13投标人所投标产品不符合招标文件中所列国家强制性标准的。</w:t>
      </w:r>
    </w:p>
    <w:p w14:paraId="6C5D9DAA">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26.2废标条款：</w:t>
      </w:r>
    </w:p>
    <w:p w14:paraId="2A7E9241">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26.2.1符合专业条件的供应商或者对招标文件作实质响应的供应商不足三家的。</w:t>
      </w:r>
    </w:p>
    <w:p w14:paraId="2C176FB2">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26.2.2出现影响采购公正的违法、违规行为的。</w:t>
      </w:r>
    </w:p>
    <w:p w14:paraId="1C700531">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26.2.3因重大变故，采购任务取消的。</w:t>
      </w:r>
    </w:p>
    <w:p w14:paraId="55D817D7">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26.2.4评委会认定招标文件存在歧义、重大缺陷导致评审工作无法进行。</w:t>
      </w:r>
    </w:p>
    <w:p w14:paraId="158CD1A8">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26.3投标截止时间结束后参加投标的供应商不足三家的处理：</w:t>
      </w:r>
    </w:p>
    <w:p w14:paraId="45FECDE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26.3.1如出现投标截止时间结束后参加投标的供应商或者在评标期间对招标文件做出实质性响应的供应商不足三家情况，按政府采购相关规定执行。</w:t>
      </w:r>
    </w:p>
    <w:p w14:paraId="2AAE36CB">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27、确定中标单位</w:t>
      </w:r>
    </w:p>
    <w:p w14:paraId="498CD65A">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27.1评委会根据本招标文件规定评标方法与评标标准向采购人推荐出中标候选人。</w:t>
      </w:r>
    </w:p>
    <w:p w14:paraId="4A8005C6">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27.2采购人应根据评委会推荐的中标候选人确定中标人。</w:t>
      </w:r>
    </w:p>
    <w:p w14:paraId="5FC2F403">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27.3代理机构将在</w:t>
      </w:r>
      <w:r>
        <w:rPr>
          <w:rFonts w:hint="eastAsia" w:ascii="Times New Roman" w:hAnsi="Times New Roman"/>
          <w:bCs/>
          <w:color w:val="auto"/>
          <w:szCs w:val="21"/>
          <w:highlight w:val="none"/>
          <w:lang w:eastAsia="zh-CN"/>
        </w:rPr>
        <w:t>“扬州市政府采购网”、“江苏省政府采购网”</w:t>
      </w:r>
      <w:r>
        <w:rPr>
          <w:rFonts w:hint="eastAsia" w:ascii="Times New Roman" w:hAnsi="Times New Roman" w:eastAsia="宋体"/>
          <w:bCs/>
          <w:color w:val="auto"/>
          <w:szCs w:val="21"/>
          <w:highlight w:val="none"/>
        </w:rPr>
        <w:t>发布中标公告，公告期限为1个工作日。</w:t>
      </w:r>
    </w:p>
    <w:p w14:paraId="4CD0121B">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27.4若有充分证据证明，中标人出现下列情况之一的，一经查实，将被取消中标资格：</w:t>
      </w:r>
    </w:p>
    <w:p w14:paraId="4EC69C61">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27.4.1提供虚假材料谋取中标的；</w:t>
      </w:r>
    </w:p>
    <w:p w14:paraId="492295E3">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27.4.2向采购人、代理机构行贿或者提供其他不正当利益的；</w:t>
      </w:r>
    </w:p>
    <w:p w14:paraId="621FCF42">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27.4.3恶意竞争，投标总报价明显低于其自身合理成本且又无法提供证明的；</w:t>
      </w:r>
    </w:p>
    <w:p w14:paraId="7F196EE2">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27.4.4属于本文件规定的无效条件，但在评标过程中又未被评委会发现的；</w:t>
      </w:r>
    </w:p>
    <w:p w14:paraId="11B42896">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27.4.5与采购人或者其他投标人恶意串通的；</w:t>
      </w:r>
    </w:p>
    <w:p w14:paraId="145833B4">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27.4.6采取不正当手段诋毁、排挤其他供应商的；</w:t>
      </w:r>
    </w:p>
    <w:p w14:paraId="15F09273">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27.4.7不符合法律、法规的规定的。</w:t>
      </w:r>
    </w:p>
    <w:p w14:paraId="6971594A">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27.5.有下列情形之一的，视为投标人串通投标，投标无效：</w:t>
      </w:r>
    </w:p>
    <w:p w14:paraId="5438B85F">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27.5.1不同投标人的投标文件由同一单位或者个人编制。经查实，不同投标人的电子投标文件出自同一台电脑的：不同投标人的标书制作工具客户端标识码存在一致的；不同投标人从同一互联网协议地址上传投标文件的。</w:t>
      </w:r>
    </w:p>
    <w:p w14:paraId="54EFCC8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27.5.2不同投标人委托同一单位或者个人办理投标事宜。</w:t>
      </w:r>
    </w:p>
    <w:p w14:paraId="500FDB40">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27.5.3不同投标人的投标文件载明的项目管理成员或者联系人员为同一人。</w:t>
      </w:r>
    </w:p>
    <w:p w14:paraId="2DC1D690">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27.5.4不同投标人的投标文件异常一致或者投标报价呈规律性差异。</w:t>
      </w:r>
    </w:p>
    <w:p w14:paraId="60D9AAD6">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27.5.5不同投标人的投标文件相互混装。</w:t>
      </w:r>
    </w:p>
    <w:p w14:paraId="11BD59FE">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28、质疑处理</w:t>
      </w:r>
    </w:p>
    <w:p w14:paraId="3C291192">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28.1提出质疑的供应商应当是参与所质疑项目采购活动的供应商。潜在供应商依法获取其可质疑的采购文件的，可以对采购文件提出质疑。</w:t>
      </w:r>
    </w:p>
    <w:p w14:paraId="27E70E52">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对项目需求部分的质疑，潜在供应商应向采购人提出，由采购人负责答复。</w:t>
      </w:r>
    </w:p>
    <w:p w14:paraId="6FA3D25E">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28.2投标人认为采购文件、采购过程和中标或成交结果使自己的权益受到损害的，可以在知道或应知其权益受到损害之日起7个工作日内，以书面形式向采购人或代理机构提出质疑。</w:t>
      </w:r>
    </w:p>
    <w:p w14:paraId="5DD24BEA">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28.2.1对采购文件提出质疑的，应当在获取采购文件之日或者采购文件公告期限届满之日起7个工作日内提出。</w:t>
      </w:r>
      <w:r>
        <w:rPr>
          <w:rFonts w:hint="eastAsia" w:ascii="Times New Roman" w:hAnsi="Times New Roman" w:eastAsia="宋体"/>
          <w:bCs/>
          <w:color w:val="auto"/>
          <w:szCs w:val="21"/>
          <w:highlight w:val="none"/>
        </w:rPr>
        <w:br w:type="textWrapping"/>
      </w:r>
      <w:r>
        <w:rPr>
          <w:rFonts w:hint="eastAsia" w:ascii="Times New Roman" w:hAnsi="Times New Roman"/>
          <w:bCs/>
          <w:color w:val="auto"/>
          <w:szCs w:val="21"/>
          <w:highlight w:val="none"/>
          <w:lang w:val="en-US" w:eastAsia="zh-CN"/>
        </w:rPr>
        <w:t xml:space="preserve">  </w:t>
      </w:r>
      <w:r>
        <w:rPr>
          <w:rFonts w:hint="eastAsia" w:ascii="Times New Roman" w:hAnsi="Times New Roman" w:eastAsia="宋体"/>
          <w:bCs/>
          <w:color w:val="auto"/>
          <w:szCs w:val="21"/>
          <w:highlight w:val="none"/>
        </w:rPr>
        <w:t>28.2.2对采购过程提出质疑的，为各采购程序环节结束之日起7个工作日内提出。</w:t>
      </w:r>
      <w:r>
        <w:rPr>
          <w:rFonts w:hint="eastAsia" w:ascii="Times New Roman" w:hAnsi="Times New Roman" w:eastAsia="宋体"/>
          <w:bCs/>
          <w:color w:val="auto"/>
          <w:szCs w:val="21"/>
          <w:highlight w:val="none"/>
        </w:rPr>
        <w:br w:type="textWrapping"/>
      </w:r>
      <w:r>
        <w:rPr>
          <w:rFonts w:hint="eastAsia" w:ascii="Times New Roman" w:hAnsi="Times New Roman"/>
          <w:bCs/>
          <w:color w:val="auto"/>
          <w:szCs w:val="21"/>
          <w:highlight w:val="none"/>
          <w:lang w:val="en-US" w:eastAsia="zh-CN"/>
        </w:rPr>
        <w:t xml:space="preserve">  </w:t>
      </w:r>
      <w:r>
        <w:rPr>
          <w:rFonts w:hint="eastAsia" w:ascii="Times New Roman" w:hAnsi="Times New Roman" w:eastAsia="宋体"/>
          <w:bCs/>
          <w:color w:val="auto"/>
          <w:szCs w:val="21"/>
          <w:highlight w:val="none"/>
        </w:rPr>
        <w:t>28.2.3对中标结果提出质疑的，为中标结果公告期限届满之日起7个工作日内提出。</w:t>
      </w:r>
    </w:p>
    <w:p w14:paraId="497E579B">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28.3供应商应在法定质疑期内一次性提出针对同一采购程序环节的质疑。供应商如在法定期限内对同一采购程序环节提出多次质疑的，代理机构、采购人将只对供应商第一次质疑作出答复。</w:t>
      </w:r>
    </w:p>
    <w:p w14:paraId="78C01EA8">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p>
    <w:p w14:paraId="615FAEC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28.5代理机构及采购人只接收以纸质原件形式送达的质疑，同时需与采购代理机构经办人确认是否收到《质疑函》，如供应商未按上述要求去做，将自行承担所产生的风险。（代理机构及采购人不接受无快递运单号的快递。）</w:t>
      </w:r>
    </w:p>
    <w:p w14:paraId="0AEE14AF">
      <w:pPr>
        <w:pageBreakBefore w:val="0"/>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采购人质疑接收人及联系方式见招标文件第一章。</w:t>
      </w:r>
    </w:p>
    <w:p w14:paraId="62C0875B">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28.6代理机构收到质疑申请后，将对质疑的形式和内容进行审查，如质疑内容、格式不符合规定，代理机构将告知质疑人进行补正。</w:t>
      </w:r>
    </w:p>
    <w:p w14:paraId="10AE8232">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28.7质疑人应当在法定质疑期限内进行补正并重新提交质疑函。</w:t>
      </w:r>
    </w:p>
    <w:p w14:paraId="014877F0">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28.8以下情形的质疑不予受理</w:t>
      </w:r>
    </w:p>
    <w:p w14:paraId="5322A46F">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28.8.1内容不符合《政府采购质疑和投诉办法》第十二条规定的质疑。</w:t>
      </w:r>
    </w:p>
    <w:p w14:paraId="3FBF5BCF">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28.8.2超出政府采购法定期限的质疑。</w:t>
      </w:r>
    </w:p>
    <w:p w14:paraId="7B0F677B">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28.8.3以传真、电子邮件等方式递交的非原件形式的质疑。</w:t>
      </w:r>
    </w:p>
    <w:p w14:paraId="76370D80">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28.8.4未参加投标活动的供应商或在投标活动中自身权益未受到损害的供应商所提出的质疑。</w:t>
      </w:r>
    </w:p>
    <w:p w14:paraId="26E2046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28.8.5供应商组成联合体参加投标，联合体中任何一方或多方未按要求签字、盖章、加盖公章的质疑。</w:t>
      </w:r>
    </w:p>
    <w:p w14:paraId="36712F16">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7BA685AE">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28.10代理机构应当在收到供应商的书面质疑后7个工作日内作出答复，并以书面形式通知质疑供应商和其他有关供应商，但答复的内容不得涉及商业秘密。</w:t>
      </w:r>
    </w:p>
    <w:p w14:paraId="611F1E3B">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29、中标通知书</w:t>
      </w:r>
    </w:p>
    <w:p w14:paraId="05F0A4C1">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29.l中标结果确定后，代理机构将向中标人发出中标通知书。</w:t>
      </w:r>
    </w:p>
    <w:p w14:paraId="46C37AB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29.2中标人可在“政府采购管理交易系统（苏采云）”中标通知书下载模块中自行下载中标通知书。</w:t>
      </w:r>
    </w:p>
    <w:p w14:paraId="7D847920">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29.3中标通知书将是合同的一个组成部分。对采购人和中标人均具有法律效力。中标通知书发出后，采购人改变中标结果的，或者中标人放弃中标项目的，应当依法承担法律责任。</w:t>
      </w:r>
    </w:p>
    <w:p w14:paraId="3852E139">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30、签订合同</w:t>
      </w:r>
    </w:p>
    <w:p w14:paraId="5CDAC134">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30.l中标人应在中标通知书发出之日起</w:t>
      </w:r>
      <w:r>
        <w:rPr>
          <w:rFonts w:hint="eastAsia"/>
          <w:bCs/>
          <w:color w:val="auto"/>
          <w:szCs w:val="21"/>
          <w:highlight w:val="none"/>
          <w:lang w:val="en-US" w:eastAsia="zh-CN"/>
        </w:rPr>
        <w:t>三十</w:t>
      </w:r>
      <w:r>
        <w:rPr>
          <w:rFonts w:hint="eastAsia" w:ascii="Times New Roman" w:hAnsi="Times New Roman"/>
          <w:bCs/>
          <w:color w:val="auto"/>
          <w:szCs w:val="21"/>
          <w:highlight w:val="none"/>
          <w:lang w:val="en-US" w:eastAsia="zh-CN"/>
        </w:rPr>
        <w:t>日</w:t>
      </w:r>
      <w:r>
        <w:rPr>
          <w:rFonts w:hint="eastAsia" w:ascii="Times New Roman" w:hAnsi="Times New Roman" w:eastAsia="宋体"/>
          <w:bCs/>
          <w:color w:val="auto"/>
          <w:szCs w:val="21"/>
          <w:highlight w:val="none"/>
        </w:rPr>
        <w:t>内，按照招标文件确定的事项与采购人签订政府采购合同。</w:t>
      </w:r>
    </w:p>
    <w:p w14:paraId="5B5F67D4">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30.2招标文件、中标人的投标文件及招标过程中有关澄清、承诺文件均应作为合同附件。</w:t>
      </w:r>
    </w:p>
    <w:p w14:paraId="4295CCBF">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30.3合同在“政府采购管理交易系统（苏采云）”中签订，签订合同后，</w:t>
      </w:r>
      <w:r>
        <w:rPr>
          <w:rFonts w:hint="eastAsia" w:ascii="Times New Roman" w:hAnsi="Times New Roman" w:eastAsia="宋体"/>
          <w:bCs/>
          <w:i/>
          <w:iCs/>
          <w:color w:val="auto"/>
          <w:szCs w:val="21"/>
          <w:highlight w:val="none"/>
          <w:u w:val="single"/>
        </w:rPr>
        <w:t>中标人不得将货物或服务及其他服务进行转包</w:t>
      </w:r>
      <w:r>
        <w:rPr>
          <w:rFonts w:hint="eastAsia" w:ascii="Times New Roman" w:hAnsi="Times New Roman" w:eastAsia="宋体"/>
          <w:bCs/>
          <w:color w:val="auto"/>
          <w:szCs w:val="21"/>
          <w:highlight w:val="none"/>
        </w:rPr>
        <w:t>。未经采购人同意，中标人也不得采用分包的形式履行合同，否则采购人有权终止合同，中标人的履约保证金将不予退还。转包或分包造成采购人损失的，中标人应承担赔偿责任。</w:t>
      </w:r>
    </w:p>
    <w:p w14:paraId="7A992E10">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30.4采购人不得向中标人提出任何不合理的要求作为签订合同的条件，不得与中标人私下订立背离合同实质性内容的协议。所签订的合同不得对招标文件确定事项和中标人投标文件作实质性修改。</w:t>
      </w:r>
    </w:p>
    <w:p w14:paraId="6FF65E65">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31、电子投标文件要求</w:t>
      </w:r>
    </w:p>
    <w:p w14:paraId="06ECC8F3">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31.1</w:t>
      </w:r>
      <w:r>
        <w:rPr>
          <w:rFonts w:hint="eastAsia" w:ascii="Times New Roman" w:hAnsi="Times New Roman" w:eastAsia="宋体"/>
          <w:b/>
          <w:bCs/>
          <w:color w:val="auto"/>
          <w:szCs w:val="21"/>
          <w:highlight w:val="none"/>
        </w:rPr>
        <w:t>政府采购管理交易系统（苏采云）</w:t>
      </w:r>
      <w:r>
        <w:rPr>
          <w:rFonts w:hint="eastAsia" w:ascii="Times New Roman" w:hAnsi="Times New Roman" w:eastAsia="宋体"/>
          <w:b/>
          <w:color w:val="auto"/>
          <w:szCs w:val="21"/>
          <w:highlight w:val="none"/>
        </w:rPr>
        <w:t>相关要求是本招标文件的组成部分。</w:t>
      </w:r>
    </w:p>
    <w:p w14:paraId="72479A58">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31.2投标人应对CA证书妥善保管，如被他人盗用投标，因此带来的结果均由投标人自行承担。</w:t>
      </w:r>
    </w:p>
    <w:p w14:paraId="53ED4ECF">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31.3投标人应当对招标文件提出的要求和条件作出实质性响应，并在电子投标系统逐条应答。</w:t>
      </w:r>
    </w:p>
    <w:p w14:paraId="18DF464B">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31.4投标人应对要求提供的资格证明文件（如资质证书、资格证书）、技术资料（如白皮书、彩页、手册、检测报告等）扫描上传至投标系统。</w:t>
      </w:r>
    </w:p>
    <w:p w14:paraId="4FF2820A">
      <w:pPr>
        <w:pageBreakBefore w:val="0"/>
        <w:numPr>
          <w:ilvl w:val="0"/>
          <w:numId w:val="5"/>
        </w:numPr>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提交投标文件的截止时间（投标截止时间）</w:t>
      </w:r>
    </w:p>
    <w:p w14:paraId="45FDBA55">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32.1投标人应当在招标文件要求提交投标文件的截止时间前，将投标文件提交至“苏采云”系统，逾期提交的投标文件，“苏采云”系统将自动拒收。</w:t>
      </w:r>
    </w:p>
    <w:p w14:paraId="292C47F9">
      <w:pPr>
        <w:pageBreakBefore w:val="0"/>
        <w:spacing w:line="360" w:lineRule="auto"/>
        <w:ind w:firstLine="422"/>
        <w:rPr>
          <w:rFonts w:ascii="Times New Roman" w:hAnsi="Times New Roman" w:eastAsia="宋体"/>
          <w:color w:val="auto"/>
          <w:highlight w:val="none"/>
        </w:rPr>
      </w:pPr>
      <w:r>
        <w:rPr>
          <w:rFonts w:hint="eastAsia" w:ascii="Times New Roman" w:hAnsi="Times New Roman" w:eastAsia="宋体"/>
          <w:b/>
          <w:color w:val="auto"/>
          <w:szCs w:val="21"/>
          <w:highlight w:val="none"/>
        </w:rPr>
        <w:t>32.2各投标人应在规定时间内凭CA证书进行网上解密。</w:t>
      </w:r>
    </w:p>
    <w:p w14:paraId="0930F2E6">
      <w:pPr>
        <w:pageBreakBefore w:val="0"/>
        <w:spacing w:line="360" w:lineRule="auto"/>
        <w:ind w:left="420" w:firstLine="0"/>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33、其他</w:t>
      </w:r>
    </w:p>
    <w:p w14:paraId="5858F003">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cs="宋体"/>
          <w:color w:val="auto"/>
          <w:highlight w:val="none"/>
        </w:rPr>
        <w:t>33.1</w:t>
      </w:r>
      <w:r>
        <w:rPr>
          <w:rFonts w:hint="eastAsia" w:ascii="Times New Roman" w:hAnsi="Times New Roman" w:eastAsia="宋体"/>
          <w:color w:val="auto"/>
          <w:highlight w:val="none"/>
        </w:rPr>
        <w:t>依据《政府采购促进中小企业发展管理办法》享受扶持政策获得政府采购合同的，小微企业不得将合同分包给大中型企业，中型企业不得将合同分包给大型企业。</w:t>
      </w:r>
    </w:p>
    <w:p w14:paraId="6646A55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br w:type="page" w:clear="all"/>
      </w:r>
    </w:p>
    <w:p w14:paraId="60FAA6F9">
      <w:pPr>
        <w:pStyle w:val="2"/>
        <w:pageBreakBefore w:val="0"/>
        <w:spacing w:before="0" w:after="0" w:line="360" w:lineRule="auto"/>
        <w:jc w:val="center"/>
        <w:rPr>
          <w:rFonts w:ascii="Times New Roman" w:hAnsi="Times New Roman" w:eastAsia="宋体"/>
          <w:color w:val="auto"/>
          <w:sz w:val="36"/>
          <w:szCs w:val="36"/>
          <w:highlight w:val="none"/>
        </w:rPr>
      </w:pPr>
      <w:r>
        <w:rPr>
          <w:rFonts w:hint="eastAsia" w:ascii="Times New Roman" w:hAnsi="Times New Roman" w:eastAsia="宋体"/>
          <w:color w:val="auto"/>
          <w:sz w:val="36"/>
          <w:szCs w:val="36"/>
          <w:highlight w:val="none"/>
        </w:rPr>
        <w:t>第三章合同条款及格式</w:t>
      </w:r>
      <w:bookmarkEnd w:id="35"/>
      <w:bookmarkEnd w:id="36"/>
    </w:p>
    <w:p w14:paraId="5337BE57">
      <w:pPr>
        <w:pStyle w:val="23"/>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以下为中标后签定本项目合同的通用条款，中标人不得提出实质性的修改，关于专用条款将由采购人与中标人结合本项目具体情况协商后签订。</w:t>
      </w:r>
    </w:p>
    <w:p w14:paraId="7F6596F7">
      <w:pPr>
        <w:pStyle w:val="23"/>
        <w:pageBreakBefore w:val="0"/>
        <w:spacing w:line="360" w:lineRule="auto"/>
        <w:ind w:firstLine="422"/>
        <w:jc w:val="center"/>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扬州市政府采购合同（服务）（合同编号）</w:t>
      </w:r>
    </w:p>
    <w:p w14:paraId="344012D0">
      <w:pPr>
        <w:pStyle w:val="23"/>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项目名称：               </w:t>
      </w:r>
    </w:p>
    <w:p w14:paraId="0AF8EE9C">
      <w:pPr>
        <w:pStyle w:val="23"/>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项目编号：</w:t>
      </w:r>
      <w:r>
        <w:rPr>
          <w:rFonts w:hint="eastAsia" w:ascii="Times New Roman" w:hAnsi="Times New Roman" w:eastAsia="宋体"/>
          <w:color w:val="auto"/>
          <w:sz w:val="21"/>
          <w:highlight w:val="none"/>
          <w:lang w:val="en-US" w:eastAsia="zh-CN"/>
        </w:rPr>
        <w:t xml:space="preserve">    </w:t>
      </w:r>
      <w:r>
        <w:rPr>
          <w:rFonts w:hint="eastAsia" w:ascii="Times New Roman" w:hAnsi="Times New Roman" w:eastAsia="宋体"/>
          <w:color w:val="auto"/>
          <w:sz w:val="21"/>
          <w:highlight w:val="none"/>
        </w:rPr>
        <w:t>包号：</w:t>
      </w:r>
    </w:p>
    <w:p w14:paraId="3C02243E">
      <w:pPr>
        <w:pStyle w:val="23"/>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甲方：（采购人）________</w:t>
      </w:r>
    </w:p>
    <w:p w14:paraId="0010797A">
      <w:pPr>
        <w:pStyle w:val="23"/>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乙方：（供应商）_________</w:t>
      </w:r>
    </w:p>
    <w:p w14:paraId="7F1AD52E">
      <w:pPr>
        <w:pStyle w:val="23"/>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甲、乙双方根据</w:t>
      </w:r>
      <w:r>
        <w:rPr>
          <w:rFonts w:hint="eastAsia" w:ascii="Times New Roman" w:hAnsi="Times New Roman"/>
          <w:color w:val="auto"/>
          <w:sz w:val="21"/>
          <w:highlight w:val="none"/>
          <w:lang w:eastAsia="zh-CN"/>
        </w:rPr>
        <w:t>扬州诚庆工程咨询管理有限公司</w:t>
      </w:r>
      <w:r>
        <w:rPr>
          <w:rFonts w:hint="eastAsia" w:ascii="Times New Roman" w:hAnsi="Times New Roman" w:eastAsia="宋体"/>
          <w:color w:val="auto"/>
          <w:sz w:val="21"/>
          <w:highlight w:val="none"/>
          <w:u w:val="single"/>
        </w:rPr>
        <w:t xml:space="preserve">         </w:t>
      </w:r>
      <w:r>
        <w:rPr>
          <w:rFonts w:hint="eastAsia" w:ascii="Times New Roman" w:hAnsi="Times New Roman" w:eastAsia="宋体"/>
          <w:color w:val="auto"/>
          <w:sz w:val="21"/>
          <w:highlight w:val="none"/>
        </w:rPr>
        <w:t>项目公开招标的结果，签署本合同。</w:t>
      </w:r>
    </w:p>
    <w:p w14:paraId="5D0D468E">
      <w:pPr>
        <w:pStyle w:val="23"/>
        <w:pageBreakBefore w:val="0"/>
        <w:spacing w:line="360" w:lineRule="auto"/>
        <w:ind w:firstLine="422"/>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一、服务及货物</w:t>
      </w:r>
    </w:p>
    <w:p w14:paraId="2F4DC8FF">
      <w:pPr>
        <w:pStyle w:val="23"/>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1.1 标的名称：</w:t>
      </w:r>
    </w:p>
    <w:p w14:paraId="0DA10C16">
      <w:pPr>
        <w:pStyle w:val="23"/>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1.2标的质量：</w:t>
      </w:r>
    </w:p>
    <w:p w14:paraId="6DBA4154">
      <w:pPr>
        <w:pStyle w:val="23"/>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1.3 标的数量（规模）：</w:t>
      </w:r>
    </w:p>
    <w:p w14:paraId="6BCF697F">
      <w:pPr>
        <w:pStyle w:val="23"/>
        <w:pageBreakBefore w:val="0"/>
        <w:spacing w:line="360" w:lineRule="auto"/>
        <w:ind w:firstLine="420"/>
        <w:rPr>
          <w:rFonts w:hint="default" w:ascii="Times New Roman" w:hAnsi="Times New Roman" w:eastAsia="宋体"/>
          <w:color w:val="auto"/>
          <w:sz w:val="21"/>
          <w:highlight w:val="none"/>
          <w:lang w:val="en-US" w:eastAsia="zh-CN"/>
        </w:rPr>
      </w:pPr>
      <w:r>
        <w:rPr>
          <w:rFonts w:hint="eastAsia" w:ascii="Times New Roman" w:hAnsi="Times New Roman" w:eastAsia="宋体"/>
          <w:color w:val="auto"/>
          <w:sz w:val="21"/>
          <w:highlight w:val="none"/>
        </w:rPr>
        <w:t>1.4 履行时间（期限）：</w:t>
      </w:r>
    </w:p>
    <w:p w14:paraId="51019763">
      <w:pPr>
        <w:pStyle w:val="23"/>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1.5 履行地点：</w:t>
      </w:r>
    </w:p>
    <w:p w14:paraId="5E4688A6">
      <w:pPr>
        <w:pStyle w:val="23"/>
        <w:pageBreakBefore w:val="0"/>
        <w:spacing w:line="360" w:lineRule="auto"/>
        <w:ind w:firstLine="420"/>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1.6履行方式</w:t>
      </w:r>
      <w:r>
        <w:rPr>
          <w:rFonts w:hint="eastAsia" w:ascii="Times New Roman" w:hAnsi="Times New Roman" w:eastAsia="宋体"/>
          <w:color w:val="auto"/>
          <w:sz w:val="21"/>
          <w:highlight w:val="none"/>
          <w:lang w:eastAsia="zh-CN"/>
        </w:rPr>
        <w:t>：</w:t>
      </w:r>
    </w:p>
    <w:p w14:paraId="452A3034">
      <w:pPr>
        <w:pStyle w:val="23"/>
        <w:pageBreakBefore w:val="0"/>
        <w:spacing w:line="360" w:lineRule="auto"/>
        <w:ind w:firstLine="422"/>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二、合同金额</w:t>
      </w:r>
    </w:p>
    <w:p w14:paraId="428899EE">
      <w:pPr>
        <w:pStyle w:val="23"/>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2.1 本合同金额为（大写）：____________________</w:t>
      </w:r>
      <w:r>
        <w:rPr>
          <w:rFonts w:hint="eastAsia" w:ascii="Times New Roman" w:hAnsi="Times New Roman" w:eastAsia="宋体"/>
          <w:color w:val="auto"/>
          <w:sz w:val="21"/>
          <w:highlight w:val="none"/>
          <w:lang w:val="en-US" w:eastAsia="zh-CN"/>
        </w:rPr>
        <w:t>元</w:t>
      </w:r>
      <w:r>
        <w:rPr>
          <w:rFonts w:hint="eastAsia" w:ascii="Times New Roman" w:hAnsi="Times New Roman" w:eastAsia="宋体"/>
          <w:color w:val="auto"/>
          <w:sz w:val="21"/>
          <w:highlight w:val="none"/>
        </w:rPr>
        <w:t>（_______________元）人民币。</w:t>
      </w:r>
    </w:p>
    <w:p w14:paraId="24EAD97A">
      <w:pPr>
        <w:pStyle w:val="23"/>
        <w:pageBreakBefore w:val="0"/>
        <w:spacing w:line="360" w:lineRule="auto"/>
        <w:ind w:firstLine="422"/>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三、技术资料</w:t>
      </w:r>
    </w:p>
    <w:p w14:paraId="4785F4FC">
      <w:pPr>
        <w:pStyle w:val="23"/>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3.1乙方应按采购文件规定的时间向甲方提供使用货物及服务的有关技术资料。</w:t>
      </w:r>
    </w:p>
    <w:p w14:paraId="23996DFC">
      <w:pPr>
        <w:pStyle w:val="23"/>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2375C93">
      <w:pPr>
        <w:pStyle w:val="23"/>
        <w:pageBreakBefore w:val="0"/>
        <w:spacing w:line="360" w:lineRule="auto"/>
        <w:ind w:firstLine="422"/>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四、知识产权</w:t>
      </w:r>
    </w:p>
    <w:p w14:paraId="0B2CC2C3">
      <w:pPr>
        <w:pStyle w:val="23"/>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4.1乙方应保证甲方在使用、接受本合同货物及服务或其任何一部分时不受第三方提出侵犯其专利权、版权、商标权和工业设计权等知识产权的起诉。一旦出现侵权，由乙方负全部责任。</w:t>
      </w:r>
    </w:p>
    <w:p w14:paraId="5DAA86B2">
      <w:pPr>
        <w:pStyle w:val="23"/>
        <w:pageBreakBefore w:val="0"/>
        <w:spacing w:line="360" w:lineRule="auto"/>
        <w:ind w:firstLine="422"/>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五、产权担保</w:t>
      </w:r>
    </w:p>
    <w:p w14:paraId="3FF667C8">
      <w:pPr>
        <w:pStyle w:val="23"/>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5.1 乙方保证所交付的货物及服务的所有权完全属于乙方且无任何抵押、查封等产权瑕疵。</w:t>
      </w:r>
    </w:p>
    <w:p w14:paraId="578806FE">
      <w:pPr>
        <w:pStyle w:val="23"/>
        <w:pageBreakBefore w:val="0"/>
        <w:spacing w:line="360" w:lineRule="auto"/>
        <w:ind w:firstLine="422"/>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六、履约保证金</w:t>
      </w:r>
    </w:p>
    <w:p w14:paraId="585CDF3E">
      <w:pPr>
        <w:pStyle w:val="23"/>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6.1 乙方交纳</w:t>
      </w:r>
      <w:r>
        <w:rPr>
          <w:rFonts w:hint="eastAsia" w:ascii="Times New Roman" w:hAnsi="Times New Roman"/>
          <w:color w:val="auto"/>
          <w:sz w:val="21"/>
          <w:highlight w:val="none"/>
          <w:lang w:val="en-US" w:eastAsia="zh-CN"/>
        </w:rPr>
        <w:t>合同总价</w:t>
      </w:r>
      <w:r>
        <w:rPr>
          <w:rFonts w:hint="eastAsia" w:ascii="Times New Roman" w:hAnsi="Times New Roman" w:eastAsia="宋体"/>
          <w:color w:val="auto"/>
          <w:sz w:val="21"/>
          <w:highlight w:val="none"/>
        </w:rPr>
        <w:t>10%作为本合同的履约保证金。（不得超过合同金额的10%）</w:t>
      </w:r>
    </w:p>
    <w:p w14:paraId="7EDE326B">
      <w:pPr>
        <w:pStyle w:val="23"/>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6.2合同履行结束后，甲方应及时退还交纳的履约保证金。</w:t>
      </w:r>
    </w:p>
    <w:p w14:paraId="7FC640AB">
      <w:pPr>
        <w:pStyle w:val="23"/>
        <w:pageBreakBefore w:val="0"/>
        <w:spacing w:line="360" w:lineRule="auto"/>
        <w:ind w:firstLine="420"/>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6.2.1履约保证金退还方式：</w:t>
      </w:r>
      <w:r>
        <w:rPr>
          <w:rFonts w:hint="eastAsia" w:ascii="Times New Roman" w:hAnsi="Times New Roman" w:eastAsia="宋体"/>
          <w:color w:val="auto"/>
          <w:sz w:val="21"/>
          <w:highlight w:val="none"/>
          <w:lang w:val="en-US" w:eastAsia="zh-CN"/>
        </w:rPr>
        <w:t>按乙方</w:t>
      </w:r>
      <w:r>
        <w:rPr>
          <w:rFonts w:hint="eastAsia" w:ascii="Times New Roman" w:hAnsi="Times New Roman" w:eastAsia="宋体"/>
          <w:color w:val="auto"/>
          <w:sz w:val="21"/>
          <w:highlight w:val="none"/>
        </w:rPr>
        <w:t>原缴款账户无息退还</w:t>
      </w:r>
      <w:r>
        <w:rPr>
          <w:rFonts w:hint="eastAsia" w:ascii="Times New Roman" w:hAnsi="Times New Roman"/>
          <w:color w:val="auto"/>
          <w:sz w:val="21"/>
          <w:highlight w:val="none"/>
          <w:lang w:eastAsia="zh-CN"/>
        </w:rPr>
        <w:t>。</w:t>
      </w:r>
    </w:p>
    <w:p w14:paraId="1207696B">
      <w:pPr>
        <w:pStyle w:val="23"/>
        <w:pageBreakBefore w:val="0"/>
        <w:spacing w:line="360" w:lineRule="auto"/>
        <w:ind w:firstLine="420"/>
        <w:rPr>
          <w:rFonts w:hint="eastAsia" w:ascii="Times New Roman" w:hAnsi="Times New Roman" w:eastAsia="宋体"/>
          <w:color w:val="auto"/>
          <w:sz w:val="21"/>
          <w:highlight w:val="none"/>
          <w:lang w:val="en-US" w:eastAsia="zh-CN"/>
        </w:rPr>
      </w:pPr>
      <w:r>
        <w:rPr>
          <w:rFonts w:hint="eastAsia" w:ascii="Times New Roman" w:hAnsi="Times New Roman" w:eastAsia="宋体"/>
          <w:color w:val="auto"/>
          <w:sz w:val="21"/>
          <w:highlight w:val="none"/>
        </w:rPr>
        <w:t>6.2.2履约保证金退还时间：</w:t>
      </w:r>
      <w:r>
        <w:rPr>
          <w:rFonts w:hint="eastAsia" w:ascii="Times New Roman" w:hAnsi="Times New Roman" w:eastAsia="宋体"/>
          <w:color w:val="auto"/>
          <w:sz w:val="21"/>
          <w:highlight w:val="none"/>
          <w:lang w:val="en-US" w:eastAsia="zh-CN"/>
        </w:rPr>
        <w:t>项目验收合格后一次性退还，不计息。</w:t>
      </w:r>
    </w:p>
    <w:p w14:paraId="5FEBB9F5">
      <w:pPr>
        <w:pStyle w:val="23"/>
        <w:pageBreakBefore w:val="0"/>
        <w:spacing w:line="360" w:lineRule="auto"/>
        <w:ind w:firstLine="420"/>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6.2.3履约保证金退还条件：项目经甲方组织</w:t>
      </w:r>
      <w:r>
        <w:rPr>
          <w:rFonts w:hint="eastAsia" w:ascii="Times New Roman" w:hAnsi="Times New Roman" w:eastAsia="宋体"/>
          <w:color w:val="auto"/>
          <w:sz w:val="21"/>
          <w:highlight w:val="none"/>
          <w:lang w:val="en-US" w:eastAsia="zh-CN"/>
        </w:rPr>
        <w:t>综合</w:t>
      </w:r>
      <w:r>
        <w:rPr>
          <w:rFonts w:hint="eastAsia" w:ascii="Times New Roman" w:hAnsi="Times New Roman" w:eastAsia="宋体"/>
          <w:color w:val="auto"/>
          <w:sz w:val="21"/>
          <w:highlight w:val="none"/>
        </w:rPr>
        <w:t>验收合格</w:t>
      </w:r>
      <w:r>
        <w:rPr>
          <w:rFonts w:hint="eastAsia" w:ascii="Times New Roman" w:hAnsi="Times New Roman" w:eastAsia="宋体"/>
          <w:color w:val="auto"/>
          <w:sz w:val="21"/>
          <w:highlight w:val="none"/>
          <w:lang w:val="en-US" w:eastAsia="zh-CN"/>
        </w:rPr>
        <w:t>后</w:t>
      </w:r>
      <w:r>
        <w:rPr>
          <w:rFonts w:hint="eastAsia" w:ascii="Times New Roman" w:hAnsi="Times New Roman"/>
          <w:color w:val="auto"/>
          <w:sz w:val="21"/>
          <w:highlight w:val="none"/>
          <w:lang w:val="en-US" w:eastAsia="zh-CN"/>
        </w:rPr>
        <w:t>。</w:t>
      </w:r>
    </w:p>
    <w:p w14:paraId="4D257826">
      <w:pPr>
        <w:pStyle w:val="23"/>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6.2.4履约保证金不予退还的情形：逾期提供服务、擅自暂停 / 终止服务，造成甲方损失</w:t>
      </w:r>
      <w:r>
        <w:rPr>
          <w:rFonts w:hint="eastAsia" w:ascii="Times New Roman" w:hAnsi="Times New Roman"/>
          <w:color w:val="auto"/>
          <w:sz w:val="21"/>
          <w:highlight w:val="none"/>
          <w:lang w:eastAsia="zh-CN"/>
        </w:rPr>
        <w:t>。</w:t>
      </w:r>
    </w:p>
    <w:p w14:paraId="28DED9A9">
      <w:pPr>
        <w:pStyle w:val="23"/>
        <w:pageBreakBefore w:val="0"/>
        <w:spacing w:line="360" w:lineRule="auto"/>
        <w:ind w:firstLine="422"/>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七、转包或分包</w:t>
      </w:r>
    </w:p>
    <w:p w14:paraId="09430B94">
      <w:pPr>
        <w:pStyle w:val="23"/>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7.1乙方不得将合同标的转包给他人履行。</w:t>
      </w:r>
    </w:p>
    <w:p w14:paraId="50C27F71">
      <w:pPr>
        <w:pStyle w:val="23"/>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7.2乙方不得将合同标的分包给他人履行。</w:t>
      </w:r>
    </w:p>
    <w:p w14:paraId="5323331D">
      <w:pPr>
        <w:pStyle w:val="23"/>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7.3乙方如有转包或未经甲方同意的分包行为，甲方有权解除合同。</w:t>
      </w:r>
    </w:p>
    <w:p w14:paraId="04446C58">
      <w:pPr>
        <w:pStyle w:val="23"/>
        <w:pageBreakBefore w:val="0"/>
        <w:numPr>
          <w:ilvl w:val="0"/>
          <w:numId w:val="6"/>
        </w:numPr>
        <w:spacing w:line="360" w:lineRule="auto"/>
        <w:ind w:firstLine="422"/>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合同款项支付</w:t>
      </w:r>
    </w:p>
    <w:p w14:paraId="1BECB936">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 xml:space="preserve">.1 本合同项下所有款项均以人民币支付。 </w:t>
      </w:r>
    </w:p>
    <w:p w14:paraId="15E24443">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.2 本合同项下的采购资金由甲方支付，付款前乙方向甲方开具发票。</w:t>
      </w:r>
    </w:p>
    <w:p w14:paraId="6240EA09">
      <w:pPr>
        <w:pStyle w:val="289"/>
        <w:spacing w:line="360" w:lineRule="auto"/>
        <w:ind w:firstLine="420"/>
        <w:rPr>
          <w:rFonts w:hint="default" w:hAnsi="宋体" w:cs="宋体"/>
          <w:color w:val="auto"/>
          <w:highlight w:val="none"/>
        </w:rPr>
      </w:pPr>
      <w:r>
        <w:rPr>
          <w:rFonts w:hint="eastAsia" w:hAnsi="宋体" w:cs="宋体"/>
          <w:color w:val="auto"/>
          <w:highlight w:val="none"/>
          <w:lang w:val="en-US" w:eastAsia="zh-CN"/>
        </w:rPr>
        <w:t>8</w:t>
      </w:r>
      <w:r>
        <w:rPr>
          <w:rFonts w:hAnsi="宋体" w:cs="宋体"/>
          <w:color w:val="auto"/>
          <w:highlight w:val="none"/>
        </w:rPr>
        <w:t>.3 甲方付款方式：</w:t>
      </w:r>
    </w:p>
    <w:p w14:paraId="11ABE9FB">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22" w:firstLineChars="200"/>
        <w:jc w:val="left"/>
        <w:textAlignment w:val="auto"/>
        <w:rPr>
          <w:rFonts w:hint="default" w:ascii="宋体" w:hAnsi="宋体" w:cs="宋体"/>
          <w:b/>
          <w:bCs w:val="0"/>
          <w:i/>
          <w:iCs/>
          <w:color w:val="000000" w:themeColor="text1"/>
          <w:sz w:val="21"/>
          <w:szCs w:val="21"/>
          <w:highlight w:val="none"/>
          <w:u w:val="single"/>
          <w:lang w:val="en-US" w:eastAsia="zh-CN"/>
          <w14:textFill>
            <w14:solidFill>
              <w14:schemeClr w14:val="tx1"/>
            </w14:solidFill>
          </w14:textFill>
        </w:rPr>
      </w:pPr>
      <w:r>
        <w:rPr>
          <w:rFonts w:hint="default" w:ascii="宋体" w:hAnsi="宋体" w:cs="宋体"/>
          <w:b/>
          <w:bCs w:val="0"/>
          <w:i/>
          <w:iCs/>
          <w:color w:val="000000" w:themeColor="text1"/>
          <w:sz w:val="21"/>
          <w:szCs w:val="21"/>
          <w:highlight w:val="none"/>
          <w:u w:val="single"/>
          <w:lang w:val="en-US" w:eastAsia="zh-CN"/>
          <w14:textFill>
            <w14:solidFill>
              <w14:schemeClr w14:val="tx1"/>
            </w14:solidFill>
          </w14:textFill>
        </w:rPr>
        <w:t>1）</w:t>
      </w:r>
      <w:r>
        <w:rPr>
          <w:rFonts w:hint="eastAsia" w:ascii="宋体" w:hAnsi="宋体" w:cs="宋体"/>
          <w:b/>
          <w:bCs w:val="0"/>
          <w:i/>
          <w:iCs/>
          <w:color w:val="000000" w:themeColor="text1"/>
          <w:sz w:val="21"/>
          <w:szCs w:val="21"/>
          <w:highlight w:val="none"/>
          <w:u w:val="single"/>
          <w:lang w:val="en-US" w:eastAsia="zh-CN"/>
          <w14:textFill>
            <w14:solidFill>
              <w14:schemeClr w14:val="tx1"/>
            </w14:solidFill>
          </w14:textFill>
        </w:rPr>
        <w:t>签订合同后</w:t>
      </w:r>
      <w:r>
        <w:rPr>
          <w:rFonts w:hint="default" w:ascii="宋体" w:hAnsi="宋体" w:cs="宋体"/>
          <w:b/>
          <w:bCs w:val="0"/>
          <w:i/>
          <w:iCs/>
          <w:color w:val="000000" w:themeColor="text1"/>
          <w:sz w:val="21"/>
          <w:szCs w:val="21"/>
          <w:highlight w:val="none"/>
          <w:u w:val="single"/>
          <w:lang w:val="en-US" w:eastAsia="zh-CN"/>
          <w14:textFill>
            <w14:solidFill>
              <w14:schemeClr w14:val="tx1"/>
            </w14:solidFill>
          </w14:textFill>
        </w:rPr>
        <w:t>乙方向甲方开具发票，甲方自收到发票之日起10个工作日内支付合同总价30%的预付款;</w:t>
      </w:r>
    </w:p>
    <w:p w14:paraId="1B1B3D2D">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22" w:firstLineChars="200"/>
        <w:jc w:val="left"/>
        <w:textAlignment w:val="auto"/>
        <w:rPr>
          <w:rFonts w:hint="eastAsia" w:ascii="宋体" w:hAnsi="宋体" w:eastAsia="宋体" w:cs="宋体"/>
          <w:b/>
          <w:bCs w:val="0"/>
          <w:sz w:val="30"/>
          <w:szCs w:val="30"/>
          <w:lang w:val="en-US" w:eastAsia="zh-CN" w:bidi="ar-SA"/>
        </w:rPr>
      </w:pPr>
      <w:r>
        <w:rPr>
          <w:rFonts w:hint="default" w:ascii="宋体" w:hAnsi="宋体" w:cs="宋体"/>
          <w:b/>
          <w:bCs w:val="0"/>
          <w:i/>
          <w:iCs/>
          <w:color w:val="000000" w:themeColor="text1"/>
          <w:sz w:val="21"/>
          <w:szCs w:val="21"/>
          <w:highlight w:val="none"/>
          <w:u w:val="single"/>
          <w:lang w:val="en-US" w:eastAsia="zh-CN"/>
          <w14:textFill>
            <w14:solidFill>
              <w14:schemeClr w14:val="tx1"/>
            </w14:solidFill>
          </w14:textFill>
        </w:rPr>
        <w:t>2）项目结束</w:t>
      </w:r>
      <w:r>
        <w:rPr>
          <w:rFonts w:hint="eastAsia" w:ascii="宋体" w:hAnsi="宋体" w:cs="宋体"/>
          <w:b/>
          <w:bCs w:val="0"/>
          <w:i/>
          <w:iCs/>
          <w:color w:val="000000" w:themeColor="text1"/>
          <w:sz w:val="21"/>
          <w:szCs w:val="21"/>
          <w:highlight w:val="none"/>
          <w:u w:val="single"/>
          <w:lang w:val="en-US" w:eastAsia="zh-CN"/>
          <w14:textFill>
            <w14:solidFill>
              <w14:schemeClr w14:val="tx1"/>
            </w14:solidFill>
          </w14:textFill>
        </w:rPr>
        <w:t>后，</w:t>
      </w:r>
      <w:r>
        <w:rPr>
          <w:rFonts w:hint="default" w:ascii="宋体" w:hAnsi="宋体" w:cs="宋体"/>
          <w:b/>
          <w:bCs w:val="0"/>
          <w:i/>
          <w:iCs/>
          <w:color w:val="000000" w:themeColor="text1"/>
          <w:sz w:val="21"/>
          <w:szCs w:val="21"/>
          <w:highlight w:val="none"/>
          <w:u w:val="single"/>
          <w:lang w:val="en-US" w:eastAsia="zh-CN"/>
          <w14:textFill>
            <w14:solidFill>
              <w14:schemeClr w14:val="tx1"/>
            </w14:solidFill>
          </w14:textFill>
        </w:rPr>
        <w:t>采购人组织验收合格后，乙方向甲方开具发票，甲方自收到发票之日起10个工作日内，支付乙方合同总价的70%。</w:t>
      </w:r>
    </w:p>
    <w:p w14:paraId="5919F563">
      <w:pPr>
        <w:pageBreakBefore w:val="0"/>
        <w:spacing w:line="360" w:lineRule="auto"/>
        <w:ind w:firstLine="422"/>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九、税费</w:t>
      </w:r>
    </w:p>
    <w:p w14:paraId="7AC681D8">
      <w:pPr>
        <w:pageBreakBefore w:val="0"/>
        <w:spacing w:line="360" w:lineRule="auto"/>
        <w:ind w:firstLine="420"/>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9.1本合同执行中相关的一切税费均由乙方负担。</w:t>
      </w:r>
    </w:p>
    <w:p w14:paraId="22BD9090">
      <w:pPr>
        <w:pStyle w:val="287"/>
        <w:pageBreakBefore w:val="0"/>
        <w:numPr>
          <w:ilvl w:val="0"/>
          <w:numId w:val="7"/>
        </w:numPr>
        <w:spacing w:line="360" w:lineRule="auto"/>
        <w:ind w:firstLine="422"/>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项目验收</w:t>
      </w:r>
    </w:p>
    <w:p w14:paraId="64F79649">
      <w:pPr>
        <w:spacing w:before="156" w:after="156"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.1 甲方依法组织履约验收工作。</w:t>
      </w:r>
    </w:p>
    <w:p w14:paraId="410B50FB">
      <w:pPr>
        <w:spacing w:before="156" w:after="156"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8B18156">
      <w:pPr>
        <w:spacing w:before="156" w:after="156"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.3 对于实际使用人和甲方分离的项目，甲方邀请实际使用人参与验收。</w:t>
      </w:r>
    </w:p>
    <w:p w14:paraId="2D1ED80B">
      <w:pPr>
        <w:spacing w:before="156" w:after="156"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10.4 如有必要，甲方邀请参加本项目的其他供应商或第三方专业机构及专家参与验收，相关意见将作为验收书的参考资料。</w:t>
      </w:r>
    </w:p>
    <w:p w14:paraId="23208D39">
      <w:pPr>
        <w:spacing w:before="156" w:after="156"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95BF9BC">
      <w:pPr>
        <w:spacing w:before="156" w:after="156" w:line="360" w:lineRule="auto"/>
        <w:ind w:firstLine="420"/>
        <w:rPr>
          <w:rFonts w:ascii="Times New Roman" w:hAnsi="Times New Roman" w:eastAsia="宋体" w:cs="宋体"/>
          <w:b/>
          <w:color w:val="auto"/>
          <w:sz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35A85B30">
      <w:pPr>
        <w:pStyle w:val="287"/>
        <w:pageBreakBefore w:val="0"/>
        <w:spacing w:line="360" w:lineRule="auto"/>
        <w:ind w:firstLine="422"/>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十一、违约责任</w:t>
      </w:r>
    </w:p>
    <w:p w14:paraId="6F756C38">
      <w:pPr>
        <w:pStyle w:val="287"/>
        <w:pageBreakBefore w:val="0"/>
        <w:spacing w:line="360" w:lineRule="auto"/>
        <w:ind w:firstLine="420"/>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11.1 甲方无正当理由拒绝接受乙方提供服务的，甲方向乙方偿付拒绝接受服务合同价款总值</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的违约金。</w:t>
      </w:r>
    </w:p>
    <w:p w14:paraId="5068966B">
      <w:pPr>
        <w:pStyle w:val="287"/>
        <w:pageBreakBefore w:val="0"/>
        <w:spacing w:line="360" w:lineRule="auto"/>
        <w:ind w:firstLine="420"/>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11.2 甲方无故逾期验收和办理合同款项支付手续的，甲方应按逾期付款总额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每日向乙方支付违约金。</w:t>
      </w:r>
    </w:p>
    <w:p w14:paraId="6354E6DC">
      <w:pPr>
        <w:pStyle w:val="287"/>
        <w:pageBreakBefore w:val="0"/>
        <w:spacing w:line="360" w:lineRule="auto"/>
        <w:ind w:firstLine="420"/>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的违约金，如造成甲方损失超过违约金的，超出部分由乙方继续承担赔偿责任。 </w:t>
      </w:r>
    </w:p>
    <w:p w14:paraId="3C1E74DC">
      <w:pPr>
        <w:pStyle w:val="287"/>
        <w:pageBreakBefore w:val="0"/>
        <w:spacing w:line="360" w:lineRule="auto"/>
        <w:ind w:firstLine="420"/>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11.4 乙方所提供服务的标准不符合合同规定及采购文件规定标准的，甲方有权拒绝接受服务，并可单方面解除合同。</w:t>
      </w:r>
    </w:p>
    <w:p w14:paraId="072E685D">
      <w:pPr>
        <w:pStyle w:val="287"/>
        <w:pageBreakBefore w:val="0"/>
        <w:spacing w:line="360" w:lineRule="auto"/>
        <w:ind w:firstLine="422"/>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十二、不可抗力事件处理</w:t>
      </w:r>
    </w:p>
    <w:p w14:paraId="632E1BDD">
      <w:pPr>
        <w:pStyle w:val="287"/>
        <w:pageBreakBefore w:val="0"/>
        <w:spacing w:line="360" w:lineRule="auto"/>
        <w:ind w:firstLine="420"/>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12.1 在合同有效期内，任何一方因不可抗力事件导致不能履行合同，则合同履行期可延长，其延长期与不可抗力影响 期相同。</w:t>
      </w:r>
    </w:p>
    <w:p w14:paraId="070A9643">
      <w:pPr>
        <w:pStyle w:val="287"/>
        <w:pageBreakBefore w:val="0"/>
        <w:spacing w:line="360" w:lineRule="auto"/>
        <w:ind w:firstLine="420"/>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12.2 不可抗力事件发生后，应立即通知对方，并寄送有关权威机构出具的证明。</w:t>
      </w:r>
    </w:p>
    <w:p w14:paraId="4979C8CB">
      <w:pPr>
        <w:pStyle w:val="287"/>
        <w:pageBreakBefore w:val="0"/>
        <w:spacing w:line="360" w:lineRule="auto"/>
        <w:ind w:firstLine="420"/>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12.3 不可抗力事件延续120天以上，双方应通过友好协商，确定是否继续履行合同。</w:t>
      </w:r>
    </w:p>
    <w:p w14:paraId="5A07C36C">
      <w:pPr>
        <w:pStyle w:val="287"/>
        <w:pageBreakBefore w:val="0"/>
        <w:spacing w:line="360" w:lineRule="auto"/>
        <w:ind w:firstLine="422"/>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十三、解决争议的方法</w:t>
      </w:r>
    </w:p>
    <w:p w14:paraId="7BFE7C08">
      <w:pPr>
        <w:pStyle w:val="287"/>
        <w:pageBreakBefore w:val="0"/>
        <w:spacing w:line="360" w:lineRule="auto"/>
        <w:ind w:firstLine="420"/>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13.1双方在签订、履行合同中所发生的一切争议，应通过友好协商解决。如协商不成，由甲方住所地人民法院管辖。</w:t>
      </w:r>
    </w:p>
    <w:p w14:paraId="4C0EDFBE">
      <w:pPr>
        <w:pageBreakBefore w:val="0"/>
        <w:spacing w:line="360" w:lineRule="auto"/>
        <w:ind w:firstLine="422"/>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十四、为落实好政府采购履约资金扶持政策，乙方可凭政府采购合同办理融资贷款，详见江苏政府采购网“政采贷”专栏。</w:t>
      </w:r>
    </w:p>
    <w:p w14:paraId="768EA870">
      <w:pPr>
        <w:pStyle w:val="23"/>
        <w:pageBreakBefore w:val="0"/>
        <w:spacing w:line="360" w:lineRule="auto"/>
        <w:ind w:firstLine="422"/>
        <w:rPr>
          <w:rFonts w:ascii="Times New Roman" w:hAnsi="Times New Roman" w:eastAsia="宋体" w:cs="宋体"/>
          <w:b/>
          <w:bCs/>
          <w:color w:val="auto"/>
          <w:sz w:val="21"/>
          <w:highlight w:val="none"/>
        </w:rPr>
      </w:pPr>
      <w:r>
        <w:rPr>
          <w:rFonts w:hint="eastAsia" w:ascii="Times New Roman" w:hAnsi="Times New Roman" w:eastAsia="宋体" w:cs="宋体"/>
          <w:b/>
          <w:bCs/>
          <w:color w:val="auto"/>
          <w:sz w:val="21"/>
          <w:highlight w:val="none"/>
        </w:rPr>
        <w:t>十五、合同生效及其它</w:t>
      </w:r>
    </w:p>
    <w:p w14:paraId="4E47B8F5">
      <w:pPr>
        <w:pStyle w:val="287"/>
        <w:pageBreakBefore w:val="0"/>
        <w:spacing w:line="360" w:lineRule="auto"/>
        <w:ind w:firstLine="420"/>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15.1 合同经双方法定代表人或授权委托代表人签字并加盖单位公章后生效。</w:t>
      </w:r>
    </w:p>
    <w:p w14:paraId="10F18406">
      <w:pPr>
        <w:pStyle w:val="287"/>
        <w:pageBreakBefore w:val="0"/>
        <w:spacing w:line="360" w:lineRule="auto"/>
        <w:ind w:firstLine="420"/>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15.2本合同未尽事宜，遵照《中华人民共和国民法典》、《中华人民共和国政府采购法》有关条文执行。</w:t>
      </w:r>
    </w:p>
    <w:p w14:paraId="29D11D89">
      <w:pPr>
        <w:pStyle w:val="287"/>
        <w:pageBreakBefore w:val="0"/>
        <w:spacing w:line="360" w:lineRule="auto"/>
        <w:ind w:firstLine="420"/>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15.3 本合同正本一式肆份，具有同等法律效力，甲方、乙方各执贰份。</w:t>
      </w:r>
    </w:p>
    <w:p w14:paraId="502CEB0A">
      <w:pPr>
        <w:pStyle w:val="23"/>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 </w:t>
      </w:r>
    </w:p>
    <w:tbl>
      <w:tblPr>
        <w:tblStyle w:val="46"/>
        <w:tblW w:w="8522" w:type="dxa"/>
        <w:tblInd w:w="27" w:type="dxa"/>
        <w:tblLayout w:type="fixed"/>
        <w:tblCellMar>
          <w:top w:w="0" w:type="dxa"/>
          <w:left w:w="108" w:type="dxa"/>
          <w:bottom w:w="0" w:type="dxa"/>
          <w:right w:w="108" w:type="dxa"/>
        </w:tblCellMar>
      </w:tblPr>
      <w:tblGrid>
        <w:gridCol w:w="4284"/>
        <w:gridCol w:w="4238"/>
      </w:tblGrid>
      <w:tr w14:paraId="348F1A0A">
        <w:tblPrEx>
          <w:tblCellMar>
            <w:top w:w="0" w:type="dxa"/>
            <w:left w:w="108" w:type="dxa"/>
            <w:bottom w:w="0" w:type="dxa"/>
            <w:right w:w="108" w:type="dxa"/>
          </w:tblCellMar>
        </w:tblPrEx>
        <w:tc>
          <w:tcPr>
            <w:tcW w:w="4284" w:type="dxa"/>
            <w:tcBorders>
              <w:top w:val="nil"/>
              <w:left w:val="nil"/>
              <w:bottom w:val="nil"/>
              <w:right w:val="nil"/>
            </w:tcBorders>
            <w:noWrap w:val="0"/>
          </w:tcPr>
          <w:p w14:paraId="5DE668A0">
            <w:pPr>
              <w:pStyle w:val="23"/>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 </w:t>
            </w:r>
          </w:p>
        </w:tc>
        <w:tc>
          <w:tcPr>
            <w:tcW w:w="4238" w:type="dxa"/>
            <w:tcBorders>
              <w:top w:val="nil"/>
              <w:left w:val="nil"/>
              <w:bottom w:val="nil"/>
              <w:right w:val="nil"/>
            </w:tcBorders>
            <w:noWrap w:val="0"/>
          </w:tcPr>
          <w:p w14:paraId="0C36F7DB">
            <w:pPr>
              <w:pStyle w:val="23"/>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 </w:t>
            </w:r>
          </w:p>
        </w:tc>
      </w:tr>
      <w:tr w14:paraId="0731291E">
        <w:tblPrEx>
          <w:tblCellMar>
            <w:top w:w="0" w:type="dxa"/>
            <w:left w:w="108" w:type="dxa"/>
            <w:bottom w:w="0" w:type="dxa"/>
            <w:right w:w="108" w:type="dxa"/>
          </w:tblCellMar>
        </w:tblPrEx>
        <w:tc>
          <w:tcPr>
            <w:tcW w:w="4284" w:type="dxa"/>
            <w:tcBorders>
              <w:top w:val="nil"/>
              <w:left w:val="nil"/>
              <w:bottom w:val="nil"/>
              <w:right w:val="nil"/>
            </w:tcBorders>
            <w:noWrap w:val="0"/>
          </w:tcPr>
          <w:p w14:paraId="7C501765">
            <w:pPr>
              <w:pStyle w:val="23"/>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p>
        </w:tc>
        <w:tc>
          <w:tcPr>
            <w:tcW w:w="4238" w:type="dxa"/>
            <w:tcBorders>
              <w:top w:val="nil"/>
              <w:left w:val="nil"/>
              <w:bottom w:val="nil"/>
              <w:right w:val="nil"/>
            </w:tcBorders>
            <w:noWrap w:val="0"/>
          </w:tcPr>
          <w:p w14:paraId="08C26A7D">
            <w:pPr>
              <w:pStyle w:val="23"/>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p>
        </w:tc>
      </w:tr>
      <w:tr w14:paraId="7C058B2D">
        <w:tblPrEx>
          <w:tblCellMar>
            <w:top w:w="0" w:type="dxa"/>
            <w:left w:w="108" w:type="dxa"/>
            <w:bottom w:w="0" w:type="dxa"/>
            <w:right w:w="108" w:type="dxa"/>
          </w:tblCellMar>
        </w:tblPrEx>
        <w:tc>
          <w:tcPr>
            <w:tcW w:w="4284" w:type="dxa"/>
            <w:tcBorders>
              <w:top w:val="nil"/>
              <w:left w:val="nil"/>
              <w:bottom w:val="nil"/>
              <w:right w:val="nil"/>
            </w:tcBorders>
            <w:noWrap w:val="0"/>
          </w:tcPr>
          <w:p w14:paraId="2202F5BF">
            <w:pPr>
              <w:pStyle w:val="23"/>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法定代表人或授权代表：</w:t>
            </w:r>
          </w:p>
        </w:tc>
        <w:tc>
          <w:tcPr>
            <w:tcW w:w="4238" w:type="dxa"/>
            <w:tcBorders>
              <w:top w:val="nil"/>
              <w:left w:val="nil"/>
              <w:bottom w:val="nil"/>
              <w:right w:val="nil"/>
            </w:tcBorders>
            <w:noWrap w:val="0"/>
          </w:tcPr>
          <w:p w14:paraId="18C16588">
            <w:pPr>
              <w:pStyle w:val="23"/>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法定代表人或授权代表：</w:t>
            </w:r>
          </w:p>
        </w:tc>
      </w:tr>
      <w:tr w14:paraId="26513C85">
        <w:tblPrEx>
          <w:tblCellMar>
            <w:top w:w="0" w:type="dxa"/>
            <w:left w:w="108" w:type="dxa"/>
            <w:bottom w:w="0" w:type="dxa"/>
            <w:right w:w="108" w:type="dxa"/>
          </w:tblCellMar>
        </w:tblPrEx>
        <w:tc>
          <w:tcPr>
            <w:tcW w:w="4284" w:type="dxa"/>
            <w:tcBorders>
              <w:top w:val="nil"/>
              <w:left w:val="nil"/>
              <w:bottom w:val="nil"/>
              <w:right w:val="nil"/>
            </w:tcBorders>
            <w:noWrap w:val="0"/>
          </w:tcPr>
          <w:p w14:paraId="7865C7C1">
            <w:pPr>
              <w:pStyle w:val="23"/>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联系电话：</w:t>
            </w:r>
          </w:p>
        </w:tc>
        <w:tc>
          <w:tcPr>
            <w:tcW w:w="4238" w:type="dxa"/>
            <w:tcBorders>
              <w:top w:val="nil"/>
              <w:left w:val="nil"/>
              <w:bottom w:val="nil"/>
              <w:right w:val="nil"/>
            </w:tcBorders>
            <w:noWrap w:val="0"/>
          </w:tcPr>
          <w:p w14:paraId="49B908A5">
            <w:pPr>
              <w:pStyle w:val="23"/>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联系电话：</w:t>
            </w:r>
          </w:p>
        </w:tc>
      </w:tr>
      <w:tr w14:paraId="4849D0E6">
        <w:tblPrEx>
          <w:tblCellMar>
            <w:top w:w="0" w:type="dxa"/>
            <w:left w:w="108" w:type="dxa"/>
            <w:bottom w:w="0" w:type="dxa"/>
            <w:right w:w="108" w:type="dxa"/>
          </w:tblCellMar>
        </w:tblPrEx>
        <w:tc>
          <w:tcPr>
            <w:tcW w:w="4284" w:type="dxa"/>
            <w:tcBorders>
              <w:top w:val="nil"/>
              <w:left w:val="nil"/>
              <w:bottom w:val="nil"/>
              <w:right w:val="nil"/>
            </w:tcBorders>
            <w:noWrap w:val="0"/>
          </w:tcPr>
          <w:p w14:paraId="0D1A03F9">
            <w:pPr>
              <w:pStyle w:val="23"/>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  </w:t>
            </w:r>
          </w:p>
        </w:tc>
        <w:tc>
          <w:tcPr>
            <w:tcW w:w="4238" w:type="dxa"/>
            <w:tcBorders>
              <w:top w:val="nil"/>
              <w:left w:val="nil"/>
              <w:bottom w:val="nil"/>
              <w:right w:val="nil"/>
            </w:tcBorders>
            <w:noWrap w:val="0"/>
          </w:tcPr>
          <w:p w14:paraId="3E527942">
            <w:pPr>
              <w:pStyle w:val="23"/>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日期：      年    月    日</w:t>
            </w:r>
          </w:p>
        </w:tc>
      </w:tr>
    </w:tbl>
    <w:p w14:paraId="31357D17">
      <w:pPr>
        <w:pageBreakBefore w:val="0"/>
        <w:spacing w:line="360" w:lineRule="auto"/>
        <w:jc w:val="center"/>
        <w:rPr>
          <w:rFonts w:ascii="Times New Roman" w:hAnsi="Times New Roman" w:eastAsia="宋体" w:cs="宋体"/>
          <w:color w:val="auto"/>
          <w:szCs w:val="21"/>
          <w:highlight w:val="none"/>
        </w:rPr>
      </w:pPr>
    </w:p>
    <w:p w14:paraId="49D74655">
      <w:pPr>
        <w:spacing w:before="120" w:after="120" w:line="400" w:lineRule="exact"/>
        <w:jc w:val="center"/>
        <w:rPr>
          <w:rFonts w:hint="eastAsia" w:ascii="宋体" w:hAnsi="宋体"/>
          <w:b/>
          <w:bCs/>
          <w:color w:val="000000" w:themeColor="text1"/>
          <w:sz w:val="36"/>
          <w:szCs w:val="44"/>
          <w:highlight w:val="none"/>
          <w14:textFill>
            <w14:solidFill>
              <w14:schemeClr w14:val="tx1"/>
            </w14:solidFill>
          </w14:textFill>
        </w:rPr>
      </w:pPr>
      <w:bookmarkStart w:id="50" w:name="_Toc500859148"/>
    </w:p>
    <w:p w14:paraId="37F0DA81">
      <w:pPr>
        <w:spacing w:before="120" w:after="120" w:line="400" w:lineRule="exact"/>
        <w:jc w:val="center"/>
        <w:rPr>
          <w:rFonts w:hint="eastAsia" w:ascii="宋体" w:hAnsi="宋体"/>
          <w:b/>
          <w:bCs/>
          <w:color w:val="000000" w:themeColor="text1"/>
          <w:sz w:val="36"/>
          <w:szCs w:val="44"/>
          <w:highlight w:val="none"/>
          <w14:textFill>
            <w14:solidFill>
              <w14:schemeClr w14:val="tx1"/>
            </w14:solidFill>
          </w14:textFill>
        </w:rPr>
      </w:pPr>
    </w:p>
    <w:p w14:paraId="66A421BD">
      <w:pPr>
        <w:spacing w:before="120" w:after="120" w:line="400" w:lineRule="exact"/>
        <w:jc w:val="center"/>
        <w:rPr>
          <w:rFonts w:hint="eastAsia" w:ascii="宋体" w:hAnsi="宋体"/>
          <w:b/>
          <w:bCs/>
          <w:color w:val="000000" w:themeColor="text1"/>
          <w:sz w:val="36"/>
          <w:szCs w:val="44"/>
          <w:highlight w:val="none"/>
          <w14:textFill>
            <w14:solidFill>
              <w14:schemeClr w14:val="tx1"/>
            </w14:solidFill>
          </w14:textFill>
        </w:rPr>
      </w:pPr>
    </w:p>
    <w:p w14:paraId="48573D16">
      <w:pPr>
        <w:spacing w:before="120" w:after="120" w:line="400" w:lineRule="exact"/>
        <w:jc w:val="center"/>
        <w:rPr>
          <w:rFonts w:ascii="宋体" w:hAnsi="宋体" w:cs="宋体"/>
          <w:b/>
          <w:color w:val="000000" w:themeColor="text1"/>
          <w:szCs w:val="21"/>
          <w:highlight w:val="none"/>
          <w14:textFill>
            <w14:solidFill>
              <w14:schemeClr w14:val="tx1"/>
            </w14:solidFill>
          </w14:textFill>
        </w:rPr>
      </w:pPr>
      <w:r>
        <w:rPr>
          <w:rFonts w:hint="eastAsia" w:ascii="宋体" w:hAnsi="宋体"/>
          <w:b/>
          <w:bCs/>
          <w:color w:val="000000" w:themeColor="text1"/>
          <w:sz w:val="36"/>
          <w:szCs w:val="44"/>
          <w:highlight w:val="none"/>
          <w14:textFill>
            <w14:solidFill>
              <w14:schemeClr w14:val="tx1"/>
            </w14:solidFill>
          </w14:textFill>
        </w:rPr>
        <w:t>第四章 项目需求</w:t>
      </w:r>
    </w:p>
    <w:p w14:paraId="78031F56">
      <w:pPr>
        <w:spacing w:line="360" w:lineRule="auto"/>
        <w:ind w:left="495" w:hanging="495"/>
        <w:rPr>
          <w:rFonts w:hint="eastAsia" w:ascii="宋体" w:hAnsi="宋体" w:eastAsia="宋体" w:cs="宋体"/>
          <w:color w:val="000000"/>
          <w:sz w:val="21"/>
          <w:szCs w:val="21"/>
        </w:rPr>
      </w:pPr>
      <w:r>
        <w:rPr>
          <w:rFonts w:hint="eastAsia" w:ascii="宋体" w:hAnsi="宋体" w:eastAsia="宋体" w:cs="宋体"/>
          <w:b/>
          <w:color w:val="000000"/>
          <w:sz w:val="21"/>
          <w:szCs w:val="21"/>
        </w:rPr>
        <w:t>项目属性</w:t>
      </w:r>
      <w:r>
        <w:rPr>
          <w:rFonts w:hint="eastAsia" w:ascii="宋体" w:hAnsi="宋体" w:cs="宋体"/>
          <w:b/>
          <w:color w:val="000000"/>
          <w:sz w:val="21"/>
          <w:szCs w:val="21"/>
          <w:lang w:eastAsia="zh-CN"/>
        </w:rPr>
        <w:t>：</w:t>
      </w:r>
      <w:r>
        <w:rPr>
          <w:rFonts w:hint="eastAsia" w:ascii="宋体" w:hAnsi="宋体" w:eastAsia="宋体" w:cs="宋体"/>
          <w:b/>
          <w:color w:val="000000"/>
          <w:sz w:val="21"/>
          <w:szCs w:val="21"/>
        </w:rPr>
        <w:t>服务类项目</w:t>
      </w:r>
    </w:p>
    <w:p w14:paraId="363F59BF">
      <w:pPr>
        <w:pStyle w:val="222"/>
        <w:spacing w:line="360" w:lineRule="auto"/>
        <w:ind w:left="0" w:firstLine="420"/>
        <w:rPr>
          <w:rFonts w:hint="eastAsia" w:ascii="宋体" w:hAnsi="宋体" w:eastAsia="宋体" w:cs="宋体"/>
          <w:b/>
          <w:bCs/>
          <w:sz w:val="21"/>
          <w:szCs w:val="21"/>
        </w:rPr>
      </w:pPr>
      <w:r>
        <w:rPr>
          <w:rFonts w:hint="eastAsia" w:ascii="宋体" w:hAnsi="宋体" w:eastAsia="宋体" w:cs="宋体"/>
          <w:sz w:val="21"/>
          <w:szCs w:val="21"/>
        </w:rPr>
        <w:t>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宋体" w:hAnsi="宋体" w:eastAsia="宋体" w:cs="宋体"/>
          <w:i/>
          <w:sz w:val="21"/>
          <w:szCs w:val="21"/>
          <w:u w:val="single"/>
        </w:rPr>
        <w:t>节能产品、环境标志产品品目清单以递交响应文件截止时已正式公布的最近一期信息为准，</w:t>
      </w:r>
      <w:r>
        <w:rPr>
          <w:rFonts w:hint="eastAsia" w:ascii="宋体" w:hAnsi="宋体" w:eastAsia="宋体" w:cs="宋体"/>
          <w:bCs/>
          <w:i/>
          <w:iCs/>
          <w:sz w:val="21"/>
          <w:szCs w:val="21"/>
          <w:u w:val="single"/>
        </w:rPr>
        <w:t>如属政府强制采购产品未提供认证证书的或认证证书提供不全的将视为未实质性响应采购要求</w:t>
      </w:r>
      <w:r>
        <w:rPr>
          <w:rFonts w:hint="eastAsia" w:ascii="宋体" w:hAnsi="宋体" w:eastAsia="宋体" w:cs="宋体"/>
          <w:i/>
          <w:sz w:val="21"/>
          <w:szCs w:val="21"/>
          <w:u w:val="single"/>
        </w:rPr>
        <w:t>。</w:t>
      </w:r>
      <w:r>
        <w:rPr>
          <w:rFonts w:hint="eastAsia" w:ascii="宋体" w:hAnsi="宋体" w:eastAsia="宋体" w:cs="宋体"/>
          <w:sz w:val="21"/>
          <w:szCs w:val="21"/>
        </w:rPr>
        <w:t>其他条件相同情况下，应当优先采购节能产品、环境标志产品。</w:t>
      </w:r>
    </w:p>
    <w:p w14:paraId="1538E56D">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20" w:firstLineChars="200"/>
        <w:jc w:val="left"/>
        <w:textAlignment w:val="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2.供应商对于投标产品的包装应按照“财办库〔2020〕123号《关于印发《商品包装政府采购需求标准（试行）》、《快递包装政府采购需求标准（试行）》的通知》”执行。</w:t>
      </w:r>
    </w:p>
    <w:p w14:paraId="3219074E">
      <w:pPr>
        <w:pStyle w:val="16"/>
        <w:spacing w:line="360" w:lineRule="auto"/>
        <w:ind w:firstLine="42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3.政府采购中实施本国产品标准及相关政策</w:t>
      </w:r>
    </w:p>
    <w:p w14:paraId="5BE77FA9">
      <w:pPr>
        <w:pStyle w:val="16"/>
        <w:spacing w:line="360" w:lineRule="auto"/>
        <w:ind w:firstLine="42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3.1本项目对采购本国产品给予政策支持，具体内容见招标文件“第五章 评标方法及评标标准”。</w:t>
      </w:r>
    </w:p>
    <w:p w14:paraId="6F6F07DB">
      <w:pPr>
        <w:pStyle w:val="16"/>
        <w:spacing w:line="360" w:lineRule="auto"/>
        <w:ind w:firstLine="42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4F3779D">
      <w:pPr>
        <w:pStyle w:val="16"/>
        <w:spacing w:line="360" w:lineRule="auto"/>
        <w:ind w:firstLine="420" w:firstLineChars="20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76707C3">
      <w:pPr>
        <w:ind w:firstLine="420" w:firstLineChars="200"/>
        <w:rPr>
          <w:rFonts w:hint="eastAsia"/>
          <w:lang w:val="en-US" w:eastAsia="zh-CN"/>
        </w:rPr>
      </w:pPr>
      <w:r>
        <w:rPr>
          <w:rFonts w:hint="eastAsia" w:ascii="宋体" w:hAnsi="宋体" w:cs="宋体"/>
          <w:color w:val="000000"/>
          <w:sz w:val="21"/>
          <w:szCs w:val="21"/>
          <w:lang w:val="en-US" w:eastAsia="zh-CN"/>
        </w:rPr>
        <w:t>4</w:t>
      </w:r>
      <w:r>
        <w:rPr>
          <w:rFonts w:hint="eastAsia" w:ascii="宋体" w:hAnsi="宋体" w:eastAsia="宋体" w:cs="宋体"/>
          <w:color w:val="000000"/>
          <w:sz w:val="21"/>
          <w:szCs w:val="21"/>
        </w:rPr>
        <w:t>.采购标的清单</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
        <w:gridCol w:w="3671"/>
        <w:gridCol w:w="3517"/>
      </w:tblGrid>
      <w:tr w14:paraId="7377A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jc w:val="center"/>
        </w:trPr>
        <w:tc>
          <w:tcPr>
            <w:tcW w:w="928" w:type="dxa"/>
            <w:noWrap w:val="0"/>
            <w:vAlign w:val="center"/>
          </w:tcPr>
          <w:p w14:paraId="1BFAD21B">
            <w:pPr>
              <w:keepNext w:val="0"/>
              <w:keepLines w:val="0"/>
              <w:pageBreakBefore w:val="0"/>
              <w:widowControl w:val="0"/>
              <w:pBdr>
                <w:top w:val="none" w:color="000000" w:sz="0" w:space="0"/>
                <w:left w:val="none" w:color="000000" w:sz="0" w:space="0"/>
                <w:bottom w:val="none" w:color="000000" w:sz="0" w:space="0"/>
                <w:right w:val="none" w:color="000000" w:sz="0" w:space="0"/>
              </w:pBdr>
              <w:spacing w:line="240" w:lineRule="auto"/>
              <w:ind w:left="0" w:right="0" w:firstLine="0"/>
              <w:jc w:val="center"/>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序号</w:t>
            </w:r>
          </w:p>
        </w:tc>
        <w:tc>
          <w:tcPr>
            <w:tcW w:w="3671" w:type="dxa"/>
            <w:noWrap w:val="0"/>
            <w:vAlign w:val="center"/>
          </w:tcPr>
          <w:p w14:paraId="7CF9F5B2">
            <w:pPr>
              <w:keepNext w:val="0"/>
              <w:keepLines w:val="0"/>
              <w:pageBreakBefore w:val="0"/>
              <w:widowControl w:val="0"/>
              <w:pBdr>
                <w:top w:val="none" w:color="000000" w:sz="0" w:space="0"/>
                <w:left w:val="none" w:color="000000" w:sz="0" w:space="0"/>
                <w:bottom w:val="none" w:color="000000" w:sz="0" w:space="0"/>
                <w:right w:val="none" w:color="000000" w:sz="0" w:space="0"/>
              </w:pBdr>
              <w:spacing w:line="240" w:lineRule="auto"/>
              <w:ind w:left="0" w:right="0" w:firstLine="0"/>
              <w:jc w:val="center"/>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采购</w:t>
            </w:r>
            <w:r>
              <w:rPr>
                <w:rFonts w:ascii="Times New Roman" w:hAnsi="Times New Roman" w:eastAsia="宋体" w:cs="宋体"/>
                <w:color w:val="auto"/>
                <w:sz w:val="21"/>
                <w:szCs w:val="21"/>
                <w:highlight w:val="none"/>
              </w:rPr>
              <w:t>标的</w:t>
            </w:r>
          </w:p>
        </w:tc>
        <w:tc>
          <w:tcPr>
            <w:tcW w:w="3517" w:type="dxa"/>
            <w:noWrap w:val="0"/>
            <w:vAlign w:val="center"/>
          </w:tcPr>
          <w:p w14:paraId="56947C75">
            <w:pPr>
              <w:keepNext w:val="0"/>
              <w:keepLines w:val="0"/>
              <w:pageBreakBefore w:val="0"/>
              <w:widowControl w:val="0"/>
              <w:pBdr>
                <w:top w:val="none" w:color="000000" w:sz="0" w:space="0"/>
                <w:left w:val="none" w:color="000000" w:sz="0" w:space="0"/>
                <w:bottom w:val="none" w:color="000000" w:sz="0" w:space="0"/>
                <w:right w:val="none" w:color="000000" w:sz="0" w:space="0"/>
              </w:pBdr>
              <w:spacing w:line="240" w:lineRule="auto"/>
              <w:ind w:left="0" w:right="0" w:firstLine="0"/>
              <w:jc w:val="center"/>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对应中</w:t>
            </w:r>
            <w:r>
              <w:rPr>
                <w:rFonts w:ascii="Times New Roman" w:hAnsi="Times New Roman" w:eastAsia="宋体" w:cs="宋体"/>
                <w:color w:val="auto"/>
                <w:sz w:val="21"/>
                <w:szCs w:val="21"/>
                <w:highlight w:val="none"/>
              </w:rPr>
              <w:t>小企业划分标准所属行业</w:t>
            </w:r>
          </w:p>
        </w:tc>
      </w:tr>
      <w:tr w14:paraId="6BBF8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1" w:hRule="atLeast"/>
          <w:jc w:val="center"/>
        </w:trPr>
        <w:tc>
          <w:tcPr>
            <w:tcW w:w="928" w:type="dxa"/>
            <w:noWrap w:val="0"/>
            <w:vAlign w:val="center"/>
          </w:tcPr>
          <w:p w14:paraId="790E73DD">
            <w:pPr>
              <w:keepNext w:val="0"/>
              <w:keepLines w:val="0"/>
              <w:pageBreakBefore w:val="0"/>
              <w:widowControl w:val="0"/>
              <w:pBdr>
                <w:top w:val="none" w:color="000000" w:sz="0" w:space="0"/>
                <w:left w:val="none" w:color="000000" w:sz="0" w:space="0"/>
                <w:bottom w:val="none" w:color="000000" w:sz="0" w:space="0"/>
                <w:right w:val="none" w:color="000000" w:sz="0" w:space="0"/>
              </w:pBdr>
              <w:spacing w:line="240" w:lineRule="auto"/>
              <w:ind w:left="0" w:right="0" w:firstLine="0"/>
              <w:jc w:val="center"/>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1</w:t>
            </w:r>
          </w:p>
        </w:tc>
        <w:tc>
          <w:tcPr>
            <w:tcW w:w="3671" w:type="dxa"/>
            <w:noWrap w:val="0"/>
            <w:vAlign w:val="center"/>
          </w:tcPr>
          <w:p w14:paraId="27663269">
            <w:pPr>
              <w:pStyle w:val="220"/>
              <w:keepNext w:val="0"/>
              <w:keepLines w:val="0"/>
              <w:pageBreakBefore w:val="0"/>
              <w:widowControl/>
              <w:spacing w:line="240" w:lineRule="auto"/>
              <w:ind w:left="0" w:right="-420" w:firstLine="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宝应县泾河镇刘上村建筑垃圾消纳场</w:t>
            </w:r>
          </w:p>
          <w:p w14:paraId="66BB8DBC">
            <w:pPr>
              <w:pStyle w:val="220"/>
              <w:keepNext w:val="0"/>
              <w:keepLines w:val="0"/>
              <w:pageBreakBefore w:val="0"/>
              <w:widowControl/>
              <w:spacing w:line="240" w:lineRule="auto"/>
              <w:ind w:left="0" w:right="-420" w:firstLine="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综合治理项目</w:t>
            </w:r>
          </w:p>
        </w:tc>
        <w:tc>
          <w:tcPr>
            <w:tcW w:w="3517" w:type="dxa"/>
            <w:noWrap w:val="0"/>
            <w:vAlign w:val="center"/>
          </w:tcPr>
          <w:p w14:paraId="33ED9AE8">
            <w:pPr>
              <w:keepNext w:val="0"/>
              <w:keepLines w:val="0"/>
              <w:pageBreakBefore w:val="0"/>
              <w:widowControl w:val="0"/>
              <w:pBdr>
                <w:top w:val="none" w:color="000000" w:sz="0" w:space="0"/>
                <w:left w:val="none" w:color="000000" w:sz="0" w:space="0"/>
                <w:bottom w:val="none" w:color="000000" w:sz="0" w:space="0"/>
                <w:right w:val="none" w:color="000000" w:sz="0" w:space="0"/>
              </w:pBdr>
              <w:spacing w:line="240" w:lineRule="auto"/>
              <w:ind w:left="0" w:right="0" w:firstLine="0"/>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其他未列明行业</w:t>
            </w:r>
          </w:p>
        </w:tc>
      </w:tr>
    </w:tbl>
    <w:p w14:paraId="291B1AF1">
      <w:pPr>
        <w:keepNext w:val="0"/>
        <w:keepLines w:val="0"/>
        <w:pageBreakBefore w:val="0"/>
        <w:numPr>
          <w:ilvl w:val="0"/>
          <w:numId w:val="0"/>
        </w:numPr>
        <w:kinsoku/>
        <w:wordWrap/>
        <w:overflowPunct/>
        <w:topLinePunct w:val="0"/>
        <w:autoSpaceDE/>
        <w:autoSpaceDN/>
        <w:bidi w:val="0"/>
        <w:adjustRightInd/>
        <w:snapToGrid/>
        <w:spacing w:line="360" w:lineRule="exact"/>
        <w:ind w:firstLine="402" w:firstLineChars="200"/>
        <w:textAlignment w:val="auto"/>
        <w:rPr>
          <w:rFonts w:hint="eastAsia" w:ascii="宋体" w:hAnsi="宋体" w:eastAsia="宋体"/>
          <w:color w:val="auto"/>
          <w:sz w:val="20"/>
          <w:szCs w:val="21"/>
          <w:lang w:val="en-US" w:eastAsia="zh-CN"/>
        </w:rPr>
      </w:pPr>
      <w:r>
        <w:rPr>
          <w:rFonts w:hint="eastAsia"/>
          <w:b/>
          <w:color w:val="000000" w:themeColor="text1"/>
          <w:sz w:val="20"/>
          <w:szCs w:val="21"/>
          <w:highlight w:val="none"/>
          <w:lang w:val="en-US" w:eastAsia="zh-CN"/>
          <w14:textFill>
            <w14:solidFill>
              <w14:schemeClr w14:val="tx1"/>
            </w14:solidFill>
          </w14:textFill>
        </w:rPr>
        <w:t>一</w:t>
      </w:r>
      <w:r>
        <w:rPr>
          <w:rFonts w:hint="eastAsia" w:ascii="宋体" w:hAnsi="宋体" w:eastAsia="宋体" w:cs="Times New Roman"/>
          <w:color w:val="auto"/>
          <w:sz w:val="20"/>
          <w:szCs w:val="22"/>
          <w:lang w:val="en-US" w:eastAsia="zh-CN" w:bidi="ar-SA"/>
        </w:rPr>
        <w:t>、</w:t>
      </w:r>
      <w:r>
        <w:rPr>
          <w:rFonts w:hint="eastAsia" w:ascii="宋体" w:hAnsi="宋体" w:cs="宋体"/>
          <w:b/>
          <w:bCs/>
          <w:sz w:val="20"/>
          <w:szCs w:val="20"/>
          <w:lang w:val="en-US" w:eastAsia="zh-CN"/>
        </w:rPr>
        <w:t>采购需求</w:t>
      </w:r>
    </w:p>
    <w:p w14:paraId="1D4FE2ED">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对泾河镇刘上村建筑垃圾消纳场内的垃圾进行综合治理，综合治理过程需符合国家有关部门规定的相应技术、节能、安全和环保标准。</w:t>
      </w:r>
    </w:p>
    <w:p w14:paraId="7924E766">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02" w:firstLineChars="200"/>
        <w:textAlignment w:val="auto"/>
        <w:rPr>
          <w:rFonts w:hint="default" w:ascii="宋体" w:hAnsi="宋体" w:cs="宋体"/>
          <w:b/>
          <w:bCs/>
          <w:color w:val="auto"/>
          <w:sz w:val="20"/>
          <w:szCs w:val="20"/>
          <w:lang w:val="en-US" w:eastAsia="zh-CN"/>
        </w:rPr>
      </w:pPr>
      <w:r>
        <w:rPr>
          <w:rFonts w:hint="eastAsia" w:ascii="宋体" w:hAnsi="宋体" w:cs="宋体"/>
          <w:b/>
          <w:bCs/>
          <w:color w:val="auto"/>
          <w:sz w:val="20"/>
          <w:szCs w:val="20"/>
          <w:lang w:val="en-US" w:eastAsia="zh-CN"/>
        </w:rPr>
        <w:t>二、项目背景</w:t>
      </w:r>
    </w:p>
    <w:p w14:paraId="74423B9C">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宝应县泾河镇刘上村南李庄组建筑垃圾消纳场综合治理项目位于江苏省扬州市宝应县泾河镇刘上村南李庄组，该地块北邻农田、南邻墓地、东邻农田、西邻新建厂房，占地约20亩，总面积约为13743m2。根据2024年场地调查报告，该建筑垃圾消纳场填埋物包括各类建筑垃圾和少量生活垃圾等，现对存量垃圾进行开挖筛分治理。</w:t>
      </w:r>
    </w:p>
    <w:p w14:paraId="736E96B8">
      <w:pPr>
        <w:pStyle w:val="32"/>
        <w:keepNext w:val="0"/>
        <w:keepLines w:val="0"/>
        <w:pageBreakBefore w:val="0"/>
        <w:numPr>
          <w:ilvl w:val="0"/>
          <w:numId w:val="0"/>
        </w:numPr>
        <w:kinsoku/>
        <w:wordWrap/>
        <w:overflowPunct/>
        <w:topLinePunct w:val="0"/>
        <w:autoSpaceDE/>
        <w:autoSpaceDN/>
        <w:bidi w:val="0"/>
        <w:adjustRightInd/>
        <w:snapToGrid/>
        <w:spacing w:line="360" w:lineRule="exact"/>
        <w:ind w:firstLine="402" w:firstLineChars="200"/>
        <w:jc w:val="both"/>
        <w:textAlignment w:val="auto"/>
        <w:rPr>
          <w:rFonts w:hint="default" w:ascii="宋体" w:hAnsi="宋体" w:cs="宋体"/>
          <w:b/>
          <w:bCs/>
          <w:color w:val="auto"/>
          <w:sz w:val="20"/>
          <w:szCs w:val="20"/>
          <w:lang w:val="en-US" w:eastAsia="zh-CN" w:bidi="ar-SA"/>
        </w:rPr>
      </w:pPr>
      <w:r>
        <w:rPr>
          <w:rFonts w:hint="eastAsia" w:ascii="宋体" w:hAnsi="宋体" w:cs="宋体"/>
          <w:b/>
          <w:bCs/>
          <w:color w:val="auto"/>
          <w:sz w:val="20"/>
          <w:szCs w:val="20"/>
          <w:lang w:val="en-US" w:eastAsia="zh-CN" w:bidi="ar-SA"/>
        </w:rPr>
        <w:t>三</w:t>
      </w:r>
      <w:r>
        <w:rPr>
          <w:rFonts w:hint="eastAsia" w:ascii="宋体" w:hAnsi="宋体" w:eastAsia="宋体" w:cs="宋体"/>
          <w:b/>
          <w:bCs/>
          <w:color w:val="auto"/>
          <w:sz w:val="20"/>
          <w:szCs w:val="20"/>
          <w:lang w:val="en-US" w:eastAsia="zh-CN" w:bidi="ar-SA"/>
        </w:rPr>
        <w:t>、</w:t>
      </w:r>
      <w:r>
        <w:rPr>
          <w:rFonts w:hint="eastAsia" w:ascii="宋体" w:hAnsi="宋体" w:cs="宋体"/>
          <w:b/>
          <w:bCs/>
          <w:color w:val="auto"/>
          <w:sz w:val="20"/>
          <w:szCs w:val="20"/>
          <w:lang w:val="en-US" w:eastAsia="zh-CN" w:bidi="ar-SA"/>
        </w:rPr>
        <w:t>服务内容</w:t>
      </w:r>
    </w:p>
    <w:p w14:paraId="26D78A43">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本项目处置垃圾工程量共计约30000立方米，合计约33000吨（密度约1.1t/m³）。本项目设计的开挖量为500吨/天，合并施工过程中重合施工时间，预计施工阶段需要90天。现场施工过程主要包括开挖、原地筛分、装车外运处置、基坑废水和冲洗废水的现场预处理及最后转运处置、清挖验收。</w:t>
      </w:r>
    </w:p>
    <w:p w14:paraId="787FD326">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1、本项目采用“开挖+原地筛分+外运处置”的处理工艺，本项目主要项目内容包括：</w:t>
      </w:r>
    </w:p>
    <w:p w14:paraId="03AFF02B">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（1）垃圾开挖工</w:t>
      </w:r>
    </w:p>
    <w:p w14:paraId="4885138C">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（2）垃圾筛分及外运处置</w:t>
      </w:r>
    </w:p>
    <w:p w14:paraId="0B5FF27B">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（3）渗滤液处理</w:t>
      </w:r>
    </w:p>
    <w:p w14:paraId="050EA725">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（4）开挖过程中环境治理</w:t>
      </w:r>
    </w:p>
    <w:p w14:paraId="6A210424">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2、垃圾开挖项目是填埋作业的逆序项目，应按现代化垃圾卫生填埋场要求进行科学设计，并建立完善的、操作性强的挖掘作业管理制度。针对本项目建筑垃圾堆放区在开挖过程中需注意以下几点：</w:t>
      </w:r>
    </w:p>
    <w:p w14:paraId="06F89EB0">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bookmarkStart w:id="51" w:name="_Toc30957"/>
      <w:r>
        <w:rPr>
          <w:rFonts w:hint="eastAsia" w:ascii="宋体" w:hAnsi="宋体" w:eastAsia="宋体" w:cs="宋体"/>
          <w:sz w:val="21"/>
          <w:szCs w:val="21"/>
          <w:lang w:val="en-US" w:eastAsia="zh-CN" w:bidi="ar-SA"/>
        </w:rPr>
        <w:t>2.1安全优先，稳定可控</w:t>
      </w:r>
      <w:bookmarkEnd w:id="51"/>
    </w:p>
    <w:p w14:paraId="049F11E9">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开挖前必须对现状垃圾堆放区域进行稳定性安全性评估，分析垃圾堆放区域塌方等风险发生的可能性，并针对可能产生的安全隐患采取处置措施。开挖过程中严格控制边坡坡度和分层高度，边坡坡度控制在1:3以内，边坡高度小于5m，严禁超挖。不间断关注垃圾堆放区域边坡位移变形，并与当日开挖位置、深度、降雨、温度、水位等指标综合分析，动态反馈指导下一步施工，确保垃圾堆放区域始终处于稳定可控状态。</w:t>
      </w:r>
    </w:p>
    <w:p w14:paraId="53B33558">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bookmarkStart w:id="52" w:name="_Toc22964"/>
      <w:r>
        <w:rPr>
          <w:rFonts w:hint="eastAsia" w:ascii="宋体" w:hAnsi="宋体" w:eastAsia="宋体" w:cs="宋体"/>
          <w:sz w:val="21"/>
          <w:szCs w:val="21"/>
          <w:lang w:val="en-US" w:eastAsia="zh-CN" w:bidi="ar-SA"/>
        </w:rPr>
        <w:t>2.2分区分层，有序推进</w:t>
      </w:r>
      <w:bookmarkEnd w:id="52"/>
    </w:p>
    <w:p w14:paraId="24E6FD2A">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根据每日开挖规模确定当日开挖区范围，采用挖掘机对开挖区域进行开挖，不断往</w:t>
      </w:r>
      <w:r>
        <w:rPr>
          <w:rFonts w:hint="eastAsia" w:ascii="宋体" w:hAnsi="宋体" w:cs="宋体"/>
          <w:sz w:val="21"/>
          <w:szCs w:val="21"/>
          <w:lang w:val="en-US" w:eastAsia="zh-CN" w:bidi="ar-SA"/>
        </w:rPr>
        <w:t>后倒退式进行开挖</w:t>
      </w:r>
      <w:r>
        <w:rPr>
          <w:rFonts w:hint="eastAsia" w:ascii="宋体" w:hAnsi="宋体" w:eastAsia="宋体" w:cs="宋体"/>
          <w:sz w:val="21"/>
          <w:szCs w:val="21"/>
          <w:lang w:val="en-US" w:eastAsia="zh-CN" w:bidi="ar-SA"/>
        </w:rPr>
        <w:t>。开挖作业面不超过当日开挖量的1/4，即规模为500吨/天，作业面不超过125m²（按垃圾容重约1.1t/m³、单层开挖深度1m估算，500吨/天对应体积约500m³，分4个作业面轮换，单面面积约125m²）。单层开挖深度不超过1m，长度不超过20m，</w:t>
      </w:r>
      <w:r>
        <w:rPr>
          <w:rFonts w:hint="eastAsia" w:ascii="宋体" w:hAnsi="宋体" w:cs="宋体"/>
          <w:sz w:val="21"/>
          <w:szCs w:val="21"/>
          <w:lang w:val="en-US" w:eastAsia="zh-CN" w:bidi="ar-SA"/>
        </w:rPr>
        <w:t>倒退式进行开挖</w:t>
      </w:r>
      <w:r>
        <w:rPr>
          <w:rFonts w:hint="eastAsia" w:ascii="宋体" w:hAnsi="宋体" w:eastAsia="宋体" w:cs="宋体"/>
          <w:sz w:val="21"/>
          <w:szCs w:val="21"/>
          <w:lang w:val="en-US" w:eastAsia="zh-CN" w:bidi="ar-SA"/>
        </w:rPr>
        <w:t>。每日开挖工作仅在拟定开挖区进行，开挖完成后及时覆盖，并标记出第二天的开挖区域，避免全面开花式开挖造成垃圾长时间暴露。</w:t>
      </w:r>
    </w:p>
    <w:p w14:paraId="266B96D7">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bookmarkStart w:id="53" w:name="_Toc22695"/>
      <w:r>
        <w:rPr>
          <w:rFonts w:hint="eastAsia" w:ascii="宋体" w:hAnsi="宋体" w:eastAsia="宋体" w:cs="宋体"/>
          <w:sz w:val="21"/>
          <w:szCs w:val="21"/>
          <w:lang w:val="en-US" w:eastAsia="zh-CN" w:bidi="ar-SA"/>
        </w:rPr>
        <w:t>2.3雨污分流，源头减量</w:t>
      </w:r>
      <w:bookmarkEnd w:id="53"/>
    </w:p>
    <w:p w14:paraId="416E1819">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开挖作业必须与雨污分流措施同步设计、同步实施。开挖区周边设置临时截水沟，导排外部雨水；非作业区采用0.5mm厚HDPE膜临时覆盖，暴雨期间开挖区也需覆盖，防止降雨进入垃圾堆放区域产生渗滤液。开挖过程中及时抽排垃圾堆放区域内渗滤液，引至收集系统，防止渗滤液外溢。覆盖膜上雨水单独收集外排，避免与渗滤液混合增加处理量，最大限度减少渗滤液产生。</w:t>
      </w:r>
    </w:p>
    <w:p w14:paraId="52BC4470">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bookmarkStart w:id="54" w:name="_Toc20841"/>
      <w:r>
        <w:rPr>
          <w:rFonts w:hint="eastAsia" w:ascii="宋体" w:hAnsi="宋体" w:eastAsia="宋体" w:cs="宋体"/>
          <w:sz w:val="21"/>
          <w:szCs w:val="21"/>
          <w:lang w:val="en-US" w:eastAsia="zh-CN" w:bidi="ar-SA"/>
        </w:rPr>
        <w:t>2.4气体管控，防爆防毒</w:t>
      </w:r>
      <w:bookmarkEnd w:id="54"/>
    </w:p>
    <w:p w14:paraId="7F50FDA3">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开挖全过程必须对甲烷、硫化氢等填埋气体进行实时监测和有效控制。运用挖掘机挖垃圾前，须关注该区域甲烷浓度，当甲烷浓度超过3%时，立即停止作业，强制通风低于安全浓度时方可施工。施工区域严禁烟火，进入施工区的车辆、设备应保持良好的机械性能，避免产生火花。储备一定量的干粉灭火剂、灭火沙土等应急物资，设置醒目的消防、禁火标志，杜绝火灾爆炸等安全事故。</w:t>
      </w:r>
    </w:p>
    <w:p w14:paraId="6BE45CBA">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bookmarkStart w:id="55" w:name="_Toc14855"/>
      <w:r>
        <w:rPr>
          <w:rFonts w:hint="eastAsia" w:ascii="宋体" w:hAnsi="宋体" w:eastAsia="宋体" w:cs="宋体"/>
          <w:sz w:val="21"/>
          <w:szCs w:val="21"/>
          <w:lang w:val="en-US" w:eastAsia="zh-CN" w:bidi="ar-SA"/>
        </w:rPr>
        <w:t>2.5臭气控制，源头削减</w:t>
      </w:r>
      <w:bookmarkEnd w:id="55"/>
    </w:p>
    <w:p w14:paraId="0AC7CF2F">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垃圾堆放区域开挖过程中臭气呈面域扩散，扩散面积大，受环境气流干扰大，无法进行有效收集。采取“源头除臭+作业面喷雾+外围移动喷洒”三级控制措施：开挖同时对翻挖垃圾本体喷洒除臭剂，利用除臭剂活性将臭气分子“蚕食”，动态除臭效果超过70%；在开挖面安装喷雾系统，挖掘机挖垃圾时自动</w:t>
      </w:r>
      <w:r>
        <w:rPr>
          <w:rFonts w:hint="eastAsia" w:ascii="宋体" w:hAnsi="宋体" w:cs="宋体"/>
          <w:sz w:val="21"/>
          <w:szCs w:val="21"/>
          <w:lang w:val="en-US" w:eastAsia="zh-CN" w:bidi="ar-SA"/>
        </w:rPr>
        <w:t>启动</w:t>
      </w:r>
      <w:r>
        <w:rPr>
          <w:rFonts w:hint="eastAsia" w:ascii="宋体" w:hAnsi="宋体" w:eastAsia="宋体" w:cs="宋体"/>
          <w:sz w:val="21"/>
          <w:szCs w:val="21"/>
          <w:lang w:val="en-US" w:eastAsia="zh-CN" w:bidi="ar-SA"/>
        </w:rPr>
        <w:t>，随开挖方向喷雾，将配有除臭液的水喷向垃圾，在臭气出来第一时间压制在场内；在周边风险敏感点围合区域布置移动雾炮车，根据现场异味情况实施移动除臭作业，降低周边居民投诉。</w:t>
      </w:r>
    </w:p>
    <w:p w14:paraId="1C4A945F">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bookmarkStart w:id="56" w:name="_Toc11375"/>
      <w:r>
        <w:rPr>
          <w:rFonts w:hint="eastAsia" w:ascii="宋体" w:hAnsi="宋体" w:eastAsia="宋体" w:cs="宋体"/>
          <w:sz w:val="21"/>
          <w:szCs w:val="21"/>
          <w:lang w:val="en-US" w:eastAsia="zh-CN" w:bidi="ar-SA"/>
        </w:rPr>
        <w:t>2.6环保达标，防止二次污染</w:t>
      </w:r>
      <w:bookmarkEnd w:id="56"/>
    </w:p>
    <w:p w14:paraId="6DE2FE9B">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垃圾堆放区域开挖作业必须全面控制扬尘、噪声、渗滤液等二次污染。对正在进行开挖作业区的四周设置防护网，控制轻薄垃圾飞扬；配备保洁车辆，对场内道路定时保洁，出场车辆进行清洗；设备选用低噪声设备，对鼓风机等采取消音、隔声和减震措施；渗滤液、车辆清洗废水、道路冲洗水等全部引至收集系统，送至处理系统处理。</w:t>
      </w:r>
    </w:p>
    <w:p w14:paraId="688FE3F4">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本项目垃圾开挖设计遵循“</w:t>
      </w:r>
      <w:r>
        <w:rPr>
          <w:rFonts w:hint="default" w:ascii="宋体" w:hAnsi="宋体" w:eastAsia="宋体" w:cs="宋体"/>
          <w:sz w:val="21"/>
          <w:szCs w:val="21"/>
          <w:lang w:val="en-US" w:eastAsia="zh-CN" w:bidi="ar-SA"/>
        </w:rPr>
        <w:t>分区分层、由上至下、边开挖边运输”的原则。严格控制作业面面积，未开挖区域保持覆盖状态，避免雨水渗入和臭气大面积逸散</w:t>
      </w:r>
      <w:r>
        <w:rPr>
          <w:rFonts w:hint="eastAsia" w:ascii="宋体" w:hAnsi="宋体" w:eastAsia="宋体" w:cs="宋体"/>
          <w:sz w:val="21"/>
          <w:szCs w:val="21"/>
          <w:lang w:val="en-US" w:eastAsia="zh-CN" w:bidi="ar-SA"/>
        </w:rPr>
        <w:t>，确保开挖作业安全可控、环保达标，为后续筛分处置创造良好条件。</w:t>
      </w:r>
    </w:p>
    <w:p w14:paraId="64A96686">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default" w:ascii="宋体" w:hAnsi="宋体" w:eastAsia="宋体" w:cs="宋体"/>
          <w:sz w:val="21"/>
          <w:szCs w:val="21"/>
          <w:lang w:val="en-US" w:eastAsia="zh-CN" w:bidi="ar-SA"/>
        </w:rPr>
      </w:pPr>
      <w:bookmarkStart w:id="57" w:name="_Toc29505"/>
      <w:r>
        <w:rPr>
          <w:rFonts w:hint="eastAsia" w:ascii="宋体" w:hAnsi="宋体" w:eastAsia="宋体" w:cs="宋体"/>
          <w:sz w:val="21"/>
          <w:szCs w:val="21"/>
          <w:lang w:val="en-US" w:eastAsia="zh-CN" w:bidi="ar-SA"/>
        </w:rPr>
        <w:t>3、</w:t>
      </w:r>
      <w:bookmarkEnd w:id="57"/>
      <w:r>
        <w:rPr>
          <w:rFonts w:hint="default" w:ascii="宋体" w:hAnsi="宋体" w:eastAsia="宋体" w:cs="宋体"/>
          <w:sz w:val="21"/>
          <w:szCs w:val="21"/>
          <w:lang w:val="en-US" w:eastAsia="zh-CN" w:bidi="ar-SA"/>
        </w:rPr>
        <w:t>筛分物处置</w:t>
      </w:r>
    </w:p>
    <w:p w14:paraId="7F925AD3">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default"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3.1</w:t>
      </w:r>
      <w:r>
        <w:rPr>
          <w:rFonts w:hint="default" w:ascii="宋体" w:hAnsi="宋体" w:eastAsia="宋体" w:cs="宋体"/>
          <w:color w:val="000000" w:themeColor="text1"/>
          <w:sz w:val="21"/>
          <w:szCs w:val="21"/>
          <w:lang w:val="en-US" w:eastAsia="zh-CN" w:bidi="ar-SA"/>
          <w14:textFill>
            <w14:solidFill>
              <w14:schemeClr w14:val="tx1"/>
            </w14:solidFill>
          </w14:textFill>
        </w:rPr>
        <w:t>轻</w:t>
      </w:r>
      <w:r>
        <w:rPr>
          <w:rFonts w:hint="eastAsia" w:ascii="宋体" w:hAnsi="宋体" w:eastAsia="宋体" w:cs="宋体"/>
          <w:color w:val="000000" w:themeColor="text1"/>
          <w:sz w:val="21"/>
          <w:szCs w:val="21"/>
          <w:lang w:val="en-US" w:eastAsia="zh-CN" w:bidi="ar-SA"/>
          <w14:textFill>
            <w14:solidFill>
              <w14:schemeClr w14:val="tx1"/>
            </w14:solidFill>
          </w14:textFill>
        </w:rPr>
        <w:t>物质</w:t>
      </w:r>
      <w:r>
        <w:rPr>
          <w:rFonts w:hint="default" w:ascii="宋体" w:hAnsi="宋体" w:eastAsia="宋体" w:cs="宋体"/>
          <w:color w:val="000000" w:themeColor="text1"/>
          <w:sz w:val="21"/>
          <w:szCs w:val="21"/>
          <w:lang w:val="en-US" w:eastAsia="zh-CN" w:bidi="ar-SA"/>
          <w14:textFill>
            <w14:solidFill>
              <w14:schemeClr w14:val="tx1"/>
            </w14:solidFill>
          </w14:textFill>
        </w:rPr>
        <w:t>：经</w:t>
      </w:r>
      <w:r>
        <w:rPr>
          <w:rFonts w:hint="eastAsia" w:ascii="宋体" w:hAnsi="宋体" w:eastAsia="宋体" w:cs="宋体"/>
          <w:color w:val="000000" w:themeColor="text1"/>
          <w:sz w:val="21"/>
          <w:szCs w:val="21"/>
          <w:lang w:val="en-US" w:eastAsia="zh-CN" w:bidi="ar-SA"/>
          <w14:textFill>
            <w14:solidFill>
              <w14:schemeClr w14:val="tx1"/>
            </w14:solidFill>
          </w14:textFill>
        </w:rPr>
        <w:t>筛</w:t>
      </w:r>
      <w:r>
        <w:rPr>
          <w:rFonts w:hint="default" w:ascii="宋体" w:hAnsi="宋体" w:eastAsia="宋体" w:cs="宋体"/>
          <w:color w:val="000000" w:themeColor="text1"/>
          <w:sz w:val="21"/>
          <w:szCs w:val="21"/>
          <w:lang w:val="en-US" w:eastAsia="zh-CN" w:bidi="ar-SA"/>
          <w14:textFill>
            <w14:solidFill>
              <w14:schemeClr w14:val="tx1"/>
            </w14:solidFill>
          </w14:textFill>
        </w:rPr>
        <w:t>选分离后，外运至</w:t>
      </w:r>
      <w:r>
        <w:rPr>
          <w:rFonts w:hint="eastAsia" w:ascii="宋体" w:hAnsi="宋体" w:eastAsia="宋体" w:cs="宋体"/>
          <w:color w:val="000000" w:themeColor="text1"/>
          <w:sz w:val="21"/>
          <w:szCs w:val="21"/>
          <w:lang w:val="en-US" w:eastAsia="zh-CN" w:bidi="ar-SA"/>
          <w14:textFill>
            <w14:solidFill>
              <w14:schemeClr w14:val="tx1"/>
            </w14:solidFill>
          </w14:textFill>
        </w:rPr>
        <w:t>具备资质的垃圾焚烧厂处置</w:t>
      </w:r>
      <w:r>
        <w:rPr>
          <w:rFonts w:hint="default" w:ascii="宋体" w:hAnsi="宋体" w:eastAsia="宋体" w:cs="宋体"/>
          <w:color w:val="000000" w:themeColor="text1"/>
          <w:sz w:val="21"/>
          <w:szCs w:val="21"/>
          <w:lang w:val="en-US" w:eastAsia="zh-CN" w:bidi="ar-SA"/>
          <w14:textFill>
            <w14:solidFill>
              <w14:schemeClr w14:val="tx1"/>
            </w14:solidFill>
          </w14:textFill>
        </w:rPr>
        <w:t>。</w:t>
      </w:r>
    </w:p>
    <w:p w14:paraId="01A51B89">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default"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3.2</w:t>
      </w:r>
      <w:r>
        <w:rPr>
          <w:rFonts w:hint="default" w:ascii="宋体" w:hAnsi="宋体" w:eastAsia="宋体" w:cs="宋体"/>
          <w:color w:val="000000" w:themeColor="text1"/>
          <w:sz w:val="21"/>
          <w:szCs w:val="21"/>
          <w:lang w:val="en-US" w:eastAsia="zh-CN" w:bidi="ar-SA"/>
          <w14:textFill>
            <w14:solidFill>
              <w14:schemeClr w14:val="tx1"/>
            </w14:solidFill>
          </w14:textFill>
        </w:rPr>
        <w:t>无机骨料（砖瓦石块）：运</w:t>
      </w:r>
      <w:r>
        <w:rPr>
          <w:rFonts w:hint="eastAsia" w:ascii="宋体" w:hAnsi="宋体" w:eastAsia="宋体" w:cs="宋体"/>
          <w:color w:val="000000" w:themeColor="text1"/>
          <w:sz w:val="21"/>
          <w:szCs w:val="21"/>
          <w:lang w:val="en-US" w:eastAsia="zh-CN" w:bidi="ar-SA"/>
          <w14:textFill>
            <w14:solidFill>
              <w14:schemeClr w14:val="tx1"/>
            </w14:solidFill>
          </w14:textFill>
        </w:rPr>
        <w:t>至具备</w:t>
      </w:r>
      <w:r>
        <w:rPr>
          <w:rFonts w:hint="default" w:ascii="宋体" w:hAnsi="宋体" w:eastAsia="宋体" w:cs="宋体"/>
          <w:color w:val="000000" w:themeColor="text1"/>
          <w:sz w:val="21"/>
          <w:szCs w:val="21"/>
          <w:lang w:val="en-US" w:eastAsia="zh-CN" w:bidi="ar-SA"/>
          <w14:textFill>
            <w14:solidFill>
              <w14:schemeClr w14:val="tx1"/>
            </w14:solidFill>
          </w14:textFill>
        </w:rPr>
        <w:t>建筑垃圾</w:t>
      </w:r>
      <w:r>
        <w:rPr>
          <w:rFonts w:hint="eastAsia" w:ascii="宋体" w:hAnsi="宋体" w:eastAsia="宋体" w:cs="宋体"/>
          <w:color w:val="000000" w:themeColor="text1"/>
          <w:sz w:val="21"/>
          <w:szCs w:val="21"/>
          <w:lang w:val="en-US" w:eastAsia="zh-CN" w:bidi="ar-SA"/>
          <w14:textFill>
            <w14:solidFill>
              <w14:schemeClr w14:val="tx1"/>
            </w14:solidFill>
          </w14:textFill>
        </w:rPr>
        <w:t>处置资质和具有</w:t>
      </w:r>
      <w:r>
        <w:rPr>
          <w:rFonts w:hint="default" w:ascii="宋体" w:hAnsi="宋体" w:eastAsia="宋体" w:cs="宋体"/>
          <w:color w:val="000000" w:themeColor="text1"/>
          <w:sz w:val="21"/>
          <w:szCs w:val="21"/>
          <w:lang w:val="en-US" w:eastAsia="zh-CN" w:bidi="ar-SA"/>
          <w14:textFill>
            <w14:solidFill>
              <w14:schemeClr w14:val="tx1"/>
            </w14:solidFill>
          </w14:textFill>
        </w:rPr>
        <w:t>资源化利用场所</w:t>
      </w:r>
      <w:r>
        <w:rPr>
          <w:rFonts w:hint="eastAsia" w:ascii="宋体" w:hAnsi="宋体" w:eastAsia="宋体" w:cs="宋体"/>
          <w:color w:val="000000" w:themeColor="text1"/>
          <w:sz w:val="21"/>
          <w:szCs w:val="21"/>
          <w:lang w:val="en-US" w:eastAsia="zh-CN" w:bidi="ar-SA"/>
          <w14:textFill>
            <w14:solidFill>
              <w14:schemeClr w14:val="tx1"/>
            </w14:solidFill>
          </w14:textFill>
        </w:rPr>
        <w:t>处置。</w:t>
      </w:r>
    </w:p>
    <w:p w14:paraId="0AD79D57">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default"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3.3</w:t>
      </w:r>
      <w:r>
        <w:rPr>
          <w:rFonts w:hint="default" w:ascii="宋体" w:hAnsi="宋体" w:eastAsia="宋体" w:cs="宋体"/>
          <w:color w:val="000000" w:themeColor="text1"/>
          <w:sz w:val="21"/>
          <w:szCs w:val="21"/>
          <w:lang w:val="en-US" w:eastAsia="zh-CN" w:bidi="ar-SA"/>
          <w14:textFill>
            <w14:solidFill>
              <w14:schemeClr w14:val="tx1"/>
            </w14:solidFill>
          </w14:textFill>
        </w:rPr>
        <w:t>腐殖土（筛下物）：经检测符合标准后回填或用于绿化种植；不符合标准的</w:t>
      </w:r>
      <w:r>
        <w:rPr>
          <w:rFonts w:hint="eastAsia" w:ascii="宋体" w:hAnsi="宋体" w:cs="宋体"/>
          <w:color w:val="000000" w:themeColor="text1"/>
          <w:sz w:val="21"/>
          <w:szCs w:val="21"/>
          <w:lang w:val="en-US" w:eastAsia="zh-CN" w:bidi="ar-SA"/>
          <w14:textFill>
            <w14:solidFill>
              <w14:schemeClr w14:val="tx1"/>
            </w14:solidFill>
          </w14:textFill>
        </w:rPr>
        <w:t>委托有资质单位按污染土壤要求处置</w:t>
      </w:r>
      <w:r>
        <w:rPr>
          <w:rFonts w:hint="default" w:ascii="宋体" w:hAnsi="宋体" w:eastAsia="宋体" w:cs="宋体"/>
          <w:color w:val="000000" w:themeColor="text1"/>
          <w:sz w:val="21"/>
          <w:szCs w:val="21"/>
          <w:lang w:val="en-US" w:eastAsia="zh-CN" w:bidi="ar-SA"/>
          <w14:textFill>
            <w14:solidFill>
              <w14:schemeClr w14:val="tx1"/>
            </w14:solidFill>
          </w14:textFill>
        </w:rPr>
        <w:t>。</w:t>
      </w:r>
    </w:p>
    <w:p w14:paraId="3E57ACB9">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3.4渗滤液：垃圾堆放区域内渗滤液收集后，用专业车辆拖运至有处理资质的单位规范处理。  </w:t>
      </w:r>
    </w:p>
    <w:p w14:paraId="4E6BDA84">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default"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3.5筛分</w:t>
      </w:r>
      <w:r>
        <w:rPr>
          <w:rFonts w:hint="eastAsia" w:ascii="宋体" w:hAnsi="宋体" w:cs="宋体"/>
          <w:color w:val="000000" w:themeColor="text1"/>
          <w:sz w:val="21"/>
          <w:szCs w:val="21"/>
          <w:lang w:val="en-US" w:eastAsia="zh-CN" w:bidi="ar-SA"/>
          <w14:textFill>
            <w14:solidFill>
              <w14:schemeClr w14:val="tx1"/>
            </w14:solidFill>
          </w14:textFill>
        </w:rPr>
        <w:t>物</w:t>
      </w:r>
      <w:r>
        <w:rPr>
          <w:rFonts w:hint="default" w:ascii="宋体" w:hAnsi="宋体" w:eastAsia="宋体" w:cs="宋体"/>
          <w:color w:val="000000" w:themeColor="text1"/>
          <w:sz w:val="21"/>
          <w:szCs w:val="21"/>
          <w:lang w:val="en-US" w:eastAsia="zh-CN" w:bidi="ar-SA"/>
          <w14:textFill>
            <w14:solidFill>
              <w14:schemeClr w14:val="tx1"/>
            </w14:solidFill>
          </w14:textFill>
        </w:rPr>
        <w:t>去向明确：</w:t>
      </w:r>
      <w:r>
        <w:rPr>
          <w:rFonts w:hint="eastAsia" w:ascii="宋体" w:hAnsi="宋体" w:eastAsia="宋体" w:cs="宋体"/>
          <w:color w:val="000000" w:themeColor="text1"/>
          <w:sz w:val="21"/>
          <w:szCs w:val="21"/>
          <w:lang w:val="en-US" w:eastAsia="zh-CN" w:bidi="ar-SA"/>
          <w14:textFill>
            <w14:solidFill>
              <w14:schemeClr w14:val="tx1"/>
            </w14:solidFill>
          </w14:textFill>
        </w:rPr>
        <w:t>各类</w:t>
      </w:r>
      <w:r>
        <w:rPr>
          <w:rFonts w:hint="default" w:ascii="宋体" w:hAnsi="宋体" w:eastAsia="宋体" w:cs="宋体"/>
          <w:color w:val="000000" w:themeColor="text1"/>
          <w:sz w:val="21"/>
          <w:szCs w:val="21"/>
          <w:lang w:val="en-US" w:eastAsia="zh-CN" w:bidi="ar-SA"/>
          <w14:textFill>
            <w14:solidFill>
              <w14:schemeClr w14:val="tx1"/>
            </w14:solidFill>
          </w14:textFill>
        </w:rPr>
        <w:t>筛分物须有明确的消纳路径和接收单位，转运台账可追溯。</w:t>
      </w:r>
    </w:p>
    <w:p w14:paraId="30E4C23F">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default" w:ascii="宋体" w:hAnsi="宋体" w:eastAsia="宋体" w:cs="宋体"/>
          <w:color w:val="000000" w:themeColor="text1"/>
          <w:sz w:val="21"/>
          <w:szCs w:val="21"/>
          <w:lang w:val="en-US" w:eastAsia="zh-CN" w:bidi="ar-SA"/>
          <w14:textFill>
            <w14:solidFill>
              <w14:schemeClr w14:val="tx1"/>
            </w14:solidFill>
          </w14:textFill>
        </w:rPr>
      </w:pPr>
      <w:bookmarkStart w:id="58" w:name="_Toc8608"/>
      <w:r>
        <w:rPr>
          <w:rFonts w:hint="eastAsia" w:ascii="宋体" w:hAnsi="宋体" w:eastAsia="宋体" w:cs="宋体"/>
          <w:color w:val="000000" w:themeColor="text1"/>
          <w:sz w:val="21"/>
          <w:szCs w:val="21"/>
          <w:lang w:val="en-US" w:eastAsia="zh-CN" w:bidi="ar-SA"/>
          <w14:textFill>
            <w14:solidFill>
              <w14:schemeClr w14:val="tx1"/>
            </w14:solidFill>
          </w14:textFill>
        </w:rPr>
        <w:t>4、</w:t>
      </w:r>
      <w:r>
        <w:rPr>
          <w:rFonts w:hint="default" w:ascii="宋体" w:hAnsi="宋体" w:eastAsia="宋体" w:cs="宋体"/>
          <w:color w:val="000000" w:themeColor="text1"/>
          <w:sz w:val="21"/>
          <w:szCs w:val="21"/>
          <w:lang w:val="en-US" w:eastAsia="zh-CN" w:bidi="ar-SA"/>
          <w14:textFill>
            <w14:solidFill>
              <w14:schemeClr w14:val="tx1"/>
            </w14:solidFill>
          </w14:textFill>
        </w:rPr>
        <w:t>开挖前准备</w:t>
      </w:r>
      <w:bookmarkEnd w:id="58"/>
    </w:p>
    <w:p w14:paraId="1740AF8E">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default"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4.1垃圾堆放区域安全排查：开挖前须对垃圾堆放区域现状进行安全性排查，排除塌方风险，落实相应安全处置措施后，方可进行开挖施工</w:t>
      </w:r>
      <w:r>
        <w:rPr>
          <w:rFonts w:hint="default" w:ascii="宋体" w:hAnsi="宋体" w:eastAsia="宋体" w:cs="宋体"/>
          <w:color w:val="000000" w:themeColor="text1"/>
          <w:sz w:val="21"/>
          <w:szCs w:val="21"/>
          <w:lang w:val="en-US" w:eastAsia="zh-CN" w:bidi="ar-SA"/>
          <w14:textFill>
            <w14:solidFill>
              <w14:schemeClr w14:val="tx1"/>
            </w14:solidFill>
          </w14:textFill>
        </w:rPr>
        <w:t>。</w:t>
      </w:r>
    </w:p>
    <w:p w14:paraId="510F700D">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default"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4.2</w:t>
      </w:r>
      <w:r>
        <w:rPr>
          <w:rFonts w:hint="default" w:ascii="宋体" w:hAnsi="宋体" w:eastAsia="宋体" w:cs="宋体"/>
          <w:color w:val="000000" w:themeColor="text1"/>
          <w:sz w:val="21"/>
          <w:szCs w:val="21"/>
          <w:lang w:val="en-US" w:eastAsia="zh-CN" w:bidi="ar-SA"/>
          <w14:textFill>
            <w14:solidFill>
              <w14:schemeClr w14:val="tx1"/>
            </w14:solidFill>
          </w14:textFill>
        </w:rPr>
        <w:t>甲烷浓度检测：运用挖掘机挖垃圾前，须检测该区域甲烷浓度。当甲烷浓度超过3%时，</w:t>
      </w:r>
      <w:r>
        <w:rPr>
          <w:rFonts w:hint="eastAsia" w:ascii="宋体" w:hAnsi="宋体" w:eastAsia="宋体" w:cs="宋体"/>
          <w:color w:val="000000" w:themeColor="text1"/>
          <w:sz w:val="21"/>
          <w:szCs w:val="21"/>
          <w:lang w:val="en-US" w:eastAsia="zh-CN" w:bidi="ar-SA"/>
          <w14:textFill>
            <w14:solidFill>
              <w14:schemeClr w14:val="tx1"/>
            </w14:solidFill>
          </w14:textFill>
        </w:rPr>
        <w:t>立即停止作业，强制通风低于安全浓度时方可施工。</w:t>
      </w:r>
    </w:p>
    <w:p w14:paraId="135397C5">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default"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4.3</w:t>
      </w:r>
      <w:r>
        <w:rPr>
          <w:rFonts w:hint="default" w:ascii="宋体" w:hAnsi="宋体" w:eastAsia="宋体" w:cs="宋体"/>
          <w:color w:val="000000" w:themeColor="text1"/>
          <w:sz w:val="21"/>
          <w:szCs w:val="21"/>
          <w:lang w:val="en-US" w:eastAsia="zh-CN" w:bidi="ar-SA"/>
          <w14:textFill>
            <w14:solidFill>
              <w14:schemeClr w14:val="tx1"/>
            </w14:solidFill>
          </w14:textFill>
        </w:rPr>
        <w:t>临时覆盖：开挖作业前，对非作业区域采用0.5mm厚HDPE膜进行临时覆盖，防止雨水进入垃圾</w:t>
      </w:r>
      <w:r>
        <w:rPr>
          <w:rFonts w:hint="eastAsia" w:ascii="宋体" w:hAnsi="宋体" w:eastAsia="宋体" w:cs="宋体"/>
          <w:color w:val="000000" w:themeColor="text1"/>
          <w:sz w:val="21"/>
          <w:szCs w:val="21"/>
          <w:lang w:val="en-US" w:eastAsia="zh-CN" w:bidi="ar-SA"/>
          <w14:textFill>
            <w14:solidFill>
              <w14:schemeClr w14:val="tx1"/>
            </w14:solidFill>
          </w14:textFill>
        </w:rPr>
        <w:t>堆放区域</w:t>
      </w:r>
      <w:r>
        <w:rPr>
          <w:rFonts w:hint="default" w:ascii="宋体" w:hAnsi="宋体" w:eastAsia="宋体" w:cs="宋体"/>
          <w:color w:val="000000" w:themeColor="text1"/>
          <w:sz w:val="21"/>
          <w:szCs w:val="21"/>
          <w:lang w:val="en-US" w:eastAsia="zh-CN" w:bidi="ar-SA"/>
          <w14:textFill>
            <w14:solidFill>
              <w14:schemeClr w14:val="tx1"/>
            </w14:solidFill>
          </w14:textFill>
        </w:rPr>
        <w:t>。</w:t>
      </w:r>
    </w:p>
    <w:p w14:paraId="78A734BE">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default"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4.4</w:t>
      </w:r>
      <w:r>
        <w:rPr>
          <w:rFonts w:hint="default" w:ascii="宋体" w:hAnsi="宋体" w:eastAsia="宋体" w:cs="宋体"/>
          <w:color w:val="000000" w:themeColor="text1"/>
          <w:sz w:val="21"/>
          <w:szCs w:val="21"/>
          <w:lang w:val="en-US" w:eastAsia="zh-CN" w:bidi="ar-SA"/>
          <w14:textFill>
            <w14:solidFill>
              <w14:schemeClr w14:val="tx1"/>
            </w14:solidFill>
          </w14:textFill>
        </w:rPr>
        <w:t>临时作业道路：</w:t>
      </w:r>
      <w:r>
        <w:rPr>
          <w:rFonts w:hint="eastAsia" w:ascii="宋体" w:hAnsi="宋体" w:eastAsia="宋体" w:cs="宋体"/>
          <w:color w:val="000000" w:themeColor="text1"/>
          <w:sz w:val="21"/>
          <w:szCs w:val="21"/>
          <w:lang w:val="en-US" w:eastAsia="zh-CN" w:bidi="ar-SA"/>
          <w14:textFill>
            <w14:solidFill>
              <w14:schemeClr w14:val="tx1"/>
            </w14:solidFill>
          </w14:textFill>
        </w:rPr>
        <w:t>为确保项目顺利实施，需</w:t>
      </w:r>
      <w:r>
        <w:rPr>
          <w:rFonts w:hint="default" w:ascii="宋体" w:hAnsi="宋体" w:eastAsia="宋体" w:cs="宋体"/>
          <w:color w:val="000000" w:themeColor="text1"/>
          <w:sz w:val="21"/>
          <w:szCs w:val="21"/>
          <w:lang w:val="en-US" w:eastAsia="zh-CN" w:bidi="ar-SA"/>
          <w14:textFill>
            <w14:solidFill>
              <w14:schemeClr w14:val="tx1"/>
            </w14:solidFill>
          </w14:textFill>
        </w:rPr>
        <w:t>构建临时作业道路，以</w:t>
      </w:r>
      <w:r>
        <w:rPr>
          <w:rFonts w:hint="eastAsia" w:ascii="宋体" w:hAnsi="宋体" w:eastAsia="宋体" w:cs="宋体"/>
          <w:color w:val="000000" w:themeColor="text1"/>
          <w:sz w:val="21"/>
          <w:szCs w:val="21"/>
          <w:lang w:val="en-US" w:eastAsia="zh-CN" w:bidi="ar-SA"/>
          <w14:textFill>
            <w14:solidFill>
              <w14:schemeClr w14:val="tx1"/>
            </w14:solidFill>
          </w14:textFill>
        </w:rPr>
        <w:t>垃圾堆放区域</w:t>
      </w:r>
      <w:r>
        <w:rPr>
          <w:rFonts w:hint="default" w:ascii="宋体" w:hAnsi="宋体" w:eastAsia="宋体" w:cs="宋体"/>
          <w:color w:val="000000" w:themeColor="text1"/>
          <w:sz w:val="21"/>
          <w:szCs w:val="21"/>
          <w:lang w:val="en-US" w:eastAsia="zh-CN" w:bidi="ar-SA"/>
          <w14:textFill>
            <w14:solidFill>
              <w14:schemeClr w14:val="tx1"/>
            </w14:solidFill>
          </w14:textFill>
        </w:rPr>
        <w:t>为基础，端部设装车平台。原则上1台挖掘机对应3台装载车进行装车运输作业。</w:t>
      </w:r>
    </w:p>
    <w:p w14:paraId="4BAAFB78">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4.5临时围挡：沿清理区域边界设置连续硬质封闭围挡，围挡安装牢固、无破损缺口，围挡高度满足地方扬尘管控要求，对作业区域实施物理封闭隔离，禁止无关人员、车辆进入作业面，抑制开挖过程中渣土散落、扬尘扩散，减少雨水冲刷产生的泥水外溢，降低对周边环境的影响，围挡出入口设置大门并落实人员车辆进出管理。</w:t>
      </w:r>
    </w:p>
    <w:p w14:paraId="393C2EE7">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4.6完成场内临时排水、截水设施布设，落实坡面覆盖材料、抽排设备准备；</w:t>
      </w:r>
    </w:p>
    <w:p w14:paraId="099234BE">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 w:val="21"/>
          <w:szCs w:val="21"/>
          <w:lang w:val="en-US" w:eastAsia="zh-CN" w:bidi="ar-SA"/>
          <w14:textFill>
            <w14:solidFill>
              <w14:schemeClr w14:val="tx1"/>
            </w14:solidFill>
          </w14:textFill>
        </w:rPr>
        <w:t>4.7消</w:t>
      </w:r>
      <w:r>
        <w:rPr>
          <w:rFonts w:hint="eastAsia" w:ascii="宋体" w:hAnsi="宋体" w:eastAsia="宋体" w:cs="宋体"/>
          <w:color w:val="000000" w:themeColor="text1"/>
          <w:sz w:val="21"/>
          <w:szCs w:val="21"/>
          <w:lang w:val="en-US" w:eastAsia="zh-CN" w:bidi="ar-SA"/>
          <w14:textFill>
            <w14:solidFill>
              <w14:schemeClr w14:val="tx1"/>
            </w14:solidFill>
          </w14:textFill>
        </w:rPr>
        <w:t>纳场施工现场在入口、作业面、边坡、车辆通行区、危险区域等位置设置规范、醒目、完好的安全警示标志，并做好日常巡检维护，及时更换破损标识</w:t>
      </w:r>
      <w:r>
        <w:rPr>
          <w:rFonts w:hint="eastAsia" w:ascii="宋体" w:hAnsi="宋体" w:cs="宋体"/>
          <w:color w:val="000000" w:themeColor="text1"/>
          <w:sz w:val="21"/>
          <w:szCs w:val="21"/>
          <w:lang w:val="en-US" w:eastAsia="zh-CN" w:bidi="ar-SA"/>
          <w14:textFill>
            <w14:solidFill>
              <w14:schemeClr w14:val="tx1"/>
            </w14:solidFill>
          </w14:textFill>
        </w:rPr>
        <w:t>；</w:t>
      </w:r>
    </w:p>
    <w:p w14:paraId="513E9ABB">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4.</w:t>
      </w:r>
      <w:r>
        <w:rPr>
          <w:rFonts w:hint="eastAsia" w:ascii="宋体" w:hAnsi="宋体" w:cs="宋体"/>
          <w:color w:val="000000" w:themeColor="text1"/>
          <w:sz w:val="21"/>
          <w:szCs w:val="21"/>
          <w:lang w:val="en-US" w:eastAsia="zh-CN" w:bidi="ar-SA"/>
          <w14:textFill>
            <w14:solidFill>
              <w14:schemeClr w14:val="tx1"/>
            </w14:solidFill>
          </w14:textFill>
        </w:rPr>
        <w:t>8</w:t>
      </w:r>
      <w:r>
        <w:rPr>
          <w:rFonts w:hint="eastAsia" w:ascii="宋体" w:hAnsi="宋体" w:eastAsia="宋体" w:cs="宋体"/>
          <w:color w:val="000000" w:themeColor="text1"/>
          <w:sz w:val="21"/>
          <w:szCs w:val="21"/>
          <w:lang w:val="en-US" w:eastAsia="zh-CN" w:bidi="ar-SA"/>
          <w14:textFill>
            <w14:solidFill>
              <w14:schemeClr w14:val="tx1"/>
            </w14:solidFill>
          </w14:textFill>
        </w:rPr>
        <w:t>完成施工人员安全技术交底、机械设备进场检查调试，落实扬尘管控措施等相关准备工作，各项条件验收合格后方可开工。</w:t>
      </w:r>
    </w:p>
    <w:p w14:paraId="49B850A3">
      <w:pPr>
        <w:pStyle w:val="24"/>
        <w:keepNext w:val="0"/>
        <w:keepLines w:val="0"/>
        <w:pageBreakBefore w:val="0"/>
        <w:numPr>
          <w:ilvl w:val="0"/>
          <w:numId w:val="8"/>
        </w:numPr>
        <w:kinsoku/>
        <w:wordWrap/>
        <w:overflowPunct/>
        <w:topLinePunct w:val="0"/>
        <w:autoSpaceDE/>
        <w:autoSpaceDN/>
        <w:bidi w:val="0"/>
        <w:adjustRightInd/>
        <w:snapToGrid/>
        <w:spacing w:line="360" w:lineRule="exact"/>
        <w:ind w:left="0" w:leftChars="0" w:firstLine="402" w:firstLineChars="200"/>
        <w:textAlignment w:val="auto"/>
        <w:rPr>
          <w:rFonts w:hint="eastAsia" w:ascii="宋体" w:hAnsi="宋体" w:cs="Times New Roman"/>
          <w:b/>
          <w:bCs/>
          <w:color w:val="000000" w:themeColor="text1"/>
          <w:sz w:val="20"/>
          <w:szCs w:val="20"/>
          <w:lang w:val="en-US" w:eastAsia="zh-CN"/>
          <w14:textFill>
            <w14:solidFill>
              <w14:schemeClr w14:val="tx1"/>
            </w14:solidFill>
          </w14:textFill>
        </w:rPr>
      </w:pPr>
      <w:r>
        <w:rPr>
          <w:rFonts w:hint="eastAsia" w:ascii="宋体" w:hAnsi="宋体" w:cs="Times New Roman"/>
          <w:b/>
          <w:bCs/>
          <w:color w:val="000000" w:themeColor="text1"/>
          <w:sz w:val="20"/>
          <w:szCs w:val="20"/>
          <w:lang w:val="en-US" w:eastAsia="zh-CN"/>
          <w14:textFill>
            <w14:solidFill>
              <w14:schemeClr w14:val="tx1"/>
            </w14:solidFill>
          </w14:textFill>
        </w:rPr>
        <w:t>服务要求</w:t>
      </w:r>
    </w:p>
    <w:p w14:paraId="0CE36D94">
      <w:pPr>
        <w:pStyle w:val="24"/>
        <w:keepNext w:val="0"/>
        <w:keepLines w:val="0"/>
        <w:pageBreakBefore w:val="0"/>
        <w:numPr>
          <w:ilvl w:val="0"/>
          <w:numId w:val="0"/>
        </w:numPr>
        <w:kinsoku/>
        <w:wordWrap/>
        <w:overflowPunct/>
        <w:topLinePunct w:val="0"/>
        <w:autoSpaceDE/>
        <w:autoSpaceDN/>
        <w:bidi w:val="0"/>
        <w:adjustRightInd/>
        <w:snapToGrid/>
        <w:spacing w:line="360" w:lineRule="exact"/>
        <w:ind w:leftChars="200"/>
        <w:textAlignment w:val="auto"/>
        <w:rPr>
          <w:rFonts w:hint="default" w:ascii="宋体" w:hAnsi="宋体" w:cs="Times New Roman"/>
          <w:b/>
          <w:bCs/>
          <w:color w:val="000000" w:themeColor="text1"/>
          <w:sz w:val="20"/>
          <w:szCs w:val="20"/>
          <w:lang w:val="en-US" w:eastAsia="zh-CN"/>
          <w14:textFill>
            <w14:solidFill>
              <w14:schemeClr w14:val="tx1"/>
            </w14:solidFill>
          </w14:textFill>
        </w:rPr>
      </w:pPr>
      <w:r>
        <w:rPr>
          <w:rFonts w:hint="eastAsia" w:ascii="宋体" w:hAnsi="宋体" w:cs="Times New Roman"/>
          <w:b/>
          <w:bCs/>
          <w:color w:val="000000" w:themeColor="text1"/>
          <w:sz w:val="20"/>
          <w:szCs w:val="20"/>
          <w:lang w:val="en-US" w:eastAsia="zh-CN"/>
          <w14:textFill>
            <w14:solidFill>
              <w14:schemeClr w14:val="tx1"/>
            </w14:solidFill>
          </w14:textFill>
        </w:rPr>
        <w:t>1.人员设备配置要求</w:t>
      </w:r>
    </w:p>
    <w:p w14:paraId="7094ABE7">
      <w:pPr>
        <w:keepNext w:val="0"/>
        <w:keepLines w:val="0"/>
        <w:pageBreakBefore w:val="0"/>
        <w:numPr>
          <w:ilvl w:val="0"/>
          <w:numId w:val="0"/>
        </w:numPr>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 w:val="21"/>
          <w:szCs w:val="21"/>
          <w:lang w:val="en-US" w:eastAsia="zh-CN" w:bidi="ar-SA"/>
          <w14:textFill>
            <w14:solidFill>
              <w14:schemeClr w14:val="tx1"/>
            </w14:solidFill>
          </w14:textFill>
        </w:rPr>
        <w:t>1.1</w:t>
      </w:r>
      <w:r>
        <w:rPr>
          <w:rFonts w:hint="eastAsia" w:ascii="宋体" w:hAnsi="宋体" w:eastAsia="宋体" w:cs="宋体"/>
          <w:color w:val="000000" w:themeColor="text1"/>
          <w:sz w:val="21"/>
          <w:szCs w:val="21"/>
          <w:lang w:val="en-US" w:eastAsia="zh-CN" w:bidi="ar-SA"/>
          <w14:textFill>
            <w14:solidFill>
              <w14:schemeClr w14:val="tx1"/>
            </w14:solidFill>
          </w14:textFill>
        </w:rPr>
        <w:t>供应商应提供完成本项目所需充足的人员、设备、车辆，科学统筹排班调度，保障项目作业效率、作业质量、安全生产及环保管控要求，满足采购人日常作业安排。</w:t>
      </w:r>
    </w:p>
    <w:p w14:paraId="7840C92D">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 w:val="21"/>
          <w:szCs w:val="21"/>
          <w:lang w:val="en-US" w:eastAsia="zh-CN" w:bidi="ar-SA"/>
          <w14:textFill>
            <w14:solidFill>
              <w14:schemeClr w14:val="tx1"/>
            </w14:solidFill>
          </w14:textFill>
        </w:rPr>
        <w:t>1）</w:t>
      </w:r>
      <w:r>
        <w:rPr>
          <w:rFonts w:hint="eastAsia" w:ascii="宋体" w:hAnsi="宋体" w:eastAsia="宋体" w:cs="宋体"/>
          <w:color w:val="000000" w:themeColor="text1"/>
          <w:sz w:val="21"/>
          <w:szCs w:val="21"/>
          <w:lang w:val="en-US" w:eastAsia="zh-CN" w:bidi="ar-SA"/>
          <w14:textFill>
            <w14:solidFill>
              <w14:schemeClr w14:val="tx1"/>
            </w14:solidFill>
          </w14:textFill>
        </w:rPr>
        <w:t>人员要求：供应商须为本项目配备不少于</w:t>
      </w:r>
      <w:r>
        <w:rPr>
          <w:rFonts w:hint="eastAsia" w:ascii="宋体" w:hAnsi="宋体" w:cs="宋体"/>
          <w:color w:val="000000" w:themeColor="text1"/>
          <w:sz w:val="21"/>
          <w:szCs w:val="21"/>
          <w:lang w:val="en-US" w:eastAsia="zh-CN" w:bidi="ar-SA"/>
          <w14:textFill>
            <w14:solidFill>
              <w14:schemeClr w14:val="tx1"/>
            </w14:solidFill>
          </w14:textFill>
        </w:rPr>
        <w:t>8</w:t>
      </w:r>
      <w:r>
        <w:rPr>
          <w:rFonts w:hint="eastAsia" w:ascii="宋体" w:hAnsi="宋体" w:eastAsia="宋体" w:cs="宋体"/>
          <w:color w:val="000000" w:themeColor="text1"/>
          <w:sz w:val="21"/>
          <w:szCs w:val="21"/>
          <w:lang w:val="en-US" w:eastAsia="zh-CN" w:bidi="ar-SA"/>
          <w14:textFill>
            <w14:solidFill>
              <w14:schemeClr w14:val="tx1"/>
            </w14:solidFill>
          </w14:textFill>
        </w:rPr>
        <w:t>名专职服务人员，人员不得兼任其他项目，具体配置：项目负责人 1 名、专职安全员 1 名、现场实施负责人 1 名、调度员 1 名、筛分作业人员 1 名、挖掘机驾驶员 2 名</w:t>
      </w:r>
      <w:r>
        <w:rPr>
          <w:rFonts w:hint="eastAsia" w:ascii="宋体" w:hAnsi="宋体" w:cs="宋体"/>
          <w:color w:val="000000" w:themeColor="text1"/>
          <w:sz w:val="21"/>
          <w:szCs w:val="21"/>
          <w:lang w:val="en-US" w:eastAsia="zh-CN" w:bidi="ar-SA"/>
          <w14:textFill>
            <w14:solidFill>
              <w14:schemeClr w14:val="tx1"/>
            </w14:solidFill>
          </w14:textFill>
        </w:rPr>
        <w:t>、</w:t>
      </w:r>
      <w:r>
        <w:rPr>
          <w:rFonts w:hint="eastAsia" w:ascii="宋体" w:hAnsi="宋体" w:eastAsia="宋体" w:cs="宋体"/>
          <w:color w:val="000000" w:themeColor="text1"/>
          <w:sz w:val="21"/>
          <w:szCs w:val="21"/>
          <w:lang w:val="en-US" w:eastAsia="zh-CN" w:bidi="ar-SA"/>
          <w14:textFill>
            <w14:solidFill>
              <w14:schemeClr w14:val="tx1"/>
            </w14:solidFill>
          </w14:textFill>
        </w:rPr>
        <w:t>装载车车辆驾驶员 1名；所有特种作业、工程机械驾驶人员须持有效资格证书，全员按要求落实岗前培训、安全交底，持证上岗，人员台账报采购人备案。</w:t>
      </w:r>
    </w:p>
    <w:p w14:paraId="5D6AF8FA">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cs="宋体"/>
          <w:color w:val="000000" w:themeColor="text1"/>
          <w:sz w:val="21"/>
          <w:szCs w:val="21"/>
          <w:lang w:val="en-US" w:eastAsia="zh-CN" w:bidi="ar-SA"/>
          <w14:textFill>
            <w14:solidFill>
              <w14:schemeClr w14:val="tx1"/>
            </w14:solidFill>
          </w14:textFill>
        </w:rPr>
        <w:t>2）</w:t>
      </w:r>
      <w:r>
        <w:rPr>
          <w:rFonts w:hint="eastAsia" w:ascii="宋体" w:hAnsi="宋体" w:eastAsia="宋体" w:cs="宋体"/>
          <w:color w:val="000000" w:themeColor="text1"/>
          <w:sz w:val="21"/>
          <w:szCs w:val="21"/>
          <w:lang w:val="en-US" w:eastAsia="zh-CN" w:bidi="ar-SA"/>
          <w14:textFill>
            <w14:solidFill>
              <w14:schemeClr w14:val="tx1"/>
            </w14:solidFill>
          </w14:textFill>
        </w:rPr>
        <w:t>设备、车辆要求：供应商须投入垃圾筛分设备 1 套、挖掘机不</w:t>
      </w:r>
      <w:r>
        <w:rPr>
          <w:rFonts w:hint="eastAsia" w:ascii="宋体" w:hAnsi="宋体" w:eastAsia="宋体" w:cs="宋体"/>
          <w:sz w:val="21"/>
          <w:szCs w:val="21"/>
          <w:lang w:val="en-US" w:eastAsia="zh-CN" w:bidi="ar-SA"/>
        </w:rPr>
        <w:t>少于 2 台、装载机不少于 1 台、密闭运输车辆若干；所有设备、车辆性能完好，满足作业负荷，运输车辆必须为在宝应县渣土管理平台备案的全密闭车辆，具备防遗撒、防渗滤液滴漏措施，定期维保，保持车容整洁，符合环保、交通管理相关规定，投入本项目的设备车辆清单、权属 / 租赁证明、保险材料须在进场前提交采购人审核备案。</w:t>
      </w:r>
    </w:p>
    <w:p w14:paraId="28944039">
      <w:pPr>
        <w:pStyle w:val="24"/>
        <w:keepNext w:val="0"/>
        <w:keepLines w:val="0"/>
        <w:pageBreakBefore w:val="0"/>
        <w:numPr>
          <w:ilvl w:val="0"/>
          <w:numId w:val="0"/>
        </w:numPr>
        <w:kinsoku/>
        <w:wordWrap/>
        <w:overflowPunct/>
        <w:topLinePunct w:val="0"/>
        <w:autoSpaceDE/>
        <w:autoSpaceDN/>
        <w:bidi w:val="0"/>
        <w:adjustRightInd/>
        <w:snapToGrid/>
        <w:spacing w:line="360" w:lineRule="exact"/>
        <w:ind w:firstLine="402" w:firstLineChars="200"/>
        <w:textAlignment w:val="auto"/>
        <w:rPr>
          <w:rFonts w:hint="eastAsia" w:ascii="宋体" w:hAnsi="宋体" w:eastAsia="宋体" w:cs="宋体"/>
          <w:b/>
          <w:bCs/>
          <w:color w:val="auto"/>
          <w:sz w:val="20"/>
          <w:szCs w:val="20"/>
          <w:lang w:val="en-US" w:eastAsia="zh-CN"/>
        </w:rPr>
      </w:pPr>
      <w:r>
        <w:rPr>
          <w:rFonts w:hint="eastAsia" w:ascii="宋体" w:hAnsi="宋体" w:eastAsia="宋体" w:cs="宋体"/>
          <w:b/>
          <w:bCs/>
          <w:color w:val="auto"/>
          <w:sz w:val="20"/>
          <w:szCs w:val="20"/>
          <w:lang w:val="en-US" w:eastAsia="zh-CN"/>
        </w:rPr>
        <w:t>2.垃圾清挖作业风险控制要求</w:t>
      </w:r>
    </w:p>
    <w:p w14:paraId="618A9F9F">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2.1开挖作业管控 </w:t>
      </w:r>
    </w:p>
    <w:p w14:paraId="5CF92DCF">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1）合理控制开挖作业面范围，缩小裸露垃圾面积，最大限度减少污染物挥发扩散；</w:t>
      </w:r>
    </w:p>
    <w:p w14:paraId="2C71EE9D">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2）开挖作业减少对垃圾土体扰动，降低恶臭、污染物</w:t>
      </w:r>
      <w:r>
        <w:rPr>
          <w:rFonts w:hint="eastAsia" w:ascii="宋体" w:hAnsi="宋体" w:cs="宋体"/>
          <w:sz w:val="21"/>
          <w:szCs w:val="21"/>
          <w:lang w:val="en-US" w:eastAsia="zh-CN" w:bidi="ar-SA"/>
        </w:rPr>
        <w:t>溢出</w:t>
      </w:r>
      <w:r>
        <w:rPr>
          <w:rFonts w:hint="eastAsia" w:ascii="宋体" w:hAnsi="宋体" w:eastAsia="宋体" w:cs="宋体"/>
          <w:sz w:val="21"/>
          <w:szCs w:val="21"/>
          <w:lang w:val="en-US" w:eastAsia="zh-CN" w:bidi="ar-SA"/>
        </w:rPr>
        <w:t xml:space="preserve">风险。挖掘机作业应平稳操作，严禁远距离抛扔垃圾、从高处向运输车抛掷垃圾；垃圾装车时，铲斗尽量贴近车厢缓慢卸料； </w:t>
      </w:r>
    </w:p>
    <w:p w14:paraId="19971013">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3）严格落实扬尘管控措施，控制污染扩散：场内道路定时洒水抑尘；控制场内行驶车辆数量、限制车辆行驶速度；作业面及时覆盖抑尘；风力达到 4 级及以上时，立即停止开挖、装卸作业。</w:t>
      </w:r>
    </w:p>
    <w:p w14:paraId="4DA6B46C">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2.2垃圾运输作业管控</w:t>
      </w:r>
    </w:p>
    <w:p w14:paraId="33418F76">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1）严格执行固废转移联单制度，实现垃圾流向全程可追溯；</w:t>
      </w:r>
    </w:p>
    <w:p w14:paraId="0C3B69A6">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2）接受监理全过程监管，每车固废必须点对点运送处置单位。每车装车完成、到达处置厂卸货环节均采用水印相机拍照留存，一车一档，所有记录完整存档； </w:t>
      </w:r>
    </w:p>
    <w:p w14:paraId="1BDB12AF">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3）垃圾装车完成后，立即对车厢进行严密苫盖，经现场检查合格后方可驶出作业场区； </w:t>
      </w:r>
    </w:p>
    <w:p w14:paraId="2A1ACD44">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4）安排人员 / 车辆开展途中巡查，如发现苫布破损、被风吹开等情况，第一时间通知运输车辆靠边停车，要求现场重新规范苫盖，整改合格后方可继续运输。</w:t>
      </w:r>
    </w:p>
    <w:p w14:paraId="6907DE4C">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2.3垃圾暂存作业管控</w:t>
      </w:r>
    </w:p>
    <w:p w14:paraId="20133E86">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坚持边清挖、边外运，优先做到当日垃圾当日清运处置。确需场内临时暂存的，暂存垃圾必须全覆盖密闭苫盖；垃圾进场、出场管理均须满足本项目上述暂存污染防控要求。</w:t>
      </w:r>
    </w:p>
    <w:p w14:paraId="78A4D979">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2" w:firstLineChars="200"/>
        <w:textAlignment w:val="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3.应急处置作业要求</w:t>
      </w:r>
    </w:p>
    <w:p w14:paraId="482A3DBD">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供应商须按照《中华人民共和国突发事件应对法》相关规定，结合本项目环境治理特点编制专项应急预案，常态化开展应急宣传、培训及应急演练；落实监测预警、人员疏散、危险源管控、警戒隔离、伤员救助、善后处置等工作。施工期间发生各类突发事件，必须第一时间采取处置措施，控制风险、降低危害。</w:t>
      </w:r>
    </w:p>
    <w:p w14:paraId="39CB9E3B">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3.1开挖作业突发情况处置要求</w:t>
      </w:r>
    </w:p>
    <w:p w14:paraId="68BAFD57">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垃圾清挖开挖过程中发现异常情况立即停工处置：发现边坡裂缝、滑移等滑坡迹象，立即停止施工，组织全部人员撤离危险区域；必要时利用挖掘机对坡脚回填压脚进行应急处置；设置监测点持续观测滑坡体位移、沉降，做好观测记录；</w:t>
      </w:r>
    </w:p>
    <w:p w14:paraId="7701AC07">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2）开挖过程中发现地下管线、电缆、管沟、人防设施等地下障碍物，立即停止作业，上报采购人、监理，待权属单位现场处置完成后，方可复工。</w:t>
      </w:r>
    </w:p>
    <w:p w14:paraId="304BF223">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3.2运输交通事故应急处置要求</w:t>
      </w:r>
    </w:p>
    <w:p w14:paraId="2222237A">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运输途中发生重大交通事故，立即同步启动交通事故、污染泄漏应急预案。作业人员第一时间赶赴现场，优先抢救伤员、拨打报警电话，设置安全警示标志；核查垃圾遗撒、泄漏情况，制定现场临时污染清理方案；交警事故处置完毕后，及时调配车辆，将散落、受损车辆内的垃圾转运至指定处置场所。</w:t>
      </w:r>
    </w:p>
    <w:p w14:paraId="6FADB767">
      <w:pPr>
        <w:pStyle w:val="24"/>
        <w:keepNext w:val="0"/>
        <w:keepLines w:val="0"/>
        <w:pageBreakBefore w:val="0"/>
        <w:numPr>
          <w:ilvl w:val="0"/>
          <w:numId w:val="0"/>
        </w:numPr>
        <w:kinsoku/>
        <w:wordWrap/>
        <w:overflowPunct/>
        <w:topLinePunct w:val="0"/>
        <w:autoSpaceDE/>
        <w:autoSpaceDN/>
        <w:bidi w:val="0"/>
        <w:adjustRightInd/>
        <w:snapToGrid/>
        <w:spacing w:line="360" w:lineRule="exact"/>
        <w:ind w:firstLine="402" w:firstLineChars="200"/>
        <w:textAlignment w:val="auto"/>
        <w:rPr>
          <w:rFonts w:hint="eastAsia" w:ascii="宋体" w:hAnsi="宋体" w:eastAsia="宋体" w:cs="宋体"/>
          <w:b/>
          <w:bCs/>
          <w:color w:val="auto"/>
          <w:sz w:val="20"/>
          <w:szCs w:val="20"/>
          <w:lang w:val="en-US" w:eastAsia="zh-CN"/>
        </w:rPr>
      </w:pPr>
      <w:r>
        <w:rPr>
          <w:rFonts w:hint="eastAsia" w:ascii="宋体" w:hAnsi="宋体" w:cs="宋体"/>
          <w:b/>
          <w:bCs/>
          <w:color w:val="auto"/>
          <w:sz w:val="20"/>
          <w:szCs w:val="20"/>
          <w:lang w:val="en-US" w:eastAsia="zh-CN"/>
        </w:rPr>
        <w:t>4.</w:t>
      </w:r>
      <w:r>
        <w:rPr>
          <w:rFonts w:hint="eastAsia" w:ascii="宋体" w:hAnsi="宋体" w:eastAsia="宋体" w:cs="宋体"/>
          <w:b/>
          <w:bCs/>
          <w:color w:val="auto"/>
          <w:sz w:val="20"/>
          <w:szCs w:val="20"/>
          <w:lang w:val="en-US" w:eastAsia="zh-CN"/>
        </w:rPr>
        <w:t>消防应急处置要求</w:t>
      </w:r>
    </w:p>
    <w:p w14:paraId="468E81D5">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4.1作业现场发生火情，现场人员第一时间使用现场配备消防器材开展初期扑救，并立即上报项目应急负责人，负责人及时到场处置，同步向上级主管部门报告；</w:t>
      </w:r>
    </w:p>
    <w:p w14:paraId="7763E265">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4.2火势无法控制、风险较高时，立即拨打 119 报警，清晰告知事发地点、周边地标、着火部位、燃烧物、火势情况，并安排人员在路口接引消防车； </w:t>
      </w:r>
    </w:p>
    <w:p w14:paraId="2C4A20B2">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4.3火情发生后，电工第一时间切断区域电源，保障消防供水；电路起火严禁直接用水或含水类灭火器扑救，防止触电； </w:t>
      </w:r>
    </w:p>
    <w:p w14:paraId="13ABCBB6">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4.4现场配备湿毛巾等防护物资，发生有毒烟气风险时，用于人员防护；伤员救出后及时做简易创面冲洗、包扎，并联系 120 送医救治。</w:t>
      </w:r>
    </w:p>
    <w:p w14:paraId="743CE56C">
      <w:pPr>
        <w:pStyle w:val="24"/>
        <w:keepNext w:val="0"/>
        <w:keepLines w:val="0"/>
        <w:pageBreakBefore w:val="0"/>
        <w:numPr>
          <w:ilvl w:val="0"/>
          <w:numId w:val="0"/>
        </w:numPr>
        <w:kinsoku/>
        <w:wordWrap/>
        <w:overflowPunct/>
        <w:topLinePunct w:val="0"/>
        <w:autoSpaceDE/>
        <w:autoSpaceDN/>
        <w:bidi w:val="0"/>
        <w:adjustRightInd/>
        <w:snapToGrid/>
        <w:spacing w:line="360" w:lineRule="exact"/>
        <w:ind w:firstLine="402" w:firstLineChars="200"/>
        <w:textAlignment w:val="auto"/>
        <w:rPr>
          <w:rFonts w:hint="eastAsia" w:ascii="宋体" w:hAnsi="宋体" w:eastAsia="宋体" w:cs="宋体"/>
          <w:b/>
          <w:bCs/>
          <w:color w:val="auto"/>
          <w:sz w:val="20"/>
          <w:szCs w:val="20"/>
          <w:lang w:val="en-US" w:eastAsia="zh-CN"/>
        </w:rPr>
      </w:pPr>
      <w:r>
        <w:rPr>
          <w:rFonts w:hint="eastAsia" w:ascii="宋体" w:hAnsi="宋体" w:cs="宋体"/>
          <w:b/>
          <w:bCs/>
          <w:color w:val="auto"/>
          <w:sz w:val="20"/>
          <w:szCs w:val="20"/>
          <w:lang w:val="en-US" w:eastAsia="zh-CN"/>
        </w:rPr>
        <w:t>5.</w:t>
      </w:r>
      <w:r>
        <w:rPr>
          <w:rFonts w:hint="eastAsia" w:ascii="宋体" w:hAnsi="宋体" w:eastAsia="宋体" w:cs="宋体"/>
          <w:b/>
          <w:bCs/>
          <w:color w:val="auto"/>
          <w:sz w:val="20"/>
          <w:szCs w:val="20"/>
          <w:lang w:val="en-US" w:eastAsia="zh-CN"/>
        </w:rPr>
        <w:t xml:space="preserve"> 社会稳定风险处置要求</w:t>
      </w:r>
    </w:p>
    <w:p w14:paraId="30EB83B3">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供应商须严格落实施工管控、二次污染防治措施，主动公开项目处置相关信息，妥善接待周边群众咨询、投诉。发生涉稳、群体事件时，做好全程影像、谈话记录，所有资料整理归档。</w:t>
      </w:r>
    </w:p>
    <w:p w14:paraId="7FA90CB8">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5.1扰民事件处置要求</w:t>
      </w:r>
    </w:p>
    <w:p w14:paraId="14931F1A">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1）因施工噪声引发群众小规模扰民投诉：由项目负责人、技术负责人接待来访群众，登记诉求，做好沟通解释，优化施工安排；</w:t>
      </w:r>
    </w:p>
    <w:p w14:paraId="1669899F">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2）因作业异味引发扰民投诉：立即停工，由项目负责人及单位主管领导对接居民代表，及时响应群众诉求，落实整改。</w:t>
      </w:r>
    </w:p>
    <w:p w14:paraId="1FE67076">
      <w:pPr>
        <w:pStyle w:val="24"/>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02" w:firstLineChars="200"/>
        <w:textAlignment w:val="auto"/>
        <w:rPr>
          <w:rFonts w:hint="eastAsia" w:ascii="宋体" w:hAnsi="宋体" w:eastAsia="宋体" w:cs="Times New Roman"/>
          <w:b/>
          <w:bCs/>
          <w:color w:val="auto"/>
          <w:sz w:val="20"/>
          <w:szCs w:val="20"/>
          <w:lang w:val="en-US" w:eastAsia="zh-CN"/>
        </w:rPr>
      </w:pPr>
      <w:r>
        <w:rPr>
          <w:rFonts w:hint="eastAsia" w:ascii="宋体" w:hAnsi="宋体" w:eastAsia="宋体" w:cs="Times New Roman"/>
          <w:b/>
          <w:bCs/>
          <w:color w:val="auto"/>
          <w:sz w:val="20"/>
          <w:szCs w:val="20"/>
          <w:lang w:val="en-US" w:eastAsia="zh-CN"/>
        </w:rPr>
        <w:t>五、竣工验收</w:t>
      </w:r>
    </w:p>
    <w:p w14:paraId="3A16D7C3">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该地块垃圾处置工程完工后实施场地处置效果验收，验收环节包含资料审核、现场踏勘、现场采样检测，必要时局部开挖核验至</w:t>
      </w:r>
      <w:r>
        <w:rPr>
          <w:rFonts w:hint="eastAsia" w:ascii="宋体" w:hAnsi="宋体" w:cs="宋体"/>
          <w:sz w:val="21"/>
          <w:szCs w:val="21"/>
          <w:lang w:val="en-US" w:eastAsia="zh-CN" w:bidi="ar-SA"/>
        </w:rPr>
        <w:t>填埋物向下0.5m-1m</w:t>
      </w:r>
      <w:r>
        <w:rPr>
          <w:rFonts w:hint="eastAsia" w:ascii="宋体" w:hAnsi="宋体" w:eastAsia="宋体" w:cs="宋体"/>
          <w:sz w:val="21"/>
          <w:szCs w:val="21"/>
          <w:lang w:val="en-US" w:eastAsia="zh-CN" w:bidi="ar-SA"/>
        </w:rPr>
        <w:t>。验收标准：①全套作业台账、转运联单、影像资料齐全真实，垃圾去向可追溯；②地块内垃圾、筛余废弃物全部清理外运，场地平整、边坡稳定、排水通畅，无零星垃圾、夹层偷埋垃圾；③场区无渗滤液积存、明显异味、遗留污染物，未发生非法倾倒。验收不合格由中标单位整改后重新验收，相关费用自行承担。</w:t>
      </w:r>
    </w:p>
    <w:p w14:paraId="628C43FC">
      <w:pPr>
        <w:pStyle w:val="24"/>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02" w:firstLineChars="200"/>
        <w:textAlignment w:val="auto"/>
        <w:rPr>
          <w:rFonts w:hint="eastAsia" w:ascii="宋体" w:hAnsi="宋体" w:eastAsia="宋体" w:cs="Times New Roman"/>
          <w:b/>
          <w:bCs/>
          <w:color w:val="auto"/>
          <w:sz w:val="20"/>
          <w:szCs w:val="20"/>
          <w:lang w:val="en-US" w:eastAsia="zh-CN"/>
        </w:rPr>
      </w:pPr>
      <w:r>
        <w:rPr>
          <w:rFonts w:hint="eastAsia" w:ascii="宋体" w:hAnsi="宋体" w:eastAsia="宋体" w:cs="Times New Roman"/>
          <w:b/>
          <w:bCs/>
          <w:color w:val="auto"/>
          <w:sz w:val="20"/>
          <w:szCs w:val="20"/>
          <w:lang w:val="en-US" w:eastAsia="zh-CN"/>
        </w:rPr>
        <w:t>六、其他要求</w:t>
      </w:r>
    </w:p>
    <w:p w14:paraId="28172E55">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1.消纳场内的垃圾需分类转运、分类处置，严禁混装、混运、混合处置，按照扬城管〔2025〕17 号规定仅限在宝应县境内合规处置，不得外运出宝应县域。</w:t>
      </w:r>
    </w:p>
    <w:p w14:paraId="0D39C3D4">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2.供应商承诺在中标后7日内，向城市人民政府市容环境卫生主管部门申请</w:t>
      </w:r>
      <w:r>
        <w:rPr>
          <w:rFonts w:hint="eastAsia" w:ascii="宋体" w:hAnsi="宋体" w:cs="宋体"/>
          <w:i/>
          <w:iCs/>
          <w:sz w:val="21"/>
          <w:szCs w:val="21"/>
          <w:u w:val="single"/>
          <w:lang w:val="en-US" w:eastAsia="zh-CN" w:bidi="ar-SA"/>
        </w:rPr>
        <w:t>办理</w:t>
      </w:r>
      <w:r>
        <w:rPr>
          <w:rFonts w:hint="eastAsia" w:ascii="宋体" w:hAnsi="宋体" w:eastAsia="宋体" w:cs="宋体"/>
          <w:i/>
          <w:iCs/>
          <w:sz w:val="21"/>
          <w:szCs w:val="21"/>
          <w:u w:val="single"/>
          <w:lang w:val="en-US" w:eastAsia="zh-CN" w:bidi="ar-SA"/>
        </w:rPr>
        <w:t>：①从事城市生活垃圾经营性清扫、收集 、运输服务许可证</w:t>
      </w:r>
      <w:r>
        <w:rPr>
          <w:rFonts w:hint="eastAsia" w:ascii="宋体" w:hAnsi="宋体" w:cs="宋体"/>
          <w:i/>
          <w:iCs/>
          <w:sz w:val="21"/>
          <w:szCs w:val="21"/>
          <w:u w:val="single"/>
          <w:lang w:val="en-US" w:eastAsia="zh-CN" w:bidi="ar-SA"/>
        </w:rPr>
        <w:t>；</w:t>
      </w:r>
      <w:r>
        <w:rPr>
          <w:rFonts w:hint="eastAsia" w:ascii="宋体" w:hAnsi="宋体" w:eastAsia="宋体" w:cs="宋体"/>
          <w:i/>
          <w:iCs/>
          <w:sz w:val="21"/>
          <w:szCs w:val="21"/>
          <w:u w:val="single"/>
          <w:lang w:val="en-US" w:eastAsia="zh-CN" w:bidi="ar-SA"/>
        </w:rPr>
        <w:t>②城市建筑垃圾处理方案核准和备案。（若上述条件未能落实到位，将取消中标资格）。</w:t>
      </w:r>
    </w:p>
    <w:p w14:paraId="35266F85">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default"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3.供应商</w:t>
      </w:r>
      <w:r>
        <w:rPr>
          <w:rFonts w:hint="eastAsia" w:ascii="宋体" w:hAnsi="宋体" w:cs="宋体"/>
          <w:i/>
          <w:iCs/>
          <w:sz w:val="21"/>
          <w:szCs w:val="21"/>
          <w:u w:val="single"/>
          <w:lang w:val="en-US" w:eastAsia="zh-CN" w:bidi="ar-SA"/>
        </w:rPr>
        <w:t>需</w:t>
      </w:r>
      <w:r>
        <w:rPr>
          <w:rFonts w:hint="eastAsia" w:ascii="宋体" w:hAnsi="宋体" w:eastAsia="宋体" w:cs="宋体"/>
          <w:i/>
          <w:iCs/>
          <w:sz w:val="21"/>
          <w:szCs w:val="21"/>
          <w:u w:val="single"/>
          <w:lang w:val="en-US" w:eastAsia="zh-CN" w:bidi="ar-SA"/>
        </w:rPr>
        <w:t>提供与宝应境内具备处置资质的企业签订建筑垃圾和生活垃圾处置合同（有效期内）或承诺在中标后7日内完成合同签订（注：需提供合同或承诺函）。</w:t>
      </w:r>
    </w:p>
    <w:p w14:paraId="7408EC77">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4.供应商应自行踏勘现场，充分了解消纳场所在位置、环境以及工作范围，对消纳场区域、点位分布提前规划，安排合理。任何忽视或误解项目基本情况，而使采购人在项目实施过程中蒙受的损失，将由供应商进行赔偿。</w:t>
      </w:r>
    </w:p>
    <w:p w14:paraId="5E60DC25">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中标供应商需在开工前，编制开挖专项施工方案提交采购方审查，取得采购方书面同意后方可组织开挖施工。施工方案应结合项目现场实际情况编制，具备针对性、可操作性，方案内容至少包含：①雨污分流专项方案；②施工安全保障措施； </w:t>
      </w:r>
      <w:r>
        <w:rPr>
          <w:rFonts w:hint="eastAsia" w:ascii="宋体" w:hAnsi="宋体" w:eastAsia="宋体" w:cs="宋体"/>
          <w:sz w:val="21"/>
          <w:szCs w:val="21"/>
          <w:lang w:val="en-US" w:eastAsia="zh-CN" w:bidi="ar-SA"/>
        </w:rPr>
        <w:fldChar w:fldCharType="begin"/>
      </w:r>
      <w:r>
        <w:rPr>
          <w:rFonts w:hint="eastAsia" w:ascii="宋体" w:hAnsi="宋体" w:eastAsia="宋体" w:cs="宋体"/>
          <w:sz w:val="21"/>
          <w:szCs w:val="21"/>
          <w:lang w:val="en-US" w:eastAsia="zh-CN" w:bidi="ar-SA"/>
        </w:rPr>
        <w:instrText xml:space="preserve"> = 3 \* GB3 \* MERGEFORMAT </w:instrText>
      </w:r>
      <w:r>
        <w:rPr>
          <w:rFonts w:hint="eastAsia" w:ascii="宋体" w:hAnsi="宋体" w:eastAsia="宋体" w:cs="宋体"/>
          <w:sz w:val="21"/>
          <w:szCs w:val="21"/>
          <w:lang w:val="en-US" w:eastAsia="zh-CN" w:bidi="ar-SA"/>
        </w:rPr>
        <w:fldChar w:fldCharType="separate"/>
      </w:r>
      <w:r>
        <w:rPr>
          <w:rFonts w:hint="eastAsia" w:ascii="宋体" w:hAnsi="宋体" w:eastAsia="宋体" w:cs="宋体"/>
          <w:sz w:val="21"/>
          <w:szCs w:val="21"/>
          <w:lang w:val="en-US" w:eastAsia="zh-CN" w:bidi="ar-SA"/>
        </w:rPr>
        <w:t>③</w:t>
      </w:r>
      <w:r>
        <w:rPr>
          <w:rFonts w:hint="eastAsia" w:ascii="宋体" w:hAnsi="宋体" w:eastAsia="宋体" w:cs="宋体"/>
          <w:sz w:val="21"/>
          <w:szCs w:val="21"/>
          <w:lang w:val="en-US" w:eastAsia="zh-CN" w:bidi="ar-SA"/>
        </w:rPr>
        <w:fldChar w:fldCharType="end"/>
      </w:r>
      <w:r>
        <w:rPr>
          <w:rFonts w:hint="eastAsia" w:ascii="宋体" w:hAnsi="宋体" w:eastAsia="宋体" w:cs="宋体"/>
          <w:sz w:val="21"/>
          <w:szCs w:val="21"/>
          <w:lang w:val="en-US" w:eastAsia="zh-CN" w:bidi="ar-SA"/>
        </w:rPr>
        <w:t>应急处置预案；</w:t>
      </w:r>
      <w:r>
        <w:rPr>
          <w:rFonts w:hint="eastAsia" w:ascii="宋体" w:hAnsi="宋体" w:eastAsia="宋体" w:cs="宋体"/>
          <w:sz w:val="21"/>
          <w:szCs w:val="21"/>
          <w:lang w:val="en-US" w:eastAsia="zh-CN" w:bidi="ar-SA"/>
        </w:rPr>
        <w:fldChar w:fldCharType="begin"/>
      </w:r>
      <w:r>
        <w:rPr>
          <w:rFonts w:hint="eastAsia" w:ascii="宋体" w:hAnsi="宋体" w:eastAsia="宋体" w:cs="宋体"/>
          <w:sz w:val="21"/>
          <w:szCs w:val="21"/>
          <w:lang w:val="en-US" w:eastAsia="zh-CN" w:bidi="ar-SA"/>
        </w:rPr>
        <w:instrText xml:space="preserve"> = 4 \* GB3 \* MERGEFORMAT </w:instrText>
      </w:r>
      <w:r>
        <w:rPr>
          <w:rFonts w:hint="eastAsia" w:ascii="宋体" w:hAnsi="宋体" w:eastAsia="宋体" w:cs="宋体"/>
          <w:sz w:val="21"/>
          <w:szCs w:val="21"/>
          <w:lang w:val="en-US" w:eastAsia="zh-CN" w:bidi="ar-SA"/>
        </w:rPr>
        <w:fldChar w:fldCharType="separate"/>
      </w:r>
      <w:r>
        <w:rPr>
          <w:rFonts w:hint="eastAsia" w:ascii="宋体" w:hAnsi="宋体" w:eastAsia="宋体" w:cs="宋体"/>
          <w:sz w:val="21"/>
          <w:szCs w:val="21"/>
          <w:lang w:val="en-US" w:eastAsia="zh-CN" w:bidi="ar-SA"/>
        </w:rPr>
        <w:t>④</w:t>
      </w:r>
      <w:r>
        <w:rPr>
          <w:rFonts w:hint="eastAsia" w:ascii="宋体" w:hAnsi="宋体" w:eastAsia="宋体" w:cs="宋体"/>
          <w:sz w:val="21"/>
          <w:szCs w:val="21"/>
          <w:lang w:val="en-US" w:eastAsia="zh-CN" w:bidi="ar-SA"/>
        </w:rPr>
        <w:fldChar w:fldCharType="end"/>
      </w:r>
      <w:r>
        <w:rPr>
          <w:rFonts w:hint="eastAsia" w:ascii="宋体" w:hAnsi="宋体" w:eastAsia="宋体" w:cs="宋体"/>
          <w:sz w:val="21"/>
          <w:szCs w:val="21"/>
          <w:lang w:val="en-US" w:eastAsia="zh-CN" w:bidi="ar-SA"/>
        </w:rPr>
        <w:t>施工计划、开挖分段方案；</w:t>
      </w:r>
      <w:r>
        <w:rPr>
          <w:rFonts w:hint="eastAsia" w:ascii="宋体" w:hAnsi="宋体" w:eastAsia="宋体" w:cs="宋体"/>
          <w:sz w:val="21"/>
          <w:szCs w:val="21"/>
          <w:lang w:val="en-US" w:eastAsia="zh-CN" w:bidi="ar-SA"/>
        </w:rPr>
        <w:fldChar w:fldCharType="begin"/>
      </w:r>
      <w:r>
        <w:rPr>
          <w:rFonts w:hint="eastAsia" w:ascii="宋体" w:hAnsi="宋体" w:eastAsia="宋体" w:cs="宋体"/>
          <w:sz w:val="21"/>
          <w:szCs w:val="21"/>
          <w:lang w:val="en-US" w:eastAsia="zh-CN" w:bidi="ar-SA"/>
        </w:rPr>
        <w:instrText xml:space="preserve"> = 5 \* GB3 \* MERGEFORMAT </w:instrText>
      </w:r>
      <w:r>
        <w:rPr>
          <w:rFonts w:hint="eastAsia" w:ascii="宋体" w:hAnsi="宋体" w:eastAsia="宋体" w:cs="宋体"/>
          <w:sz w:val="21"/>
          <w:szCs w:val="21"/>
          <w:lang w:val="en-US" w:eastAsia="zh-CN" w:bidi="ar-SA"/>
        </w:rPr>
        <w:fldChar w:fldCharType="separate"/>
      </w:r>
      <w:r>
        <w:rPr>
          <w:rFonts w:hint="eastAsia" w:ascii="宋体" w:hAnsi="宋体" w:eastAsia="宋体" w:cs="宋体"/>
          <w:sz w:val="21"/>
          <w:szCs w:val="21"/>
          <w:lang w:val="en-US" w:eastAsia="zh-CN" w:bidi="ar-SA"/>
        </w:rPr>
        <w:t>⑤</w:t>
      </w:r>
      <w:r>
        <w:rPr>
          <w:rFonts w:hint="eastAsia" w:ascii="宋体" w:hAnsi="宋体" w:eastAsia="宋体" w:cs="宋体"/>
          <w:sz w:val="21"/>
          <w:szCs w:val="21"/>
          <w:lang w:val="en-US" w:eastAsia="zh-CN" w:bidi="ar-SA"/>
        </w:rPr>
        <w:fldChar w:fldCharType="end"/>
      </w:r>
      <w:r>
        <w:rPr>
          <w:rFonts w:hint="eastAsia" w:ascii="宋体" w:hAnsi="宋体" w:eastAsia="宋体" w:cs="宋体"/>
          <w:sz w:val="21"/>
          <w:szCs w:val="21"/>
          <w:lang w:val="en-US" w:eastAsia="zh-CN" w:bidi="ar-SA"/>
        </w:rPr>
        <w:t>文明施工、扬尘噪声管控、土石方清运及堆放管控措施。</w:t>
      </w:r>
    </w:p>
    <w:p w14:paraId="34996B72">
      <w:pPr>
        <w:keepNext w:val="0"/>
        <w:keepLines w:val="0"/>
        <w:pageBreakBefore w:val="0"/>
        <w:kinsoku/>
        <w:wordWrap/>
        <w:overflowPunct/>
        <w:topLinePunct w:val="0"/>
        <w:autoSpaceDE/>
        <w:autoSpaceDN/>
        <w:bidi w:val="0"/>
        <w:adjustRightInd/>
        <w:snapToGrid/>
        <w:spacing w:beforeAutospacing="0" w:afterAutospacing="0" w:line="360" w:lineRule="exact"/>
        <w:ind w:left="0" w:leftChars="0" w:firstLine="402" w:firstLineChars="200"/>
        <w:textAlignment w:val="auto"/>
        <w:rPr>
          <w:rFonts w:hint="eastAsia" w:ascii="宋体" w:hAnsi="宋体" w:cs="Times New Roman"/>
          <w:b/>
          <w:bCs/>
          <w:color w:val="000000" w:themeColor="text1"/>
          <w:sz w:val="20"/>
          <w:szCs w:val="20"/>
          <w:lang w:val="en-US" w:eastAsia="zh-CN"/>
          <w14:textFill>
            <w14:solidFill>
              <w14:schemeClr w14:val="tx1"/>
            </w14:solidFill>
          </w14:textFill>
        </w:rPr>
      </w:pPr>
      <w:r>
        <w:rPr>
          <w:rFonts w:hint="eastAsia" w:ascii="宋体" w:hAnsi="宋体" w:cs="Times New Roman"/>
          <w:b/>
          <w:bCs/>
          <w:color w:val="000000" w:themeColor="text1"/>
          <w:sz w:val="20"/>
          <w:szCs w:val="20"/>
          <w:lang w:val="en-US" w:eastAsia="zh-CN"/>
          <w14:textFill>
            <w14:solidFill>
              <w14:schemeClr w14:val="tx1"/>
            </w14:solidFill>
          </w14:textFill>
        </w:rPr>
        <w:t>七、合同履行期限</w:t>
      </w:r>
    </w:p>
    <w:p w14:paraId="6E444717">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合同签订之日90日历天内完成</w:t>
      </w:r>
    </w:p>
    <w:p w14:paraId="37D18BD7">
      <w:pPr>
        <w:keepNext w:val="0"/>
        <w:keepLines w:val="0"/>
        <w:pageBreakBefore w:val="0"/>
        <w:kinsoku/>
        <w:wordWrap/>
        <w:overflowPunct/>
        <w:topLinePunct w:val="0"/>
        <w:autoSpaceDE/>
        <w:autoSpaceDN/>
        <w:bidi w:val="0"/>
        <w:adjustRightInd/>
        <w:snapToGrid/>
        <w:spacing w:beforeAutospacing="0" w:afterAutospacing="0" w:line="360" w:lineRule="exact"/>
        <w:ind w:left="0" w:leftChars="0" w:firstLine="402" w:firstLineChars="200"/>
        <w:textAlignment w:val="auto"/>
        <w:rPr>
          <w:rFonts w:hint="eastAsia" w:ascii="宋体" w:hAnsi="宋体" w:eastAsia="宋体" w:cs="Times New Roman"/>
          <w:b/>
          <w:bCs/>
          <w:color w:val="auto"/>
          <w:sz w:val="20"/>
          <w:szCs w:val="20"/>
          <w:lang w:val="en-US" w:eastAsia="zh-CN"/>
        </w:rPr>
      </w:pPr>
      <w:r>
        <w:rPr>
          <w:rFonts w:hint="eastAsia" w:ascii="宋体" w:hAnsi="宋体" w:cs="Times New Roman"/>
          <w:b/>
          <w:bCs/>
          <w:color w:val="auto"/>
          <w:sz w:val="20"/>
          <w:szCs w:val="20"/>
          <w:lang w:val="en-US" w:eastAsia="zh-CN"/>
        </w:rPr>
        <w:t xml:space="preserve">八 </w:t>
      </w:r>
      <w:r>
        <w:rPr>
          <w:rFonts w:hint="eastAsia" w:ascii="宋体" w:hAnsi="宋体" w:eastAsia="宋体" w:cs="Times New Roman"/>
          <w:b/>
          <w:bCs/>
          <w:color w:val="auto"/>
          <w:sz w:val="20"/>
          <w:szCs w:val="20"/>
          <w:lang w:val="en-US" w:eastAsia="zh-CN"/>
        </w:rPr>
        <w:t>、付款方式</w:t>
      </w:r>
    </w:p>
    <w:p w14:paraId="3009CF58">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default" w:ascii="宋体" w:hAnsi="宋体" w:eastAsia="宋体" w:cs="宋体"/>
          <w:i/>
          <w:iCs/>
          <w:sz w:val="21"/>
          <w:szCs w:val="21"/>
          <w:u w:val="single"/>
          <w:lang w:val="en-US" w:eastAsia="zh-CN" w:bidi="ar-SA"/>
        </w:rPr>
      </w:pPr>
      <w:r>
        <w:rPr>
          <w:rFonts w:hint="default" w:ascii="宋体" w:hAnsi="宋体" w:eastAsia="宋体" w:cs="宋体"/>
          <w:i/>
          <w:iCs/>
          <w:sz w:val="21"/>
          <w:szCs w:val="21"/>
          <w:u w:val="single"/>
          <w:lang w:val="en-US" w:eastAsia="zh-CN" w:bidi="ar-SA"/>
        </w:rPr>
        <w:t>1）</w:t>
      </w:r>
      <w:r>
        <w:rPr>
          <w:rFonts w:hint="eastAsia" w:ascii="宋体" w:hAnsi="宋体" w:eastAsia="宋体" w:cs="宋体"/>
          <w:i/>
          <w:iCs/>
          <w:sz w:val="21"/>
          <w:szCs w:val="21"/>
          <w:u w:val="single"/>
          <w:lang w:val="en-US" w:eastAsia="zh-CN" w:bidi="ar-SA"/>
        </w:rPr>
        <w:t>签订合同后</w:t>
      </w:r>
      <w:r>
        <w:rPr>
          <w:rFonts w:hint="default" w:ascii="宋体" w:hAnsi="宋体" w:eastAsia="宋体" w:cs="宋体"/>
          <w:i/>
          <w:iCs/>
          <w:sz w:val="21"/>
          <w:szCs w:val="21"/>
          <w:u w:val="single"/>
          <w:lang w:val="en-US" w:eastAsia="zh-CN" w:bidi="ar-SA"/>
        </w:rPr>
        <w:t>乙方向甲方开具发票，甲方自收到发票之日起10个工作日内支付合同总价30%的预付款;</w:t>
      </w:r>
    </w:p>
    <w:p w14:paraId="05DB53A1">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i/>
          <w:iCs/>
          <w:sz w:val="21"/>
          <w:szCs w:val="21"/>
          <w:u w:val="single"/>
          <w:lang w:val="en-US" w:eastAsia="zh-CN" w:bidi="ar-SA"/>
        </w:rPr>
      </w:pPr>
      <w:r>
        <w:rPr>
          <w:rFonts w:hint="default" w:ascii="宋体" w:hAnsi="宋体" w:eastAsia="宋体" w:cs="宋体"/>
          <w:i/>
          <w:iCs/>
          <w:sz w:val="21"/>
          <w:szCs w:val="21"/>
          <w:u w:val="single"/>
          <w:lang w:val="en-US" w:eastAsia="zh-CN" w:bidi="ar-SA"/>
        </w:rPr>
        <w:t>2）项目结束</w:t>
      </w:r>
      <w:r>
        <w:rPr>
          <w:rFonts w:hint="eastAsia" w:ascii="宋体" w:hAnsi="宋体" w:eastAsia="宋体" w:cs="宋体"/>
          <w:i/>
          <w:iCs/>
          <w:sz w:val="21"/>
          <w:szCs w:val="21"/>
          <w:u w:val="single"/>
          <w:lang w:val="en-US" w:eastAsia="zh-CN" w:bidi="ar-SA"/>
        </w:rPr>
        <w:t>后，</w:t>
      </w:r>
      <w:r>
        <w:rPr>
          <w:rFonts w:hint="default" w:ascii="宋体" w:hAnsi="宋体" w:eastAsia="宋体" w:cs="宋体"/>
          <w:i/>
          <w:iCs/>
          <w:sz w:val="21"/>
          <w:szCs w:val="21"/>
          <w:u w:val="single"/>
          <w:lang w:val="en-US" w:eastAsia="zh-CN" w:bidi="ar-SA"/>
        </w:rPr>
        <w:t>采购人组织</w:t>
      </w:r>
      <w:r>
        <w:rPr>
          <w:rFonts w:hint="eastAsia" w:ascii="宋体" w:hAnsi="宋体" w:eastAsia="宋体" w:cs="宋体"/>
          <w:i/>
          <w:iCs/>
          <w:sz w:val="21"/>
          <w:szCs w:val="21"/>
          <w:u w:val="single"/>
          <w:lang w:val="en-US" w:eastAsia="zh-CN" w:bidi="ar-SA"/>
        </w:rPr>
        <w:t>综合</w:t>
      </w:r>
      <w:r>
        <w:rPr>
          <w:rFonts w:hint="default" w:ascii="宋体" w:hAnsi="宋体" w:eastAsia="宋体" w:cs="宋体"/>
          <w:i/>
          <w:iCs/>
          <w:sz w:val="21"/>
          <w:szCs w:val="21"/>
          <w:u w:val="single"/>
          <w:lang w:val="en-US" w:eastAsia="zh-CN" w:bidi="ar-SA"/>
        </w:rPr>
        <w:t>验收合格后，乙方向甲方开具发票，甲方自收到发票之日起10个工作日内，支付乙方合同总价的70%。</w:t>
      </w:r>
    </w:p>
    <w:p w14:paraId="1EE8F796">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jc w:val="both"/>
        <w:textAlignment w:val="auto"/>
        <w:rPr>
          <w:rFonts w:hint="eastAsia" w:ascii="宋体" w:hAnsi="宋体" w:eastAsia="宋体" w:cs="宋体"/>
          <w:b/>
          <w:bCs/>
          <w:color w:val="auto"/>
          <w:sz w:val="40"/>
          <w:szCs w:val="40"/>
          <w:lang w:val="en-US" w:eastAsia="zh-CN" w:bidi="ar-SA"/>
        </w:rPr>
      </w:pPr>
    </w:p>
    <w:p w14:paraId="3B802DE6">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jc w:val="both"/>
        <w:textAlignment w:val="auto"/>
        <w:rPr>
          <w:rFonts w:hint="default" w:ascii="宋体" w:hAnsi="宋体" w:eastAsia="宋体" w:cs="宋体"/>
          <w:b/>
          <w:bCs/>
          <w:color w:val="auto"/>
          <w:sz w:val="40"/>
          <w:szCs w:val="40"/>
          <w:lang w:val="en-US" w:eastAsia="zh-CN" w:bidi="ar-SA"/>
        </w:rPr>
      </w:pPr>
    </w:p>
    <w:p w14:paraId="6866A4AC">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30"/>
          <w:szCs w:val="30"/>
          <w:lang w:val="en-US" w:eastAsia="zh-CN" w:bidi="ar-SA"/>
        </w:rPr>
      </w:pPr>
    </w:p>
    <w:p w14:paraId="338FDFC5">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30"/>
          <w:szCs w:val="30"/>
          <w:lang w:val="en-US" w:eastAsia="zh-CN" w:bidi="ar-SA"/>
        </w:rPr>
      </w:pPr>
    </w:p>
    <w:p w14:paraId="02BA8D0B">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30"/>
          <w:szCs w:val="30"/>
          <w:lang w:val="en-US" w:eastAsia="zh-CN" w:bidi="ar-SA"/>
        </w:rPr>
      </w:pPr>
    </w:p>
    <w:p w14:paraId="52946FF0">
      <w:pPr>
        <w:pStyle w:val="32"/>
        <w:rPr>
          <w:rFonts w:hint="eastAsia" w:ascii="宋体" w:hAnsi="宋体" w:eastAsia="宋体" w:cs="宋体"/>
          <w:b/>
          <w:bCs/>
          <w:color w:val="auto"/>
          <w:sz w:val="30"/>
          <w:szCs w:val="30"/>
          <w:lang w:val="en-US" w:eastAsia="zh-CN" w:bidi="ar-SA"/>
        </w:rPr>
      </w:pPr>
    </w:p>
    <w:p w14:paraId="602F79EB">
      <w:pPr>
        <w:rPr>
          <w:rFonts w:hint="eastAsia" w:ascii="宋体" w:hAnsi="宋体"/>
          <w:color w:val="auto"/>
          <w:sz w:val="36"/>
          <w:highlight w:val="none"/>
        </w:rPr>
      </w:pPr>
    </w:p>
    <w:p w14:paraId="478A1958">
      <w:pPr>
        <w:rPr>
          <w:rFonts w:hint="eastAsia" w:ascii="宋体" w:hAnsi="宋体"/>
          <w:color w:val="auto"/>
          <w:sz w:val="36"/>
          <w:highlight w:val="none"/>
        </w:rPr>
      </w:pPr>
    </w:p>
    <w:p w14:paraId="4C8D949D">
      <w:pPr>
        <w:rPr>
          <w:rFonts w:hint="eastAsia" w:ascii="宋体" w:hAnsi="宋体"/>
          <w:color w:val="auto"/>
          <w:sz w:val="36"/>
          <w:highlight w:val="none"/>
        </w:rPr>
      </w:pPr>
    </w:p>
    <w:p w14:paraId="7D4EA7B1">
      <w:pPr>
        <w:rPr>
          <w:rFonts w:hint="eastAsia" w:ascii="宋体" w:hAnsi="宋体"/>
          <w:color w:val="auto"/>
          <w:sz w:val="36"/>
          <w:highlight w:val="none"/>
        </w:rPr>
      </w:pPr>
    </w:p>
    <w:p w14:paraId="15D74EF5">
      <w:pPr>
        <w:rPr>
          <w:rFonts w:hint="eastAsia" w:ascii="宋体" w:hAnsi="宋体"/>
          <w:color w:val="auto"/>
          <w:sz w:val="36"/>
          <w:highlight w:val="none"/>
        </w:rPr>
      </w:pPr>
    </w:p>
    <w:p w14:paraId="1595D740">
      <w:pPr>
        <w:rPr>
          <w:rFonts w:hint="eastAsia" w:ascii="宋体" w:hAnsi="宋体"/>
          <w:color w:val="auto"/>
          <w:sz w:val="36"/>
          <w:highlight w:val="none"/>
        </w:rPr>
      </w:pPr>
    </w:p>
    <w:p w14:paraId="42C4A6B4">
      <w:pPr>
        <w:rPr>
          <w:rFonts w:hint="eastAsia" w:ascii="宋体" w:hAnsi="宋体"/>
          <w:color w:val="auto"/>
          <w:sz w:val="36"/>
          <w:highlight w:val="none"/>
        </w:rPr>
      </w:pPr>
    </w:p>
    <w:p w14:paraId="3E6B47E8">
      <w:pPr>
        <w:rPr>
          <w:rFonts w:hint="eastAsia" w:ascii="宋体" w:hAnsi="宋体"/>
          <w:color w:val="auto"/>
          <w:sz w:val="36"/>
          <w:highlight w:val="none"/>
        </w:rPr>
      </w:pPr>
    </w:p>
    <w:p w14:paraId="5561BCD3">
      <w:pPr>
        <w:rPr>
          <w:rFonts w:hint="eastAsia" w:ascii="宋体" w:hAnsi="宋体"/>
          <w:color w:val="auto"/>
          <w:sz w:val="36"/>
          <w:highlight w:val="none"/>
        </w:rPr>
      </w:pPr>
    </w:p>
    <w:p w14:paraId="3BB4B4E3">
      <w:pPr>
        <w:rPr>
          <w:rFonts w:hint="eastAsia" w:ascii="宋体" w:hAnsi="宋体"/>
          <w:color w:val="auto"/>
          <w:sz w:val="36"/>
          <w:highlight w:val="none"/>
        </w:rPr>
      </w:pPr>
    </w:p>
    <w:p w14:paraId="327A8795">
      <w:pPr>
        <w:rPr>
          <w:rFonts w:hint="eastAsia" w:ascii="宋体" w:hAnsi="宋体"/>
          <w:color w:val="auto"/>
          <w:sz w:val="36"/>
          <w:highlight w:val="none"/>
        </w:rPr>
      </w:pPr>
    </w:p>
    <w:p w14:paraId="3C142A22">
      <w:pPr>
        <w:rPr>
          <w:rFonts w:hint="eastAsia" w:ascii="宋体" w:hAnsi="宋体"/>
          <w:color w:val="auto"/>
          <w:sz w:val="36"/>
          <w:highlight w:val="none"/>
        </w:rPr>
      </w:pPr>
    </w:p>
    <w:p w14:paraId="2B17B827">
      <w:pPr>
        <w:rPr>
          <w:rFonts w:hint="eastAsia" w:ascii="宋体" w:hAnsi="宋体"/>
          <w:color w:val="auto"/>
          <w:sz w:val="36"/>
          <w:highlight w:val="none"/>
        </w:rPr>
      </w:pPr>
    </w:p>
    <w:p w14:paraId="66A8E866">
      <w:pPr>
        <w:rPr>
          <w:rFonts w:hint="eastAsia" w:ascii="宋体" w:hAnsi="宋体"/>
          <w:color w:val="auto"/>
          <w:sz w:val="36"/>
          <w:highlight w:val="none"/>
        </w:rPr>
      </w:pPr>
    </w:p>
    <w:p w14:paraId="316D62F9">
      <w:pPr>
        <w:rPr>
          <w:rFonts w:hint="eastAsia" w:ascii="宋体" w:hAnsi="宋体"/>
          <w:color w:val="auto"/>
          <w:sz w:val="36"/>
          <w:highlight w:val="none"/>
        </w:rPr>
      </w:pPr>
    </w:p>
    <w:p w14:paraId="6BEC038C">
      <w:pPr>
        <w:rPr>
          <w:rFonts w:hint="eastAsia" w:ascii="宋体" w:hAnsi="宋体"/>
          <w:color w:val="auto"/>
          <w:sz w:val="36"/>
          <w:highlight w:val="none"/>
        </w:rPr>
      </w:pPr>
    </w:p>
    <w:p w14:paraId="1DE5FFFF">
      <w:pPr>
        <w:rPr>
          <w:rFonts w:hint="eastAsia" w:ascii="宋体" w:hAnsi="宋体"/>
          <w:color w:val="auto"/>
          <w:sz w:val="36"/>
          <w:highlight w:val="none"/>
        </w:rPr>
      </w:pPr>
    </w:p>
    <w:p w14:paraId="15B5C18D">
      <w:pPr>
        <w:rPr>
          <w:rFonts w:hint="eastAsia" w:ascii="宋体" w:hAnsi="宋体"/>
          <w:color w:val="auto"/>
          <w:sz w:val="36"/>
          <w:highlight w:val="none"/>
        </w:rPr>
      </w:pPr>
    </w:p>
    <w:p w14:paraId="5D562B5A">
      <w:pPr>
        <w:rPr>
          <w:rFonts w:hint="eastAsia" w:ascii="宋体" w:hAnsi="宋体"/>
          <w:color w:val="auto"/>
          <w:sz w:val="36"/>
          <w:highlight w:val="none"/>
        </w:rPr>
      </w:pPr>
    </w:p>
    <w:p w14:paraId="3032CBC6">
      <w:pPr>
        <w:rPr>
          <w:rFonts w:hint="eastAsia" w:ascii="宋体" w:hAnsi="宋体"/>
          <w:color w:val="auto"/>
          <w:sz w:val="36"/>
          <w:highlight w:val="none"/>
        </w:rPr>
      </w:pPr>
    </w:p>
    <w:p w14:paraId="6DFF0DD4">
      <w:pPr>
        <w:rPr>
          <w:rFonts w:hint="eastAsia" w:ascii="宋体" w:hAnsi="宋体"/>
          <w:color w:val="auto"/>
          <w:sz w:val="36"/>
          <w:highlight w:val="none"/>
        </w:rPr>
      </w:pPr>
    </w:p>
    <w:p w14:paraId="055F6477">
      <w:pPr>
        <w:rPr>
          <w:rFonts w:hint="eastAsia" w:ascii="宋体" w:hAnsi="宋体"/>
          <w:color w:val="auto"/>
          <w:sz w:val="36"/>
          <w:highlight w:val="none"/>
        </w:rPr>
      </w:pPr>
    </w:p>
    <w:p w14:paraId="00DE1606">
      <w:pPr>
        <w:rPr>
          <w:rFonts w:hint="eastAsia" w:ascii="宋体" w:hAnsi="宋体"/>
          <w:color w:val="auto"/>
          <w:sz w:val="36"/>
          <w:highlight w:val="none"/>
        </w:rPr>
      </w:pPr>
    </w:p>
    <w:p w14:paraId="25706157">
      <w:pPr>
        <w:pStyle w:val="2"/>
        <w:spacing w:line="240" w:lineRule="auto"/>
        <w:jc w:val="center"/>
        <w:rPr>
          <w:rFonts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t>第五章 评标方法及评标标准</w:t>
      </w:r>
      <w:bookmarkEnd w:id="50"/>
    </w:p>
    <w:p w14:paraId="5BDE2217">
      <w:pPr>
        <w:pStyle w:val="220"/>
        <w:pageBreakBefore w:val="0"/>
        <w:spacing w:before="0" w:after="0" w:line="360" w:lineRule="auto"/>
        <w:ind w:firstLine="422"/>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一、评标方法</w:t>
      </w:r>
    </w:p>
    <w:p w14:paraId="2315BBE6">
      <w:pPr>
        <w:keepNext w:val="0"/>
        <w:keepLines w:val="0"/>
        <w:pageBreakBefore w:val="0"/>
        <w:widowControl w:val="0"/>
        <w:spacing w:line="360" w:lineRule="auto"/>
        <w:ind w:firstLine="420"/>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w:t>
      </w:r>
      <w:r>
        <w:rPr>
          <w:rFonts w:hint="eastAsia" w:ascii="宋体" w:hAnsi="宋体" w:cs="宋体"/>
          <w:i w:val="0"/>
          <w:iCs w:val="0"/>
          <w:color w:val="000000" w:themeColor="text1"/>
          <w:sz w:val="21"/>
          <w:szCs w:val="21"/>
          <w:highlight w:val="none"/>
          <w:u w:val="none"/>
          <w:lang w:eastAsia="zh-CN"/>
          <w14:textFill>
            <w14:solidFill>
              <w14:schemeClr w14:val="tx1"/>
            </w14:solidFill>
          </w14:textFill>
        </w:rPr>
        <w:t>为</w:t>
      </w:r>
      <w:r>
        <w:rPr>
          <w:rFonts w:hint="eastAsia" w:ascii="宋体" w:hAnsi="宋体" w:eastAsia="宋体" w:cs="宋体"/>
          <w:i w:val="0"/>
          <w:iCs w:val="0"/>
          <w:color w:val="000000" w:themeColor="text1"/>
          <w:sz w:val="21"/>
          <w:szCs w:val="21"/>
          <w:highlight w:val="none"/>
          <w:u w:val="none"/>
          <w14:textFill>
            <w14:solidFill>
              <w14:schemeClr w14:val="tx1"/>
            </w14:solidFill>
          </w14:textFill>
        </w:rPr>
        <w:t>中标候选人。</w:t>
      </w:r>
    </w:p>
    <w:p w14:paraId="5CB2EFFF">
      <w:pPr>
        <w:pStyle w:val="220"/>
        <w:ind w:firstLine="105"/>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cs="宋体"/>
          <w:b/>
          <w:bCs/>
          <w:i w:val="0"/>
          <w:iCs w:val="0"/>
          <w:color w:val="000000" w:themeColor="text1"/>
          <w:sz w:val="21"/>
          <w:szCs w:val="21"/>
          <w:highlight w:val="none"/>
          <w:u w:val="none"/>
          <w:lang w:val="en-US" w:eastAsia="zh-CN"/>
          <w14:textFill>
            <w14:solidFill>
              <w14:schemeClr w14:val="tx1"/>
            </w14:solidFill>
          </w14:textFill>
        </w:rPr>
        <w:t>二、</w:t>
      </w: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政府采购政策功能落实</w:t>
      </w:r>
    </w:p>
    <w:p w14:paraId="7F2EE995">
      <w:pPr>
        <w:keepNext w:val="0"/>
        <w:keepLines w:val="0"/>
        <w:pageBreakBefore w:val="0"/>
        <w:widowControl w:val="0"/>
        <w:spacing w:line="360" w:lineRule="auto"/>
        <w:ind w:firstLine="420"/>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4B49DA7E">
      <w:pPr>
        <w:keepNext w:val="0"/>
        <w:keepLines w:val="0"/>
        <w:pageBreakBefore w:val="0"/>
        <w:widowControl w:val="0"/>
        <w:spacing w:line="360" w:lineRule="auto"/>
        <w:ind w:firstLine="420"/>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1、小微型企业价格扣除</w:t>
      </w:r>
    </w:p>
    <w:p w14:paraId="2BAA34DF">
      <w:pPr>
        <w:keepNext w:val="0"/>
        <w:keepLines w:val="0"/>
        <w:pageBreakBefore w:val="0"/>
        <w:widowControl w:val="0"/>
        <w:spacing w:line="360" w:lineRule="auto"/>
        <w:ind w:firstLine="420"/>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（1）本项目对小型和微型企业产品给予20%的扣除价格，用扣除后的价格参与评审。</w:t>
      </w:r>
    </w:p>
    <w:p w14:paraId="650D76A4">
      <w:pPr>
        <w:keepNext w:val="0"/>
        <w:keepLines w:val="0"/>
        <w:pageBreakBefore w:val="0"/>
        <w:widowControl w:val="0"/>
        <w:spacing w:line="360" w:lineRule="auto"/>
        <w:ind w:firstLine="420"/>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（2）投标人需按照采购文件的要求提供相应的《</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中小</w:t>
      </w:r>
      <w:r>
        <w:rPr>
          <w:rFonts w:hint="eastAsia" w:ascii="宋体" w:hAnsi="宋体" w:eastAsia="宋体" w:cs="宋体"/>
          <w:i w:val="0"/>
          <w:iCs w:val="0"/>
          <w:color w:val="000000" w:themeColor="text1"/>
          <w:sz w:val="21"/>
          <w:szCs w:val="21"/>
          <w:highlight w:val="none"/>
          <w:u w:val="none"/>
          <w14:textFill>
            <w14:solidFill>
              <w14:schemeClr w14:val="tx1"/>
            </w14:solidFill>
          </w14:textFill>
        </w:rPr>
        <w:t>企业声明函》。</w:t>
      </w:r>
    </w:p>
    <w:p w14:paraId="551959EF">
      <w:pPr>
        <w:keepNext w:val="0"/>
        <w:keepLines w:val="0"/>
        <w:pageBreakBefore w:val="0"/>
        <w:widowControl w:val="0"/>
        <w:spacing w:line="360" w:lineRule="auto"/>
        <w:ind w:firstLine="420"/>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2、残疾人福利单位价格扣除</w:t>
      </w:r>
    </w:p>
    <w:p w14:paraId="3D91DC7E">
      <w:pPr>
        <w:keepNext w:val="0"/>
        <w:keepLines w:val="0"/>
        <w:pageBreakBefore w:val="0"/>
        <w:widowControl w:val="0"/>
        <w:spacing w:line="360" w:lineRule="auto"/>
        <w:ind w:firstLine="420"/>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（1）本项目对残疾人福利性单位视同小型、微型企业，给予20%的价格扣除，用扣除</w:t>
      </w:r>
    </w:p>
    <w:p w14:paraId="7A9931D3">
      <w:pPr>
        <w:keepNext w:val="0"/>
        <w:keepLines w:val="0"/>
        <w:pageBreakBefore w:val="0"/>
        <w:widowControl w:val="0"/>
        <w:spacing w:line="360" w:lineRule="auto"/>
        <w:ind w:firstLine="420"/>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后的价格参与评审。</w:t>
      </w:r>
    </w:p>
    <w:p w14:paraId="66247595">
      <w:pPr>
        <w:keepNext w:val="0"/>
        <w:keepLines w:val="0"/>
        <w:pageBreakBefore w:val="0"/>
        <w:widowControl w:val="0"/>
        <w:spacing w:line="360" w:lineRule="auto"/>
        <w:ind w:firstLine="420"/>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（2）残疾人福利单位需按照采购文件的要求提供《残疾人福利性单位声明函》。</w:t>
      </w:r>
    </w:p>
    <w:p w14:paraId="246F99AB">
      <w:pPr>
        <w:keepNext w:val="0"/>
        <w:keepLines w:val="0"/>
        <w:pageBreakBefore w:val="0"/>
        <w:widowControl w:val="0"/>
        <w:spacing w:line="360" w:lineRule="auto"/>
        <w:ind w:firstLine="420"/>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（3）残疾人福利单位标准请参照《关于促进残疾人就业政府采购政策的通知》（财库</w:t>
      </w:r>
    </w:p>
    <w:p w14:paraId="5DBB4DDC">
      <w:pPr>
        <w:keepNext w:val="0"/>
        <w:keepLines w:val="0"/>
        <w:pageBreakBefore w:val="0"/>
        <w:widowControl w:val="0"/>
        <w:spacing w:line="360" w:lineRule="auto"/>
        <w:ind w:firstLine="420"/>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〔2017〕141号）。</w:t>
      </w:r>
    </w:p>
    <w:p w14:paraId="03F64A6F">
      <w:pPr>
        <w:keepNext w:val="0"/>
        <w:keepLines w:val="0"/>
        <w:pageBreakBefore w:val="0"/>
        <w:widowControl w:val="0"/>
        <w:spacing w:line="360" w:lineRule="auto"/>
        <w:ind w:firstLine="420"/>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3、监狱和戒毒企业价格扣除</w:t>
      </w:r>
    </w:p>
    <w:p w14:paraId="487AA2D3">
      <w:pPr>
        <w:keepNext w:val="0"/>
        <w:keepLines w:val="0"/>
        <w:pageBreakBefore w:val="0"/>
        <w:widowControl w:val="0"/>
        <w:spacing w:line="360" w:lineRule="auto"/>
        <w:ind w:firstLine="420"/>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（1）本项目对监狱和戒毒企业（简称监狱企业）视同小型、微型企业，给予20%的价</w:t>
      </w:r>
    </w:p>
    <w:p w14:paraId="7556A5FB">
      <w:pPr>
        <w:keepNext w:val="0"/>
        <w:keepLines w:val="0"/>
        <w:pageBreakBefore w:val="0"/>
        <w:widowControl w:val="0"/>
        <w:spacing w:line="360" w:lineRule="auto"/>
        <w:ind w:firstLine="420"/>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格扣除，用扣除后的价格参与评审。</w:t>
      </w:r>
    </w:p>
    <w:p w14:paraId="2340AE66">
      <w:pPr>
        <w:keepNext w:val="0"/>
        <w:keepLines w:val="0"/>
        <w:pageBreakBefore w:val="0"/>
        <w:widowControl w:val="0"/>
        <w:kinsoku/>
        <w:wordWrap w:val="0"/>
        <w:overflowPunct/>
        <w:topLinePunct w:val="0"/>
        <w:autoSpaceDE/>
        <w:autoSpaceDN/>
        <w:bidi w:val="0"/>
        <w:adjustRightInd/>
        <w:snapToGrid/>
        <w:spacing w:line="360" w:lineRule="auto"/>
        <w:ind w:firstLine="420"/>
        <w:jc w:val="left"/>
        <w:textAlignment w:val="auto"/>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（2）监狱企业参加政府采购活动时，需提供由省级以上监狱管理局、戒毒管理局(含新疆生产建设兵团)出具的属于监狱企业的证明文件。投标人如不提供上述证明文件，价格将不做相应扣除。</w:t>
      </w:r>
    </w:p>
    <w:p w14:paraId="53D19E40">
      <w:pPr>
        <w:keepNext w:val="0"/>
        <w:keepLines w:val="0"/>
        <w:pageBreakBefore w:val="0"/>
        <w:widowControl w:val="0"/>
        <w:kinsoku/>
        <w:wordWrap w:val="0"/>
        <w:overflowPunct/>
        <w:topLinePunct w:val="0"/>
        <w:autoSpaceDE/>
        <w:autoSpaceDN/>
        <w:bidi w:val="0"/>
        <w:adjustRightInd/>
        <w:snapToGrid/>
        <w:spacing w:line="360" w:lineRule="auto"/>
        <w:ind w:firstLine="420"/>
        <w:jc w:val="left"/>
        <w:textAlignment w:val="auto"/>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（3）监狱企业标准请参照《关于政府采购支持监狱企业发展有关问题的通知》（财库[2014]68号）。</w:t>
      </w:r>
    </w:p>
    <w:p w14:paraId="785C1507">
      <w:pPr>
        <w:keepNext w:val="0"/>
        <w:keepLines w:val="0"/>
        <w:pageBreakBefore w:val="0"/>
        <w:widowControl w:val="0"/>
        <w:spacing w:line="360" w:lineRule="auto"/>
        <w:ind w:firstLine="420"/>
        <w:jc w:val="left"/>
        <w:rPr>
          <w:rFonts w:hint="eastAsia" w:ascii="宋体" w:hAnsi="宋体"/>
          <w:b/>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4、残疾人福利单位、监狱企业属于小型、微型企业的，不重复享受政策。</w:t>
      </w:r>
    </w:p>
    <w:p w14:paraId="66F08EA3">
      <w:pPr>
        <w:ind w:firstLine="422" w:firstLineChars="200"/>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三、评标标准</w:t>
      </w:r>
    </w:p>
    <w:tbl>
      <w:tblPr>
        <w:tblStyle w:val="46"/>
        <w:tblW w:w="94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0"/>
        <w:gridCol w:w="8017"/>
      </w:tblGrid>
      <w:tr w14:paraId="4FFF1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430" w:type="dxa"/>
            <w:tcBorders>
              <w:top w:val="single" w:color="auto" w:sz="4" w:space="0"/>
              <w:left w:val="single" w:color="auto" w:sz="4" w:space="0"/>
              <w:bottom w:val="single" w:color="auto" w:sz="4" w:space="0"/>
              <w:right w:val="single" w:color="auto" w:sz="4" w:space="0"/>
            </w:tcBorders>
            <w:vAlign w:val="center"/>
          </w:tcPr>
          <w:p w14:paraId="6F4D9BB8">
            <w:pPr>
              <w:jc w:val="center"/>
              <w:rPr>
                <w:rFonts w:hint="default" w:ascii="宋体" w:hAnsi="宋体" w:eastAsia="宋体" w:cs="宋体"/>
                <w:sz w:val="20"/>
                <w:szCs w:val="21"/>
                <w:lang w:val="en-US" w:eastAsia="zh-CN"/>
              </w:rPr>
            </w:pPr>
            <w:r>
              <w:rPr>
                <w:rFonts w:hint="eastAsia" w:ascii="宋体" w:hAnsi="宋体" w:eastAsia="宋体" w:cs="宋体"/>
                <w:sz w:val="20"/>
                <w:szCs w:val="21"/>
                <w:lang w:val="en-US" w:eastAsia="zh-CN"/>
              </w:rPr>
              <w:t>评审项目</w:t>
            </w:r>
          </w:p>
        </w:tc>
        <w:tc>
          <w:tcPr>
            <w:tcW w:w="8017" w:type="dxa"/>
            <w:tcBorders>
              <w:top w:val="single" w:color="auto" w:sz="4" w:space="0"/>
              <w:left w:val="single" w:color="auto" w:sz="4" w:space="0"/>
              <w:bottom w:val="single" w:color="auto" w:sz="4" w:space="0"/>
              <w:right w:val="single" w:color="auto" w:sz="4" w:space="0"/>
            </w:tcBorders>
            <w:vAlign w:val="center"/>
          </w:tcPr>
          <w:p w14:paraId="0F5BCE1E">
            <w:pPr>
              <w:jc w:val="center"/>
              <w:rPr>
                <w:rFonts w:hint="eastAsia" w:ascii="宋体" w:hAnsi="宋体" w:eastAsia="宋体" w:cs="宋体"/>
                <w:sz w:val="20"/>
                <w:szCs w:val="21"/>
              </w:rPr>
            </w:pPr>
            <w:r>
              <w:rPr>
                <w:rFonts w:hint="eastAsia" w:ascii="宋体" w:hAnsi="宋体" w:eastAsia="宋体" w:cs="宋体"/>
                <w:sz w:val="20"/>
                <w:szCs w:val="21"/>
              </w:rPr>
              <w:t>评</w:t>
            </w:r>
            <w:r>
              <w:rPr>
                <w:rFonts w:hint="eastAsia" w:ascii="宋体" w:hAnsi="宋体" w:eastAsia="宋体" w:cs="宋体"/>
                <w:sz w:val="20"/>
                <w:szCs w:val="21"/>
                <w:lang w:val="en-US" w:eastAsia="zh-CN"/>
              </w:rPr>
              <w:t>分</w:t>
            </w:r>
            <w:r>
              <w:rPr>
                <w:rFonts w:hint="eastAsia" w:ascii="宋体" w:hAnsi="宋体" w:eastAsia="宋体" w:cs="宋体"/>
                <w:sz w:val="20"/>
                <w:szCs w:val="21"/>
              </w:rPr>
              <w:t>标准</w:t>
            </w:r>
          </w:p>
        </w:tc>
      </w:tr>
      <w:tr w14:paraId="6606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430" w:type="dxa"/>
            <w:tcBorders>
              <w:top w:val="single" w:color="auto" w:sz="4" w:space="0"/>
              <w:left w:val="single" w:color="auto" w:sz="4" w:space="0"/>
              <w:bottom w:val="single" w:color="auto" w:sz="4" w:space="0"/>
              <w:right w:val="single" w:color="auto" w:sz="4" w:space="0"/>
            </w:tcBorders>
            <w:vAlign w:val="center"/>
          </w:tcPr>
          <w:p w14:paraId="54D3B593">
            <w:pPr>
              <w:jc w:val="center"/>
              <w:rPr>
                <w:rFonts w:hint="eastAsia" w:ascii="宋体" w:hAnsi="宋体" w:eastAsia="宋体" w:cs="宋体"/>
                <w:sz w:val="20"/>
                <w:szCs w:val="21"/>
              </w:rPr>
            </w:pPr>
            <w:r>
              <w:rPr>
                <w:rFonts w:hint="eastAsia" w:ascii="宋体" w:hAnsi="宋体" w:eastAsia="宋体" w:cs="宋体"/>
                <w:sz w:val="20"/>
                <w:szCs w:val="21"/>
              </w:rPr>
              <w:t>报价</w:t>
            </w:r>
          </w:p>
          <w:p w14:paraId="115A8552">
            <w:pPr>
              <w:jc w:val="center"/>
              <w:rPr>
                <w:rFonts w:hint="eastAsia" w:ascii="宋体" w:hAnsi="宋体" w:eastAsia="宋体" w:cs="宋体"/>
                <w:sz w:val="20"/>
                <w:szCs w:val="21"/>
              </w:rPr>
            </w:pPr>
            <w:r>
              <w:rPr>
                <w:rFonts w:hint="eastAsia" w:ascii="宋体" w:hAnsi="宋体" w:eastAsia="宋体" w:cs="宋体"/>
                <w:sz w:val="20"/>
                <w:szCs w:val="21"/>
              </w:rPr>
              <w:t>（10分）</w:t>
            </w:r>
          </w:p>
        </w:tc>
        <w:tc>
          <w:tcPr>
            <w:tcW w:w="8017" w:type="dxa"/>
            <w:tcBorders>
              <w:top w:val="single" w:color="auto" w:sz="4" w:space="0"/>
              <w:left w:val="single" w:color="auto" w:sz="4" w:space="0"/>
              <w:bottom w:val="single" w:color="auto" w:sz="4" w:space="0"/>
              <w:right w:val="single" w:color="auto" w:sz="4" w:space="0"/>
            </w:tcBorders>
            <w:vAlign w:val="center"/>
          </w:tcPr>
          <w:p w14:paraId="6C93F77B">
            <w:pPr>
              <w:rPr>
                <w:rFonts w:hint="eastAsia" w:ascii="宋体" w:hAnsi="宋体" w:eastAsia="宋体" w:cs="宋体"/>
                <w:sz w:val="20"/>
                <w:szCs w:val="21"/>
              </w:rPr>
            </w:pPr>
            <w:r>
              <w:rPr>
                <w:rFonts w:hint="eastAsia" w:ascii="宋体" w:hAnsi="宋体" w:eastAsia="宋体" w:cs="宋体"/>
                <w:sz w:val="20"/>
                <w:szCs w:val="21"/>
              </w:rPr>
              <w:t>满足招标文件要求且投标价格最低的投标报价为基准价，其价格分为满分。报价得分=(评标基准价/投标报价)×10。</w:t>
            </w:r>
          </w:p>
        </w:tc>
      </w:tr>
      <w:tr w14:paraId="47DA6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1430" w:type="dxa"/>
            <w:vMerge w:val="restart"/>
            <w:tcBorders>
              <w:top w:val="single" w:color="auto" w:sz="4" w:space="0"/>
              <w:left w:val="single" w:color="auto" w:sz="4" w:space="0"/>
              <w:right w:val="single" w:color="auto" w:sz="4" w:space="0"/>
            </w:tcBorders>
            <w:vAlign w:val="center"/>
          </w:tcPr>
          <w:p w14:paraId="78648FD2">
            <w:pPr>
              <w:jc w:val="center"/>
              <w:rPr>
                <w:rFonts w:hint="eastAsia" w:ascii="宋体" w:hAnsi="宋体" w:cs="宋体"/>
                <w:sz w:val="20"/>
                <w:szCs w:val="20"/>
                <w:lang w:val="en-US" w:eastAsia="zh-CN"/>
              </w:rPr>
            </w:pPr>
            <w:r>
              <w:rPr>
                <w:rFonts w:hint="eastAsia" w:ascii="宋体" w:hAnsi="宋体" w:cs="宋体"/>
                <w:sz w:val="20"/>
                <w:szCs w:val="20"/>
                <w:lang w:val="en-US" w:eastAsia="zh-CN"/>
              </w:rPr>
              <w:t>服务方案</w:t>
            </w:r>
          </w:p>
          <w:p w14:paraId="7F9F6E76">
            <w:pPr>
              <w:jc w:val="center"/>
              <w:rPr>
                <w:rFonts w:hint="default" w:ascii="宋体" w:hAnsi="宋体" w:eastAsia="宋体" w:cs="宋体"/>
                <w:sz w:val="20"/>
                <w:szCs w:val="20"/>
                <w:lang w:val="en-US" w:eastAsia="zh-CN"/>
              </w:rPr>
            </w:pPr>
            <w:r>
              <w:rPr>
                <w:rFonts w:hint="eastAsia" w:ascii="宋体" w:hAnsi="宋体" w:cs="宋体"/>
                <w:sz w:val="20"/>
                <w:szCs w:val="20"/>
                <w:lang w:val="en-US" w:eastAsia="zh-CN"/>
              </w:rPr>
              <w:t>（60分）</w:t>
            </w:r>
          </w:p>
        </w:tc>
        <w:tc>
          <w:tcPr>
            <w:tcW w:w="8017" w:type="dxa"/>
            <w:tcBorders>
              <w:top w:val="single" w:color="auto" w:sz="4" w:space="0"/>
              <w:left w:val="single" w:color="auto" w:sz="4" w:space="0"/>
              <w:bottom w:val="single" w:color="auto" w:sz="4" w:space="0"/>
              <w:right w:val="single" w:color="auto" w:sz="4" w:space="0"/>
            </w:tcBorders>
            <w:vAlign w:val="center"/>
          </w:tcPr>
          <w:p w14:paraId="11DBA119">
            <w:pPr>
              <w:keepNext w:val="0"/>
              <w:keepLines w:val="0"/>
              <w:pageBreakBefore w:val="0"/>
              <w:widowControl w:val="0"/>
              <w:kinsoku/>
              <w:wordWrap/>
              <w:overflowPunct/>
              <w:topLinePunct w:val="0"/>
              <w:autoSpaceDE/>
              <w:autoSpaceDN/>
              <w:bidi w:val="0"/>
              <w:adjustRightInd/>
              <w:snapToGrid/>
              <w:ind w:firstLine="0"/>
              <w:jc w:val="left"/>
              <w:textAlignment w:val="auto"/>
              <w:rPr>
                <w:rFonts w:hint="eastAsia"/>
                <w:sz w:val="20"/>
                <w:szCs w:val="21"/>
                <w:lang w:val="zh-CN"/>
              </w:rPr>
            </w:pPr>
            <w:r>
              <w:rPr>
                <w:rFonts w:hint="eastAsia"/>
                <w:sz w:val="20"/>
                <w:szCs w:val="21"/>
                <w:lang w:val="en-US" w:eastAsia="zh-CN"/>
              </w:rPr>
              <w:t>1.</w:t>
            </w:r>
            <w:r>
              <w:rPr>
                <w:rFonts w:hint="eastAsia"/>
                <w:sz w:val="20"/>
                <w:szCs w:val="21"/>
                <w:lang w:val="zh-CN"/>
              </w:rPr>
              <w:t>垃圾筛分转移实施方案（包括垃圾基本情况、垃圾运输以及筛分、废物储存、处理处置情况等）</w:t>
            </w:r>
          </w:p>
          <w:p w14:paraId="4ECD1065">
            <w:pPr>
              <w:keepNext w:val="0"/>
              <w:keepLines w:val="0"/>
              <w:pageBreakBefore w:val="0"/>
              <w:widowControl w:val="0"/>
              <w:kinsoku/>
              <w:wordWrap/>
              <w:overflowPunct/>
              <w:topLinePunct w:val="0"/>
              <w:autoSpaceDE/>
              <w:autoSpaceDN/>
              <w:bidi w:val="0"/>
              <w:adjustRightInd/>
              <w:snapToGrid/>
              <w:ind w:firstLine="0"/>
              <w:jc w:val="left"/>
              <w:textAlignment w:val="auto"/>
              <w:rPr>
                <w:rFonts w:hint="eastAsia"/>
                <w:sz w:val="20"/>
                <w:szCs w:val="21"/>
                <w:lang w:val="zh-CN"/>
              </w:rPr>
            </w:pPr>
            <w:r>
              <w:rPr>
                <w:rFonts w:hint="eastAsia"/>
                <w:sz w:val="20"/>
                <w:szCs w:val="21"/>
                <w:lang w:val="zh-CN"/>
              </w:rPr>
              <w:t>方案合理周到、可执行力强的得</w:t>
            </w:r>
            <w:r>
              <w:rPr>
                <w:rFonts w:hint="eastAsia"/>
                <w:sz w:val="20"/>
                <w:szCs w:val="21"/>
                <w:lang w:val="en-US" w:eastAsia="zh-CN"/>
              </w:rPr>
              <w:t>10</w:t>
            </w:r>
            <w:r>
              <w:rPr>
                <w:rFonts w:hint="eastAsia"/>
                <w:sz w:val="20"/>
                <w:szCs w:val="21"/>
                <w:lang w:val="zh-CN"/>
              </w:rPr>
              <w:t>分；</w:t>
            </w:r>
          </w:p>
          <w:p w14:paraId="53A27768">
            <w:pPr>
              <w:keepNext w:val="0"/>
              <w:keepLines w:val="0"/>
              <w:pageBreakBefore w:val="0"/>
              <w:widowControl w:val="0"/>
              <w:kinsoku/>
              <w:wordWrap/>
              <w:overflowPunct/>
              <w:topLinePunct w:val="0"/>
              <w:autoSpaceDE/>
              <w:autoSpaceDN/>
              <w:bidi w:val="0"/>
              <w:adjustRightInd/>
              <w:snapToGrid/>
              <w:ind w:firstLine="0"/>
              <w:jc w:val="left"/>
              <w:textAlignment w:val="auto"/>
              <w:rPr>
                <w:rFonts w:hint="eastAsia"/>
                <w:sz w:val="20"/>
                <w:szCs w:val="21"/>
                <w:lang w:val="zh-CN"/>
              </w:rPr>
            </w:pPr>
            <w:r>
              <w:rPr>
                <w:rFonts w:hint="eastAsia"/>
                <w:sz w:val="20"/>
                <w:szCs w:val="21"/>
                <w:lang w:val="zh-CN"/>
              </w:rPr>
              <w:t>服务方案合理性较高、可执行力较强的得</w:t>
            </w:r>
            <w:r>
              <w:rPr>
                <w:rFonts w:hint="eastAsia"/>
                <w:sz w:val="20"/>
                <w:szCs w:val="21"/>
                <w:lang w:val="en-US" w:eastAsia="zh-CN"/>
              </w:rPr>
              <w:t>6</w:t>
            </w:r>
            <w:r>
              <w:rPr>
                <w:rFonts w:hint="eastAsia"/>
                <w:sz w:val="20"/>
                <w:szCs w:val="21"/>
                <w:lang w:val="zh-CN"/>
              </w:rPr>
              <w:t>分；</w:t>
            </w:r>
          </w:p>
          <w:p w14:paraId="0CCD335B">
            <w:pPr>
              <w:keepNext w:val="0"/>
              <w:keepLines w:val="0"/>
              <w:pageBreakBefore w:val="0"/>
              <w:widowControl w:val="0"/>
              <w:kinsoku/>
              <w:wordWrap/>
              <w:overflowPunct/>
              <w:topLinePunct w:val="0"/>
              <w:autoSpaceDE/>
              <w:autoSpaceDN/>
              <w:bidi w:val="0"/>
              <w:adjustRightInd/>
              <w:snapToGrid/>
              <w:ind w:firstLine="0"/>
              <w:jc w:val="left"/>
              <w:textAlignment w:val="auto"/>
              <w:rPr>
                <w:rFonts w:hint="eastAsia"/>
                <w:sz w:val="20"/>
                <w:szCs w:val="21"/>
                <w:lang w:val="zh-CN"/>
              </w:rPr>
            </w:pPr>
            <w:r>
              <w:rPr>
                <w:rFonts w:hint="eastAsia"/>
                <w:sz w:val="20"/>
                <w:szCs w:val="21"/>
                <w:lang w:val="zh-CN"/>
              </w:rPr>
              <w:t>服务方案合理性一般、可执行力一般的得</w:t>
            </w:r>
            <w:r>
              <w:rPr>
                <w:rFonts w:hint="eastAsia"/>
                <w:sz w:val="20"/>
                <w:szCs w:val="21"/>
                <w:lang w:val="en-US" w:eastAsia="zh-CN"/>
              </w:rPr>
              <w:t>3</w:t>
            </w:r>
            <w:r>
              <w:rPr>
                <w:rFonts w:hint="eastAsia"/>
                <w:sz w:val="20"/>
                <w:szCs w:val="21"/>
                <w:lang w:val="zh-CN"/>
              </w:rPr>
              <w:t>分；</w:t>
            </w:r>
          </w:p>
          <w:p w14:paraId="5AD8EC2E">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sz w:val="20"/>
                <w:szCs w:val="20"/>
              </w:rPr>
            </w:pPr>
            <w:r>
              <w:rPr>
                <w:rFonts w:hint="eastAsia"/>
                <w:sz w:val="20"/>
                <w:szCs w:val="21"/>
                <w:lang w:val="zh-CN"/>
              </w:rPr>
              <w:t>（未提</w:t>
            </w:r>
            <w:r>
              <w:rPr>
                <w:rFonts w:hint="eastAsia"/>
                <w:sz w:val="20"/>
                <w:szCs w:val="21"/>
                <w:lang w:val="en-US" w:eastAsia="zh-CN"/>
              </w:rPr>
              <w:t>供</w:t>
            </w:r>
            <w:r>
              <w:rPr>
                <w:rFonts w:hint="eastAsia"/>
                <w:sz w:val="20"/>
                <w:szCs w:val="21"/>
                <w:lang w:val="zh-CN"/>
              </w:rPr>
              <w:t>不得分）</w:t>
            </w:r>
            <w:r>
              <w:rPr>
                <w:rFonts w:hint="eastAsia"/>
                <w:sz w:val="20"/>
                <w:szCs w:val="21"/>
              </w:rPr>
              <w:t>。</w:t>
            </w:r>
          </w:p>
        </w:tc>
      </w:tr>
      <w:tr w14:paraId="3ED61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1430" w:type="dxa"/>
            <w:vMerge w:val="continue"/>
            <w:tcBorders>
              <w:left w:val="single" w:color="auto" w:sz="4" w:space="0"/>
              <w:right w:val="single" w:color="auto" w:sz="4" w:space="0"/>
            </w:tcBorders>
            <w:vAlign w:val="center"/>
          </w:tcPr>
          <w:p w14:paraId="422D8E20">
            <w:pPr>
              <w:jc w:val="center"/>
              <w:rPr>
                <w:rFonts w:hint="eastAsia" w:ascii="宋体" w:hAnsi="宋体" w:eastAsia="宋体" w:cs="宋体"/>
                <w:sz w:val="20"/>
                <w:szCs w:val="20"/>
              </w:rPr>
            </w:pPr>
          </w:p>
        </w:tc>
        <w:tc>
          <w:tcPr>
            <w:tcW w:w="8017" w:type="dxa"/>
            <w:tcBorders>
              <w:top w:val="single" w:color="auto" w:sz="4" w:space="0"/>
              <w:left w:val="single" w:color="auto" w:sz="4" w:space="0"/>
              <w:bottom w:val="single" w:color="auto" w:sz="4" w:space="0"/>
              <w:right w:val="single" w:color="auto" w:sz="4" w:space="0"/>
            </w:tcBorders>
            <w:vAlign w:val="top"/>
          </w:tcPr>
          <w:p w14:paraId="0F164134">
            <w:pPr>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sz w:val="20"/>
                <w:szCs w:val="21"/>
              </w:rPr>
            </w:pPr>
            <w:r>
              <w:rPr>
                <w:rFonts w:hint="eastAsia"/>
                <w:sz w:val="20"/>
                <w:szCs w:val="21"/>
                <w:lang w:val="en-US" w:eastAsia="zh-CN"/>
              </w:rPr>
              <w:t>2.</w:t>
            </w:r>
            <w:r>
              <w:rPr>
                <w:rFonts w:hint="eastAsia"/>
                <w:sz w:val="20"/>
                <w:szCs w:val="21"/>
              </w:rPr>
              <w:t>组织架构</w:t>
            </w:r>
            <w:r>
              <w:rPr>
                <w:rFonts w:hint="eastAsia"/>
                <w:sz w:val="20"/>
                <w:szCs w:val="21"/>
                <w:lang w:val="en-US" w:eastAsia="zh-CN"/>
              </w:rPr>
              <w:t>及制度管理方案</w:t>
            </w:r>
            <w:r>
              <w:rPr>
                <w:rFonts w:hint="eastAsia"/>
                <w:sz w:val="20"/>
                <w:szCs w:val="21"/>
              </w:rPr>
              <w:t>（包括人员配置、工期计划以及人员安全防护措施等）</w:t>
            </w:r>
          </w:p>
          <w:p w14:paraId="4F8C0895">
            <w:pPr>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sz w:val="20"/>
                <w:szCs w:val="21"/>
              </w:rPr>
            </w:pPr>
            <w:r>
              <w:rPr>
                <w:rFonts w:hint="eastAsia"/>
                <w:sz w:val="20"/>
                <w:szCs w:val="21"/>
              </w:rPr>
              <w:t>人员配备合理、管理措施切实细致的</w:t>
            </w:r>
            <w:r>
              <w:rPr>
                <w:rFonts w:hint="eastAsia"/>
                <w:sz w:val="20"/>
                <w:szCs w:val="21"/>
                <w:lang w:val="en-US" w:eastAsia="zh-CN"/>
              </w:rPr>
              <w:t>10</w:t>
            </w:r>
            <w:r>
              <w:rPr>
                <w:rFonts w:hint="eastAsia"/>
                <w:sz w:val="20"/>
                <w:szCs w:val="21"/>
              </w:rPr>
              <w:t>分；</w:t>
            </w:r>
          </w:p>
          <w:p w14:paraId="4EE37A1E">
            <w:pPr>
              <w:keepNext w:val="0"/>
              <w:keepLines w:val="0"/>
              <w:pageBreakBefore w:val="0"/>
              <w:widowControl w:val="0"/>
              <w:kinsoku/>
              <w:wordWrap/>
              <w:overflowPunct/>
              <w:topLinePunct w:val="0"/>
              <w:autoSpaceDE/>
              <w:autoSpaceDN/>
              <w:bidi w:val="0"/>
              <w:adjustRightInd/>
              <w:snapToGrid/>
              <w:ind w:firstLine="0"/>
              <w:jc w:val="left"/>
              <w:textAlignment w:val="auto"/>
              <w:rPr>
                <w:rFonts w:hint="eastAsia"/>
                <w:sz w:val="20"/>
                <w:szCs w:val="21"/>
              </w:rPr>
            </w:pPr>
            <w:r>
              <w:rPr>
                <w:rFonts w:hint="eastAsia"/>
                <w:sz w:val="20"/>
                <w:szCs w:val="21"/>
              </w:rPr>
              <w:t>人员配备齐全、管理措施明确的得</w:t>
            </w:r>
            <w:r>
              <w:rPr>
                <w:rFonts w:hint="eastAsia"/>
                <w:sz w:val="20"/>
                <w:szCs w:val="21"/>
                <w:lang w:val="en-US" w:eastAsia="zh-CN"/>
              </w:rPr>
              <w:t>6</w:t>
            </w:r>
            <w:r>
              <w:rPr>
                <w:rFonts w:hint="eastAsia"/>
                <w:sz w:val="20"/>
                <w:szCs w:val="21"/>
              </w:rPr>
              <w:t>分；</w:t>
            </w:r>
          </w:p>
          <w:p w14:paraId="14CAA409">
            <w:pPr>
              <w:keepNext w:val="0"/>
              <w:keepLines w:val="0"/>
              <w:pageBreakBefore w:val="0"/>
              <w:widowControl w:val="0"/>
              <w:kinsoku/>
              <w:wordWrap/>
              <w:overflowPunct/>
              <w:topLinePunct w:val="0"/>
              <w:autoSpaceDE/>
              <w:autoSpaceDN/>
              <w:bidi w:val="0"/>
              <w:adjustRightInd/>
              <w:snapToGrid/>
              <w:ind w:firstLine="0"/>
              <w:jc w:val="left"/>
              <w:textAlignment w:val="auto"/>
              <w:rPr>
                <w:rFonts w:hint="eastAsia" w:eastAsia="宋体"/>
                <w:sz w:val="20"/>
                <w:szCs w:val="21"/>
                <w:lang w:eastAsia="zh-CN"/>
              </w:rPr>
            </w:pPr>
            <w:r>
              <w:rPr>
                <w:rFonts w:hint="eastAsia"/>
                <w:sz w:val="20"/>
                <w:szCs w:val="21"/>
              </w:rPr>
              <w:t>人员配备达标、管理措施一般的得</w:t>
            </w:r>
            <w:r>
              <w:rPr>
                <w:rFonts w:hint="eastAsia"/>
                <w:sz w:val="20"/>
                <w:szCs w:val="21"/>
                <w:lang w:val="en-US" w:eastAsia="zh-CN"/>
              </w:rPr>
              <w:t>3</w:t>
            </w:r>
            <w:r>
              <w:rPr>
                <w:rFonts w:hint="eastAsia"/>
                <w:sz w:val="20"/>
                <w:szCs w:val="21"/>
              </w:rPr>
              <w:t>分</w:t>
            </w:r>
            <w:r>
              <w:rPr>
                <w:rFonts w:hint="eastAsia"/>
                <w:sz w:val="20"/>
                <w:szCs w:val="21"/>
                <w:lang w:eastAsia="zh-CN"/>
              </w:rPr>
              <w:t>；</w:t>
            </w:r>
          </w:p>
          <w:p w14:paraId="5BCC6492">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sz w:val="20"/>
                <w:szCs w:val="20"/>
              </w:rPr>
            </w:pPr>
            <w:r>
              <w:rPr>
                <w:rFonts w:hint="eastAsia"/>
                <w:sz w:val="20"/>
                <w:szCs w:val="21"/>
                <w:lang w:val="zh-CN"/>
              </w:rPr>
              <w:t>（未提</w:t>
            </w:r>
            <w:r>
              <w:rPr>
                <w:rFonts w:hint="eastAsia"/>
                <w:sz w:val="20"/>
                <w:szCs w:val="21"/>
                <w:lang w:val="en-US" w:eastAsia="zh-CN"/>
              </w:rPr>
              <w:t>供</w:t>
            </w:r>
            <w:r>
              <w:rPr>
                <w:rFonts w:hint="eastAsia"/>
                <w:sz w:val="20"/>
                <w:szCs w:val="21"/>
                <w:lang w:val="zh-CN"/>
              </w:rPr>
              <w:t>不得分）</w:t>
            </w:r>
            <w:r>
              <w:rPr>
                <w:rFonts w:hint="eastAsia"/>
                <w:sz w:val="20"/>
                <w:szCs w:val="21"/>
              </w:rPr>
              <w:t>。</w:t>
            </w:r>
          </w:p>
        </w:tc>
      </w:tr>
      <w:tr w14:paraId="108BD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1430" w:type="dxa"/>
            <w:vMerge w:val="continue"/>
            <w:tcBorders>
              <w:left w:val="single" w:color="auto" w:sz="4" w:space="0"/>
              <w:right w:val="single" w:color="auto" w:sz="4" w:space="0"/>
            </w:tcBorders>
            <w:vAlign w:val="center"/>
          </w:tcPr>
          <w:p w14:paraId="0A59E7C5">
            <w:pPr>
              <w:jc w:val="center"/>
              <w:rPr>
                <w:rFonts w:hint="eastAsia" w:ascii="宋体" w:hAnsi="宋体" w:eastAsia="宋体" w:cs="宋体"/>
                <w:sz w:val="20"/>
                <w:szCs w:val="20"/>
              </w:rPr>
            </w:pPr>
          </w:p>
        </w:tc>
        <w:tc>
          <w:tcPr>
            <w:tcW w:w="8017" w:type="dxa"/>
            <w:tcBorders>
              <w:top w:val="single" w:color="auto" w:sz="4" w:space="0"/>
              <w:left w:val="single" w:color="auto" w:sz="4" w:space="0"/>
              <w:bottom w:val="single" w:color="auto" w:sz="4" w:space="0"/>
              <w:right w:val="single" w:color="auto" w:sz="4" w:space="0"/>
            </w:tcBorders>
            <w:vAlign w:val="top"/>
          </w:tcPr>
          <w:p w14:paraId="2C6B8D95">
            <w:pPr>
              <w:keepNext w:val="0"/>
              <w:keepLines w:val="0"/>
              <w:pageBreakBefore w:val="0"/>
              <w:widowControl w:val="0"/>
              <w:kinsoku/>
              <w:wordWrap/>
              <w:overflowPunct/>
              <w:topLinePunct w:val="0"/>
              <w:autoSpaceDE/>
              <w:autoSpaceDN/>
              <w:bidi w:val="0"/>
              <w:adjustRightInd/>
              <w:snapToGrid/>
              <w:ind w:firstLine="0"/>
              <w:jc w:val="left"/>
              <w:textAlignment w:val="auto"/>
              <w:rPr>
                <w:rFonts w:hint="eastAsia"/>
                <w:sz w:val="20"/>
                <w:szCs w:val="21"/>
                <w:lang w:val="zh-CN"/>
              </w:rPr>
            </w:pPr>
            <w:r>
              <w:rPr>
                <w:rFonts w:hint="eastAsia"/>
                <w:sz w:val="20"/>
                <w:szCs w:val="21"/>
                <w:lang w:val="en-US" w:eastAsia="zh-CN"/>
              </w:rPr>
              <w:t>3.</w:t>
            </w:r>
            <w:r>
              <w:rPr>
                <w:rFonts w:hint="eastAsia"/>
                <w:sz w:val="20"/>
                <w:szCs w:val="21"/>
                <w:lang w:val="zh-CN"/>
              </w:rPr>
              <w:t>环境保护管理措施</w:t>
            </w:r>
            <w:r>
              <w:rPr>
                <w:rFonts w:hint="eastAsia"/>
                <w:sz w:val="20"/>
                <w:szCs w:val="21"/>
                <w:lang w:val="en-US" w:eastAsia="zh-CN"/>
              </w:rPr>
              <w:t>方案</w:t>
            </w:r>
            <w:r>
              <w:rPr>
                <w:rFonts w:hint="eastAsia"/>
                <w:sz w:val="20"/>
                <w:szCs w:val="21"/>
                <w:lang w:val="zh-CN"/>
              </w:rPr>
              <w:t>（包括安全文明施工，防止二次污染的技术措施等）进行评定</w:t>
            </w:r>
          </w:p>
          <w:p w14:paraId="7B12E204">
            <w:pPr>
              <w:keepNext w:val="0"/>
              <w:keepLines w:val="0"/>
              <w:pageBreakBefore w:val="0"/>
              <w:widowControl w:val="0"/>
              <w:kinsoku/>
              <w:wordWrap/>
              <w:overflowPunct/>
              <w:topLinePunct w:val="0"/>
              <w:autoSpaceDE/>
              <w:autoSpaceDN/>
              <w:bidi w:val="0"/>
              <w:adjustRightInd/>
              <w:snapToGrid/>
              <w:ind w:firstLine="0"/>
              <w:jc w:val="left"/>
              <w:textAlignment w:val="auto"/>
              <w:rPr>
                <w:rFonts w:hint="eastAsia"/>
                <w:sz w:val="20"/>
                <w:szCs w:val="21"/>
              </w:rPr>
            </w:pPr>
            <w:r>
              <w:rPr>
                <w:rFonts w:hint="eastAsia"/>
                <w:sz w:val="20"/>
                <w:szCs w:val="21"/>
              </w:rPr>
              <w:t>方案完整且具有针对性的得</w:t>
            </w:r>
            <w:r>
              <w:rPr>
                <w:rFonts w:hint="eastAsia"/>
                <w:sz w:val="20"/>
                <w:szCs w:val="21"/>
                <w:lang w:val="en-US" w:eastAsia="zh-CN"/>
              </w:rPr>
              <w:t>10</w:t>
            </w:r>
            <w:r>
              <w:rPr>
                <w:rFonts w:hint="eastAsia"/>
                <w:sz w:val="20"/>
                <w:szCs w:val="21"/>
              </w:rPr>
              <w:t>分；</w:t>
            </w:r>
          </w:p>
          <w:p w14:paraId="6344568D">
            <w:pPr>
              <w:keepNext w:val="0"/>
              <w:keepLines w:val="0"/>
              <w:pageBreakBefore w:val="0"/>
              <w:widowControl w:val="0"/>
              <w:kinsoku/>
              <w:wordWrap/>
              <w:overflowPunct/>
              <w:topLinePunct w:val="0"/>
              <w:autoSpaceDE/>
              <w:autoSpaceDN/>
              <w:bidi w:val="0"/>
              <w:adjustRightInd/>
              <w:snapToGrid/>
              <w:ind w:firstLine="0"/>
              <w:jc w:val="left"/>
              <w:textAlignment w:val="auto"/>
              <w:rPr>
                <w:rFonts w:hint="eastAsia"/>
                <w:sz w:val="20"/>
                <w:szCs w:val="21"/>
              </w:rPr>
            </w:pPr>
            <w:r>
              <w:rPr>
                <w:rFonts w:hint="eastAsia"/>
                <w:sz w:val="20"/>
                <w:szCs w:val="21"/>
              </w:rPr>
              <w:t>方案齐全、针对性较强的得</w:t>
            </w:r>
            <w:r>
              <w:rPr>
                <w:rFonts w:hint="eastAsia"/>
                <w:sz w:val="20"/>
                <w:szCs w:val="21"/>
                <w:lang w:val="en-US" w:eastAsia="zh-CN"/>
              </w:rPr>
              <w:t>6</w:t>
            </w:r>
            <w:r>
              <w:rPr>
                <w:rFonts w:hint="eastAsia"/>
                <w:sz w:val="20"/>
                <w:szCs w:val="21"/>
              </w:rPr>
              <w:t>分；</w:t>
            </w:r>
          </w:p>
          <w:p w14:paraId="788C21D0">
            <w:pPr>
              <w:keepNext w:val="0"/>
              <w:keepLines w:val="0"/>
              <w:pageBreakBefore w:val="0"/>
              <w:widowControl w:val="0"/>
              <w:kinsoku/>
              <w:wordWrap/>
              <w:overflowPunct/>
              <w:topLinePunct w:val="0"/>
              <w:autoSpaceDE/>
              <w:autoSpaceDN/>
              <w:bidi w:val="0"/>
              <w:adjustRightInd/>
              <w:snapToGrid/>
              <w:ind w:firstLine="0"/>
              <w:jc w:val="left"/>
              <w:textAlignment w:val="auto"/>
              <w:rPr>
                <w:rFonts w:hint="eastAsia"/>
                <w:sz w:val="20"/>
                <w:szCs w:val="21"/>
              </w:rPr>
            </w:pPr>
            <w:r>
              <w:rPr>
                <w:rFonts w:hint="eastAsia"/>
                <w:sz w:val="20"/>
                <w:szCs w:val="21"/>
              </w:rPr>
              <w:t>方案简单、针对性一般的得</w:t>
            </w:r>
            <w:r>
              <w:rPr>
                <w:rFonts w:hint="eastAsia"/>
                <w:sz w:val="20"/>
                <w:szCs w:val="21"/>
                <w:lang w:val="en-US" w:eastAsia="zh-CN"/>
              </w:rPr>
              <w:t>3</w:t>
            </w:r>
            <w:r>
              <w:rPr>
                <w:rFonts w:hint="eastAsia"/>
                <w:sz w:val="20"/>
                <w:szCs w:val="21"/>
              </w:rPr>
              <w:t>分</w:t>
            </w:r>
          </w:p>
          <w:p w14:paraId="7E8BD539">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sz w:val="20"/>
                <w:szCs w:val="20"/>
              </w:rPr>
            </w:pPr>
            <w:r>
              <w:rPr>
                <w:rFonts w:hint="eastAsia"/>
                <w:sz w:val="20"/>
                <w:szCs w:val="21"/>
                <w:lang w:val="zh-CN"/>
              </w:rPr>
              <w:t>（未提</w:t>
            </w:r>
            <w:r>
              <w:rPr>
                <w:rFonts w:hint="eastAsia"/>
                <w:sz w:val="20"/>
                <w:szCs w:val="21"/>
                <w:lang w:val="en-US" w:eastAsia="zh-CN"/>
              </w:rPr>
              <w:t>供</w:t>
            </w:r>
            <w:r>
              <w:rPr>
                <w:rFonts w:hint="eastAsia"/>
                <w:sz w:val="20"/>
                <w:szCs w:val="21"/>
                <w:lang w:val="zh-CN"/>
              </w:rPr>
              <w:t>不得分）</w:t>
            </w:r>
            <w:r>
              <w:rPr>
                <w:rFonts w:hint="eastAsia"/>
                <w:sz w:val="20"/>
                <w:szCs w:val="21"/>
              </w:rPr>
              <w:t>。</w:t>
            </w:r>
          </w:p>
        </w:tc>
      </w:tr>
      <w:tr w14:paraId="1017B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430" w:type="dxa"/>
            <w:vMerge w:val="continue"/>
            <w:tcBorders>
              <w:left w:val="single" w:color="auto" w:sz="4" w:space="0"/>
              <w:right w:val="single" w:color="auto" w:sz="4" w:space="0"/>
            </w:tcBorders>
            <w:vAlign w:val="center"/>
          </w:tcPr>
          <w:p w14:paraId="0C04026D">
            <w:pPr>
              <w:jc w:val="center"/>
              <w:rPr>
                <w:rFonts w:hint="eastAsia" w:ascii="宋体" w:hAnsi="宋体" w:eastAsia="宋体" w:cs="宋体"/>
                <w:sz w:val="20"/>
                <w:szCs w:val="20"/>
              </w:rPr>
            </w:pPr>
          </w:p>
        </w:tc>
        <w:tc>
          <w:tcPr>
            <w:tcW w:w="8017" w:type="dxa"/>
            <w:tcBorders>
              <w:top w:val="single" w:color="auto" w:sz="4" w:space="0"/>
              <w:left w:val="single" w:color="auto" w:sz="4" w:space="0"/>
              <w:bottom w:val="single" w:color="auto" w:sz="4" w:space="0"/>
              <w:right w:val="single" w:color="auto" w:sz="4" w:space="0"/>
            </w:tcBorders>
            <w:vAlign w:val="center"/>
          </w:tcPr>
          <w:p w14:paraId="7733FE4E">
            <w:pPr>
              <w:keepNext w:val="0"/>
              <w:keepLines w:val="0"/>
              <w:pageBreakBefore w:val="0"/>
              <w:widowControl w:val="0"/>
              <w:kinsoku/>
              <w:wordWrap/>
              <w:overflowPunct/>
              <w:topLinePunct w:val="0"/>
              <w:autoSpaceDE/>
              <w:autoSpaceDN/>
              <w:bidi w:val="0"/>
              <w:adjustRightInd/>
              <w:snapToGrid/>
              <w:ind w:firstLine="0"/>
              <w:jc w:val="left"/>
              <w:textAlignment w:val="auto"/>
              <w:rPr>
                <w:rFonts w:hint="eastAsia"/>
                <w:sz w:val="20"/>
                <w:szCs w:val="21"/>
                <w:lang w:val="zh-CN"/>
              </w:rPr>
            </w:pPr>
            <w:r>
              <w:rPr>
                <w:rFonts w:hint="eastAsia"/>
                <w:sz w:val="20"/>
                <w:szCs w:val="21"/>
                <w:lang w:val="en-US" w:eastAsia="zh-CN"/>
              </w:rPr>
              <w:t>4.</w:t>
            </w:r>
            <w:r>
              <w:rPr>
                <w:rFonts w:hint="eastAsia"/>
                <w:sz w:val="20"/>
                <w:szCs w:val="21"/>
                <w:lang w:val="zh-CN"/>
              </w:rPr>
              <w:t>垃圾处置方案（包括处置单位处置资源、处置余量的调配协调能力等）</w:t>
            </w:r>
          </w:p>
          <w:p w14:paraId="47B5C3C7">
            <w:pPr>
              <w:keepNext w:val="0"/>
              <w:keepLines w:val="0"/>
              <w:pageBreakBefore w:val="0"/>
              <w:widowControl w:val="0"/>
              <w:kinsoku/>
              <w:wordWrap/>
              <w:overflowPunct/>
              <w:topLinePunct w:val="0"/>
              <w:autoSpaceDE/>
              <w:autoSpaceDN/>
              <w:bidi w:val="0"/>
              <w:adjustRightInd/>
              <w:snapToGrid/>
              <w:ind w:firstLine="0"/>
              <w:jc w:val="left"/>
              <w:textAlignment w:val="auto"/>
              <w:rPr>
                <w:rFonts w:hint="eastAsia"/>
                <w:sz w:val="20"/>
                <w:szCs w:val="21"/>
              </w:rPr>
            </w:pPr>
            <w:r>
              <w:rPr>
                <w:rFonts w:hint="eastAsia"/>
                <w:sz w:val="20"/>
                <w:szCs w:val="21"/>
              </w:rPr>
              <w:t>方案完整且具有针对性的得</w:t>
            </w:r>
            <w:r>
              <w:rPr>
                <w:rFonts w:hint="eastAsia"/>
                <w:sz w:val="20"/>
                <w:szCs w:val="21"/>
                <w:lang w:val="en-US" w:eastAsia="zh-CN"/>
              </w:rPr>
              <w:t>10</w:t>
            </w:r>
            <w:r>
              <w:rPr>
                <w:rFonts w:hint="eastAsia"/>
                <w:sz w:val="20"/>
                <w:szCs w:val="21"/>
              </w:rPr>
              <w:t>分；</w:t>
            </w:r>
          </w:p>
          <w:p w14:paraId="12324305">
            <w:pPr>
              <w:keepNext w:val="0"/>
              <w:keepLines w:val="0"/>
              <w:pageBreakBefore w:val="0"/>
              <w:widowControl w:val="0"/>
              <w:kinsoku/>
              <w:wordWrap/>
              <w:overflowPunct/>
              <w:topLinePunct w:val="0"/>
              <w:autoSpaceDE/>
              <w:autoSpaceDN/>
              <w:bidi w:val="0"/>
              <w:adjustRightInd/>
              <w:snapToGrid/>
              <w:ind w:firstLine="0"/>
              <w:jc w:val="left"/>
              <w:textAlignment w:val="auto"/>
              <w:rPr>
                <w:rFonts w:hint="eastAsia"/>
                <w:sz w:val="20"/>
                <w:szCs w:val="21"/>
              </w:rPr>
            </w:pPr>
            <w:r>
              <w:rPr>
                <w:rFonts w:hint="eastAsia"/>
                <w:sz w:val="20"/>
                <w:szCs w:val="21"/>
              </w:rPr>
              <w:t>方案齐全、针对性较强的得</w:t>
            </w:r>
            <w:r>
              <w:rPr>
                <w:rFonts w:hint="eastAsia"/>
                <w:sz w:val="20"/>
                <w:szCs w:val="21"/>
                <w:lang w:val="en-US" w:eastAsia="zh-CN"/>
              </w:rPr>
              <w:t>6</w:t>
            </w:r>
            <w:r>
              <w:rPr>
                <w:rFonts w:hint="eastAsia"/>
                <w:sz w:val="20"/>
                <w:szCs w:val="21"/>
              </w:rPr>
              <w:t>分；</w:t>
            </w:r>
          </w:p>
          <w:p w14:paraId="21E260C0">
            <w:pPr>
              <w:keepNext w:val="0"/>
              <w:keepLines w:val="0"/>
              <w:pageBreakBefore w:val="0"/>
              <w:widowControl w:val="0"/>
              <w:kinsoku/>
              <w:wordWrap/>
              <w:overflowPunct/>
              <w:topLinePunct w:val="0"/>
              <w:autoSpaceDE/>
              <w:autoSpaceDN/>
              <w:bidi w:val="0"/>
              <w:adjustRightInd/>
              <w:snapToGrid/>
              <w:ind w:firstLine="0"/>
              <w:jc w:val="left"/>
              <w:textAlignment w:val="auto"/>
              <w:rPr>
                <w:rFonts w:hint="eastAsia"/>
                <w:sz w:val="20"/>
                <w:szCs w:val="21"/>
              </w:rPr>
            </w:pPr>
            <w:r>
              <w:rPr>
                <w:rFonts w:hint="eastAsia"/>
                <w:sz w:val="20"/>
                <w:szCs w:val="21"/>
              </w:rPr>
              <w:t>方案简单、针对性一般的得</w:t>
            </w:r>
            <w:r>
              <w:rPr>
                <w:rFonts w:hint="eastAsia"/>
                <w:sz w:val="20"/>
                <w:szCs w:val="21"/>
                <w:lang w:val="en-US" w:eastAsia="zh-CN"/>
              </w:rPr>
              <w:t>3</w:t>
            </w:r>
            <w:r>
              <w:rPr>
                <w:rFonts w:hint="eastAsia"/>
                <w:sz w:val="20"/>
                <w:szCs w:val="21"/>
              </w:rPr>
              <w:t>分</w:t>
            </w:r>
          </w:p>
          <w:p w14:paraId="427858CA">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sz w:val="20"/>
                <w:szCs w:val="20"/>
              </w:rPr>
            </w:pPr>
            <w:r>
              <w:rPr>
                <w:rFonts w:hint="eastAsia"/>
                <w:sz w:val="20"/>
                <w:szCs w:val="21"/>
                <w:lang w:val="zh-CN"/>
              </w:rPr>
              <w:t>（未提</w:t>
            </w:r>
            <w:r>
              <w:rPr>
                <w:rFonts w:hint="eastAsia"/>
                <w:sz w:val="20"/>
                <w:szCs w:val="21"/>
                <w:lang w:val="en-US" w:eastAsia="zh-CN"/>
              </w:rPr>
              <w:t>供</w:t>
            </w:r>
            <w:r>
              <w:rPr>
                <w:rFonts w:hint="eastAsia"/>
                <w:sz w:val="20"/>
                <w:szCs w:val="21"/>
                <w:lang w:val="zh-CN"/>
              </w:rPr>
              <w:t>不得分）</w:t>
            </w:r>
            <w:r>
              <w:rPr>
                <w:rFonts w:hint="eastAsia"/>
                <w:sz w:val="20"/>
                <w:szCs w:val="21"/>
              </w:rPr>
              <w:t>。</w:t>
            </w:r>
          </w:p>
        </w:tc>
      </w:tr>
      <w:tr w14:paraId="43362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430" w:type="dxa"/>
            <w:vMerge w:val="continue"/>
            <w:tcBorders>
              <w:left w:val="single" w:color="auto" w:sz="4" w:space="0"/>
              <w:right w:val="single" w:color="auto" w:sz="4" w:space="0"/>
            </w:tcBorders>
            <w:vAlign w:val="center"/>
          </w:tcPr>
          <w:p w14:paraId="5227B01D">
            <w:pPr>
              <w:jc w:val="center"/>
              <w:rPr>
                <w:rFonts w:hint="eastAsia" w:ascii="宋体" w:hAnsi="宋体" w:eastAsia="宋体" w:cs="宋体"/>
                <w:sz w:val="20"/>
                <w:szCs w:val="20"/>
              </w:rPr>
            </w:pPr>
          </w:p>
        </w:tc>
        <w:tc>
          <w:tcPr>
            <w:tcW w:w="8017" w:type="dxa"/>
            <w:tcBorders>
              <w:top w:val="single" w:color="auto" w:sz="4" w:space="0"/>
              <w:left w:val="single" w:color="auto" w:sz="4" w:space="0"/>
              <w:bottom w:val="single" w:color="auto" w:sz="4" w:space="0"/>
              <w:right w:val="single" w:color="auto" w:sz="4" w:space="0"/>
            </w:tcBorders>
            <w:vAlign w:val="center"/>
          </w:tcPr>
          <w:p w14:paraId="4838C070">
            <w:pPr>
              <w:keepNext w:val="0"/>
              <w:keepLines w:val="0"/>
              <w:pageBreakBefore w:val="0"/>
              <w:widowControl w:val="0"/>
              <w:kinsoku/>
              <w:wordWrap/>
              <w:overflowPunct/>
              <w:topLinePunct w:val="0"/>
              <w:autoSpaceDE/>
              <w:autoSpaceDN/>
              <w:bidi w:val="0"/>
              <w:adjustRightInd/>
              <w:snapToGrid/>
              <w:ind w:firstLine="0"/>
              <w:jc w:val="left"/>
              <w:textAlignment w:val="auto"/>
              <w:rPr>
                <w:rFonts w:hint="eastAsia"/>
                <w:sz w:val="20"/>
                <w:szCs w:val="21"/>
                <w:lang w:val="zh-CN"/>
              </w:rPr>
            </w:pPr>
            <w:r>
              <w:rPr>
                <w:rFonts w:hint="eastAsia"/>
                <w:sz w:val="20"/>
                <w:szCs w:val="21"/>
                <w:lang w:val="en-US" w:eastAsia="zh-CN"/>
              </w:rPr>
              <w:t>5.</w:t>
            </w:r>
            <w:r>
              <w:rPr>
                <w:rFonts w:hint="eastAsia"/>
                <w:sz w:val="20"/>
                <w:szCs w:val="21"/>
              </w:rPr>
              <w:t>应急处理方案</w:t>
            </w:r>
            <w:r>
              <w:rPr>
                <w:rFonts w:hint="eastAsia"/>
                <w:sz w:val="20"/>
                <w:szCs w:val="21"/>
                <w:lang w:val="zh-CN"/>
              </w:rPr>
              <w:t>（包括投标人</w:t>
            </w:r>
            <w:r>
              <w:rPr>
                <w:rFonts w:hint="eastAsia"/>
                <w:sz w:val="20"/>
                <w:szCs w:val="21"/>
              </w:rPr>
              <w:t>应对恶劣、灾害性天气及其他突发事件的应急处理措施</w:t>
            </w:r>
            <w:r>
              <w:rPr>
                <w:rFonts w:hint="eastAsia"/>
                <w:sz w:val="20"/>
                <w:szCs w:val="21"/>
                <w:lang w:val="zh-CN"/>
              </w:rPr>
              <w:t>等）</w:t>
            </w:r>
          </w:p>
          <w:p w14:paraId="5CD99C67">
            <w:pPr>
              <w:keepNext w:val="0"/>
              <w:keepLines w:val="0"/>
              <w:pageBreakBefore w:val="0"/>
              <w:widowControl w:val="0"/>
              <w:kinsoku/>
              <w:wordWrap/>
              <w:overflowPunct/>
              <w:topLinePunct w:val="0"/>
              <w:autoSpaceDE/>
              <w:autoSpaceDN/>
              <w:bidi w:val="0"/>
              <w:adjustRightInd/>
              <w:snapToGrid/>
              <w:ind w:firstLine="0"/>
              <w:jc w:val="left"/>
              <w:textAlignment w:val="auto"/>
              <w:rPr>
                <w:rFonts w:hint="eastAsia"/>
                <w:sz w:val="20"/>
                <w:szCs w:val="21"/>
              </w:rPr>
            </w:pPr>
            <w:r>
              <w:rPr>
                <w:rFonts w:hint="eastAsia"/>
                <w:sz w:val="20"/>
                <w:szCs w:val="21"/>
              </w:rPr>
              <w:t>方案科学、全面、合理，保障措施科学、得力的得</w:t>
            </w:r>
            <w:r>
              <w:rPr>
                <w:rFonts w:hint="eastAsia"/>
                <w:sz w:val="20"/>
                <w:szCs w:val="21"/>
                <w:lang w:val="en-US" w:eastAsia="zh-CN"/>
              </w:rPr>
              <w:t>10</w:t>
            </w:r>
            <w:r>
              <w:rPr>
                <w:rFonts w:hint="eastAsia"/>
                <w:sz w:val="20"/>
                <w:szCs w:val="21"/>
              </w:rPr>
              <w:t>分；</w:t>
            </w:r>
          </w:p>
          <w:p w14:paraId="7DC88872">
            <w:pPr>
              <w:keepNext w:val="0"/>
              <w:keepLines w:val="0"/>
              <w:pageBreakBefore w:val="0"/>
              <w:widowControl w:val="0"/>
              <w:kinsoku/>
              <w:wordWrap/>
              <w:overflowPunct/>
              <w:topLinePunct w:val="0"/>
              <w:autoSpaceDE/>
              <w:autoSpaceDN/>
              <w:bidi w:val="0"/>
              <w:adjustRightInd/>
              <w:snapToGrid/>
              <w:ind w:firstLine="0"/>
              <w:jc w:val="left"/>
              <w:textAlignment w:val="auto"/>
              <w:rPr>
                <w:rFonts w:hint="eastAsia"/>
                <w:sz w:val="20"/>
                <w:szCs w:val="21"/>
              </w:rPr>
            </w:pPr>
            <w:r>
              <w:rPr>
                <w:rFonts w:hint="eastAsia"/>
                <w:sz w:val="20"/>
                <w:szCs w:val="21"/>
              </w:rPr>
              <w:t>方案较好，保障措施齐全的得</w:t>
            </w:r>
            <w:r>
              <w:rPr>
                <w:rFonts w:hint="eastAsia"/>
                <w:sz w:val="20"/>
                <w:szCs w:val="21"/>
                <w:lang w:val="en-US" w:eastAsia="zh-CN"/>
              </w:rPr>
              <w:t>6</w:t>
            </w:r>
            <w:r>
              <w:rPr>
                <w:rFonts w:hint="eastAsia"/>
                <w:sz w:val="20"/>
                <w:szCs w:val="21"/>
              </w:rPr>
              <w:t>分；</w:t>
            </w:r>
          </w:p>
          <w:p w14:paraId="499B21E5">
            <w:pPr>
              <w:keepNext w:val="0"/>
              <w:keepLines w:val="0"/>
              <w:pageBreakBefore w:val="0"/>
              <w:widowControl w:val="0"/>
              <w:kinsoku/>
              <w:wordWrap/>
              <w:overflowPunct/>
              <w:topLinePunct w:val="0"/>
              <w:autoSpaceDE/>
              <w:autoSpaceDN/>
              <w:bidi w:val="0"/>
              <w:adjustRightInd/>
              <w:snapToGrid/>
              <w:ind w:firstLine="0"/>
              <w:jc w:val="left"/>
              <w:textAlignment w:val="auto"/>
              <w:rPr>
                <w:rFonts w:hint="eastAsia" w:eastAsia="宋体"/>
                <w:sz w:val="20"/>
                <w:szCs w:val="21"/>
                <w:lang w:eastAsia="zh-CN"/>
              </w:rPr>
            </w:pPr>
            <w:r>
              <w:rPr>
                <w:rFonts w:hint="eastAsia"/>
                <w:sz w:val="20"/>
                <w:szCs w:val="21"/>
              </w:rPr>
              <w:t>方案简单、保障措施一般的得</w:t>
            </w:r>
            <w:r>
              <w:rPr>
                <w:rFonts w:hint="eastAsia"/>
                <w:sz w:val="20"/>
                <w:szCs w:val="21"/>
                <w:lang w:val="en-US" w:eastAsia="zh-CN"/>
              </w:rPr>
              <w:t>3</w:t>
            </w:r>
            <w:r>
              <w:rPr>
                <w:rFonts w:hint="eastAsia"/>
                <w:sz w:val="20"/>
                <w:szCs w:val="21"/>
              </w:rPr>
              <w:t>分</w:t>
            </w:r>
            <w:r>
              <w:rPr>
                <w:rFonts w:hint="eastAsia"/>
                <w:sz w:val="20"/>
                <w:szCs w:val="21"/>
                <w:lang w:eastAsia="zh-CN"/>
              </w:rPr>
              <w:t>；</w:t>
            </w:r>
          </w:p>
          <w:p w14:paraId="276CE4A7">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sz w:val="20"/>
                <w:szCs w:val="21"/>
                <w:lang w:val="zh-CN"/>
              </w:rPr>
            </w:pPr>
            <w:r>
              <w:rPr>
                <w:rFonts w:hint="eastAsia"/>
                <w:sz w:val="20"/>
                <w:szCs w:val="21"/>
                <w:lang w:val="zh-CN"/>
              </w:rPr>
              <w:t>（未提</w:t>
            </w:r>
            <w:r>
              <w:rPr>
                <w:rFonts w:hint="eastAsia"/>
                <w:sz w:val="20"/>
                <w:szCs w:val="21"/>
                <w:lang w:val="en-US" w:eastAsia="zh-CN"/>
              </w:rPr>
              <w:t>供</w:t>
            </w:r>
            <w:r>
              <w:rPr>
                <w:rFonts w:hint="eastAsia"/>
                <w:sz w:val="20"/>
                <w:szCs w:val="21"/>
                <w:lang w:val="zh-CN"/>
              </w:rPr>
              <w:t>不得分）</w:t>
            </w:r>
            <w:r>
              <w:rPr>
                <w:rFonts w:hint="eastAsia"/>
                <w:sz w:val="20"/>
                <w:szCs w:val="21"/>
              </w:rPr>
              <w:t>。</w:t>
            </w:r>
          </w:p>
        </w:tc>
      </w:tr>
      <w:tr w14:paraId="09E26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1430" w:type="dxa"/>
            <w:vMerge w:val="continue"/>
            <w:tcBorders>
              <w:left w:val="single" w:color="auto" w:sz="4" w:space="0"/>
              <w:right w:val="single" w:color="auto" w:sz="4" w:space="0"/>
            </w:tcBorders>
            <w:vAlign w:val="center"/>
          </w:tcPr>
          <w:p w14:paraId="4CC616EC">
            <w:pPr>
              <w:jc w:val="center"/>
              <w:rPr>
                <w:rFonts w:hint="eastAsia" w:ascii="宋体" w:hAnsi="宋体" w:eastAsia="宋体" w:cs="宋体"/>
                <w:sz w:val="20"/>
                <w:szCs w:val="20"/>
              </w:rPr>
            </w:pPr>
          </w:p>
        </w:tc>
        <w:tc>
          <w:tcPr>
            <w:tcW w:w="8017" w:type="dxa"/>
            <w:tcBorders>
              <w:top w:val="single" w:color="auto" w:sz="4" w:space="0"/>
              <w:left w:val="single" w:color="auto" w:sz="4" w:space="0"/>
              <w:bottom w:val="single" w:color="auto" w:sz="4" w:space="0"/>
              <w:right w:val="single" w:color="auto" w:sz="4" w:space="0"/>
            </w:tcBorders>
            <w:vAlign w:val="center"/>
          </w:tcPr>
          <w:p w14:paraId="2EFDF7E3">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sz w:val="20"/>
                <w:szCs w:val="21"/>
                <w:lang w:eastAsia="zh-CN"/>
              </w:rPr>
            </w:pPr>
            <w:r>
              <w:rPr>
                <w:rFonts w:hint="eastAsia"/>
                <w:sz w:val="20"/>
                <w:szCs w:val="21"/>
                <w:lang w:val="en-US" w:eastAsia="zh-CN"/>
              </w:rPr>
              <w:t>6.</w:t>
            </w:r>
            <w:r>
              <w:rPr>
                <w:rFonts w:hint="eastAsia"/>
                <w:sz w:val="20"/>
                <w:szCs w:val="21"/>
              </w:rPr>
              <w:t>边坡稳定及开挖安全方案</w:t>
            </w:r>
            <w:r>
              <w:rPr>
                <w:rFonts w:hint="eastAsia"/>
                <w:sz w:val="20"/>
                <w:szCs w:val="21"/>
                <w:lang w:eastAsia="zh-CN"/>
              </w:rPr>
              <w:t>（</w:t>
            </w:r>
            <w:r>
              <w:rPr>
                <w:rFonts w:hint="eastAsia"/>
                <w:sz w:val="20"/>
                <w:szCs w:val="21"/>
              </w:rPr>
              <w:t>包含开挖前稳定性评估、边坡控制、边坡位移监测、分层开挖、严禁超挖、滑坡应急处置</w:t>
            </w:r>
            <w:r>
              <w:rPr>
                <w:rFonts w:hint="eastAsia"/>
                <w:sz w:val="20"/>
                <w:szCs w:val="21"/>
                <w:lang w:val="en-US" w:eastAsia="zh-CN"/>
              </w:rPr>
              <w:t>等</w:t>
            </w:r>
            <w:r>
              <w:rPr>
                <w:rFonts w:hint="eastAsia"/>
                <w:sz w:val="20"/>
                <w:szCs w:val="21"/>
                <w:lang w:eastAsia="zh-CN"/>
              </w:rPr>
              <w:t>）</w:t>
            </w:r>
          </w:p>
          <w:p w14:paraId="45B64A19">
            <w:pPr>
              <w:keepNext w:val="0"/>
              <w:keepLines w:val="0"/>
              <w:pageBreakBefore w:val="0"/>
              <w:widowControl w:val="0"/>
              <w:kinsoku/>
              <w:wordWrap/>
              <w:overflowPunct/>
              <w:topLinePunct w:val="0"/>
              <w:autoSpaceDE/>
              <w:autoSpaceDN/>
              <w:bidi w:val="0"/>
              <w:adjustRightInd/>
              <w:snapToGrid/>
              <w:ind w:firstLine="0"/>
              <w:jc w:val="left"/>
              <w:textAlignment w:val="auto"/>
              <w:rPr>
                <w:rFonts w:hint="eastAsia"/>
                <w:sz w:val="20"/>
                <w:szCs w:val="21"/>
              </w:rPr>
            </w:pPr>
            <w:r>
              <w:rPr>
                <w:rFonts w:hint="eastAsia"/>
                <w:sz w:val="20"/>
                <w:szCs w:val="21"/>
              </w:rPr>
              <w:t>方案科学、全面、合理，保障措施科学、得力的得</w:t>
            </w:r>
            <w:r>
              <w:rPr>
                <w:rFonts w:hint="eastAsia"/>
                <w:sz w:val="20"/>
                <w:szCs w:val="21"/>
                <w:lang w:val="en-US" w:eastAsia="zh-CN"/>
              </w:rPr>
              <w:t>10</w:t>
            </w:r>
            <w:r>
              <w:rPr>
                <w:rFonts w:hint="eastAsia"/>
                <w:sz w:val="20"/>
                <w:szCs w:val="21"/>
              </w:rPr>
              <w:t>分；</w:t>
            </w:r>
          </w:p>
          <w:p w14:paraId="07A63395">
            <w:pPr>
              <w:keepNext w:val="0"/>
              <w:keepLines w:val="0"/>
              <w:pageBreakBefore w:val="0"/>
              <w:widowControl w:val="0"/>
              <w:kinsoku/>
              <w:wordWrap/>
              <w:overflowPunct/>
              <w:topLinePunct w:val="0"/>
              <w:autoSpaceDE/>
              <w:autoSpaceDN/>
              <w:bidi w:val="0"/>
              <w:adjustRightInd/>
              <w:snapToGrid/>
              <w:ind w:firstLine="0"/>
              <w:jc w:val="left"/>
              <w:textAlignment w:val="auto"/>
              <w:rPr>
                <w:rFonts w:hint="eastAsia"/>
                <w:sz w:val="20"/>
                <w:szCs w:val="21"/>
              </w:rPr>
            </w:pPr>
            <w:r>
              <w:rPr>
                <w:rFonts w:hint="eastAsia"/>
                <w:sz w:val="20"/>
                <w:szCs w:val="21"/>
              </w:rPr>
              <w:t>方案较好，保障措施齐全的得</w:t>
            </w:r>
            <w:r>
              <w:rPr>
                <w:rFonts w:hint="eastAsia"/>
                <w:sz w:val="20"/>
                <w:szCs w:val="21"/>
                <w:lang w:val="en-US" w:eastAsia="zh-CN"/>
              </w:rPr>
              <w:t>6</w:t>
            </w:r>
            <w:r>
              <w:rPr>
                <w:rFonts w:hint="eastAsia"/>
                <w:sz w:val="20"/>
                <w:szCs w:val="21"/>
              </w:rPr>
              <w:t>分；</w:t>
            </w:r>
          </w:p>
          <w:p w14:paraId="385AD0E7">
            <w:pPr>
              <w:keepNext w:val="0"/>
              <w:keepLines w:val="0"/>
              <w:pageBreakBefore w:val="0"/>
              <w:widowControl w:val="0"/>
              <w:kinsoku/>
              <w:wordWrap/>
              <w:overflowPunct/>
              <w:topLinePunct w:val="0"/>
              <w:autoSpaceDE/>
              <w:autoSpaceDN/>
              <w:bidi w:val="0"/>
              <w:adjustRightInd/>
              <w:snapToGrid/>
              <w:ind w:firstLine="0"/>
              <w:jc w:val="left"/>
              <w:textAlignment w:val="auto"/>
              <w:rPr>
                <w:rFonts w:hint="eastAsia" w:eastAsia="宋体"/>
                <w:sz w:val="20"/>
                <w:szCs w:val="21"/>
                <w:lang w:eastAsia="zh-CN"/>
              </w:rPr>
            </w:pPr>
            <w:r>
              <w:rPr>
                <w:rFonts w:hint="eastAsia"/>
                <w:sz w:val="20"/>
                <w:szCs w:val="21"/>
              </w:rPr>
              <w:t>方案简单、保障措施一般的得</w:t>
            </w:r>
            <w:r>
              <w:rPr>
                <w:rFonts w:hint="eastAsia"/>
                <w:sz w:val="20"/>
                <w:szCs w:val="21"/>
                <w:lang w:val="en-US" w:eastAsia="zh-CN"/>
              </w:rPr>
              <w:t>3</w:t>
            </w:r>
            <w:r>
              <w:rPr>
                <w:rFonts w:hint="eastAsia"/>
                <w:sz w:val="20"/>
                <w:szCs w:val="21"/>
              </w:rPr>
              <w:t>分</w:t>
            </w:r>
            <w:r>
              <w:rPr>
                <w:rFonts w:hint="eastAsia"/>
                <w:sz w:val="20"/>
                <w:szCs w:val="21"/>
                <w:lang w:eastAsia="zh-CN"/>
              </w:rPr>
              <w:t>；</w:t>
            </w:r>
          </w:p>
          <w:p w14:paraId="33CAF7A0">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sz w:val="20"/>
                <w:szCs w:val="21"/>
                <w:lang w:val="zh-CN"/>
              </w:rPr>
            </w:pPr>
            <w:r>
              <w:rPr>
                <w:rFonts w:hint="eastAsia"/>
                <w:sz w:val="20"/>
                <w:szCs w:val="21"/>
                <w:lang w:val="zh-CN"/>
              </w:rPr>
              <w:t>（未提</w:t>
            </w:r>
            <w:r>
              <w:rPr>
                <w:rFonts w:hint="eastAsia"/>
                <w:sz w:val="20"/>
                <w:szCs w:val="21"/>
                <w:lang w:val="en-US" w:eastAsia="zh-CN"/>
              </w:rPr>
              <w:t>供</w:t>
            </w:r>
            <w:r>
              <w:rPr>
                <w:rFonts w:hint="eastAsia"/>
                <w:sz w:val="20"/>
                <w:szCs w:val="21"/>
                <w:lang w:val="zh-CN"/>
              </w:rPr>
              <w:t>不得分）</w:t>
            </w:r>
            <w:r>
              <w:rPr>
                <w:rFonts w:hint="eastAsia"/>
                <w:sz w:val="20"/>
                <w:szCs w:val="21"/>
              </w:rPr>
              <w:t>。</w:t>
            </w:r>
          </w:p>
        </w:tc>
      </w:tr>
      <w:tr w14:paraId="5B95B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430" w:type="dxa"/>
            <w:tcBorders>
              <w:top w:val="single" w:color="auto" w:sz="4" w:space="0"/>
              <w:left w:val="single" w:color="auto" w:sz="4" w:space="0"/>
              <w:right w:val="single" w:color="auto" w:sz="4" w:space="0"/>
            </w:tcBorders>
            <w:vAlign w:val="center"/>
          </w:tcPr>
          <w:p w14:paraId="691C18F2">
            <w:pPr>
              <w:jc w:val="center"/>
              <w:rPr>
                <w:rFonts w:hint="eastAsia" w:ascii="宋体" w:hAnsi="宋体" w:eastAsia="宋体" w:cs="宋体"/>
                <w:sz w:val="20"/>
                <w:szCs w:val="21"/>
              </w:rPr>
            </w:pPr>
            <w:r>
              <w:rPr>
                <w:rFonts w:hint="eastAsia" w:ascii="宋体" w:hAnsi="宋体" w:eastAsia="宋体" w:cs="宋体"/>
                <w:sz w:val="20"/>
                <w:szCs w:val="21"/>
              </w:rPr>
              <w:t>企业资质</w:t>
            </w:r>
          </w:p>
          <w:p w14:paraId="301E35BA">
            <w:pPr>
              <w:jc w:val="center"/>
              <w:rPr>
                <w:rFonts w:hint="eastAsia" w:ascii="宋体" w:hAnsi="宋体" w:eastAsia="宋体" w:cs="宋体"/>
                <w:sz w:val="20"/>
                <w:szCs w:val="21"/>
              </w:rPr>
            </w:pPr>
            <w:r>
              <w:rPr>
                <w:rFonts w:hint="eastAsia" w:ascii="宋体" w:hAnsi="宋体" w:eastAsia="宋体" w:cs="宋体"/>
                <w:sz w:val="20"/>
                <w:szCs w:val="21"/>
              </w:rPr>
              <w:t>（</w:t>
            </w:r>
            <w:r>
              <w:rPr>
                <w:rFonts w:hint="eastAsia" w:ascii="宋体" w:hAnsi="宋体" w:cs="宋体"/>
                <w:sz w:val="20"/>
                <w:szCs w:val="21"/>
                <w:lang w:val="en-US" w:eastAsia="zh-CN"/>
              </w:rPr>
              <w:t>6</w:t>
            </w:r>
            <w:r>
              <w:rPr>
                <w:rFonts w:hint="eastAsia" w:ascii="宋体" w:hAnsi="宋体" w:eastAsia="宋体" w:cs="宋体"/>
                <w:sz w:val="20"/>
                <w:szCs w:val="21"/>
              </w:rPr>
              <w:t>分）</w:t>
            </w:r>
          </w:p>
        </w:tc>
        <w:tc>
          <w:tcPr>
            <w:tcW w:w="8017" w:type="dxa"/>
            <w:tcBorders>
              <w:top w:val="single" w:color="auto" w:sz="4" w:space="0"/>
              <w:left w:val="single" w:color="auto" w:sz="4" w:space="0"/>
              <w:bottom w:val="single" w:color="auto" w:sz="4" w:space="0"/>
              <w:right w:val="single" w:color="auto" w:sz="4" w:space="0"/>
            </w:tcBorders>
            <w:vAlign w:val="top"/>
          </w:tcPr>
          <w:p w14:paraId="26EE8863">
            <w:pPr>
              <w:pStyle w:val="23"/>
              <w:keepNext w:val="0"/>
              <w:keepLines w:val="0"/>
              <w:pageBreakBefore w:val="0"/>
              <w:widowControl w:val="0"/>
              <w:kinsoku/>
              <w:wordWrap w:val="0"/>
              <w:overflowPunct/>
              <w:topLinePunct w:val="0"/>
              <w:autoSpaceDE/>
              <w:autoSpaceDN/>
              <w:bidi w:val="0"/>
              <w:adjustRightInd/>
              <w:snapToGrid/>
              <w:ind w:firstLine="0" w:firstLineChars="0"/>
              <w:textAlignment w:val="auto"/>
              <w:rPr>
                <w:rFonts w:hint="eastAsia" w:ascii="Times New Roman" w:hAnsi="Times New Roman" w:eastAsia="宋体" w:cs="Times New Roman"/>
                <w:sz w:val="20"/>
                <w:szCs w:val="21"/>
                <w:lang w:val="zh-CN"/>
              </w:rPr>
            </w:pPr>
            <w:bookmarkStart w:id="79" w:name="_GoBack"/>
            <w:r>
              <w:rPr>
                <w:rFonts w:hint="eastAsia" w:ascii="Times New Roman" w:hAnsi="Times New Roman" w:eastAsia="宋体" w:cs="Times New Roman"/>
                <w:sz w:val="20"/>
                <w:szCs w:val="21"/>
                <w:lang w:val="zh-CN"/>
              </w:rPr>
              <w:t>投标人具有</w:t>
            </w:r>
            <w:r>
              <w:rPr>
                <w:rFonts w:hint="eastAsia" w:ascii="Times New Roman" w:hAnsi="Times New Roman" w:eastAsia="宋体" w:cs="Times New Roman"/>
                <w:sz w:val="20"/>
                <w:szCs w:val="21"/>
                <w:lang w:val="zh-CN" w:eastAsia="zh-CN"/>
              </w:rPr>
              <w:t>认证范围与本项目履约内容相关</w:t>
            </w:r>
            <w:r>
              <w:rPr>
                <w:rFonts w:hint="eastAsia" w:ascii="Times New Roman" w:hAnsi="Times New Roman" w:eastAsia="宋体" w:cs="Times New Roman"/>
                <w:sz w:val="20"/>
                <w:szCs w:val="21"/>
                <w:lang w:val="en-US" w:eastAsia="zh-CN"/>
              </w:rPr>
              <w:t>的</w:t>
            </w:r>
            <w:r>
              <w:rPr>
                <w:rFonts w:hint="eastAsia" w:ascii="Times New Roman" w:hAnsi="Times New Roman" w:eastAsia="宋体" w:cs="Times New Roman"/>
                <w:sz w:val="20"/>
                <w:szCs w:val="21"/>
                <w:lang w:val="zh-CN"/>
              </w:rPr>
              <w:t>ISO9001质量管理体系认证证书、ISO14001环境管理体系认证证书、ISO45001职业健康安全管理体系认证证书，</w:t>
            </w:r>
            <w:r>
              <w:rPr>
                <w:rFonts w:hint="eastAsia" w:ascii="Times New Roman" w:hAnsi="Times New Roman" w:eastAsia="宋体" w:cs="Times New Roman"/>
                <w:sz w:val="20"/>
                <w:szCs w:val="21"/>
                <w:lang w:val="zh-CN" w:eastAsia="zh-CN"/>
              </w:rPr>
              <w:t>证书须在有效期内</w:t>
            </w:r>
            <w:r>
              <w:rPr>
                <w:rFonts w:hint="eastAsia" w:ascii="Times New Roman" w:hAnsi="Times New Roman" w:eastAsia="宋体" w:cs="Times New Roman"/>
                <w:sz w:val="20"/>
                <w:szCs w:val="21"/>
                <w:lang w:val="zh-CN"/>
              </w:rPr>
              <w:t>有一项得</w:t>
            </w:r>
            <w:r>
              <w:rPr>
                <w:rFonts w:hint="eastAsia" w:ascii="Times New Roman" w:hAnsi="Times New Roman" w:eastAsia="宋体" w:cs="Times New Roman"/>
                <w:sz w:val="20"/>
                <w:szCs w:val="21"/>
                <w:lang w:val="en-US" w:eastAsia="zh-CN"/>
              </w:rPr>
              <w:t>2</w:t>
            </w:r>
            <w:r>
              <w:rPr>
                <w:rFonts w:hint="eastAsia" w:ascii="Times New Roman" w:hAnsi="Times New Roman" w:eastAsia="宋体" w:cs="Times New Roman"/>
                <w:sz w:val="20"/>
                <w:szCs w:val="21"/>
                <w:lang w:val="zh-CN"/>
              </w:rPr>
              <w:t>分，最高得</w:t>
            </w:r>
            <w:r>
              <w:rPr>
                <w:rFonts w:hint="eastAsia" w:ascii="Times New Roman" w:hAnsi="Times New Roman" w:eastAsia="宋体" w:cs="Times New Roman"/>
                <w:sz w:val="20"/>
                <w:szCs w:val="21"/>
                <w:lang w:val="en-US" w:eastAsia="zh-CN"/>
              </w:rPr>
              <w:t>6</w:t>
            </w:r>
            <w:r>
              <w:rPr>
                <w:rFonts w:hint="eastAsia" w:ascii="Times New Roman" w:hAnsi="Times New Roman" w:eastAsia="宋体" w:cs="Times New Roman"/>
                <w:sz w:val="20"/>
                <w:szCs w:val="21"/>
                <w:lang w:val="zh-CN"/>
              </w:rPr>
              <w:t>分。</w:t>
            </w:r>
          </w:p>
          <w:bookmarkEnd w:id="79"/>
          <w:p w14:paraId="70893A7D">
            <w:pPr>
              <w:pStyle w:val="23"/>
              <w:keepNext w:val="0"/>
              <w:keepLines w:val="0"/>
              <w:pageBreakBefore w:val="0"/>
              <w:widowControl w:val="0"/>
              <w:kinsoku/>
              <w:wordWrap w:val="0"/>
              <w:overflowPunct/>
              <w:topLinePunct w:val="0"/>
              <w:autoSpaceDE/>
              <w:autoSpaceDN/>
              <w:bidi w:val="0"/>
              <w:adjustRightInd/>
              <w:snapToGrid/>
              <w:ind w:firstLine="0" w:firstLineChars="0"/>
              <w:textAlignment w:val="auto"/>
              <w:rPr>
                <w:rFonts w:hint="eastAsia" w:ascii="宋体" w:hAnsi="宋体" w:eastAsia="宋体" w:cs="宋体"/>
                <w:sz w:val="20"/>
                <w:szCs w:val="20"/>
                <w:highlight w:val="yellow"/>
              </w:rPr>
            </w:pPr>
            <w:r>
              <w:rPr>
                <w:rFonts w:hint="eastAsia" w:ascii="Times New Roman" w:hAnsi="Times New Roman" w:eastAsia="宋体" w:cs="Times New Roman"/>
                <w:sz w:val="20"/>
                <w:szCs w:val="21"/>
                <w:lang w:val="zh-CN"/>
              </w:rPr>
              <w:t xml:space="preserve"> </w:t>
            </w:r>
            <w:r>
              <w:rPr>
                <w:rFonts w:hint="eastAsia" w:ascii="Times New Roman" w:hAnsi="Times New Roman" w:eastAsia="宋体" w:cs="Times New Roman"/>
                <w:b/>
                <w:bCs/>
                <w:sz w:val="20"/>
                <w:szCs w:val="21"/>
                <w:lang w:val="en-US" w:eastAsia="zh-CN"/>
              </w:rPr>
              <w:t>注：</w:t>
            </w:r>
            <w:r>
              <w:rPr>
                <w:rFonts w:hint="eastAsia" w:ascii="Times New Roman" w:hAnsi="Times New Roman" w:eastAsia="宋体" w:cs="Times New Roman"/>
                <w:b/>
                <w:bCs/>
                <w:sz w:val="20"/>
                <w:szCs w:val="21"/>
                <w:lang w:val="zh-CN" w:eastAsia="zh-CN"/>
              </w:rPr>
              <w:t>提供证书原件扫描件</w:t>
            </w:r>
            <w:r>
              <w:rPr>
                <w:rFonts w:hint="eastAsia" w:cs="宋体"/>
                <w:b/>
                <w:bCs/>
                <w:sz w:val="18"/>
                <w:szCs w:val="18"/>
                <w:lang w:bidi="ar"/>
              </w:rPr>
              <w:t>形式上传</w:t>
            </w:r>
            <w:r>
              <w:rPr>
                <w:rFonts w:hint="eastAsia" w:ascii="Times New Roman" w:hAnsi="Times New Roman" w:cs="Times New Roman"/>
                <w:b/>
                <w:bCs/>
                <w:sz w:val="20"/>
                <w:szCs w:val="21"/>
                <w:lang w:val="zh-CN" w:eastAsia="zh-CN"/>
              </w:rPr>
              <w:t>，</w:t>
            </w:r>
            <w:r>
              <w:rPr>
                <w:rFonts w:hint="eastAsia" w:ascii="Times New Roman" w:hAnsi="Times New Roman" w:eastAsia="宋体" w:cs="Times New Roman"/>
                <w:b/>
                <w:bCs/>
                <w:sz w:val="20"/>
                <w:szCs w:val="21"/>
                <w:lang w:val="zh-CN" w:eastAsia="zh-CN"/>
              </w:rPr>
              <w:t>否则不得分。</w:t>
            </w:r>
          </w:p>
        </w:tc>
      </w:tr>
      <w:tr w14:paraId="7CD0D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1430" w:type="dxa"/>
            <w:tcBorders>
              <w:top w:val="single" w:color="auto" w:sz="4" w:space="0"/>
              <w:left w:val="single" w:color="auto" w:sz="4" w:space="0"/>
              <w:right w:val="single" w:color="auto" w:sz="4" w:space="0"/>
            </w:tcBorders>
            <w:vAlign w:val="center"/>
          </w:tcPr>
          <w:p w14:paraId="14A66374">
            <w:pPr>
              <w:jc w:val="center"/>
              <w:rPr>
                <w:rFonts w:hint="eastAsia" w:ascii="Times New Roman" w:hAnsi="Times New Roman" w:eastAsia="宋体" w:cs="Times New Roman"/>
                <w:sz w:val="20"/>
                <w:szCs w:val="21"/>
                <w:lang w:val="zh-CN"/>
              </w:rPr>
            </w:pPr>
            <w:r>
              <w:rPr>
                <w:rFonts w:hint="eastAsia" w:ascii="Times New Roman" w:hAnsi="Times New Roman" w:eastAsia="宋体" w:cs="Times New Roman"/>
                <w:sz w:val="20"/>
                <w:szCs w:val="21"/>
                <w:lang w:val="zh-CN"/>
              </w:rPr>
              <w:t>项目专职安全员</w:t>
            </w:r>
          </w:p>
          <w:p w14:paraId="2A50B6DE">
            <w:pPr>
              <w:jc w:val="center"/>
              <w:rPr>
                <w:rFonts w:hint="eastAsia" w:ascii="Times New Roman" w:hAnsi="Times New Roman" w:eastAsia="宋体" w:cs="Times New Roman"/>
                <w:sz w:val="20"/>
                <w:szCs w:val="21"/>
                <w:lang w:val="zh-CN"/>
              </w:rPr>
            </w:pPr>
            <w:r>
              <w:rPr>
                <w:rFonts w:hint="eastAsia" w:cs="Times New Roman"/>
                <w:sz w:val="20"/>
                <w:szCs w:val="21"/>
                <w:lang w:val="zh-CN"/>
              </w:rPr>
              <w:t>（</w:t>
            </w:r>
            <w:r>
              <w:rPr>
                <w:rFonts w:hint="eastAsia" w:cs="Times New Roman"/>
                <w:sz w:val="20"/>
                <w:szCs w:val="21"/>
                <w:lang w:val="en-US" w:eastAsia="zh-CN"/>
              </w:rPr>
              <w:t>4分</w:t>
            </w:r>
            <w:r>
              <w:rPr>
                <w:rFonts w:hint="eastAsia" w:cs="Times New Roman"/>
                <w:sz w:val="20"/>
                <w:szCs w:val="21"/>
                <w:lang w:val="zh-CN"/>
              </w:rPr>
              <w:t>）</w:t>
            </w:r>
          </w:p>
        </w:tc>
        <w:tc>
          <w:tcPr>
            <w:tcW w:w="8017" w:type="dxa"/>
            <w:tcBorders>
              <w:top w:val="single" w:color="auto" w:sz="4" w:space="0"/>
              <w:left w:val="single" w:color="auto" w:sz="4" w:space="0"/>
              <w:bottom w:val="single" w:color="auto" w:sz="4" w:space="0"/>
              <w:right w:val="single" w:color="auto" w:sz="4" w:space="0"/>
            </w:tcBorders>
            <w:vAlign w:val="center"/>
          </w:tcPr>
          <w:p w14:paraId="1CD9BC23">
            <w:pPr>
              <w:pStyle w:val="23"/>
              <w:keepNext w:val="0"/>
              <w:keepLines w:val="0"/>
              <w:pageBreakBefore w:val="0"/>
              <w:widowControl w:val="0"/>
              <w:kinsoku/>
              <w:wordWrap w:val="0"/>
              <w:overflowPunct/>
              <w:topLinePunct w:val="0"/>
              <w:autoSpaceDE/>
              <w:autoSpaceDN/>
              <w:bidi w:val="0"/>
              <w:adjustRightInd/>
              <w:snapToGrid/>
              <w:ind w:firstLine="0" w:firstLineChars="0"/>
              <w:textAlignment w:val="auto"/>
              <w:rPr>
                <w:rFonts w:hint="eastAsia" w:ascii="Times New Roman" w:hAnsi="Times New Roman" w:eastAsia="宋体" w:cs="Times New Roman"/>
                <w:sz w:val="20"/>
                <w:szCs w:val="21"/>
                <w:lang w:val="zh-CN"/>
              </w:rPr>
            </w:pPr>
            <w:r>
              <w:rPr>
                <w:rFonts w:hint="eastAsia" w:ascii="Times New Roman" w:hAnsi="Times New Roman" w:eastAsia="宋体" w:cs="Times New Roman"/>
                <w:sz w:val="20"/>
                <w:szCs w:val="21"/>
                <w:lang w:val="zh-CN"/>
              </w:rPr>
              <w:t>项目配备专职安全员：提供有效</w:t>
            </w:r>
            <w:r>
              <w:rPr>
                <w:rFonts w:hint="eastAsia" w:ascii="Times New Roman" w:hAnsi="Times New Roman" w:cs="Times New Roman"/>
                <w:sz w:val="20"/>
                <w:szCs w:val="21"/>
                <w:lang w:val="en-US" w:eastAsia="zh-CN"/>
              </w:rPr>
              <w:t>安全生产管理证书</w:t>
            </w:r>
            <w:r>
              <w:rPr>
                <w:rFonts w:hint="eastAsia" w:ascii="Times New Roman" w:hAnsi="Times New Roman" w:eastAsia="宋体" w:cs="Times New Roman"/>
                <w:sz w:val="20"/>
                <w:szCs w:val="21"/>
                <w:lang w:val="zh-CN"/>
              </w:rPr>
              <w:t xml:space="preserve">，得 </w:t>
            </w:r>
            <w:r>
              <w:rPr>
                <w:rFonts w:hint="eastAsia" w:ascii="Times New Roman" w:hAnsi="Times New Roman" w:cs="Times New Roman"/>
                <w:sz w:val="20"/>
                <w:szCs w:val="21"/>
                <w:lang w:val="en-US" w:eastAsia="zh-CN"/>
              </w:rPr>
              <w:t>4</w:t>
            </w:r>
            <w:r>
              <w:rPr>
                <w:rFonts w:hint="eastAsia" w:ascii="Times New Roman" w:hAnsi="Times New Roman" w:eastAsia="宋体" w:cs="Times New Roman"/>
                <w:sz w:val="20"/>
                <w:szCs w:val="21"/>
                <w:lang w:val="zh-CN"/>
              </w:rPr>
              <w:t>分</w:t>
            </w:r>
            <w:r>
              <w:rPr>
                <w:rFonts w:hint="eastAsia" w:ascii="Times New Roman" w:hAnsi="Times New Roman" w:cs="Times New Roman"/>
                <w:sz w:val="20"/>
                <w:szCs w:val="21"/>
                <w:lang w:val="zh-CN"/>
              </w:rPr>
              <w:t>（</w:t>
            </w:r>
            <w:r>
              <w:rPr>
                <w:rFonts w:hint="eastAsia" w:ascii="宋体" w:hAnsi="宋体" w:cs="宋体"/>
                <w:bCs/>
                <w:sz w:val="18"/>
                <w:szCs w:val="18"/>
                <w:lang w:bidi="ar"/>
              </w:rPr>
              <w:t>提供相关证书原件扫描件形式上传，否则不得分</w:t>
            </w:r>
            <w:r>
              <w:rPr>
                <w:rFonts w:hint="eastAsia" w:ascii="宋体" w:hAnsi="宋体" w:cs="宋体"/>
                <w:bCs/>
                <w:sz w:val="18"/>
                <w:szCs w:val="18"/>
                <w:lang w:eastAsia="zh-CN" w:bidi="ar"/>
              </w:rPr>
              <w:t>）</w:t>
            </w:r>
            <w:r>
              <w:rPr>
                <w:rFonts w:hint="eastAsia" w:ascii="Times New Roman" w:hAnsi="Times New Roman" w:eastAsia="宋体" w:cs="Times New Roman"/>
                <w:sz w:val="20"/>
                <w:szCs w:val="21"/>
                <w:lang w:val="zh-CN"/>
              </w:rPr>
              <w:t>。</w:t>
            </w:r>
          </w:p>
          <w:p w14:paraId="1F9C52ED">
            <w:pPr>
              <w:pStyle w:val="23"/>
              <w:keepNext w:val="0"/>
              <w:keepLines w:val="0"/>
              <w:pageBreakBefore w:val="0"/>
              <w:widowControl w:val="0"/>
              <w:kinsoku/>
              <w:wordWrap w:val="0"/>
              <w:overflowPunct/>
              <w:topLinePunct w:val="0"/>
              <w:autoSpaceDE/>
              <w:autoSpaceDN/>
              <w:bidi w:val="0"/>
              <w:adjustRightInd/>
              <w:snapToGrid/>
              <w:ind w:firstLine="0" w:firstLineChars="0"/>
              <w:textAlignment w:val="auto"/>
              <w:rPr>
                <w:rFonts w:hint="eastAsia" w:ascii="宋体" w:hAnsi="宋体" w:eastAsia="宋体" w:cs="宋体"/>
                <w:sz w:val="24"/>
                <w:szCs w:val="24"/>
                <w:lang w:val="zh-CN"/>
              </w:rPr>
            </w:pPr>
            <w:r>
              <w:rPr>
                <w:rFonts w:hint="eastAsia" w:ascii="Times New Roman" w:hAnsi="Times New Roman" w:cs="Times New Roman"/>
                <w:b/>
                <w:bCs/>
                <w:sz w:val="20"/>
                <w:szCs w:val="21"/>
                <w:lang w:val="en-US" w:eastAsia="zh-CN"/>
              </w:rPr>
              <w:t>注：</w:t>
            </w:r>
            <w:r>
              <w:rPr>
                <w:rFonts w:hint="eastAsia" w:ascii="宋体" w:hAnsi="宋体" w:cs="宋体"/>
                <w:b/>
                <w:bCs w:val="0"/>
                <w:sz w:val="18"/>
                <w:szCs w:val="18"/>
                <w:lang w:bidi="ar"/>
              </w:rPr>
              <w:t>提供供应商为其缴纳的</w:t>
            </w:r>
            <w:r>
              <w:rPr>
                <w:rFonts w:hint="default" w:ascii="Times New Roman" w:hAnsi="Times New Roman" w:cs="Times New Roman"/>
                <w:b/>
                <w:bCs w:val="0"/>
                <w:sz w:val="18"/>
                <w:szCs w:val="18"/>
                <w:lang w:bidi="ar"/>
              </w:rPr>
              <w:t>2026</w:t>
            </w:r>
            <w:r>
              <w:rPr>
                <w:rFonts w:hint="eastAsia" w:ascii="宋体" w:hAnsi="宋体" w:cs="宋体"/>
                <w:b/>
                <w:bCs w:val="0"/>
                <w:sz w:val="18"/>
                <w:szCs w:val="18"/>
                <w:lang w:bidi="ar"/>
              </w:rPr>
              <w:t>年</w:t>
            </w:r>
            <w:r>
              <w:rPr>
                <w:rFonts w:hint="eastAsia" w:ascii="Times New Roman" w:hAnsi="Times New Roman" w:cs="Times New Roman"/>
                <w:b/>
                <w:bCs w:val="0"/>
                <w:sz w:val="18"/>
                <w:szCs w:val="18"/>
                <w:lang w:val="en-US" w:eastAsia="zh-CN" w:bidi="ar"/>
              </w:rPr>
              <w:t>7</w:t>
            </w:r>
            <w:r>
              <w:rPr>
                <w:rFonts w:hint="eastAsia" w:ascii="宋体" w:hAnsi="宋体" w:cs="宋体"/>
                <w:b/>
                <w:bCs w:val="0"/>
                <w:sz w:val="18"/>
                <w:szCs w:val="18"/>
                <w:lang w:bidi="ar"/>
              </w:rPr>
              <w:t>月-</w:t>
            </w:r>
            <w:r>
              <w:rPr>
                <w:rFonts w:hint="default" w:ascii="Times New Roman" w:hAnsi="Times New Roman" w:cs="Times New Roman"/>
                <w:b/>
                <w:bCs w:val="0"/>
                <w:sz w:val="18"/>
                <w:szCs w:val="18"/>
                <w:lang w:bidi="ar"/>
              </w:rPr>
              <w:t>2026</w:t>
            </w:r>
            <w:r>
              <w:rPr>
                <w:rFonts w:hint="eastAsia" w:ascii="宋体" w:hAnsi="宋体" w:cs="宋体"/>
                <w:b/>
                <w:bCs w:val="0"/>
                <w:sz w:val="18"/>
                <w:szCs w:val="18"/>
                <w:lang w:bidi="ar"/>
              </w:rPr>
              <w:t>年</w:t>
            </w:r>
            <w:r>
              <w:rPr>
                <w:rFonts w:hint="eastAsia" w:ascii="Times New Roman" w:hAnsi="Times New Roman" w:cs="Times New Roman"/>
                <w:b/>
                <w:bCs w:val="0"/>
                <w:sz w:val="18"/>
                <w:szCs w:val="18"/>
                <w:lang w:val="en-US" w:eastAsia="zh-CN" w:bidi="ar"/>
              </w:rPr>
              <w:t>9</w:t>
            </w:r>
            <w:r>
              <w:rPr>
                <w:rFonts w:hint="eastAsia" w:ascii="宋体" w:hAnsi="宋体" w:cs="宋体"/>
                <w:b/>
                <w:bCs w:val="0"/>
                <w:sz w:val="18"/>
                <w:szCs w:val="18"/>
                <w:lang w:bidi="ar"/>
              </w:rPr>
              <w:t>月任意一个月社会养老保险的有效凭证的复印件并加盖供应商公章，否则不得分。</w:t>
            </w:r>
          </w:p>
        </w:tc>
      </w:tr>
      <w:tr w14:paraId="4F37B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1430" w:type="dxa"/>
            <w:tcBorders>
              <w:top w:val="single" w:color="auto" w:sz="4" w:space="0"/>
              <w:left w:val="single" w:color="auto" w:sz="4" w:space="0"/>
              <w:right w:val="single" w:color="auto" w:sz="4" w:space="0"/>
            </w:tcBorders>
            <w:vAlign w:val="center"/>
          </w:tcPr>
          <w:p w14:paraId="5A377820">
            <w:pPr>
              <w:jc w:val="center"/>
              <w:rPr>
                <w:rFonts w:hint="eastAsia" w:ascii="Times New Roman" w:hAnsi="Times New Roman" w:eastAsia="宋体" w:cs="Times New Roman"/>
                <w:sz w:val="20"/>
                <w:szCs w:val="21"/>
                <w:lang w:val="zh-CN"/>
              </w:rPr>
            </w:pPr>
            <w:r>
              <w:rPr>
                <w:rFonts w:hint="eastAsia" w:ascii="Times New Roman" w:hAnsi="Times New Roman" w:eastAsia="宋体" w:cs="Times New Roman"/>
                <w:sz w:val="20"/>
                <w:szCs w:val="21"/>
                <w:lang w:val="zh-CN"/>
              </w:rPr>
              <w:t>道路许可</w:t>
            </w:r>
          </w:p>
          <w:p w14:paraId="46C29437">
            <w:pPr>
              <w:jc w:val="center"/>
              <w:rPr>
                <w:rFonts w:hint="eastAsia" w:ascii="宋体" w:hAnsi="宋体" w:eastAsia="宋体" w:cs="宋体"/>
                <w:sz w:val="20"/>
                <w:szCs w:val="21"/>
              </w:rPr>
            </w:pPr>
            <w:r>
              <w:rPr>
                <w:rFonts w:hint="eastAsia" w:ascii="宋体" w:hAnsi="宋体" w:eastAsia="宋体" w:cs="宋体"/>
                <w:sz w:val="20"/>
                <w:szCs w:val="21"/>
              </w:rPr>
              <w:t>（</w:t>
            </w:r>
            <w:r>
              <w:rPr>
                <w:rFonts w:hint="eastAsia" w:ascii="宋体" w:hAnsi="宋体" w:cs="宋体"/>
                <w:sz w:val="20"/>
                <w:szCs w:val="21"/>
                <w:lang w:val="en-US" w:eastAsia="zh-CN"/>
              </w:rPr>
              <w:t>4</w:t>
            </w:r>
            <w:r>
              <w:rPr>
                <w:rFonts w:hint="eastAsia" w:ascii="宋体" w:hAnsi="宋体" w:eastAsia="宋体" w:cs="宋体"/>
                <w:sz w:val="20"/>
                <w:szCs w:val="21"/>
              </w:rPr>
              <w:t>分）</w:t>
            </w:r>
          </w:p>
        </w:tc>
        <w:tc>
          <w:tcPr>
            <w:tcW w:w="8017" w:type="dxa"/>
            <w:tcBorders>
              <w:top w:val="single" w:color="auto" w:sz="4" w:space="0"/>
              <w:left w:val="single" w:color="auto" w:sz="4" w:space="0"/>
              <w:bottom w:val="single" w:color="auto" w:sz="4" w:space="0"/>
              <w:right w:val="single" w:color="auto" w:sz="4" w:space="0"/>
            </w:tcBorders>
            <w:vAlign w:val="center"/>
          </w:tcPr>
          <w:p w14:paraId="5E27FD58">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sz w:val="20"/>
                <w:szCs w:val="21"/>
                <w:lang w:val="zh-CN"/>
              </w:rPr>
            </w:pPr>
            <w:r>
              <w:rPr>
                <w:rFonts w:hint="eastAsia"/>
                <w:sz w:val="20"/>
                <w:szCs w:val="21"/>
                <w:lang w:val="zh-CN"/>
              </w:rPr>
              <w:t>投标人提供</w:t>
            </w:r>
            <w:r>
              <w:rPr>
                <w:sz w:val="20"/>
                <w:szCs w:val="21"/>
                <w:lang w:val="zh-CN"/>
              </w:rPr>
              <w:t>道路运输</w:t>
            </w:r>
            <w:r>
              <w:rPr>
                <w:rFonts w:hint="eastAsia"/>
                <w:sz w:val="20"/>
                <w:szCs w:val="21"/>
                <w:lang w:val="zh-CN"/>
              </w:rPr>
              <w:t>经营</w:t>
            </w:r>
            <w:r>
              <w:rPr>
                <w:sz w:val="20"/>
                <w:szCs w:val="21"/>
                <w:lang w:val="zh-CN"/>
              </w:rPr>
              <w:t>许可证</w:t>
            </w:r>
            <w:r>
              <w:rPr>
                <w:rFonts w:hint="eastAsia"/>
                <w:sz w:val="20"/>
                <w:szCs w:val="21"/>
                <w:lang w:val="zh-CN"/>
              </w:rPr>
              <w:t>得</w:t>
            </w:r>
            <w:r>
              <w:rPr>
                <w:rFonts w:hint="eastAsia"/>
                <w:sz w:val="20"/>
                <w:szCs w:val="21"/>
                <w:lang w:val="en-US" w:eastAsia="zh-CN"/>
              </w:rPr>
              <w:t>4</w:t>
            </w:r>
            <w:r>
              <w:rPr>
                <w:rFonts w:hint="eastAsia"/>
                <w:sz w:val="20"/>
                <w:szCs w:val="21"/>
                <w:lang w:val="zh-CN"/>
              </w:rPr>
              <w:t>分；未提供不得分。</w:t>
            </w:r>
          </w:p>
          <w:p w14:paraId="4B246B5D">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sz w:val="20"/>
                <w:szCs w:val="20"/>
                <w:highlight w:val="yellow"/>
                <w:lang w:eastAsia="zh-CN"/>
              </w:rPr>
            </w:pPr>
            <w:r>
              <w:rPr>
                <w:rFonts w:hint="eastAsia"/>
                <w:b/>
                <w:bCs/>
                <w:sz w:val="20"/>
                <w:szCs w:val="21"/>
                <w:lang w:val="en-US" w:eastAsia="zh-CN"/>
              </w:rPr>
              <w:t>注：</w:t>
            </w:r>
            <w:r>
              <w:rPr>
                <w:rFonts w:hint="eastAsia" w:cs="宋体"/>
                <w:b/>
                <w:bCs/>
                <w:sz w:val="18"/>
                <w:szCs w:val="18"/>
                <w:lang w:bidi="ar"/>
              </w:rPr>
              <w:t>提供证书原件扫描件形式上传，否则不得分</w:t>
            </w:r>
            <w:r>
              <w:rPr>
                <w:rFonts w:hint="eastAsia" w:cs="宋体"/>
                <w:b/>
                <w:bCs/>
                <w:sz w:val="18"/>
                <w:szCs w:val="18"/>
                <w:lang w:eastAsia="zh-CN" w:bidi="ar"/>
              </w:rPr>
              <w:t>。</w:t>
            </w:r>
          </w:p>
        </w:tc>
      </w:tr>
      <w:tr w14:paraId="311D4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430" w:type="dxa"/>
            <w:tcBorders>
              <w:top w:val="single" w:color="auto" w:sz="4" w:space="0"/>
              <w:left w:val="single" w:color="auto" w:sz="4" w:space="0"/>
              <w:right w:val="single" w:color="auto" w:sz="4" w:space="0"/>
            </w:tcBorders>
            <w:vAlign w:val="center"/>
          </w:tcPr>
          <w:p w14:paraId="4BD5B269">
            <w:pPr>
              <w:jc w:val="center"/>
              <w:rPr>
                <w:rFonts w:hint="eastAsia" w:ascii="宋体" w:hAnsi="宋体" w:eastAsia="宋体" w:cs="宋体"/>
                <w:sz w:val="20"/>
                <w:szCs w:val="21"/>
              </w:rPr>
            </w:pPr>
            <w:r>
              <w:rPr>
                <w:rFonts w:hint="eastAsia" w:ascii="宋体" w:hAnsi="宋体" w:eastAsia="宋体" w:cs="宋体"/>
                <w:sz w:val="20"/>
                <w:szCs w:val="21"/>
              </w:rPr>
              <w:t>企业业绩</w:t>
            </w:r>
          </w:p>
          <w:p w14:paraId="5B49586A">
            <w:pPr>
              <w:jc w:val="center"/>
              <w:rPr>
                <w:rFonts w:hint="eastAsia" w:ascii="宋体" w:hAnsi="宋体" w:eastAsia="宋体" w:cs="宋体"/>
                <w:sz w:val="20"/>
                <w:szCs w:val="21"/>
                <w:highlight w:val="yellow"/>
              </w:rPr>
            </w:pPr>
            <w:r>
              <w:rPr>
                <w:rFonts w:hint="eastAsia" w:ascii="宋体" w:hAnsi="宋体" w:eastAsia="宋体" w:cs="宋体"/>
                <w:sz w:val="20"/>
                <w:szCs w:val="21"/>
              </w:rPr>
              <w:t>（</w:t>
            </w:r>
            <w:r>
              <w:rPr>
                <w:rFonts w:hint="eastAsia" w:ascii="宋体" w:hAnsi="宋体" w:cs="宋体"/>
                <w:sz w:val="20"/>
                <w:szCs w:val="21"/>
                <w:lang w:val="en-US" w:eastAsia="zh-CN"/>
              </w:rPr>
              <w:t>12</w:t>
            </w:r>
            <w:r>
              <w:rPr>
                <w:rFonts w:hint="eastAsia" w:ascii="宋体" w:hAnsi="宋体" w:eastAsia="宋体" w:cs="宋体"/>
                <w:sz w:val="20"/>
                <w:szCs w:val="21"/>
              </w:rPr>
              <w:t>分）</w:t>
            </w:r>
          </w:p>
        </w:tc>
        <w:tc>
          <w:tcPr>
            <w:tcW w:w="8017" w:type="dxa"/>
            <w:tcBorders>
              <w:top w:val="single" w:color="auto" w:sz="4" w:space="0"/>
              <w:left w:val="single" w:color="auto" w:sz="4" w:space="0"/>
              <w:bottom w:val="single" w:color="auto" w:sz="4" w:space="0"/>
              <w:right w:val="single" w:color="auto" w:sz="4" w:space="0"/>
            </w:tcBorders>
            <w:vAlign w:val="center"/>
          </w:tcPr>
          <w:p w14:paraId="16AD7993">
            <w:pPr>
              <w:pStyle w:val="23"/>
              <w:keepNext w:val="0"/>
              <w:keepLines w:val="0"/>
              <w:pageBreakBefore w:val="0"/>
              <w:widowControl w:val="0"/>
              <w:kinsoku/>
              <w:wordWrap/>
              <w:overflowPunct/>
              <w:topLinePunct w:val="0"/>
              <w:autoSpaceDE/>
              <w:autoSpaceDN/>
              <w:bidi w:val="0"/>
              <w:adjustRightInd/>
              <w:snapToGrid/>
              <w:ind w:firstLine="0"/>
              <w:textAlignment w:val="auto"/>
              <w:rPr>
                <w:rFonts w:hint="eastAsia" w:ascii="宋体" w:hAnsi="Times New Roman" w:eastAsia="宋体" w:cs="Times New Roman"/>
                <w:sz w:val="20"/>
                <w:szCs w:val="21"/>
                <w:lang w:val="zh-CN"/>
              </w:rPr>
            </w:pPr>
            <w:r>
              <w:rPr>
                <w:rFonts w:hint="eastAsia" w:ascii="宋体" w:hAnsi="Times New Roman" w:eastAsia="宋体" w:cs="Times New Roman"/>
                <w:sz w:val="20"/>
                <w:szCs w:val="21"/>
                <w:lang w:val="zh-CN"/>
              </w:rPr>
              <w:t>投标人具有</w:t>
            </w:r>
            <w:r>
              <w:rPr>
                <w:rFonts w:hint="eastAsia" w:hAnsi="Times New Roman" w:cs="Times New Roman"/>
                <w:sz w:val="20"/>
                <w:szCs w:val="21"/>
                <w:lang w:val="en-US" w:eastAsia="zh-CN"/>
              </w:rPr>
              <w:t>与本项目</w:t>
            </w:r>
            <w:r>
              <w:rPr>
                <w:rFonts w:hint="eastAsia" w:ascii="宋体" w:hAnsi="Times New Roman" w:eastAsia="宋体" w:cs="Times New Roman"/>
                <w:sz w:val="20"/>
                <w:szCs w:val="21"/>
                <w:lang w:val="zh-CN"/>
              </w:rPr>
              <w:t>类似项目服务业绩合同</w:t>
            </w:r>
            <w:r>
              <w:rPr>
                <w:rFonts w:hint="eastAsia" w:hAnsi="Times New Roman" w:cs="Times New Roman"/>
                <w:sz w:val="20"/>
                <w:szCs w:val="21"/>
                <w:lang w:val="en-US" w:eastAsia="zh-CN"/>
              </w:rPr>
              <w:t>的</w:t>
            </w:r>
            <w:r>
              <w:rPr>
                <w:rFonts w:hint="eastAsia" w:ascii="宋体" w:hAnsi="Times New Roman" w:eastAsia="宋体" w:cs="Times New Roman"/>
                <w:sz w:val="20"/>
                <w:szCs w:val="21"/>
                <w:lang w:val="zh-CN"/>
              </w:rPr>
              <w:t>（202</w:t>
            </w:r>
            <w:r>
              <w:rPr>
                <w:rFonts w:hint="eastAsia" w:ascii="宋体" w:hAnsi="Times New Roman" w:eastAsia="宋体" w:cs="Times New Roman"/>
                <w:sz w:val="20"/>
                <w:szCs w:val="21"/>
                <w:lang w:val="en-US" w:eastAsia="zh-CN"/>
              </w:rPr>
              <w:t>3</w:t>
            </w:r>
            <w:r>
              <w:rPr>
                <w:rFonts w:hint="eastAsia" w:ascii="宋体" w:hAnsi="Times New Roman" w:eastAsia="宋体" w:cs="Times New Roman"/>
                <w:sz w:val="20"/>
                <w:szCs w:val="21"/>
                <w:lang w:val="zh-CN"/>
              </w:rPr>
              <w:t>年1月1日以后所签合同），每提供一个业绩得</w:t>
            </w:r>
            <w:r>
              <w:rPr>
                <w:rFonts w:hint="eastAsia" w:hAnsi="Times New Roman" w:cs="Times New Roman"/>
                <w:sz w:val="20"/>
                <w:szCs w:val="21"/>
                <w:lang w:val="en-US" w:eastAsia="zh-CN"/>
              </w:rPr>
              <w:t>3</w:t>
            </w:r>
            <w:r>
              <w:rPr>
                <w:rFonts w:hint="eastAsia" w:ascii="宋体" w:hAnsi="Times New Roman" w:eastAsia="宋体" w:cs="Times New Roman"/>
                <w:sz w:val="20"/>
                <w:szCs w:val="21"/>
                <w:lang w:val="zh-CN"/>
              </w:rPr>
              <w:t>分，此项最高得</w:t>
            </w:r>
            <w:r>
              <w:rPr>
                <w:rFonts w:hint="eastAsia" w:hAnsi="Times New Roman" w:cs="Times New Roman"/>
                <w:sz w:val="20"/>
                <w:szCs w:val="21"/>
                <w:lang w:val="en-US" w:eastAsia="zh-CN"/>
              </w:rPr>
              <w:t>12</w:t>
            </w:r>
            <w:r>
              <w:rPr>
                <w:rFonts w:hint="eastAsia" w:ascii="宋体" w:hAnsi="Times New Roman" w:eastAsia="宋体" w:cs="Times New Roman"/>
                <w:sz w:val="20"/>
                <w:szCs w:val="21"/>
                <w:lang w:val="zh-CN"/>
              </w:rPr>
              <w:t>分。</w:t>
            </w:r>
          </w:p>
          <w:p w14:paraId="361755E8">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sz w:val="20"/>
                <w:szCs w:val="20"/>
                <w:highlight w:val="yellow"/>
              </w:rPr>
            </w:pPr>
            <w:r>
              <w:rPr>
                <w:rFonts w:hint="eastAsia" w:ascii="宋体" w:eastAsia="宋体"/>
                <w:b/>
                <w:bCs/>
                <w:sz w:val="20"/>
                <w:szCs w:val="21"/>
                <w:lang w:val="zh-CN"/>
              </w:rPr>
              <w:t>注：</w:t>
            </w:r>
            <w:r>
              <w:rPr>
                <w:rFonts w:hint="eastAsia" w:ascii="Times New Roman" w:hAnsi="Times New Roman" w:eastAsia="宋体" w:cs="Times New Roman"/>
                <w:b/>
                <w:bCs/>
                <w:sz w:val="20"/>
                <w:szCs w:val="21"/>
                <w:lang w:val="zh-CN"/>
              </w:rPr>
              <w:t>须提供合同原件，扫描上传，同一份合同只能得一次分，分包、转包合同不得分，未按要求提供不得分</w:t>
            </w:r>
            <w:r>
              <w:rPr>
                <w:rFonts w:ascii="宋体" w:hAnsi="宋体" w:cs="宋体"/>
                <w:b/>
              </w:rPr>
              <w:t>。</w:t>
            </w:r>
          </w:p>
        </w:tc>
      </w:tr>
      <w:tr w14:paraId="6178D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1" w:hRule="atLeast"/>
          <w:jc w:val="center"/>
        </w:trPr>
        <w:tc>
          <w:tcPr>
            <w:tcW w:w="1430" w:type="dxa"/>
            <w:tcBorders>
              <w:top w:val="single" w:color="auto" w:sz="4" w:space="0"/>
              <w:left w:val="single" w:color="auto" w:sz="4" w:space="0"/>
              <w:right w:val="single" w:color="auto" w:sz="4" w:space="0"/>
            </w:tcBorders>
            <w:vAlign w:val="center"/>
          </w:tcPr>
          <w:p w14:paraId="28F235C5">
            <w:pPr>
              <w:jc w:val="center"/>
              <w:rPr>
                <w:rFonts w:hint="eastAsia" w:ascii="宋体" w:hAnsi="宋体" w:eastAsia="宋体" w:cs="宋体"/>
                <w:sz w:val="20"/>
                <w:szCs w:val="21"/>
              </w:rPr>
            </w:pPr>
            <w:r>
              <w:rPr>
                <w:rFonts w:hint="eastAsia" w:ascii="宋体" w:hAnsi="宋体" w:eastAsia="宋体" w:cs="宋体"/>
                <w:sz w:val="20"/>
                <w:szCs w:val="21"/>
              </w:rPr>
              <w:t>本地化驻场服务承诺</w:t>
            </w:r>
          </w:p>
          <w:p w14:paraId="42479840">
            <w:pPr>
              <w:jc w:val="center"/>
              <w:rPr>
                <w:rFonts w:hint="eastAsia" w:ascii="宋体" w:hAnsi="宋体" w:eastAsia="宋体" w:cs="宋体"/>
                <w:sz w:val="20"/>
                <w:szCs w:val="21"/>
              </w:rPr>
            </w:pPr>
            <w:r>
              <w:rPr>
                <w:rFonts w:hint="eastAsia" w:ascii="宋体" w:hAnsi="宋体" w:eastAsia="宋体" w:cs="宋体"/>
                <w:sz w:val="20"/>
                <w:szCs w:val="21"/>
              </w:rPr>
              <w:t>（</w:t>
            </w:r>
            <w:r>
              <w:rPr>
                <w:rFonts w:hint="eastAsia" w:ascii="宋体" w:hAnsi="宋体" w:cs="宋体"/>
                <w:sz w:val="20"/>
                <w:szCs w:val="21"/>
                <w:lang w:val="en-US" w:eastAsia="zh-CN"/>
              </w:rPr>
              <w:t>4</w:t>
            </w:r>
            <w:r>
              <w:rPr>
                <w:rFonts w:hint="eastAsia" w:ascii="宋体" w:hAnsi="宋体" w:eastAsia="宋体" w:cs="宋体"/>
                <w:sz w:val="20"/>
                <w:szCs w:val="21"/>
              </w:rPr>
              <w:t>分）</w:t>
            </w:r>
          </w:p>
        </w:tc>
        <w:tc>
          <w:tcPr>
            <w:tcW w:w="8017" w:type="dxa"/>
            <w:tcBorders>
              <w:top w:val="single" w:color="auto" w:sz="4" w:space="0"/>
              <w:left w:val="single" w:color="auto" w:sz="4" w:space="0"/>
              <w:bottom w:val="single" w:color="auto" w:sz="4" w:space="0"/>
              <w:right w:val="single" w:color="auto" w:sz="4" w:space="0"/>
            </w:tcBorders>
            <w:vAlign w:val="top"/>
          </w:tcPr>
          <w:p w14:paraId="49015468">
            <w:pPr>
              <w:keepNext w:val="0"/>
              <w:keepLines w:val="0"/>
              <w:pageBreakBefore w:val="0"/>
              <w:widowControl w:val="0"/>
              <w:kinsoku/>
              <w:wordWrap/>
              <w:overflowPunct/>
              <w:topLinePunct w:val="0"/>
              <w:autoSpaceDE/>
              <w:autoSpaceDN/>
              <w:bidi w:val="0"/>
              <w:adjustRightInd/>
              <w:snapToGrid/>
              <w:ind w:firstLine="0"/>
              <w:jc w:val="left"/>
              <w:textAlignment w:val="auto"/>
              <w:rPr>
                <w:rFonts w:hint="eastAsia"/>
                <w:sz w:val="20"/>
                <w:szCs w:val="21"/>
                <w:lang w:val="zh-CN"/>
              </w:rPr>
            </w:pPr>
            <w:r>
              <w:rPr>
                <w:rFonts w:hint="eastAsia"/>
                <w:sz w:val="20"/>
                <w:szCs w:val="21"/>
                <w:lang w:val="en-US" w:eastAsia="zh-CN"/>
              </w:rPr>
              <w:t>供应商</w:t>
            </w:r>
            <w:r>
              <w:rPr>
                <w:rFonts w:hint="eastAsia"/>
                <w:sz w:val="20"/>
                <w:szCs w:val="21"/>
                <w:lang w:val="zh-CN"/>
              </w:rPr>
              <w:t>在镇区范围内设立固定的办公场所、固定的驻场服务人员、固定的设备（</w:t>
            </w:r>
            <w:r>
              <w:rPr>
                <w:rFonts w:hint="eastAsia"/>
                <w:sz w:val="20"/>
                <w:szCs w:val="21"/>
                <w:lang w:val="en-US" w:eastAsia="zh-CN"/>
              </w:rPr>
              <w:t>含</w:t>
            </w:r>
            <w:r>
              <w:rPr>
                <w:rFonts w:hint="eastAsia"/>
                <w:sz w:val="20"/>
                <w:szCs w:val="21"/>
                <w:lang w:val="zh-CN"/>
              </w:rPr>
              <w:t>办公设备、清运设备等）专门服务本项目保障现场快速响应、及时处置投诉、应急抢险、日常管控等工作</w:t>
            </w:r>
            <w:r>
              <w:rPr>
                <w:rFonts w:hint="eastAsia"/>
                <w:sz w:val="20"/>
                <w:szCs w:val="21"/>
                <w:lang w:val="en-US" w:eastAsia="zh-CN"/>
              </w:rPr>
              <w:t>等。</w:t>
            </w:r>
          </w:p>
          <w:p w14:paraId="221F3B93">
            <w:pPr>
              <w:keepNext w:val="0"/>
              <w:keepLines w:val="0"/>
              <w:pageBreakBefore w:val="0"/>
              <w:widowControl w:val="0"/>
              <w:kinsoku/>
              <w:wordWrap/>
              <w:overflowPunct/>
              <w:topLinePunct w:val="0"/>
              <w:autoSpaceDE/>
              <w:autoSpaceDN/>
              <w:bidi w:val="0"/>
              <w:adjustRightInd/>
              <w:snapToGrid/>
              <w:ind w:firstLine="0"/>
              <w:jc w:val="left"/>
              <w:textAlignment w:val="auto"/>
              <w:rPr>
                <w:rFonts w:hint="eastAsia"/>
                <w:sz w:val="20"/>
                <w:szCs w:val="21"/>
                <w:lang w:val="zh-CN"/>
              </w:rPr>
            </w:pPr>
            <w:r>
              <w:rPr>
                <w:rFonts w:hint="eastAsia"/>
                <w:sz w:val="20"/>
                <w:szCs w:val="21"/>
                <w:lang w:val="zh-CN"/>
              </w:rPr>
              <w:t>投标供应商必须对此作出承诺并提供《项目服务承诺函》（格式自拟）</w:t>
            </w:r>
            <w:r>
              <w:rPr>
                <w:rFonts w:hint="eastAsia"/>
                <w:sz w:val="20"/>
                <w:szCs w:val="21"/>
                <w:lang w:val="en-US" w:eastAsia="zh-CN"/>
              </w:rPr>
              <w:t>的得4分</w:t>
            </w:r>
            <w:r>
              <w:rPr>
                <w:rFonts w:hint="eastAsia"/>
                <w:sz w:val="20"/>
                <w:szCs w:val="21"/>
                <w:lang w:val="zh-CN"/>
              </w:rPr>
              <w:t>，未提供本项承诺不得分。</w:t>
            </w:r>
          </w:p>
          <w:p w14:paraId="2B4BF662">
            <w:pPr>
              <w:keepNext w:val="0"/>
              <w:keepLines w:val="0"/>
              <w:pageBreakBefore w:val="0"/>
              <w:widowControl w:val="0"/>
              <w:kinsoku/>
              <w:wordWrap/>
              <w:overflowPunct/>
              <w:topLinePunct w:val="0"/>
              <w:autoSpaceDE/>
              <w:autoSpaceDN/>
              <w:bidi w:val="0"/>
              <w:adjustRightInd/>
              <w:snapToGrid/>
              <w:ind w:firstLine="0"/>
              <w:jc w:val="left"/>
              <w:textAlignment w:val="auto"/>
              <w:rPr>
                <w:rFonts w:hint="eastAsia" w:ascii="宋体" w:hAnsi="宋体" w:eastAsia="宋体" w:cs="宋体"/>
                <w:sz w:val="21"/>
                <w:szCs w:val="21"/>
              </w:rPr>
            </w:pPr>
            <w:r>
              <w:rPr>
                <w:rFonts w:hint="eastAsia" w:ascii="Times New Roman" w:hAnsi="Times New Roman" w:eastAsia="宋体" w:cs="Times New Roman"/>
                <w:b/>
                <w:bCs/>
                <w:sz w:val="20"/>
                <w:szCs w:val="21"/>
                <w:lang w:val="en-US" w:eastAsia="zh-CN"/>
              </w:rPr>
              <w:t>注：</w:t>
            </w:r>
            <w:r>
              <w:rPr>
                <w:rFonts w:hint="eastAsia" w:ascii="Times New Roman" w:hAnsi="Times New Roman" w:eastAsia="宋体" w:cs="Times New Roman"/>
                <w:b/>
                <w:bCs/>
                <w:sz w:val="20"/>
                <w:szCs w:val="21"/>
                <w:lang w:val="zh-CN"/>
              </w:rPr>
              <w:t>如投标人虚假承诺谋取中标成交的，将被列入不良行为记录名单。</w:t>
            </w:r>
          </w:p>
        </w:tc>
      </w:tr>
    </w:tbl>
    <w:p w14:paraId="701D7FD8">
      <w:pPr>
        <w:pageBreakBefore w:val="0"/>
        <w:spacing w:line="360" w:lineRule="auto"/>
        <w:ind w:firstLine="211" w:firstLineChars="1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四、评审委员会启动异常低价投标（响应）审查的情形和具体要求，包括：</w:t>
      </w:r>
    </w:p>
    <w:p w14:paraId="76836C9B">
      <w:pPr>
        <w:pageBreakBefore w:val="0"/>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一</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评标过程中出现下列情形之一的，评标委员会应当启动异常低价投标审查程序：</w:t>
      </w:r>
    </w:p>
    <w:p w14:paraId="7753F57C">
      <w:pPr>
        <w:pageBreakBefore w:val="0"/>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1.投标（响应）报价低于全部通过符合性审查供应商投标（响应）报价平均值50%的，即投标（响应）报价</w:t>
      </w:r>
      <w:r>
        <w:rPr>
          <w:rFonts w:hint="eastAsia" w:ascii="宋体" w:hAnsi="宋体" w:cs="宋体"/>
          <w:bCs/>
          <w:color w:val="auto"/>
          <w:sz w:val="21"/>
          <w:szCs w:val="21"/>
          <w:highlight w:val="none"/>
          <w:lang w:eastAsia="zh-CN"/>
        </w:rPr>
        <w:t>〈</w:t>
      </w:r>
      <w:r>
        <w:rPr>
          <w:rFonts w:hint="eastAsia" w:ascii="宋体" w:hAnsi="宋体" w:eastAsia="宋体" w:cs="宋体"/>
          <w:bCs/>
          <w:color w:val="auto"/>
          <w:sz w:val="21"/>
          <w:szCs w:val="21"/>
          <w:highlight w:val="none"/>
        </w:rPr>
        <w:t xml:space="preserve">全部通过符合性审查供应商投标（响应）报价平均值×50%； </w:t>
      </w:r>
    </w:p>
    <w:p w14:paraId="1C6FCE09">
      <w:pPr>
        <w:pageBreakBefore w:val="0"/>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2.投标（响应）报价低于通过符合性审查的次低报价供应商投标（响应）报价50%的，即投标（响应）报价</w:t>
      </w:r>
      <w:r>
        <w:rPr>
          <w:rFonts w:hint="eastAsia" w:ascii="宋体" w:hAnsi="宋体" w:cs="宋体"/>
          <w:bCs/>
          <w:color w:val="auto"/>
          <w:sz w:val="21"/>
          <w:szCs w:val="21"/>
          <w:highlight w:val="none"/>
          <w:lang w:eastAsia="zh-CN"/>
        </w:rPr>
        <w:t>〈</w:t>
      </w:r>
      <w:r>
        <w:rPr>
          <w:rFonts w:hint="eastAsia" w:ascii="宋体" w:hAnsi="宋体" w:eastAsia="宋体" w:cs="宋体"/>
          <w:bCs/>
          <w:color w:val="auto"/>
          <w:sz w:val="21"/>
          <w:szCs w:val="21"/>
          <w:highlight w:val="none"/>
        </w:rPr>
        <w:t xml:space="preserve">通过符合性审查的次低报价供应商投标（响应）报价×50%； </w:t>
      </w:r>
    </w:p>
    <w:p w14:paraId="03C392B7">
      <w:pPr>
        <w:pageBreakBefore w:val="0"/>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3.投标（响应）报价低于采购项目最高限价45%的，即投标（响应）报价</w:t>
      </w:r>
      <w:r>
        <w:rPr>
          <w:rFonts w:hint="eastAsia" w:ascii="宋体" w:hAnsi="宋体" w:cs="宋体"/>
          <w:bCs/>
          <w:color w:val="auto"/>
          <w:sz w:val="21"/>
          <w:szCs w:val="21"/>
          <w:highlight w:val="none"/>
          <w:lang w:eastAsia="zh-CN"/>
        </w:rPr>
        <w:t>〈</w:t>
      </w:r>
      <w:r>
        <w:rPr>
          <w:rFonts w:hint="eastAsia" w:ascii="宋体" w:hAnsi="宋体" w:eastAsia="宋体" w:cs="宋体"/>
          <w:bCs/>
          <w:color w:val="auto"/>
          <w:sz w:val="21"/>
          <w:szCs w:val="21"/>
          <w:highlight w:val="none"/>
        </w:rPr>
        <w:t xml:space="preserve">采购项目最高限价×45%； </w:t>
      </w:r>
    </w:p>
    <w:p w14:paraId="36890C8E">
      <w:pPr>
        <w:pageBreakBefore w:val="0"/>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4.评审委员会基于专业判断，认为供应商报价过低，有可能影响产品质量或者不能诚信履约的其他情形。 </w:t>
      </w:r>
    </w:p>
    <w:p w14:paraId="44A648F0">
      <w:pPr>
        <w:pageBreakBefore w:val="0"/>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采购人可以结合具体项目实际情况，提高上述第1项至第3项中启动异常低价投标（响应）审查的数值标准，但是最高不得超过65%。</w:t>
      </w:r>
    </w:p>
    <w:p w14:paraId="7B2AB1BE">
      <w:pPr>
        <w:pageBreakBefore w:val="0"/>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二</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2BC4142D">
      <w:pPr>
        <w:pageBreakBefore w:val="0"/>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三</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02742E54">
      <w:pPr>
        <w:pageBreakBefore w:val="0"/>
        <w:spacing w:line="360" w:lineRule="auto"/>
        <w:ind w:firstLine="420"/>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四</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异常低价投标（响应）审查的启动原因、审查意见和审查结果应当在评审报告中记录，并随供应商提供的相关书面说明及证明材料，以及评审委员会有关互联网浏览、查询历史一并归档。</w:t>
      </w:r>
    </w:p>
    <w:p w14:paraId="6BC50A39">
      <w:pPr>
        <w:pageBreakBefore w:val="0"/>
        <w:spacing w:line="360" w:lineRule="auto"/>
        <w:rPr>
          <w:rFonts w:hint="eastAsia" w:ascii="宋体" w:hAnsi="宋体" w:eastAsia="宋体" w:cs="宋体"/>
          <w:b/>
          <w:color w:val="auto"/>
          <w:sz w:val="21"/>
          <w:szCs w:val="21"/>
          <w:highlight w:val="none"/>
        </w:rPr>
      </w:pPr>
    </w:p>
    <w:p w14:paraId="6F0C3C43">
      <w:pPr>
        <w:pStyle w:val="2"/>
        <w:pageBreakBefore w:val="0"/>
        <w:spacing w:before="0" w:after="0" w:line="360" w:lineRule="auto"/>
        <w:jc w:val="center"/>
        <w:rPr>
          <w:rFonts w:hint="eastAsia" w:ascii="宋体" w:hAnsi="宋体" w:eastAsia="宋体" w:cs="宋体"/>
          <w:color w:val="auto"/>
          <w:sz w:val="21"/>
          <w:szCs w:val="21"/>
          <w:highlight w:val="none"/>
        </w:rPr>
        <w:sectPr>
          <w:pgSz w:w="11906" w:h="16838"/>
          <w:pgMar w:top="1304" w:right="1304" w:bottom="1134" w:left="1304" w:header="851" w:footer="992" w:gutter="0"/>
          <w:cols w:space="720" w:num="1"/>
          <w:docGrid w:linePitch="360" w:charSpace="0"/>
        </w:sectPr>
      </w:pPr>
      <w:bookmarkStart w:id="59" w:name="_Toc9838"/>
      <w:bookmarkEnd w:id="59"/>
    </w:p>
    <w:p w14:paraId="664B3CB3">
      <w:pPr>
        <w:rPr>
          <w:rFonts w:hint="eastAsia" w:ascii="宋体" w:hAnsi="宋体"/>
          <w:color w:val="000000" w:themeColor="text1"/>
          <w:sz w:val="36"/>
          <w:highlight w:val="none"/>
          <w14:textFill>
            <w14:solidFill>
              <w14:schemeClr w14:val="tx1"/>
            </w14:solidFill>
          </w14:textFill>
        </w:rPr>
      </w:pPr>
    </w:p>
    <w:p w14:paraId="3EDDC85F">
      <w:pPr>
        <w:pStyle w:val="2"/>
        <w:jc w:val="center"/>
        <w:rPr>
          <w:rFonts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t>第六章 投标文件格式</w:t>
      </w:r>
    </w:p>
    <w:p w14:paraId="7D854027">
      <w:pPr>
        <w:jc w:val="center"/>
        <w:rPr>
          <w:rFonts w:ascii="宋体" w:hAnsi="宋体"/>
          <w:b/>
          <w:color w:val="000000" w:themeColor="text1"/>
          <w:sz w:val="36"/>
          <w:highlight w:val="none"/>
          <w14:textFill>
            <w14:solidFill>
              <w14:schemeClr w14:val="tx1"/>
            </w14:solidFill>
          </w14:textFill>
        </w:rPr>
      </w:pPr>
    </w:p>
    <w:p w14:paraId="3A77E697">
      <w:pPr>
        <w:jc w:val="center"/>
        <w:rPr>
          <w:rFonts w:ascii="宋体" w:hAnsi="宋体"/>
          <w:b/>
          <w:color w:val="000000" w:themeColor="text1"/>
          <w:szCs w:val="21"/>
          <w:highlight w:val="none"/>
          <w14:textFill>
            <w14:solidFill>
              <w14:schemeClr w14:val="tx1"/>
            </w14:solidFill>
          </w14:textFill>
        </w:rPr>
      </w:pPr>
    </w:p>
    <w:p w14:paraId="7E96A44A">
      <w:pPr>
        <w:jc w:val="center"/>
        <w:rPr>
          <w:rFonts w:ascii="宋体" w:hAnsi="宋体"/>
          <w:b/>
          <w:color w:val="000000" w:themeColor="text1"/>
          <w:sz w:val="22"/>
          <w:szCs w:val="21"/>
          <w:highlight w:val="none"/>
          <w14:textFill>
            <w14:solidFill>
              <w14:schemeClr w14:val="tx1"/>
            </w14:solidFill>
          </w14:textFill>
        </w:rPr>
      </w:pPr>
    </w:p>
    <w:p w14:paraId="54FC4B06">
      <w:pPr>
        <w:jc w:val="center"/>
        <w:rPr>
          <w:rFonts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t>投  标  文  件</w:t>
      </w:r>
    </w:p>
    <w:p w14:paraId="79EA3035">
      <w:pPr>
        <w:jc w:val="center"/>
        <w:rPr>
          <w:rFonts w:ascii="宋体" w:hAnsi="宋体"/>
          <w:b/>
          <w:color w:val="000000" w:themeColor="text1"/>
          <w:sz w:val="72"/>
          <w:highlight w:val="none"/>
          <w14:textFill>
            <w14:solidFill>
              <w14:schemeClr w14:val="tx1"/>
            </w14:solidFill>
          </w14:textFill>
        </w:rPr>
      </w:pPr>
    </w:p>
    <w:p w14:paraId="6C7871FD">
      <w:pPr>
        <w:jc w:val="center"/>
        <w:rPr>
          <w:rFonts w:ascii="宋体" w:hAnsi="宋体"/>
          <w:b/>
          <w:color w:val="000000" w:themeColor="text1"/>
          <w:sz w:val="72"/>
          <w:highlight w:val="none"/>
          <w14:textFill>
            <w14:solidFill>
              <w14:schemeClr w14:val="tx1"/>
            </w14:solidFill>
          </w14:textFill>
        </w:rPr>
      </w:pPr>
    </w:p>
    <w:p w14:paraId="79575E14">
      <w:pPr>
        <w:jc w:val="center"/>
        <w:rPr>
          <w:rFonts w:ascii="宋体" w:hAnsi="宋体"/>
          <w:b/>
          <w:color w:val="000000" w:themeColor="text1"/>
          <w:sz w:val="36"/>
          <w:highlight w:val="none"/>
          <w14:textFill>
            <w14:solidFill>
              <w14:schemeClr w14:val="tx1"/>
            </w14:solidFill>
          </w14:textFill>
        </w:rPr>
      </w:pPr>
    </w:p>
    <w:p w14:paraId="0FED3C69">
      <w:pPr>
        <w:jc w:val="center"/>
        <w:rPr>
          <w:rFonts w:ascii="宋体" w:hAnsi="宋体"/>
          <w:b/>
          <w:color w:val="000000" w:themeColor="text1"/>
          <w:sz w:val="36"/>
          <w:highlight w:val="none"/>
          <w14:textFill>
            <w14:solidFill>
              <w14:schemeClr w14:val="tx1"/>
            </w14:solidFill>
          </w14:textFill>
        </w:rPr>
      </w:pPr>
    </w:p>
    <w:p w14:paraId="74470786">
      <w:pPr>
        <w:jc w:val="center"/>
        <w:rPr>
          <w:rFonts w:ascii="宋体" w:hAnsi="宋体"/>
          <w:b/>
          <w:color w:val="000000" w:themeColor="text1"/>
          <w:sz w:val="36"/>
          <w:highlight w:val="none"/>
          <w14:textFill>
            <w14:solidFill>
              <w14:schemeClr w14:val="tx1"/>
            </w14:solidFill>
          </w14:textFill>
        </w:rPr>
      </w:pPr>
    </w:p>
    <w:p w14:paraId="55CAEAB9">
      <w:pPr>
        <w:ind w:firstLine="1265"/>
        <w:rPr>
          <w:b/>
          <w:color w:val="000000" w:themeColor="text1"/>
          <w:sz w:val="36"/>
          <w:highlight w:val="none"/>
          <w14:textFill>
            <w14:solidFill>
              <w14:schemeClr w14:val="tx1"/>
            </w14:solidFill>
          </w14:textFill>
        </w:rPr>
      </w:pPr>
      <w:r>
        <w:rPr>
          <w:rFonts w:hint="eastAsia"/>
          <w:b/>
          <w:color w:val="000000" w:themeColor="text1"/>
          <w:sz w:val="36"/>
          <w:highlight w:val="none"/>
          <w14:textFill>
            <w14:solidFill>
              <w14:schemeClr w14:val="tx1"/>
            </w14:solidFill>
          </w14:textFill>
        </w:rPr>
        <w:t>项 目 名 称：</w:t>
      </w:r>
      <w:r>
        <w:rPr>
          <w:rFonts w:hint="eastAsia"/>
          <w:b/>
          <w:color w:val="000000" w:themeColor="text1"/>
          <w:sz w:val="36"/>
          <w:highlight w:val="none"/>
          <w:u w:val="single"/>
          <w14:textFill>
            <w14:solidFill>
              <w14:schemeClr w14:val="tx1"/>
            </w14:solidFill>
          </w14:textFill>
        </w:rPr>
        <w:t xml:space="preserve">               </w:t>
      </w:r>
    </w:p>
    <w:p w14:paraId="32C70D7E">
      <w:pPr>
        <w:ind w:firstLine="1265"/>
        <w:rPr>
          <w:b/>
          <w:color w:val="000000" w:themeColor="text1"/>
          <w:sz w:val="36"/>
          <w:highlight w:val="none"/>
          <w:u w:val="single"/>
          <w14:textFill>
            <w14:solidFill>
              <w14:schemeClr w14:val="tx1"/>
            </w14:solidFill>
          </w14:textFill>
        </w:rPr>
      </w:pPr>
      <w:r>
        <w:rPr>
          <w:rFonts w:hint="eastAsia"/>
          <w:b/>
          <w:color w:val="000000" w:themeColor="text1"/>
          <w:sz w:val="36"/>
          <w:highlight w:val="none"/>
          <w14:textFill>
            <w14:solidFill>
              <w14:schemeClr w14:val="tx1"/>
            </w14:solidFill>
          </w14:textFill>
        </w:rPr>
        <w:t>项 目 编 号：</w:t>
      </w:r>
      <w:r>
        <w:rPr>
          <w:rFonts w:hint="eastAsia"/>
          <w:b/>
          <w:color w:val="000000" w:themeColor="text1"/>
          <w:sz w:val="36"/>
          <w:highlight w:val="none"/>
          <w:u w:val="single"/>
          <w14:textFill>
            <w14:solidFill>
              <w14:schemeClr w14:val="tx1"/>
            </w14:solidFill>
          </w14:textFill>
        </w:rPr>
        <w:t xml:space="preserve">               </w:t>
      </w:r>
    </w:p>
    <w:p w14:paraId="19F69FC9">
      <w:pPr>
        <w:ind w:firstLine="181"/>
        <w:rPr>
          <w:b/>
          <w:color w:val="000000" w:themeColor="text1"/>
          <w:sz w:val="36"/>
          <w:highlight w:val="none"/>
          <w:u w:val="single"/>
          <w14:textFill>
            <w14:solidFill>
              <w14:schemeClr w14:val="tx1"/>
            </w14:solidFill>
          </w14:textFill>
        </w:rPr>
      </w:pPr>
      <w:r>
        <w:rPr>
          <w:rFonts w:hint="eastAsia"/>
          <w:b/>
          <w:color w:val="000000" w:themeColor="text1"/>
          <w:sz w:val="36"/>
          <w:highlight w:val="none"/>
          <w14:textFill>
            <w14:solidFill>
              <w14:schemeClr w14:val="tx1"/>
            </w14:solidFill>
          </w14:textFill>
        </w:rPr>
        <w:t xml:space="preserve">      投标人名称 ：</w:t>
      </w:r>
      <w:r>
        <w:rPr>
          <w:rFonts w:hint="eastAsia"/>
          <w:b/>
          <w:color w:val="000000" w:themeColor="text1"/>
          <w:sz w:val="36"/>
          <w:highlight w:val="none"/>
          <w:u w:val="single"/>
          <w14:textFill>
            <w14:solidFill>
              <w14:schemeClr w14:val="tx1"/>
            </w14:solidFill>
          </w14:textFill>
        </w:rPr>
        <w:t>（加盖CA电子公章）</w:t>
      </w:r>
    </w:p>
    <w:p w14:paraId="68DA2D6B">
      <w:pPr>
        <w:rPr>
          <w:rFonts w:ascii="宋体" w:hAnsi="宋体"/>
          <w:b/>
          <w:color w:val="000000" w:themeColor="text1"/>
          <w:sz w:val="36"/>
          <w:highlight w:val="none"/>
          <w14:textFill>
            <w14:solidFill>
              <w14:schemeClr w14:val="tx1"/>
            </w14:solidFill>
          </w14:textFill>
        </w:rPr>
      </w:pPr>
      <w:r>
        <w:rPr>
          <w:rFonts w:hint="eastAsia"/>
          <w:b/>
          <w:color w:val="000000" w:themeColor="text1"/>
          <w:sz w:val="36"/>
          <w:highlight w:val="none"/>
          <w14:textFill>
            <w14:solidFill>
              <w14:schemeClr w14:val="tx1"/>
            </w14:solidFill>
          </w14:textFill>
        </w:rPr>
        <w:t xml:space="preserve">      </w:t>
      </w:r>
      <w:r>
        <w:rPr>
          <w:rFonts w:hint="eastAsia"/>
          <w:b/>
          <w:color w:val="000000" w:themeColor="text1"/>
          <w:sz w:val="36"/>
          <w:highlight w:val="none"/>
          <w:lang w:val="en-US" w:eastAsia="zh-CN"/>
          <w14:textFill>
            <w14:solidFill>
              <w14:schemeClr w14:val="tx1"/>
            </w14:solidFill>
          </w14:textFill>
        </w:rPr>
        <w:t xml:space="preserve"> </w:t>
      </w:r>
      <w:r>
        <w:rPr>
          <w:rFonts w:hint="eastAsia"/>
          <w:b/>
          <w:color w:val="000000" w:themeColor="text1"/>
          <w:sz w:val="36"/>
          <w:highlight w:val="none"/>
          <w14:textFill>
            <w14:solidFill>
              <w14:schemeClr w14:val="tx1"/>
            </w14:solidFill>
          </w14:textFill>
        </w:rPr>
        <w:t>日      期 ：</w:t>
      </w:r>
      <w:r>
        <w:rPr>
          <w:rFonts w:hint="eastAsia"/>
          <w:b/>
          <w:color w:val="000000" w:themeColor="text1"/>
          <w:sz w:val="36"/>
          <w:highlight w:val="none"/>
          <w:u w:val="single"/>
          <w14:textFill>
            <w14:solidFill>
              <w14:schemeClr w14:val="tx1"/>
            </w14:solidFill>
          </w14:textFill>
        </w:rPr>
        <w:t xml:space="preserve">               </w:t>
      </w:r>
    </w:p>
    <w:p w14:paraId="2236EEAC">
      <w:pPr>
        <w:spacing w:line="440" w:lineRule="exact"/>
        <w:jc w:val="center"/>
        <w:rPr>
          <w:rFonts w:ascii="宋体" w:hAnsi="宋体"/>
          <w:b/>
          <w:bCs/>
          <w:color w:val="000000" w:themeColor="text1"/>
          <w:sz w:val="32"/>
          <w:szCs w:val="32"/>
          <w:highlight w:val="none"/>
          <w14:textFill>
            <w14:solidFill>
              <w14:schemeClr w14:val="tx1"/>
            </w14:solidFill>
          </w14:textFill>
        </w:rPr>
      </w:pPr>
    </w:p>
    <w:p w14:paraId="6F038B3E">
      <w:pPr>
        <w:spacing w:line="440" w:lineRule="exact"/>
        <w:ind w:firstLine="480"/>
        <w:rPr>
          <w:rFonts w:ascii="宋体" w:hAnsi="宋体"/>
          <w:color w:val="000000" w:themeColor="text1"/>
          <w:sz w:val="24"/>
          <w:highlight w:val="none"/>
          <w14:textFill>
            <w14:solidFill>
              <w14:schemeClr w14:val="tx1"/>
            </w14:solidFill>
          </w14:textFill>
        </w:rPr>
      </w:pPr>
    </w:p>
    <w:p w14:paraId="5092CC7D">
      <w:pPr>
        <w:spacing w:line="440" w:lineRule="exact"/>
        <w:ind w:firstLine="480"/>
        <w:rPr>
          <w:rFonts w:ascii="宋体" w:hAnsi="宋体"/>
          <w:color w:val="000000" w:themeColor="text1"/>
          <w:sz w:val="24"/>
          <w:highlight w:val="none"/>
          <w14:textFill>
            <w14:solidFill>
              <w14:schemeClr w14:val="tx1"/>
            </w14:solidFill>
          </w14:textFill>
        </w:rPr>
      </w:pPr>
    </w:p>
    <w:p w14:paraId="0BB1385C">
      <w:pPr>
        <w:jc w:val="center"/>
        <w:rPr>
          <w:b/>
          <w:bCs/>
          <w:color w:val="000000" w:themeColor="text1"/>
          <w:sz w:val="32"/>
          <w:szCs w:val="32"/>
          <w:highlight w:val="none"/>
          <w:shd w:val="clear" w:color="auto" w:fill="FFFFFF"/>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p>
    <w:p w14:paraId="0DC43B47">
      <w:pPr>
        <w:jc w:val="center"/>
        <w:rPr>
          <w:rFonts w:ascii="宋体" w:hAnsi="宋体"/>
          <w:b/>
          <w:color w:val="000000" w:themeColor="text1"/>
          <w:szCs w:val="21"/>
          <w:highlight w:val="none"/>
          <w14:textFill>
            <w14:solidFill>
              <w14:schemeClr w14:val="tx1"/>
            </w14:solidFill>
          </w14:textFill>
        </w:rPr>
      </w:pPr>
      <w:r>
        <w:rPr>
          <w:rFonts w:hint="eastAsia"/>
          <w:b/>
          <w:bCs/>
          <w:color w:val="000000" w:themeColor="text1"/>
          <w:sz w:val="32"/>
          <w:szCs w:val="32"/>
          <w:highlight w:val="none"/>
          <w:shd w:val="clear" w:color="auto" w:fill="FFFFFF"/>
          <w14:textFill>
            <w14:solidFill>
              <w14:schemeClr w14:val="tx1"/>
            </w14:solidFill>
          </w14:textFill>
        </w:rPr>
        <w:t>投标文件目录</w:t>
      </w:r>
    </w:p>
    <w:p w14:paraId="495D550B">
      <w:pPr>
        <w:ind w:firstLine="480"/>
        <w:rPr>
          <w:i/>
          <w:color w:val="000000" w:themeColor="text1"/>
          <w:sz w:val="24"/>
          <w:highlight w:val="none"/>
          <w:u w:val="single"/>
          <w14:textFill>
            <w14:solidFill>
              <w14:schemeClr w14:val="tx1"/>
            </w14:solidFill>
          </w14:textFill>
        </w:rPr>
      </w:pPr>
      <w:r>
        <w:rPr>
          <w:rFonts w:hint="eastAsia"/>
          <w:i/>
          <w:color w:val="000000" w:themeColor="text1"/>
          <w:sz w:val="24"/>
          <w:highlight w:val="none"/>
          <w:u w:val="single"/>
          <w14:textFill>
            <w14:solidFill>
              <w14:schemeClr w14:val="tx1"/>
            </w14:solidFill>
          </w14:textFill>
        </w:rPr>
        <w:t>一、法人或者其他组织的营业执照等证明文件，自然人的身份证明</w:t>
      </w:r>
    </w:p>
    <w:p w14:paraId="473F9C80">
      <w:pPr>
        <w:ind w:firstLine="480"/>
        <w:rPr>
          <w:i/>
          <w:color w:val="000000" w:themeColor="text1"/>
          <w:sz w:val="24"/>
          <w:highlight w:val="none"/>
          <w:u w:val="single"/>
          <w14:textFill>
            <w14:solidFill>
              <w14:schemeClr w14:val="tx1"/>
            </w14:solidFill>
          </w14:textFill>
        </w:rPr>
      </w:pPr>
      <w:r>
        <w:rPr>
          <w:rFonts w:hint="eastAsia"/>
          <w:i/>
          <w:color w:val="000000" w:themeColor="text1"/>
          <w:sz w:val="24"/>
          <w:highlight w:val="none"/>
          <w:u w:val="single"/>
          <w14:textFill>
            <w14:solidFill>
              <w14:schemeClr w14:val="tx1"/>
            </w14:solidFill>
          </w14:textFill>
        </w:rPr>
        <w:t>二、上一年度财务状况报告（投标人成立不满一年无需提供）</w:t>
      </w:r>
    </w:p>
    <w:p w14:paraId="37F4C2D3">
      <w:pPr>
        <w:ind w:firstLine="480"/>
        <w:rPr>
          <w:i/>
          <w:color w:val="000000" w:themeColor="text1"/>
          <w:sz w:val="24"/>
          <w:highlight w:val="none"/>
          <w:u w:val="single"/>
          <w14:textFill>
            <w14:solidFill>
              <w14:schemeClr w14:val="tx1"/>
            </w14:solidFill>
          </w14:textFill>
        </w:rPr>
      </w:pPr>
      <w:r>
        <w:rPr>
          <w:rFonts w:hint="eastAsia"/>
          <w:i/>
          <w:color w:val="000000" w:themeColor="text1"/>
          <w:sz w:val="24"/>
          <w:highlight w:val="none"/>
          <w:u w:val="single"/>
          <w14:textFill>
            <w14:solidFill>
              <w14:schemeClr w14:val="tx1"/>
            </w14:solidFill>
          </w14:textFill>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5CDE8CD1">
      <w:pPr>
        <w:ind w:firstLine="480"/>
        <w:rPr>
          <w:i/>
          <w:color w:val="000000" w:themeColor="text1"/>
          <w:sz w:val="24"/>
          <w:highlight w:val="none"/>
          <w:u w:val="single"/>
          <w14:textFill>
            <w14:solidFill>
              <w14:schemeClr w14:val="tx1"/>
            </w14:solidFill>
          </w14:textFill>
        </w:rPr>
      </w:pPr>
      <w:r>
        <w:rPr>
          <w:rFonts w:hint="eastAsia"/>
          <w:i/>
          <w:color w:val="000000" w:themeColor="text1"/>
          <w:sz w:val="24"/>
          <w:highlight w:val="none"/>
          <w:u w:val="single"/>
          <w14:textFill>
            <w14:solidFill>
              <w14:schemeClr w14:val="tx1"/>
            </w14:solidFill>
          </w14:textFill>
        </w:rPr>
        <w:t>四、具备履行合同所必需的设备和专业技术能力的书面声明</w:t>
      </w:r>
    </w:p>
    <w:p w14:paraId="3D3D9F1A">
      <w:pPr>
        <w:spacing w:line="440" w:lineRule="exact"/>
        <w:ind w:firstLine="480"/>
        <w:rPr>
          <w:i/>
          <w:color w:val="000000" w:themeColor="text1"/>
          <w:sz w:val="24"/>
          <w:highlight w:val="none"/>
          <w:u w:val="single"/>
          <w14:textFill>
            <w14:solidFill>
              <w14:schemeClr w14:val="tx1"/>
            </w14:solidFill>
          </w14:textFill>
        </w:rPr>
      </w:pPr>
      <w:r>
        <w:rPr>
          <w:rFonts w:hint="eastAsia"/>
          <w:i/>
          <w:color w:val="000000" w:themeColor="text1"/>
          <w:sz w:val="24"/>
          <w:highlight w:val="none"/>
          <w:u w:val="single"/>
          <w14:textFill>
            <w14:solidFill>
              <w14:schemeClr w14:val="tx1"/>
            </w14:solidFill>
          </w14:textFill>
        </w:rPr>
        <w:t>五、参加政府采购活动前 3 年内在经营活动中没有重大违法记录的书面声明</w:t>
      </w:r>
    </w:p>
    <w:p w14:paraId="132DC924">
      <w:pPr>
        <w:spacing w:line="440" w:lineRule="exact"/>
        <w:ind w:firstLine="480"/>
        <w:rPr>
          <w:i/>
          <w:color w:val="000000" w:themeColor="text1"/>
          <w:sz w:val="24"/>
          <w:highlight w:val="none"/>
          <w:u w:val="single"/>
          <w14:textFill>
            <w14:solidFill>
              <w14:schemeClr w14:val="tx1"/>
            </w14:solidFill>
          </w14:textFill>
        </w:rPr>
      </w:pPr>
      <w:r>
        <w:rPr>
          <w:rFonts w:hint="eastAsia"/>
          <w:i/>
          <w:color w:val="000000" w:themeColor="text1"/>
          <w:sz w:val="24"/>
          <w:highlight w:val="none"/>
          <w:u w:val="single"/>
          <w14:textFill>
            <w14:solidFill>
              <w14:schemeClr w14:val="tx1"/>
            </w14:solidFill>
          </w14:textFill>
        </w:rPr>
        <w:t>六、供应商信用承诺函</w:t>
      </w:r>
    </w:p>
    <w:p w14:paraId="1C7E7DD5">
      <w:pPr>
        <w:spacing w:line="440" w:lineRule="exact"/>
        <w:ind w:firstLine="480"/>
        <w:rPr>
          <w:i/>
          <w:color w:val="000000" w:themeColor="text1"/>
          <w:sz w:val="24"/>
          <w:highlight w:val="none"/>
          <w:u w:val="single"/>
          <w14:textFill>
            <w14:solidFill>
              <w14:schemeClr w14:val="tx1"/>
            </w14:solidFill>
          </w14:textFill>
        </w:rPr>
      </w:pPr>
      <w:r>
        <w:rPr>
          <w:rFonts w:hint="eastAsia"/>
          <w:i/>
          <w:color w:val="000000" w:themeColor="text1"/>
          <w:sz w:val="24"/>
          <w:highlight w:val="none"/>
          <w:u w:val="single"/>
          <w14:textFill>
            <w14:solidFill>
              <w14:schemeClr w14:val="tx1"/>
            </w14:solidFill>
          </w14:textFill>
        </w:rPr>
        <w:t>七、特定资格要求的证明文件</w:t>
      </w:r>
      <w:r>
        <w:rPr>
          <w:rFonts w:hint="eastAsia"/>
          <w:i w:val="0"/>
          <w:iCs/>
          <w:color w:val="000000" w:themeColor="text1"/>
          <w:sz w:val="24"/>
          <w:highlight w:val="none"/>
          <w:u w:val="none"/>
          <w:lang w:eastAsia="zh-CN"/>
          <w14:textFill>
            <w14:solidFill>
              <w14:schemeClr w14:val="tx1"/>
            </w14:solidFill>
          </w14:textFill>
        </w:rPr>
        <w:t>（</w:t>
      </w:r>
      <w:r>
        <w:rPr>
          <w:rFonts w:hint="eastAsia"/>
          <w:i w:val="0"/>
          <w:iCs/>
          <w:color w:val="000000" w:themeColor="text1"/>
          <w:sz w:val="24"/>
          <w:highlight w:val="none"/>
          <w:u w:val="none"/>
          <w14:textFill>
            <w14:solidFill>
              <w14:schemeClr w14:val="tx1"/>
            </w14:solidFill>
          </w14:textFill>
        </w:rPr>
        <w:t>如果本项目申请人的特定资格要求中要求提供的，必须提供</w:t>
      </w:r>
      <w:r>
        <w:rPr>
          <w:rFonts w:hint="eastAsia"/>
          <w:i w:val="0"/>
          <w:iCs/>
          <w:color w:val="000000" w:themeColor="text1"/>
          <w:sz w:val="24"/>
          <w:highlight w:val="none"/>
          <w:u w:val="none"/>
          <w:lang w:eastAsia="zh-CN"/>
          <w14:textFill>
            <w14:solidFill>
              <w14:schemeClr w14:val="tx1"/>
            </w14:solidFill>
          </w14:textFill>
        </w:rPr>
        <w:t>）</w:t>
      </w:r>
    </w:p>
    <w:p w14:paraId="13D10F04">
      <w:pPr>
        <w:spacing w:line="440" w:lineRule="exact"/>
        <w:ind w:firstLine="480"/>
        <w:rPr>
          <w:i/>
          <w:color w:val="000000" w:themeColor="text1"/>
          <w:sz w:val="24"/>
          <w:highlight w:val="none"/>
          <w:u w:val="single"/>
          <w14:textFill>
            <w14:solidFill>
              <w14:schemeClr w14:val="tx1"/>
            </w14:solidFill>
          </w14:textFill>
        </w:rPr>
      </w:pPr>
      <w:r>
        <w:rPr>
          <w:rFonts w:hint="eastAsia"/>
          <w:i/>
          <w:color w:val="000000" w:themeColor="text1"/>
          <w:sz w:val="24"/>
          <w:highlight w:val="none"/>
          <w:u w:val="single"/>
          <w14:textFill>
            <w14:solidFill>
              <w14:schemeClr w14:val="tx1"/>
            </w14:solidFill>
          </w14:textFill>
        </w:rPr>
        <w:t>八、法人授权书</w:t>
      </w:r>
    </w:p>
    <w:p w14:paraId="30006E9B">
      <w:pPr>
        <w:spacing w:line="440" w:lineRule="exact"/>
        <w:ind w:firstLine="480"/>
        <w:rPr>
          <w:i/>
          <w:color w:val="000000" w:themeColor="text1"/>
          <w:sz w:val="24"/>
          <w:highlight w:val="none"/>
          <w:u w:val="single"/>
          <w14:textFill>
            <w14:solidFill>
              <w14:schemeClr w14:val="tx1"/>
            </w14:solidFill>
          </w14:textFill>
        </w:rPr>
      </w:pPr>
      <w:r>
        <w:rPr>
          <w:rFonts w:hint="eastAsia"/>
          <w:i/>
          <w:color w:val="000000" w:themeColor="text1"/>
          <w:sz w:val="24"/>
          <w:highlight w:val="none"/>
          <w:u w:val="single"/>
          <w14:textFill>
            <w14:solidFill>
              <w14:schemeClr w14:val="tx1"/>
            </w14:solidFill>
          </w14:textFill>
        </w:rPr>
        <w:t>九、投标函</w:t>
      </w:r>
    </w:p>
    <w:p w14:paraId="25413C5E">
      <w:pPr>
        <w:spacing w:line="440" w:lineRule="exact"/>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十、企业报价折扣证明（中小企业声明函、残疾人福利性单位声明函）</w:t>
      </w:r>
    </w:p>
    <w:p w14:paraId="1FD8EC5A">
      <w:pPr>
        <w:spacing w:line="440" w:lineRule="exact"/>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十一、联合体协议</w:t>
      </w:r>
    </w:p>
    <w:p w14:paraId="2554A50D">
      <w:pPr>
        <w:spacing w:line="440" w:lineRule="exact"/>
        <w:ind w:firstLine="480"/>
        <w:rPr>
          <w:iCs/>
          <w:color w:val="000000" w:themeColor="text1"/>
          <w:sz w:val="24"/>
          <w:highlight w:val="none"/>
          <w14:textFill>
            <w14:solidFill>
              <w14:schemeClr w14:val="tx1"/>
            </w14:solidFill>
          </w14:textFill>
        </w:rPr>
      </w:pPr>
      <w:r>
        <w:rPr>
          <w:rFonts w:hint="eastAsia"/>
          <w:iCs/>
          <w:color w:val="000000" w:themeColor="text1"/>
          <w:sz w:val="24"/>
          <w:highlight w:val="none"/>
          <w14:textFill>
            <w14:solidFill>
              <w14:schemeClr w14:val="tx1"/>
            </w14:solidFill>
          </w14:textFill>
        </w:rPr>
        <w:t>十二、投标分项报价表</w:t>
      </w:r>
    </w:p>
    <w:p w14:paraId="0DCF1C02">
      <w:pPr>
        <w:spacing w:line="440" w:lineRule="exact"/>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十三、技术要求响应及偏离表</w:t>
      </w:r>
    </w:p>
    <w:p w14:paraId="3EA39D84">
      <w:pPr>
        <w:spacing w:line="440" w:lineRule="exact"/>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十四、商务要求响应及偏离表</w:t>
      </w:r>
    </w:p>
    <w:p w14:paraId="58F3E508">
      <w:pPr>
        <w:spacing w:line="440" w:lineRule="exact"/>
        <w:ind w:firstLine="480"/>
        <w:rPr>
          <w:i/>
          <w:color w:val="000000" w:themeColor="text1"/>
          <w:sz w:val="24"/>
          <w:highlight w:val="none"/>
          <w:u w:val="single"/>
          <w14:textFill>
            <w14:solidFill>
              <w14:schemeClr w14:val="tx1"/>
            </w14:solidFill>
          </w14:textFill>
        </w:rPr>
      </w:pPr>
      <w:r>
        <w:rPr>
          <w:rFonts w:hint="eastAsia"/>
          <w:i/>
          <w:color w:val="000000" w:themeColor="text1"/>
          <w:sz w:val="24"/>
          <w:highlight w:val="none"/>
          <w:u w:val="single"/>
          <w14:textFill>
            <w14:solidFill>
              <w14:schemeClr w14:val="tx1"/>
            </w14:solidFill>
          </w14:textFill>
        </w:rPr>
        <w:t>十五、开标一览表</w:t>
      </w:r>
    </w:p>
    <w:p w14:paraId="13C98F7E">
      <w:pPr>
        <w:pStyle w:val="225"/>
        <w:shd w:val="clear" w:color="auto"/>
        <w:spacing w:before="0" w:beforeAutospacing="0" w:after="0" w:afterAutospacing="0" w:line="360" w:lineRule="auto"/>
        <w:ind w:firstLine="480"/>
        <w:jc w:val="both"/>
        <w:rPr>
          <w:rFonts w:ascii="Calibri" w:hAnsi="Calibri"/>
          <w:color w:val="000000" w:themeColor="text1"/>
          <w:sz w:val="21"/>
          <w:szCs w:val="21"/>
          <w:highlight w:val="none"/>
          <w14:textFill>
            <w14:solidFill>
              <w14:schemeClr w14:val="tx1"/>
            </w14:solidFill>
          </w14:textFill>
        </w:rPr>
      </w:pPr>
      <w:r>
        <w:rPr>
          <w:rFonts w:hint="eastAsia"/>
          <w:iCs/>
          <w:color w:val="000000" w:themeColor="text1"/>
          <w:sz w:val="24"/>
          <w:highlight w:val="none"/>
          <w14:textFill>
            <w14:solidFill>
              <w14:schemeClr w14:val="tx1"/>
            </w14:solidFill>
          </w14:textFill>
        </w:rPr>
        <w:t>十六、主要标的信息</w:t>
      </w:r>
      <w:r>
        <w:rPr>
          <w:rStyle w:val="224"/>
          <w:rFonts w:ascii="Calibri" w:hAnsi="Calibri"/>
          <w:color w:val="000000" w:themeColor="text1"/>
          <w:highlight w:val="none"/>
          <w14:textFill>
            <w14:solidFill>
              <w14:schemeClr w14:val="tx1"/>
            </w14:solidFill>
          </w14:textFill>
        </w:rPr>
        <w:t>）</w:t>
      </w:r>
    </w:p>
    <w:p w14:paraId="1B161FD2">
      <w:pPr>
        <w:pStyle w:val="225"/>
        <w:shd w:val="clear" w:color="auto"/>
        <w:spacing w:before="0" w:beforeAutospacing="0" w:after="0" w:afterAutospacing="0"/>
        <w:ind w:firstLine="480"/>
        <w:jc w:val="both"/>
        <w:rPr>
          <w:rFonts w:ascii="Calibri" w:hAnsi="Calibri"/>
          <w:color w:val="000000" w:themeColor="text1"/>
          <w:sz w:val="21"/>
          <w:szCs w:val="21"/>
          <w:highlight w:val="none"/>
          <w14:textFill>
            <w14:solidFill>
              <w14:schemeClr w14:val="tx1"/>
            </w14:solidFill>
          </w14:textFill>
        </w:rPr>
      </w:pPr>
    </w:p>
    <w:p w14:paraId="435B2608">
      <w:pPr>
        <w:rPr>
          <w:rFonts w:ascii="宋体" w:hAnsi="宋体" w:eastAsia="微软雅黑"/>
          <w:color w:val="000000" w:themeColor="text1"/>
          <w:szCs w:val="21"/>
          <w:highlight w:val="none"/>
          <w14:textFill>
            <w14:solidFill>
              <w14:schemeClr w14:val="tx1"/>
            </w14:solidFill>
          </w14:textFill>
        </w:rPr>
      </w:pPr>
    </w:p>
    <w:p w14:paraId="4204EF55">
      <w:pPr>
        <w:spacing w:line="360" w:lineRule="auto"/>
        <w:jc w:val="center"/>
        <w:rPr>
          <w:b/>
          <w:bCs/>
          <w:color w:val="000000" w:themeColor="text1"/>
          <w:sz w:val="32"/>
          <w:szCs w:val="32"/>
          <w:highlight w:val="none"/>
          <w:shd w:val="clear" w:color="auto" w:fill="FFFFFF"/>
          <w14:textFill>
            <w14:solidFill>
              <w14:schemeClr w14:val="tx1"/>
            </w14:solidFill>
          </w14:textFill>
        </w:rPr>
      </w:pPr>
    </w:p>
    <w:p w14:paraId="532FB164">
      <w:pPr>
        <w:spacing w:line="360" w:lineRule="auto"/>
        <w:jc w:val="center"/>
        <w:rPr>
          <w:b/>
          <w:bCs/>
          <w:color w:val="000000" w:themeColor="text1"/>
          <w:sz w:val="32"/>
          <w:szCs w:val="32"/>
          <w:highlight w:val="none"/>
          <w:shd w:val="clear" w:color="auto" w:fill="FFFFFF"/>
          <w14:textFill>
            <w14:solidFill>
              <w14:schemeClr w14:val="tx1"/>
            </w14:solidFill>
          </w14:textFill>
        </w:rPr>
      </w:pPr>
    </w:p>
    <w:p w14:paraId="50C52C3F">
      <w:pPr>
        <w:spacing w:line="360" w:lineRule="auto"/>
        <w:jc w:val="center"/>
        <w:rPr>
          <w:b/>
          <w:bCs/>
          <w:color w:val="000000" w:themeColor="text1"/>
          <w:sz w:val="32"/>
          <w:szCs w:val="32"/>
          <w:highlight w:val="none"/>
          <w:shd w:val="clear" w:color="auto" w:fill="FFFFFF"/>
          <w14:textFill>
            <w14:solidFill>
              <w14:schemeClr w14:val="tx1"/>
            </w14:solidFill>
          </w14:textFill>
        </w:rPr>
      </w:pPr>
    </w:p>
    <w:p w14:paraId="68E596D6">
      <w:pPr>
        <w:spacing w:line="360" w:lineRule="auto"/>
        <w:jc w:val="center"/>
        <w:rPr>
          <w:b/>
          <w:bCs/>
          <w:color w:val="000000" w:themeColor="text1"/>
          <w:sz w:val="32"/>
          <w:szCs w:val="32"/>
          <w:highlight w:val="none"/>
          <w:shd w:val="clear" w:color="auto" w:fill="FFFFFF"/>
          <w14:textFill>
            <w14:solidFill>
              <w14:schemeClr w14:val="tx1"/>
            </w14:solidFill>
          </w14:textFill>
        </w:rPr>
      </w:pPr>
    </w:p>
    <w:p w14:paraId="67185A03">
      <w:pPr>
        <w:spacing w:line="360" w:lineRule="auto"/>
        <w:jc w:val="center"/>
        <w:rPr>
          <w:b/>
          <w:bCs/>
          <w:color w:val="000000" w:themeColor="text1"/>
          <w:sz w:val="32"/>
          <w:szCs w:val="32"/>
          <w:highlight w:val="none"/>
          <w:shd w:val="clear" w:color="auto" w:fill="FFFFFF"/>
          <w14:textFill>
            <w14:solidFill>
              <w14:schemeClr w14:val="tx1"/>
            </w14:solidFill>
          </w14:textFill>
        </w:rPr>
      </w:pPr>
    </w:p>
    <w:p w14:paraId="40A648ED">
      <w:pPr>
        <w:spacing w:line="360" w:lineRule="auto"/>
        <w:jc w:val="center"/>
        <w:rPr>
          <w:b/>
          <w:bCs/>
          <w:color w:val="000000" w:themeColor="text1"/>
          <w:sz w:val="32"/>
          <w:szCs w:val="32"/>
          <w:highlight w:val="none"/>
          <w:shd w:val="clear" w:color="auto" w:fill="FFFFFF"/>
          <w14:textFill>
            <w14:solidFill>
              <w14:schemeClr w14:val="tx1"/>
            </w14:solidFill>
          </w14:textFill>
        </w:rPr>
      </w:pPr>
    </w:p>
    <w:p w14:paraId="00CF879B">
      <w:pPr>
        <w:spacing w:line="360" w:lineRule="auto"/>
        <w:jc w:val="center"/>
        <w:rPr>
          <w:b/>
          <w:bCs/>
          <w:color w:val="000000" w:themeColor="text1"/>
          <w:sz w:val="32"/>
          <w:szCs w:val="32"/>
          <w:highlight w:val="none"/>
          <w:shd w:val="clear" w:color="auto" w:fill="FFFFFF"/>
          <w14:textFill>
            <w14:solidFill>
              <w14:schemeClr w14:val="tx1"/>
            </w14:solidFill>
          </w14:textFill>
        </w:rPr>
      </w:pPr>
    </w:p>
    <w:p w14:paraId="175EAB28">
      <w:pPr>
        <w:spacing w:line="360" w:lineRule="auto"/>
        <w:jc w:val="center"/>
        <w:rPr>
          <w:b/>
          <w:bCs/>
          <w:color w:val="000000" w:themeColor="text1"/>
          <w:sz w:val="32"/>
          <w:szCs w:val="32"/>
          <w:highlight w:val="none"/>
          <w:shd w:val="clear" w:color="auto" w:fill="FFFFFF"/>
          <w14:textFill>
            <w14:solidFill>
              <w14:schemeClr w14:val="tx1"/>
            </w14:solidFill>
          </w14:textFill>
        </w:rPr>
      </w:pPr>
    </w:p>
    <w:p w14:paraId="5EA00EE9">
      <w:pPr>
        <w:spacing w:line="360" w:lineRule="auto"/>
        <w:jc w:val="center"/>
        <w:rPr>
          <w:b/>
          <w:bCs/>
          <w:color w:val="000000" w:themeColor="text1"/>
          <w:sz w:val="32"/>
          <w:szCs w:val="32"/>
          <w:highlight w:val="none"/>
          <w:shd w:val="clear" w:color="auto" w:fill="FFFFFF"/>
          <w14:textFill>
            <w14:solidFill>
              <w14:schemeClr w14:val="tx1"/>
            </w14:solidFill>
          </w14:textFill>
        </w:rPr>
      </w:pPr>
    </w:p>
    <w:p w14:paraId="1D91B697">
      <w:pPr>
        <w:spacing w:line="360" w:lineRule="auto"/>
        <w:jc w:val="center"/>
        <w:rPr>
          <w:b/>
          <w:bCs/>
          <w:color w:val="000000" w:themeColor="text1"/>
          <w:sz w:val="32"/>
          <w:szCs w:val="32"/>
          <w:highlight w:val="none"/>
          <w:shd w:val="clear" w:color="auto" w:fill="FFFFFF"/>
          <w14:textFill>
            <w14:solidFill>
              <w14:schemeClr w14:val="tx1"/>
            </w14:solidFill>
          </w14:textFill>
        </w:rPr>
      </w:pPr>
    </w:p>
    <w:p w14:paraId="76292C9A">
      <w:pPr>
        <w:ind w:firstLine="160"/>
        <w:rPr>
          <w:rFonts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t>一、法人或者其他组织的营业执照等证明文件，自然人的身份证明</w:t>
      </w:r>
    </w:p>
    <w:p w14:paraId="54A95630">
      <w:pPr>
        <w:spacing w:line="440" w:lineRule="exact"/>
        <w:ind w:firstLine="120"/>
        <w:rPr>
          <w:color w:val="000000" w:themeColor="text1"/>
          <w:sz w:val="24"/>
          <w:highlight w:val="none"/>
          <w14:textFill>
            <w14:solidFill>
              <w14:schemeClr w14:val="tx1"/>
            </w14:solidFill>
          </w14:textFill>
        </w:rPr>
      </w:pPr>
    </w:p>
    <w:p w14:paraId="02969165">
      <w:pPr>
        <w:ind w:firstLine="160"/>
        <w:rPr>
          <w:rFonts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t>二、上一年度财务状况报告</w:t>
      </w:r>
    </w:p>
    <w:p w14:paraId="5E54629C">
      <w:pPr>
        <w:spacing w:line="440" w:lineRule="exact"/>
        <w:ind w:firstLine="120"/>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投标人成立不满一年不需提供</w:t>
      </w:r>
    </w:p>
    <w:p w14:paraId="2A9E2940">
      <w:pPr>
        <w:ind w:firstLine="160"/>
        <w:rPr>
          <w:rFonts w:ascii="黑体" w:hAnsi="黑体" w:eastAsia="黑体"/>
          <w:i/>
          <w:color w:val="000000" w:themeColor="text1"/>
          <w:sz w:val="32"/>
          <w:szCs w:val="32"/>
          <w:highlight w:val="none"/>
          <w:u w:val="single"/>
          <w14:textFill>
            <w14:solidFill>
              <w14:schemeClr w14:val="tx1"/>
            </w14:solidFill>
          </w14:textFill>
        </w:rPr>
      </w:pPr>
    </w:p>
    <w:p w14:paraId="498E6F86">
      <w:pPr>
        <w:ind w:firstLine="160"/>
        <w:rPr>
          <w:rFonts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t>三、依法缴纳税收和社会保障资金的相关材料</w:t>
      </w:r>
    </w:p>
    <w:p w14:paraId="10A4AC27">
      <w:pPr>
        <w:ind w:firstLine="120"/>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提供提交投标文件截止时间前一年内至少一个月依法缴纳税收及缴纳社会保障资金的证明材料。投标人依法享受缓缴、免缴税收、社会保障资金的提供证明材料。</w:t>
      </w:r>
    </w:p>
    <w:p w14:paraId="01E5042E">
      <w:pPr>
        <w:ind w:firstLine="160"/>
        <w:rPr>
          <w:rFonts w:ascii="黑体" w:hAnsi="黑体" w:eastAsia="黑体"/>
          <w:i/>
          <w:color w:val="000000" w:themeColor="text1"/>
          <w:sz w:val="32"/>
          <w:szCs w:val="32"/>
          <w:highlight w:val="none"/>
          <w:u w:val="single"/>
          <w14:textFill>
            <w14:solidFill>
              <w14:schemeClr w14:val="tx1"/>
            </w14:solidFill>
          </w14:textFill>
        </w:rPr>
      </w:pPr>
    </w:p>
    <w:p w14:paraId="6B3D0FD1">
      <w:pPr>
        <w:ind w:firstLine="160"/>
        <w:rPr>
          <w:rFonts w:ascii="黑体" w:hAnsi="黑体" w:eastAsia="黑体"/>
          <w:i/>
          <w:color w:val="000000" w:themeColor="text1"/>
          <w:sz w:val="32"/>
          <w:szCs w:val="32"/>
          <w:highlight w:val="none"/>
          <w:u w:val="single"/>
          <w14:textFill>
            <w14:solidFill>
              <w14:schemeClr w14:val="tx1"/>
            </w14:solidFill>
          </w14:textFill>
        </w:rPr>
      </w:pPr>
    </w:p>
    <w:p w14:paraId="6F5ED571">
      <w:pPr>
        <w:ind w:firstLine="160"/>
        <w:rPr>
          <w:rFonts w:ascii="黑体" w:hAnsi="黑体" w:eastAsia="黑体"/>
          <w:i/>
          <w:color w:val="000000" w:themeColor="text1"/>
          <w:sz w:val="32"/>
          <w:szCs w:val="32"/>
          <w:highlight w:val="none"/>
          <w:u w:val="single"/>
          <w14:textFill>
            <w14:solidFill>
              <w14:schemeClr w14:val="tx1"/>
            </w14:solidFill>
          </w14:textFill>
        </w:rPr>
      </w:pPr>
    </w:p>
    <w:p w14:paraId="73ECF46A">
      <w:pPr>
        <w:ind w:firstLine="160"/>
        <w:rPr>
          <w:rFonts w:ascii="黑体" w:hAnsi="黑体" w:eastAsia="黑体"/>
          <w:i/>
          <w:color w:val="000000" w:themeColor="text1"/>
          <w:sz w:val="32"/>
          <w:szCs w:val="32"/>
          <w:highlight w:val="none"/>
          <w:u w:val="single"/>
          <w14:textFill>
            <w14:solidFill>
              <w14:schemeClr w14:val="tx1"/>
            </w14:solidFill>
          </w14:textFill>
        </w:rPr>
      </w:pPr>
    </w:p>
    <w:p w14:paraId="3607CCA0">
      <w:pPr>
        <w:ind w:firstLine="160"/>
        <w:rPr>
          <w:rFonts w:ascii="黑体" w:hAnsi="黑体" w:eastAsia="黑体"/>
          <w:i/>
          <w:color w:val="000000" w:themeColor="text1"/>
          <w:sz w:val="32"/>
          <w:szCs w:val="32"/>
          <w:highlight w:val="none"/>
          <w:u w:val="single"/>
          <w14:textFill>
            <w14:solidFill>
              <w14:schemeClr w14:val="tx1"/>
            </w14:solidFill>
          </w14:textFill>
        </w:rPr>
      </w:pPr>
    </w:p>
    <w:p w14:paraId="0EF55A19">
      <w:pPr>
        <w:ind w:firstLine="160"/>
        <w:rPr>
          <w:rFonts w:ascii="黑体" w:hAnsi="黑体" w:eastAsia="黑体"/>
          <w:i/>
          <w:color w:val="000000" w:themeColor="text1"/>
          <w:sz w:val="32"/>
          <w:szCs w:val="32"/>
          <w:highlight w:val="none"/>
          <w:u w:val="single"/>
          <w14:textFill>
            <w14:solidFill>
              <w14:schemeClr w14:val="tx1"/>
            </w14:solidFill>
          </w14:textFill>
        </w:rPr>
      </w:pPr>
    </w:p>
    <w:p w14:paraId="10AD4FB2">
      <w:pPr>
        <w:ind w:firstLine="160"/>
        <w:rPr>
          <w:rFonts w:ascii="黑体" w:hAnsi="黑体" w:eastAsia="黑体"/>
          <w:i/>
          <w:color w:val="000000" w:themeColor="text1"/>
          <w:sz w:val="32"/>
          <w:szCs w:val="32"/>
          <w:highlight w:val="none"/>
          <w:u w:val="single"/>
          <w14:textFill>
            <w14:solidFill>
              <w14:schemeClr w14:val="tx1"/>
            </w14:solidFill>
          </w14:textFill>
        </w:rPr>
      </w:pPr>
    </w:p>
    <w:p w14:paraId="3E4EEF94">
      <w:pPr>
        <w:ind w:firstLine="160"/>
        <w:rPr>
          <w:rFonts w:ascii="黑体" w:hAnsi="黑体" w:eastAsia="黑体"/>
          <w:i/>
          <w:color w:val="000000" w:themeColor="text1"/>
          <w:sz w:val="32"/>
          <w:szCs w:val="32"/>
          <w:highlight w:val="none"/>
          <w:u w:val="single"/>
          <w14:textFill>
            <w14:solidFill>
              <w14:schemeClr w14:val="tx1"/>
            </w14:solidFill>
          </w14:textFill>
        </w:rPr>
      </w:pPr>
    </w:p>
    <w:p w14:paraId="4646868E">
      <w:pPr>
        <w:ind w:firstLine="160"/>
        <w:rPr>
          <w:rFonts w:ascii="黑体" w:hAnsi="黑体" w:eastAsia="黑体"/>
          <w:i/>
          <w:color w:val="000000" w:themeColor="text1"/>
          <w:sz w:val="32"/>
          <w:szCs w:val="32"/>
          <w:highlight w:val="none"/>
          <w:u w:val="single"/>
          <w14:textFill>
            <w14:solidFill>
              <w14:schemeClr w14:val="tx1"/>
            </w14:solidFill>
          </w14:textFill>
        </w:rPr>
      </w:pPr>
    </w:p>
    <w:p w14:paraId="423AB550">
      <w:pPr>
        <w:ind w:firstLine="160"/>
        <w:rPr>
          <w:rFonts w:ascii="黑体" w:hAnsi="黑体" w:eastAsia="黑体"/>
          <w:i/>
          <w:color w:val="000000" w:themeColor="text1"/>
          <w:sz w:val="32"/>
          <w:szCs w:val="32"/>
          <w:highlight w:val="none"/>
          <w:u w:val="single"/>
          <w14:textFill>
            <w14:solidFill>
              <w14:schemeClr w14:val="tx1"/>
            </w14:solidFill>
          </w14:textFill>
        </w:rPr>
      </w:pPr>
    </w:p>
    <w:p w14:paraId="47305702">
      <w:pPr>
        <w:ind w:firstLine="160"/>
        <w:rPr>
          <w:rFonts w:ascii="黑体" w:hAnsi="黑体" w:eastAsia="黑体"/>
          <w:i/>
          <w:color w:val="000000" w:themeColor="text1"/>
          <w:sz w:val="32"/>
          <w:szCs w:val="32"/>
          <w:highlight w:val="none"/>
          <w:u w:val="single"/>
          <w14:textFill>
            <w14:solidFill>
              <w14:schemeClr w14:val="tx1"/>
            </w14:solidFill>
          </w14:textFill>
        </w:rPr>
      </w:pPr>
    </w:p>
    <w:p w14:paraId="5FBCA2F7">
      <w:pPr>
        <w:ind w:firstLine="160"/>
        <w:rPr>
          <w:rFonts w:ascii="黑体" w:hAnsi="黑体" w:eastAsia="黑体"/>
          <w:i/>
          <w:color w:val="000000" w:themeColor="text1"/>
          <w:sz w:val="32"/>
          <w:szCs w:val="32"/>
          <w:highlight w:val="none"/>
          <w:u w:val="single"/>
          <w14:textFill>
            <w14:solidFill>
              <w14:schemeClr w14:val="tx1"/>
            </w14:solidFill>
          </w14:textFill>
        </w:rPr>
      </w:pPr>
    </w:p>
    <w:p w14:paraId="27D7BE1D">
      <w:pPr>
        <w:ind w:firstLine="160"/>
        <w:rPr>
          <w:rFonts w:ascii="黑体" w:hAnsi="黑体" w:eastAsia="黑体"/>
          <w:i/>
          <w:color w:val="000000" w:themeColor="text1"/>
          <w:sz w:val="32"/>
          <w:szCs w:val="32"/>
          <w:highlight w:val="none"/>
          <w:u w:val="single"/>
          <w14:textFill>
            <w14:solidFill>
              <w14:schemeClr w14:val="tx1"/>
            </w14:solidFill>
          </w14:textFill>
        </w:rPr>
      </w:pPr>
    </w:p>
    <w:p w14:paraId="1684E44A">
      <w:pPr>
        <w:ind w:firstLine="160"/>
        <w:rPr>
          <w:rFonts w:ascii="黑体" w:hAnsi="黑体" w:eastAsia="黑体"/>
          <w:i/>
          <w:color w:val="000000" w:themeColor="text1"/>
          <w:sz w:val="32"/>
          <w:szCs w:val="32"/>
          <w:highlight w:val="none"/>
          <w:u w:val="single"/>
          <w14:textFill>
            <w14:solidFill>
              <w14:schemeClr w14:val="tx1"/>
            </w14:solidFill>
          </w14:textFill>
        </w:rPr>
      </w:pPr>
    </w:p>
    <w:p w14:paraId="5C72ED03">
      <w:pPr>
        <w:ind w:firstLine="160"/>
        <w:rPr>
          <w:rFonts w:ascii="黑体" w:hAnsi="黑体" w:eastAsia="黑体"/>
          <w:i/>
          <w:color w:val="000000" w:themeColor="text1"/>
          <w:sz w:val="32"/>
          <w:szCs w:val="32"/>
          <w:highlight w:val="none"/>
          <w:u w:val="single"/>
          <w14:textFill>
            <w14:solidFill>
              <w14:schemeClr w14:val="tx1"/>
            </w14:solidFill>
          </w14:textFill>
        </w:rPr>
      </w:pPr>
    </w:p>
    <w:p w14:paraId="2F26C710">
      <w:pPr>
        <w:ind w:firstLine="160"/>
        <w:rPr>
          <w:rFonts w:ascii="黑体" w:hAnsi="黑体" w:eastAsia="黑体"/>
          <w:i/>
          <w:color w:val="000000" w:themeColor="text1"/>
          <w:sz w:val="32"/>
          <w:szCs w:val="32"/>
          <w:highlight w:val="none"/>
          <w:u w:val="single"/>
          <w14:textFill>
            <w14:solidFill>
              <w14:schemeClr w14:val="tx1"/>
            </w14:solidFill>
          </w14:textFill>
        </w:rPr>
      </w:pPr>
    </w:p>
    <w:p w14:paraId="51A02987">
      <w:pPr>
        <w:ind w:firstLine="160"/>
        <w:rPr>
          <w:rFonts w:ascii="黑体" w:hAnsi="黑体" w:eastAsia="黑体"/>
          <w:i/>
          <w:color w:val="000000" w:themeColor="text1"/>
          <w:sz w:val="32"/>
          <w:szCs w:val="32"/>
          <w:highlight w:val="none"/>
          <w:u w:val="single"/>
          <w14:textFill>
            <w14:solidFill>
              <w14:schemeClr w14:val="tx1"/>
            </w14:solidFill>
          </w14:textFill>
        </w:rPr>
      </w:pPr>
    </w:p>
    <w:p w14:paraId="7FB59C8B">
      <w:pPr>
        <w:ind w:firstLine="160"/>
        <w:rPr>
          <w:rFonts w:ascii="黑体" w:hAnsi="黑体" w:eastAsia="黑体"/>
          <w:i/>
          <w:color w:val="000000" w:themeColor="text1"/>
          <w:sz w:val="32"/>
          <w:szCs w:val="32"/>
          <w:highlight w:val="none"/>
          <w:u w:val="single"/>
          <w14:textFill>
            <w14:solidFill>
              <w14:schemeClr w14:val="tx1"/>
            </w14:solidFill>
          </w14:textFill>
        </w:rPr>
      </w:pPr>
    </w:p>
    <w:p w14:paraId="07343516">
      <w:pPr>
        <w:ind w:firstLine="160"/>
        <w:rPr>
          <w:rFonts w:ascii="黑体" w:hAnsi="黑体" w:eastAsia="黑体"/>
          <w:i/>
          <w:color w:val="000000" w:themeColor="text1"/>
          <w:sz w:val="32"/>
          <w:szCs w:val="32"/>
          <w:highlight w:val="none"/>
          <w:u w:val="single"/>
          <w14:textFill>
            <w14:solidFill>
              <w14:schemeClr w14:val="tx1"/>
            </w14:solidFill>
          </w14:textFill>
        </w:rPr>
      </w:pPr>
    </w:p>
    <w:p w14:paraId="7B7F1735">
      <w:pPr>
        <w:ind w:firstLine="160"/>
        <w:rPr>
          <w:rFonts w:ascii="黑体" w:hAnsi="黑体" w:eastAsia="黑体"/>
          <w:i/>
          <w:color w:val="000000" w:themeColor="text1"/>
          <w:sz w:val="32"/>
          <w:szCs w:val="32"/>
          <w:highlight w:val="none"/>
          <w:u w:val="single"/>
          <w14:textFill>
            <w14:solidFill>
              <w14:schemeClr w14:val="tx1"/>
            </w14:solidFill>
          </w14:textFill>
        </w:rPr>
      </w:pPr>
    </w:p>
    <w:p w14:paraId="5AE4050B">
      <w:pPr>
        <w:ind w:firstLine="160"/>
        <w:rPr>
          <w:rFonts w:ascii="黑体" w:hAnsi="黑体" w:eastAsia="黑体"/>
          <w:i/>
          <w:color w:val="000000" w:themeColor="text1"/>
          <w:sz w:val="32"/>
          <w:szCs w:val="32"/>
          <w:highlight w:val="none"/>
          <w:u w:val="single"/>
          <w14:textFill>
            <w14:solidFill>
              <w14:schemeClr w14:val="tx1"/>
            </w14:solidFill>
          </w14:textFill>
        </w:rPr>
      </w:pPr>
    </w:p>
    <w:p w14:paraId="5F83DB80">
      <w:pPr>
        <w:ind w:firstLine="160"/>
        <w:rPr>
          <w:rFonts w:ascii="黑体" w:hAnsi="黑体" w:eastAsia="黑体"/>
          <w:i/>
          <w:color w:val="000000" w:themeColor="text1"/>
          <w:sz w:val="32"/>
          <w:szCs w:val="32"/>
          <w:highlight w:val="none"/>
          <w:u w:val="single"/>
          <w14:textFill>
            <w14:solidFill>
              <w14:schemeClr w14:val="tx1"/>
            </w14:solidFill>
          </w14:textFill>
        </w:rPr>
      </w:pPr>
    </w:p>
    <w:p w14:paraId="05B52537">
      <w:pPr>
        <w:ind w:firstLine="160"/>
        <w:rPr>
          <w:rFonts w:ascii="黑体" w:hAnsi="黑体" w:eastAsia="黑体"/>
          <w:i/>
          <w:color w:val="000000" w:themeColor="text1"/>
          <w:sz w:val="32"/>
          <w:szCs w:val="32"/>
          <w:highlight w:val="none"/>
          <w:u w:val="single"/>
          <w14:textFill>
            <w14:solidFill>
              <w14:schemeClr w14:val="tx1"/>
            </w14:solidFill>
          </w14:textFill>
        </w:rPr>
      </w:pPr>
    </w:p>
    <w:p w14:paraId="4FB87255">
      <w:pPr>
        <w:ind w:firstLine="160"/>
        <w:rPr>
          <w:rFonts w:ascii="黑体" w:hAnsi="黑体" w:eastAsia="黑体"/>
          <w:i/>
          <w:color w:val="000000" w:themeColor="text1"/>
          <w:sz w:val="32"/>
          <w:szCs w:val="32"/>
          <w:highlight w:val="none"/>
          <w:u w:val="single"/>
          <w14:textFill>
            <w14:solidFill>
              <w14:schemeClr w14:val="tx1"/>
            </w14:solidFill>
          </w14:textFill>
        </w:rPr>
      </w:pPr>
    </w:p>
    <w:p w14:paraId="1C68AAC7">
      <w:pPr>
        <w:ind w:firstLine="160"/>
        <w:rPr>
          <w:rFonts w:ascii="黑体" w:hAnsi="黑体" w:eastAsia="黑体"/>
          <w:i/>
          <w:color w:val="000000" w:themeColor="text1"/>
          <w:sz w:val="32"/>
          <w:szCs w:val="32"/>
          <w:highlight w:val="none"/>
          <w:u w:val="single"/>
          <w14:textFill>
            <w14:solidFill>
              <w14:schemeClr w14:val="tx1"/>
            </w14:solidFill>
          </w14:textFill>
        </w:rPr>
      </w:pPr>
    </w:p>
    <w:p w14:paraId="27A67673">
      <w:pPr>
        <w:ind w:firstLine="160"/>
        <w:rPr>
          <w:rFonts w:ascii="黑体" w:hAnsi="黑体" w:eastAsia="黑体"/>
          <w:i/>
          <w:color w:val="000000" w:themeColor="text1"/>
          <w:sz w:val="32"/>
          <w:szCs w:val="32"/>
          <w:highlight w:val="none"/>
          <w:u w:val="single"/>
          <w14:textFill>
            <w14:solidFill>
              <w14:schemeClr w14:val="tx1"/>
            </w14:solidFill>
          </w14:textFill>
        </w:rPr>
      </w:pPr>
    </w:p>
    <w:p w14:paraId="3D9AC9C9">
      <w:pPr>
        <w:ind w:firstLine="160"/>
        <w:rPr>
          <w:rFonts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t>四、具备履行合同所必需的设备和专业技术能力的书面声明</w:t>
      </w:r>
    </w:p>
    <w:p w14:paraId="0F0975B7">
      <w:pPr>
        <w:spacing w:line="460" w:lineRule="exact"/>
        <w:ind w:firstLine="120"/>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我单位郑重声明：我单位具备履行本项采购合同所必需的设备和专业技术能力，为履行本项采购合同我公司具备如下主要设备和主要专业技术能力：</w:t>
      </w:r>
    </w:p>
    <w:p w14:paraId="7B2EE057">
      <w:pPr>
        <w:spacing w:line="460" w:lineRule="exact"/>
        <w:ind w:firstLine="120"/>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主要设备有：</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14:textFill>
            <w14:solidFill>
              <w14:schemeClr w14:val="tx1"/>
            </w14:solidFill>
          </w14:textFill>
        </w:rPr>
        <w:t>。</w:t>
      </w:r>
    </w:p>
    <w:p w14:paraId="4DD4874B">
      <w:pPr>
        <w:spacing w:line="460" w:lineRule="exact"/>
        <w:ind w:firstLine="120"/>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主要专业技术能力有：</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14:textFill>
            <w14:solidFill>
              <w14:schemeClr w14:val="tx1"/>
            </w14:solidFill>
          </w14:textFill>
        </w:rPr>
        <w:t>。</w:t>
      </w:r>
    </w:p>
    <w:p w14:paraId="0BEA1280">
      <w:pPr>
        <w:spacing w:line="460" w:lineRule="exact"/>
        <w:ind w:firstLine="120"/>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                                  </w:t>
      </w:r>
    </w:p>
    <w:p w14:paraId="5569C746">
      <w:pPr>
        <w:spacing w:line="460" w:lineRule="exact"/>
        <w:ind w:firstLine="120"/>
        <w:rPr>
          <w:rFonts w:hint="eastAsia"/>
          <w:bCs/>
          <w:color w:val="000000" w:themeColor="text1"/>
          <w:sz w:val="24"/>
          <w:highlight w:val="none"/>
          <w14:textFill>
            <w14:solidFill>
              <w14:schemeClr w14:val="tx1"/>
            </w14:solidFill>
          </w14:textFill>
        </w:rPr>
      </w:pPr>
    </w:p>
    <w:p w14:paraId="03B8D6D5">
      <w:pPr>
        <w:spacing w:line="460" w:lineRule="exact"/>
        <w:ind w:firstLine="120"/>
        <w:rPr>
          <w:rFonts w:hint="eastAsia"/>
          <w:bCs/>
          <w:color w:val="000000" w:themeColor="text1"/>
          <w:sz w:val="24"/>
          <w:highlight w:val="none"/>
          <w14:textFill>
            <w14:solidFill>
              <w14:schemeClr w14:val="tx1"/>
            </w14:solidFill>
          </w14:textFill>
        </w:rPr>
      </w:pPr>
    </w:p>
    <w:p w14:paraId="59F88748">
      <w:pPr>
        <w:spacing w:line="460" w:lineRule="exact"/>
        <w:ind w:firstLine="120"/>
        <w:rPr>
          <w:rFonts w:hint="eastAsia"/>
          <w:bCs/>
          <w:color w:val="000000" w:themeColor="text1"/>
          <w:sz w:val="24"/>
          <w:highlight w:val="none"/>
          <w14:textFill>
            <w14:solidFill>
              <w14:schemeClr w14:val="tx1"/>
            </w14:solidFill>
          </w14:textFill>
        </w:rPr>
      </w:pPr>
    </w:p>
    <w:p w14:paraId="1843E4E4">
      <w:pPr>
        <w:spacing w:line="460" w:lineRule="exact"/>
        <w:ind w:firstLine="120"/>
        <w:rPr>
          <w:rFonts w:hint="eastAsia"/>
          <w:bCs/>
          <w:color w:val="000000" w:themeColor="text1"/>
          <w:sz w:val="24"/>
          <w:highlight w:val="none"/>
          <w14:textFill>
            <w14:solidFill>
              <w14:schemeClr w14:val="tx1"/>
            </w14:solidFill>
          </w14:textFill>
        </w:rPr>
      </w:pPr>
    </w:p>
    <w:p w14:paraId="0532384E">
      <w:pPr>
        <w:spacing w:line="460" w:lineRule="exact"/>
        <w:ind w:firstLine="120"/>
        <w:rPr>
          <w:rFonts w:hint="eastAsia"/>
          <w:bCs/>
          <w:color w:val="000000" w:themeColor="text1"/>
          <w:sz w:val="24"/>
          <w:highlight w:val="none"/>
          <w14:textFill>
            <w14:solidFill>
              <w14:schemeClr w14:val="tx1"/>
            </w14:solidFill>
          </w14:textFill>
        </w:rPr>
      </w:pPr>
    </w:p>
    <w:p w14:paraId="40EED4EC">
      <w:pPr>
        <w:spacing w:line="460" w:lineRule="exact"/>
        <w:ind w:firstLine="120"/>
        <w:rPr>
          <w:rFonts w:hint="eastAsia"/>
          <w:bCs/>
          <w:color w:val="000000" w:themeColor="text1"/>
          <w:sz w:val="24"/>
          <w:highlight w:val="none"/>
          <w14:textFill>
            <w14:solidFill>
              <w14:schemeClr w14:val="tx1"/>
            </w14:solidFill>
          </w14:textFill>
        </w:rPr>
      </w:pPr>
    </w:p>
    <w:p w14:paraId="4A394C83">
      <w:pPr>
        <w:spacing w:line="460" w:lineRule="exact"/>
        <w:ind w:firstLine="120"/>
        <w:rPr>
          <w:rFonts w:hint="eastAsia"/>
          <w:bCs/>
          <w:color w:val="000000" w:themeColor="text1"/>
          <w:sz w:val="24"/>
          <w:highlight w:val="none"/>
          <w14:textFill>
            <w14:solidFill>
              <w14:schemeClr w14:val="tx1"/>
            </w14:solidFill>
          </w14:textFill>
        </w:rPr>
      </w:pPr>
    </w:p>
    <w:p w14:paraId="5C8D1A73">
      <w:pPr>
        <w:spacing w:line="460" w:lineRule="exact"/>
        <w:ind w:firstLine="120"/>
        <w:rPr>
          <w:rFonts w:hint="eastAsia"/>
          <w:bCs/>
          <w:color w:val="000000" w:themeColor="text1"/>
          <w:sz w:val="24"/>
          <w:highlight w:val="none"/>
          <w14:textFill>
            <w14:solidFill>
              <w14:schemeClr w14:val="tx1"/>
            </w14:solidFill>
          </w14:textFill>
        </w:rPr>
      </w:pPr>
    </w:p>
    <w:p w14:paraId="4281F155">
      <w:pPr>
        <w:spacing w:line="460" w:lineRule="exact"/>
        <w:ind w:firstLine="120"/>
        <w:rPr>
          <w:rFonts w:hint="eastAsia"/>
          <w:bCs/>
          <w:color w:val="000000" w:themeColor="text1"/>
          <w:sz w:val="24"/>
          <w:highlight w:val="none"/>
          <w14:textFill>
            <w14:solidFill>
              <w14:schemeClr w14:val="tx1"/>
            </w14:solidFill>
          </w14:textFill>
        </w:rPr>
      </w:pPr>
    </w:p>
    <w:p w14:paraId="17F731A6">
      <w:pPr>
        <w:spacing w:line="460" w:lineRule="exact"/>
        <w:ind w:firstLine="120"/>
        <w:rPr>
          <w:rFonts w:hint="eastAsia"/>
          <w:bCs/>
          <w:color w:val="000000" w:themeColor="text1"/>
          <w:sz w:val="24"/>
          <w:highlight w:val="none"/>
          <w14:textFill>
            <w14:solidFill>
              <w14:schemeClr w14:val="tx1"/>
            </w14:solidFill>
          </w14:textFill>
        </w:rPr>
      </w:pPr>
    </w:p>
    <w:p w14:paraId="6086F955">
      <w:pPr>
        <w:spacing w:line="460" w:lineRule="exact"/>
        <w:ind w:firstLine="120"/>
        <w:rPr>
          <w:rFonts w:hint="eastAsia"/>
          <w:bCs/>
          <w:color w:val="000000" w:themeColor="text1"/>
          <w:sz w:val="24"/>
          <w:highlight w:val="none"/>
          <w14:textFill>
            <w14:solidFill>
              <w14:schemeClr w14:val="tx1"/>
            </w14:solidFill>
          </w14:textFill>
        </w:rPr>
      </w:pPr>
    </w:p>
    <w:p w14:paraId="05B1A2CE">
      <w:pPr>
        <w:spacing w:line="460" w:lineRule="exact"/>
        <w:ind w:firstLine="120"/>
        <w:rPr>
          <w:rFonts w:hint="eastAsia"/>
          <w:bCs/>
          <w:color w:val="000000" w:themeColor="text1"/>
          <w:sz w:val="24"/>
          <w:highlight w:val="none"/>
          <w14:textFill>
            <w14:solidFill>
              <w14:schemeClr w14:val="tx1"/>
            </w14:solidFill>
          </w14:textFill>
        </w:rPr>
      </w:pPr>
    </w:p>
    <w:p w14:paraId="2B7DAE20">
      <w:pPr>
        <w:spacing w:line="460" w:lineRule="exact"/>
        <w:ind w:firstLine="120"/>
        <w:rPr>
          <w:rFonts w:hint="eastAsia"/>
          <w:bCs/>
          <w:color w:val="000000" w:themeColor="text1"/>
          <w:sz w:val="24"/>
          <w:highlight w:val="none"/>
          <w14:textFill>
            <w14:solidFill>
              <w14:schemeClr w14:val="tx1"/>
            </w14:solidFill>
          </w14:textFill>
        </w:rPr>
      </w:pPr>
    </w:p>
    <w:p w14:paraId="1713519E">
      <w:pPr>
        <w:spacing w:line="460" w:lineRule="exact"/>
        <w:ind w:firstLine="120"/>
        <w:rPr>
          <w:rFonts w:hint="eastAsia"/>
          <w:bCs/>
          <w:color w:val="000000" w:themeColor="text1"/>
          <w:sz w:val="24"/>
          <w:highlight w:val="none"/>
          <w14:textFill>
            <w14:solidFill>
              <w14:schemeClr w14:val="tx1"/>
            </w14:solidFill>
          </w14:textFill>
        </w:rPr>
      </w:pPr>
    </w:p>
    <w:p w14:paraId="56D5820C">
      <w:pPr>
        <w:spacing w:line="460" w:lineRule="exact"/>
        <w:ind w:firstLine="120"/>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   </w:t>
      </w:r>
    </w:p>
    <w:p w14:paraId="0EDA6F13">
      <w:pPr>
        <w:pStyle w:val="243"/>
        <w:ind w:firstLine="100"/>
        <w:rPr>
          <w:color w:val="000000" w:themeColor="text1"/>
          <w:highlight w:val="none"/>
          <w14:textFill>
            <w14:solidFill>
              <w14:schemeClr w14:val="tx1"/>
            </w14:solidFill>
          </w14:textFill>
        </w:rPr>
      </w:pPr>
    </w:p>
    <w:p w14:paraId="629C8F4D">
      <w:pPr>
        <w:ind w:firstLine="160"/>
        <w:rPr>
          <w:rFonts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t>五、参加政府采购活动前 3 年内在经营活动中没有重大违法记录的书面声明</w:t>
      </w:r>
    </w:p>
    <w:p w14:paraId="3DABE8F3">
      <w:pPr>
        <w:spacing w:line="460" w:lineRule="exact"/>
        <w:ind w:firstLine="221"/>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                 声  明</w:t>
      </w:r>
    </w:p>
    <w:p w14:paraId="7E58E0E5">
      <w:pPr>
        <w:pageBreakBefore w:val="0"/>
        <w:spacing w:line="360" w:lineRule="auto"/>
        <w:rPr>
          <w:rFonts w:ascii="Times New Roman" w:hAnsi="Times New Roman" w:eastAsia="宋体"/>
          <w:bCs/>
          <w:color w:val="auto"/>
          <w:highlight w:val="none"/>
        </w:rPr>
      </w:pPr>
      <w:r>
        <w:rPr>
          <w:rFonts w:hint="eastAsia"/>
          <w:b/>
          <w:bCs/>
          <w:color w:val="000000" w:themeColor="text1"/>
          <w:sz w:val="24"/>
          <w:highlight w:val="none"/>
          <w14:textFill>
            <w14:solidFill>
              <w14:schemeClr w14:val="tx1"/>
            </w14:solidFill>
          </w14:textFill>
        </w:rPr>
        <w:t xml:space="preserve">   </w:t>
      </w:r>
      <w:r>
        <w:rPr>
          <w:rFonts w:hint="eastAsia" w:ascii="Times New Roman" w:hAnsi="Times New Roman" w:eastAsia="宋体"/>
          <w:bCs/>
          <w:color w:val="auto"/>
          <w:highlight w:val="none"/>
        </w:rPr>
        <w:t>我公司郑重声明：参加本次政府采购活动前3年内，我公司在经营活动中没有因违法经营受到刑事处罚或者责令停产停业、吊销许可证或者执照、较大数额罚款等行政处罚。</w:t>
      </w:r>
    </w:p>
    <w:p w14:paraId="23F301E5">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供应商名称（公章）：</w:t>
      </w:r>
    </w:p>
    <w:p w14:paraId="23FB9EB4">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法定代表人签章：</w:t>
      </w:r>
      <w:r>
        <w:rPr>
          <w:rFonts w:hint="eastAsia" w:ascii="Times New Roman" w:hAnsi="Times New Roman" w:eastAsia="宋体"/>
          <w:bCs/>
          <w:color w:val="auto"/>
          <w:highlight w:val="none"/>
          <w:u w:val="single"/>
        </w:rPr>
        <w:t>_______________________</w:t>
      </w:r>
    </w:p>
    <w:p w14:paraId="6C787A70">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日期：年月日</w:t>
      </w:r>
    </w:p>
    <w:p w14:paraId="1A05FE24">
      <w:pPr>
        <w:ind w:firstLine="160"/>
        <w:rPr>
          <w:rFonts w:hint="eastAsia" w:ascii="黑体" w:hAnsi="黑体" w:eastAsia="黑体"/>
          <w:i/>
          <w:color w:val="000000" w:themeColor="text1"/>
          <w:sz w:val="32"/>
          <w:szCs w:val="32"/>
          <w:highlight w:val="none"/>
          <w:u w:val="single"/>
          <w14:textFill>
            <w14:solidFill>
              <w14:schemeClr w14:val="tx1"/>
            </w14:solidFill>
          </w14:textFill>
        </w:rPr>
      </w:pPr>
    </w:p>
    <w:p w14:paraId="35410F00">
      <w:pPr>
        <w:rPr>
          <w:rFonts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t>六、供应商信用承诺函</w:t>
      </w:r>
    </w:p>
    <w:p w14:paraId="074E1A42">
      <w:pPr>
        <w:spacing w:line="500" w:lineRule="exact"/>
        <w:ind w:firstLine="120"/>
        <w:jc w:val="center"/>
        <w:rPr>
          <w:rFonts w:eastAsia="等线"/>
          <w:b/>
          <w:color w:val="000000" w:themeColor="text1"/>
          <w:sz w:val="24"/>
          <w:szCs w:val="24"/>
          <w:highlight w:val="none"/>
          <w14:textFill>
            <w14:solidFill>
              <w14:schemeClr w14:val="tx1"/>
            </w14:solidFill>
          </w14:textFill>
        </w:rPr>
      </w:pPr>
      <w:r>
        <w:rPr>
          <w:rFonts w:hint="eastAsia" w:eastAsia="等线"/>
          <w:b/>
          <w:color w:val="000000" w:themeColor="text1"/>
          <w:sz w:val="24"/>
          <w:szCs w:val="24"/>
          <w:highlight w:val="none"/>
          <w14:textFill>
            <w14:solidFill>
              <w14:schemeClr w14:val="tx1"/>
            </w14:solidFill>
          </w14:textFill>
        </w:rPr>
        <w:t>供应商信用承诺函</w:t>
      </w:r>
    </w:p>
    <w:p w14:paraId="6EDD61A0">
      <w:pPr>
        <w:spacing w:line="500" w:lineRule="exact"/>
        <w:ind w:firstLine="120"/>
        <w:rPr>
          <w:rFonts w:ascii="方正仿宋_GBK" w:hAnsi="等线" w:eastAsia="等线"/>
          <w:color w:val="000000" w:themeColor="text1"/>
          <w:sz w:val="24"/>
          <w:szCs w:val="24"/>
          <w:highlight w:val="none"/>
          <w14:textFill>
            <w14:solidFill>
              <w14:schemeClr w14:val="tx1"/>
            </w14:solidFill>
          </w14:textFill>
        </w:rPr>
      </w:pPr>
    </w:p>
    <w:p w14:paraId="2932F084">
      <w:pPr>
        <w:keepNext w:val="0"/>
        <w:keepLines w:val="0"/>
        <w:pageBreakBefore w:val="0"/>
        <w:widowControl w:val="0"/>
        <w:spacing w:line="312" w:lineRule="auto"/>
        <w:ind w:firstLine="119"/>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承诺主体名称：</w:t>
      </w:r>
    </w:p>
    <w:p w14:paraId="25E932C3">
      <w:pPr>
        <w:keepNext w:val="0"/>
        <w:keepLines w:val="0"/>
        <w:pageBreakBefore w:val="0"/>
        <w:widowControl w:val="0"/>
        <w:spacing w:line="312" w:lineRule="auto"/>
        <w:ind w:firstLine="119"/>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统一社会信用代码</w:t>
      </w:r>
      <w:r>
        <w:rPr>
          <w:rFonts w:hint="eastAsia"/>
          <w:color w:val="000000" w:themeColor="text1"/>
          <w:sz w:val="24"/>
          <w:szCs w:val="24"/>
          <w:highlight w:val="none"/>
          <w:lang w:eastAsia="zh-CN"/>
          <w14:textFill>
            <w14:solidFill>
              <w14:schemeClr w14:val="tx1"/>
            </w14:solidFill>
          </w14:textFill>
        </w:rPr>
        <w:t>：</w:t>
      </w:r>
    </w:p>
    <w:p w14:paraId="5D6DABDA">
      <w:pPr>
        <w:keepNext w:val="0"/>
        <w:keepLines w:val="0"/>
        <w:pageBreakBefore w:val="0"/>
        <w:widowControl w:val="0"/>
        <w:spacing w:line="312" w:lineRule="auto"/>
        <w:ind w:firstLine="119"/>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为维护公平竞争、规范有序的市场秩序，营造诚实守信的信用环境，共同推进社会信用体系建设完善，树立企业诚信守法形象，本企业对________________________项目政府采购活动郑重承诺如下:</w:t>
      </w:r>
    </w:p>
    <w:p w14:paraId="3DB93457">
      <w:pPr>
        <w:keepNext w:val="0"/>
        <w:keepLines w:val="0"/>
        <w:pageBreakBefore w:val="0"/>
        <w:widowControl w:val="0"/>
        <w:spacing w:line="312" w:lineRule="auto"/>
        <w:ind w:firstLine="119"/>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一、对提供给注册登记部门、行业管理部门、司法部门、行业组织以及在政府采购活动中提交的所有资料的合法性、真实性、准确性和有效性负责；</w:t>
      </w:r>
    </w:p>
    <w:p w14:paraId="25F00287">
      <w:pPr>
        <w:keepNext w:val="0"/>
        <w:keepLines w:val="0"/>
        <w:pageBreakBefore w:val="0"/>
        <w:widowControl w:val="0"/>
        <w:spacing w:line="312" w:lineRule="auto"/>
        <w:ind w:firstLine="119"/>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二、严格按照国家法律、法规和规章开展采购活动，全面履行应尽的责任和义务，全面做到履约守信，具备《中华人民共和国政府采购法》第二十二条第一款规定的条件;</w:t>
      </w:r>
    </w:p>
    <w:p w14:paraId="045B644F">
      <w:pPr>
        <w:keepNext w:val="0"/>
        <w:keepLines w:val="0"/>
        <w:pageBreakBefore w:val="0"/>
        <w:widowControl w:val="0"/>
        <w:spacing w:line="312" w:lineRule="auto"/>
        <w:ind w:firstLine="119"/>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三、严格依法开展生产经营活动，主动接受行业监管，自愿接受依法开展的日常检查；违法失信经营后将自愿接受约束和惩戒，并依法承担相应责任；</w:t>
      </w:r>
    </w:p>
    <w:p w14:paraId="3E3D55B8">
      <w:pPr>
        <w:keepNext w:val="0"/>
        <w:keepLines w:val="0"/>
        <w:pageBreakBefore w:val="0"/>
        <w:widowControl w:val="0"/>
        <w:spacing w:line="312" w:lineRule="auto"/>
        <w:ind w:firstLine="119"/>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四、自觉接受行政管理部门、行业组织、社会公众、新闻舆论的监督；</w:t>
      </w:r>
    </w:p>
    <w:p w14:paraId="221A584A">
      <w:pPr>
        <w:keepNext w:val="0"/>
        <w:keepLines w:val="0"/>
        <w:pageBreakBefore w:val="0"/>
        <w:widowControl w:val="0"/>
        <w:spacing w:line="312" w:lineRule="auto"/>
        <w:ind w:firstLine="119"/>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五、自觉做到自我约束、自我管理，不制假售假、商标侵权、虚假宣传、违约毁约、恶意逃债、偷税漏税、垄断和不正当竞争，维护经营者、消费者的合法权益；</w:t>
      </w:r>
    </w:p>
    <w:p w14:paraId="37698F77">
      <w:pPr>
        <w:keepNext w:val="0"/>
        <w:keepLines w:val="0"/>
        <w:pageBreakBefore w:val="0"/>
        <w:widowControl w:val="0"/>
        <w:spacing w:line="312" w:lineRule="auto"/>
        <w:ind w:firstLine="119"/>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六、提出政府采购质疑和投诉坚持依法依规、诚实信用原则，在全国范围12个月内没有三次以上查无实据的政府采购投诉；</w:t>
      </w:r>
    </w:p>
    <w:p w14:paraId="698B5C91">
      <w:pPr>
        <w:keepNext w:val="0"/>
        <w:keepLines w:val="0"/>
        <w:pageBreakBefore w:val="0"/>
        <w:widowControl w:val="0"/>
        <w:spacing w:line="312" w:lineRule="auto"/>
        <w:ind w:firstLine="119"/>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七、严格遵守信用信息公示相关规定，向社会公示信用信息；</w:t>
      </w:r>
    </w:p>
    <w:p w14:paraId="4AEF642C">
      <w:pPr>
        <w:keepNext w:val="0"/>
        <w:keepLines w:val="0"/>
        <w:pageBreakBefore w:val="0"/>
        <w:widowControl w:val="0"/>
        <w:spacing w:line="312" w:lineRule="auto"/>
        <w:ind w:firstLine="119"/>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八、在“信用中国”和“中国政府采购网”网站中无违法违规、较重或严重失信记录；</w:t>
      </w:r>
    </w:p>
    <w:p w14:paraId="45A84EC4">
      <w:pPr>
        <w:keepNext w:val="0"/>
        <w:keepLines w:val="0"/>
        <w:pageBreakBefore w:val="0"/>
        <w:widowControl w:val="0"/>
        <w:spacing w:line="312" w:lineRule="auto"/>
        <w:ind w:firstLine="119"/>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九、如违反承诺，自愿接受管理部门依法给予的行政处罚，同意将违反承诺的行为作为不良记录记入信用档案，依法依规进行信息公示，并承担所产生的一切法律责任和经济损失。</w:t>
      </w:r>
    </w:p>
    <w:p w14:paraId="721F926C">
      <w:pPr>
        <w:keepNext w:val="0"/>
        <w:keepLines w:val="0"/>
        <w:pageBreakBefore w:val="0"/>
        <w:widowControl w:val="0"/>
        <w:spacing w:line="312" w:lineRule="auto"/>
        <w:ind w:firstLine="119"/>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十、本承诺书自签订之日起生效。</w:t>
      </w:r>
    </w:p>
    <w:p w14:paraId="68E7BF34">
      <w:pPr>
        <w:keepNext w:val="0"/>
        <w:keepLines w:val="0"/>
        <w:pageBreakBefore w:val="0"/>
        <w:widowControl w:val="0"/>
        <w:spacing w:line="312" w:lineRule="auto"/>
        <w:ind w:firstLine="119"/>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（注：法定代表人或负责人、主体名称发生变更的应当重新做出承诺。）</w:t>
      </w:r>
    </w:p>
    <w:p w14:paraId="7E03BA3A">
      <w:pPr>
        <w:keepNext w:val="0"/>
        <w:keepLines w:val="0"/>
        <w:pageBreakBefore w:val="0"/>
        <w:widowControl w:val="0"/>
        <w:spacing w:line="312" w:lineRule="auto"/>
        <w:ind w:firstLine="119"/>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承诺单位（加盖CA电子公章）：           </w:t>
      </w:r>
    </w:p>
    <w:p w14:paraId="2C11B6A5">
      <w:pPr>
        <w:keepNext w:val="0"/>
        <w:keepLines w:val="0"/>
        <w:pageBreakBefore w:val="0"/>
        <w:widowControl w:val="0"/>
        <w:spacing w:line="312" w:lineRule="auto"/>
        <w:ind w:firstLine="119"/>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年    月    日</w:t>
      </w:r>
    </w:p>
    <w:p w14:paraId="493D6421">
      <w:pPr>
        <w:ind w:firstLine="320"/>
        <w:rPr>
          <w:rFonts w:hint="eastAsia" w:ascii="黑体" w:hAnsi="黑体" w:eastAsia="黑体"/>
          <w:i/>
          <w:color w:val="000000" w:themeColor="text1"/>
          <w:sz w:val="32"/>
          <w:szCs w:val="32"/>
          <w:highlight w:val="none"/>
          <w:u w:val="single"/>
          <w14:textFill>
            <w14:solidFill>
              <w14:schemeClr w14:val="tx1"/>
            </w14:solidFill>
          </w14:textFill>
        </w:rPr>
      </w:pPr>
    </w:p>
    <w:p w14:paraId="255BDA25">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br w:type="page" w:clear="all"/>
      </w:r>
    </w:p>
    <w:p w14:paraId="2AB35477">
      <w:pPr>
        <w:ind w:firstLine="320"/>
        <w:jc w:val="left"/>
        <w:rPr>
          <w:rFonts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t>七、特定资格要求的证明文件</w:t>
      </w:r>
    </w:p>
    <w:p w14:paraId="0DF4D439">
      <w:pPr>
        <w:spacing w:line="460" w:lineRule="exact"/>
        <w:ind w:firstLine="120"/>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如果本项目申请人的特定资格要求中要求提供的，必须提供。  </w:t>
      </w:r>
    </w:p>
    <w:p w14:paraId="1CAC5FCF">
      <w:pPr>
        <w:spacing w:line="460" w:lineRule="exact"/>
        <w:ind w:firstLine="120"/>
        <w:rPr>
          <w:bCs/>
          <w:color w:val="000000" w:themeColor="text1"/>
          <w:sz w:val="24"/>
          <w:highlight w:val="none"/>
          <w14:textFill>
            <w14:solidFill>
              <w14:schemeClr w14:val="tx1"/>
            </w14:solidFill>
          </w14:textFill>
        </w:rPr>
      </w:pPr>
    </w:p>
    <w:p w14:paraId="7F3619B0">
      <w:pPr>
        <w:ind w:firstLine="160"/>
        <w:jc w:val="left"/>
        <w:rPr>
          <w:rFonts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t>八、法人授权书</w:t>
      </w:r>
    </w:p>
    <w:p w14:paraId="1990C744">
      <w:pPr>
        <w:pStyle w:val="283"/>
        <w:ind w:firstLine="12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本授权书声明：____________（投标人名称）授权________________（被授权人的姓名）为我方就</w:t>
      </w:r>
      <w:r>
        <w:rPr>
          <w:rFonts w:hint="eastAsia" w:ascii="经典仿宋简" w:hAnsi="经典仿宋简" w:eastAsia="经典仿宋简" w:cs="经典仿宋简"/>
          <w:color w:val="000000" w:themeColor="text1"/>
          <w:sz w:val="22"/>
          <w:szCs w:val="22"/>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号项目采购活动的合法代理人，以本单位名义全权处理一切与该项目采购有关的事务。</w:t>
      </w:r>
    </w:p>
    <w:p w14:paraId="3CE8DB97">
      <w:pPr>
        <w:pStyle w:val="283"/>
        <w:ind w:firstLine="12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本授权书于______年____月____日起生效，特此声明。</w:t>
      </w:r>
    </w:p>
    <w:p w14:paraId="239D22A4">
      <w:pPr>
        <w:pStyle w:val="283"/>
        <w:ind w:firstLine="120"/>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被授权人身份证号码：</w:t>
      </w:r>
      <w:r>
        <w:rPr>
          <w:rFonts w:hint="eastAsia"/>
          <w:color w:val="000000" w:themeColor="text1"/>
          <w:sz w:val="24"/>
          <w:szCs w:val="24"/>
          <w:highlight w:val="none"/>
          <w:u w:val="single"/>
          <w14:textFill>
            <w14:solidFill>
              <w14:schemeClr w14:val="tx1"/>
            </w14:solidFill>
          </w14:textFill>
        </w:rPr>
        <w:t xml:space="preserve">                              </w:t>
      </w:r>
    </w:p>
    <w:p w14:paraId="2BCAF666">
      <w:pPr>
        <w:pStyle w:val="283"/>
        <w:ind w:firstLine="120"/>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被授权人联系电话：（手机）</w:t>
      </w:r>
      <w:r>
        <w:rPr>
          <w:rFonts w:hint="eastAsia"/>
          <w:color w:val="000000" w:themeColor="text1"/>
          <w:sz w:val="24"/>
          <w:szCs w:val="24"/>
          <w:highlight w:val="none"/>
          <w:u w:val="single"/>
          <w14:textFill>
            <w14:solidFill>
              <w14:schemeClr w14:val="tx1"/>
            </w14:solidFill>
          </w14:textFill>
        </w:rPr>
        <w:t xml:space="preserve">                          </w:t>
      </w:r>
    </w:p>
    <w:p w14:paraId="08077230">
      <w:pPr>
        <w:pStyle w:val="283"/>
        <w:ind w:firstLine="12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授权单位名称：</w:t>
      </w:r>
      <w:r>
        <w:rPr>
          <w:rFonts w:hint="eastAsia"/>
          <w:color w:val="000000" w:themeColor="text1"/>
          <w:sz w:val="24"/>
          <w:szCs w:val="24"/>
          <w:highlight w:val="none"/>
          <w:u w:val="single"/>
          <w14:textFill>
            <w14:solidFill>
              <w14:schemeClr w14:val="tx1"/>
            </w14:solidFill>
          </w14:textFill>
        </w:rPr>
        <w:t>（加盖CA电子公章）</w:t>
      </w:r>
    </w:p>
    <w:p w14:paraId="75D65B3F">
      <w:pPr>
        <w:pStyle w:val="283"/>
        <w:ind w:firstLine="120"/>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单位地址：</w:t>
      </w:r>
      <w:r>
        <w:rPr>
          <w:rFonts w:hint="eastAsia"/>
          <w:color w:val="000000" w:themeColor="text1"/>
          <w:sz w:val="24"/>
          <w:szCs w:val="24"/>
          <w:highlight w:val="none"/>
          <w:u w:val="single"/>
          <w14:textFill>
            <w14:solidFill>
              <w14:schemeClr w14:val="tx1"/>
            </w14:solidFill>
          </w14:textFill>
        </w:rPr>
        <w:t xml:space="preserve">                                         </w:t>
      </w:r>
    </w:p>
    <w:p w14:paraId="0321C911">
      <w:pPr>
        <w:pStyle w:val="283"/>
        <w:ind w:firstLine="12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日期：</w:t>
      </w:r>
      <w:bookmarkStart w:id="60" w:name="_Hlt26671380"/>
      <w:bookmarkEnd w:id="60"/>
      <w:bookmarkStart w:id="61" w:name="_Hlt26955070"/>
      <w:bookmarkEnd w:id="61"/>
      <w:bookmarkStart w:id="62" w:name="_格式3__银行出具的资信证明"/>
      <w:bookmarkEnd w:id="62"/>
      <w:r>
        <w:rPr>
          <w:rFonts w:hint="eastAsia"/>
          <w:color w:val="000000" w:themeColor="text1"/>
          <w:sz w:val="24"/>
          <w:szCs w:val="24"/>
          <w:highlight w:val="none"/>
          <w:u w:val="single"/>
          <w14:textFill>
            <w14:solidFill>
              <w14:schemeClr w14:val="tx1"/>
            </w14:solidFill>
          </w14:textFill>
        </w:rPr>
        <w:t xml:space="preserve">                                         </w:t>
      </w:r>
    </w:p>
    <w:p w14:paraId="6C8D0498">
      <w:pPr>
        <w:pStyle w:val="243"/>
        <w:ind w:firstLine="120"/>
        <w:rPr>
          <w:i/>
          <w:color w:val="000000" w:themeColor="text1"/>
          <w:sz w:val="24"/>
          <w:szCs w:val="24"/>
          <w:highlight w:val="none"/>
          <w:u w:val="single"/>
          <w14:textFill>
            <w14:solidFill>
              <w14:schemeClr w14:val="tx1"/>
            </w14:solidFill>
          </w14:textFill>
        </w:rPr>
      </w:pPr>
    </w:p>
    <w:p w14:paraId="11F52AB6">
      <w:pPr>
        <w:pStyle w:val="243"/>
        <w:ind w:firstLine="100"/>
        <w:rPr>
          <w:color w:val="000000" w:themeColor="text1"/>
          <w:highlight w:val="none"/>
          <w14:textFill>
            <w14:solidFill>
              <w14:schemeClr w14:val="tx1"/>
            </w14:solidFill>
          </w14:textFill>
        </w:rPr>
      </w:pPr>
    </w:p>
    <w:p w14:paraId="759A15FB">
      <w:pPr>
        <w:spacing w:line="460" w:lineRule="exact"/>
        <w:ind w:firstLine="120"/>
        <w:rPr>
          <w:rFonts w:ascii="楷体" w:hAnsi="楷体" w:eastAsia="楷体"/>
          <w:bCs/>
          <w:color w:val="000000" w:themeColor="text1"/>
          <w:sz w:val="24"/>
          <w:szCs w:val="24"/>
          <w:highlight w:val="none"/>
          <w14:textFill>
            <w14:solidFill>
              <w14:schemeClr w14:val="tx1"/>
            </w14:solidFill>
          </w14:textFill>
        </w:rPr>
      </w:pPr>
    </w:p>
    <w:p w14:paraId="75DD3F63">
      <w:pPr>
        <w:spacing w:line="460" w:lineRule="exact"/>
        <w:ind w:firstLine="120"/>
        <w:rPr>
          <w:bCs/>
          <w:color w:val="000000" w:themeColor="text1"/>
          <w:sz w:val="24"/>
          <w:highlight w:val="none"/>
          <w14:textFill>
            <w14:solidFill>
              <w14:schemeClr w14:val="tx1"/>
            </w14:solidFill>
          </w14:textFill>
        </w:rPr>
      </w:pPr>
    </w:p>
    <w:p w14:paraId="007CEC67">
      <w:pPr>
        <w:pStyle w:val="284"/>
        <w:ind w:firstLine="120"/>
        <w:jc w:val="center"/>
        <w:rPr>
          <w:rFonts w:ascii="黑体" w:hAnsi="黑体" w:eastAsia="黑体"/>
          <w:bCs w:val="0"/>
          <w:i/>
          <w:color w:val="000000" w:themeColor="text1"/>
          <w:sz w:val="32"/>
          <w:szCs w:val="32"/>
          <w:highlight w:val="none"/>
          <w:u w:val="single"/>
          <w14:textFill>
            <w14:solidFill>
              <w14:schemeClr w14:val="tx1"/>
            </w14:solidFill>
          </w14:textFill>
        </w:rPr>
      </w:pPr>
      <w:r>
        <w:rPr>
          <w:rFonts w:ascii="宋体" w:hAnsi="宋体"/>
          <w:bCs w:val="0"/>
          <w:color w:val="000000" w:themeColor="text1"/>
          <w:sz w:val="24"/>
          <w:highlight w:val="none"/>
          <w14:textFill>
            <w14:solidFill>
              <w14:schemeClr w14:val="tx1"/>
            </w14:solidFill>
          </w14:textFill>
        </w:rPr>
        <w:br w:type="page" w:clear="all"/>
      </w:r>
      <w:r>
        <w:rPr>
          <w:rFonts w:hint="eastAsia" w:ascii="黑体" w:hAnsi="黑体" w:eastAsia="黑体"/>
          <w:bCs w:val="0"/>
          <w:i/>
          <w:color w:val="000000" w:themeColor="text1"/>
          <w:sz w:val="32"/>
          <w:szCs w:val="32"/>
          <w:highlight w:val="none"/>
          <w:u w:val="single"/>
          <w14:textFill>
            <w14:solidFill>
              <w14:schemeClr w14:val="tx1"/>
            </w14:solidFill>
          </w14:textFill>
        </w:rPr>
        <w:t>九、投标函</w:t>
      </w:r>
    </w:p>
    <w:p w14:paraId="05A9598B">
      <w:pPr>
        <w:pStyle w:val="220"/>
        <w:spacing w:before="0" w:after="0" w:line="420" w:lineRule="exact"/>
        <w:ind w:firstLine="1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致：</w:t>
      </w:r>
      <w:r>
        <w:rPr>
          <w:rFonts w:hint="eastAsia" w:ascii="宋体" w:hAnsi="宋体" w:cs="宋体"/>
          <w:color w:val="000000" w:themeColor="text1"/>
          <w:szCs w:val="21"/>
          <w:highlight w:val="none"/>
          <w:lang w:eastAsia="zh-CN"/>
          <w14:textFill>
            <w14:solidFill>
              <w14:schemeClr w14:val="tx1"/>
            </w14:solidFill>
          </w14:textFill>
        </w:rPr>
        <w:t>扬州诚庆工程咨询管理有限公司</w:t>
      </w:r>
    </w:p>
    <w:p w14:paraId="79013522">
      <w:pPr>
        <w:pStyle w:val="220"/>
        <w:spacing w:before="0" w:after="0" w:line="420" w:lineRule="exact"/>
        <w:ind w:firstLine="1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根据贵方的</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号招标文件，正式授权下述签字人______(姓名)代表我方______________（投标人的名称），全权处理本次项目投标的有关事宜。</w:t>
      </w:r>
    </w:p>
    <w:p w14:paraId="6B77144C">
      <w:pPr>
        <w:pStyle w:val="220"/>
        <w:spacing w:before="0" w:after="0" w:line="420" w:lineRule="exact"/>
        <w:ind w:firstLine="1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据此函，__________签字人兹宣布同意如下：</w:t>
      </w:r>
    </w:p>
    <w:p w14:paraId="515409D2">
      <w:pPr>
        <w:pStyle w:val="220"/>
        <w:spacing w:before="0" w:after="0" w:line="420" w:lineRule="exact"/>
        <w:ind w:firstLine="1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1.按招标文件规定的各项要求，向</w:t>
      </w:r>
      <w:r>
        <w:rPr>
          <w:rFonts w:hint="eastAsia" w:ascii="宋体" w:hAnsi="宋体"/>
          <w:color w:val="000000" w:themeColor="text1"/>
          <w:szCs w:val="21"/>
          <w:highlight w:val="none"/>
          <w:lang w:val="en-US" w:eastAsia="zh-CN"/>
          <w14:textFill>
            <w14:solidFill>
              <w14:schemeClr w14:val="tx1"/>
            </w14:solidFill>
          </w14:textFill>
        </w:rPr>
        <w:t>供应商</w:t>
      </w:r>
      <w:r>
        <w:rPr>
          <w:rFonts w:hint="eastAsia" w:ascii="宋体" w:hAnsi="宋体"/>
          <w:color w:val="000000" w:themeColor="text1"/>
          <w:szCs w:val="21"/>
          <w:highlight w:val="none"/>
          <w14:textFill>
            <w14:solidFill>
              <w14:schemeClr w14:val="tx1"/>
            </w14:solidFill>
          </w14:textFill>
        </w:rPr>
        <w:t>提供所需服务（包含与服务相关的货物）。</w:t>
      </w:r>
    </w:p>
    <w:p w14:paraId="45EA131F">
      <w:pPr>
        <w:pStyle w:val="220"/>
        <w:spacing w:before="0" w:after="0" w:line="420" w:lineRule="exact"/>
        <w:ind w:firstLine="1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2.我们完全理解贵方不一定将合同授予最低报价的投标人。</w:t>
      </w:r>
    </w:p>
    <w:p w14:paraId="7779A3A0">
      <w:pPr>
        <w:pStyle w:val="220"/>
        <w:spacing w:before="0" w:after="0" w:line="420" w:lineRule="exact"/>
        <w:ind w:firstLine="1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3.我们已详细审核全部招标文件及其有效补充文件，我们知道必须放弃提出含糊不清或误解问题的权利。</w:t>
      </w:r>
    </w:p>
    <w:p w14:paraId="35E2E6BC">
      <w:pPr>
        <w:pStyle w:val="220"/>
        <w:spacing w:before="0" w:after="0" w:line="420" w:lineRule="exact"/>
        <w:ind w:firstLine="1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4.我们同意从规定的开标日期起遵循本投标文件，并在规定的投标有效期期满之前均具有约束力。</w:t>
      </w:r>
    </w:p>
    <w:p w14:paraId="17D48A2A">
      <w:pPr>
        <w:pStyle w:val="220"/>
        <w:spacing w:before="0" w:after="0" w:line="420" w:lineRule="exact"/>
        <w:ind w:firstLine="1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.同意向贵方提供贵方可能另外要求的与投标有关的任何证据或资料，并保证我方已提供和将要提供的文件是真实的、准确的。</w:t>
      </w:r>
    </w:p>
    <w:p w14:paraId="667F8924">
      <w:pPr>
        <w:pStyle w:val="220"/>
        <w:spacing w:before="0" w:after="0" w:line="420" w:lineRule="exact"/>
        <w:ind w:firstLine="1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.一旦我方中标,我方将根据招标文件的规定，严格履行合同的责任和义务,并保证在招标文件规定的时间完成项目，交付</w:t>
      </w:r>
      <w:r>
        <w:rPr>
          <w:rFonts w:hint="eastAsia" w:ascii="宋体" w:hAnsi="宋体"/>
          <w:color w:val="000000" w:themeColor="text1"/>
          <w:szCs w:val="21"/>
          <w:highlight w:val="none"/>
          <w:lang w:val="en-US" w:eastAsia="zh-CN"/>
          <w14:textFill>
            <w14:solidFill>
              <w14:schemeClr w14:val="tx1"/>
            </w14:solidFill>
          </w14:textFill>
        </w:rPr>
        <w:t>采购人</w:t>
      </w:r>
      <w:r>
        <w:rPr>
          <w:rFonts w:hint="eastAsia" w:ascii="宋体" w:hAnsi="宋体"/>
          <w:color w:val="000000" w:themeColor="text1"/>
          <w:szCs w:val="21"/>
          <w:highlight w:val="none"/>
          <w14:textFill>
            <w14:solidFill>
              <w14:schemeClr w14:val="tx1"/>
            </w14:solidFill>
          </w14:textFill>
        </w:rPr>
        <w:t>验收、使用。</w:t>
      </w:r>
    </w:p>
    <w:p w14:paraId="42E52B30">
      <w:pPr>
        <w:pStyle w:val="220"/>
        <w:spacing w:before="0" w:after="0" w:line="420" w:lineRule="exact"/>
        <w:ind w:firstLine="1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.与本投标有关的正式通讯地址为：</w:t>
      </w:r>
    </w:p>
    <w:p w14:paraId="479DF3C4">
      <w:pPr>
        <w:pStyle w:val="220"/>
        <w:spacing w:before="0" w:after="0" w:line="420" w:lineRule="exact"/>
        <w:ind w:left="420" w:firstLine="1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          址：</w:t>
      </w:r>
    </w:p>
    <w:p w14:paraId="03E5397A">
      <w:pPr>
        <w:pStyle w:val="220"/>
        <w:spacing w:before="0" w:after="0" w:line="420" w:lineRule="exact"/>
        <w:ind w:left="420" w:firstLine="1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邮          编：</w:t>
      </w:r>
    </w:p>
    <w:p w14:paraId="61F73E58">
      <w:pPr>
        <w:pStyle w:val="220"/>
        <w:spacing w:before="0" w:after="0" w:line="420" w:lineRule="exact"/>
        <w:ind w:left="420" w:firstLine="1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          话：</w:t>
      </w:r>
    </w:p>
    <w:p w14:paraId="1BA7441D">
      <w:pPr>
        <w:pStyle w:val="220"/>
        <w:spacing w:before="0" w:after="0" w:line="420" w:lineRule="exact"/>
        <w:ind w:left="420" w:firstLine="1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传          真：</w:t>
      </w:r>
    </w:p>
    <w:p w14:paraId="03820A3E">
      <w:pPr>
        <w:pStyle w:val="220"/>
        <w:spacing w:before="0" w:after="0" w:line="420" w:lineRule="exact"/>
        <w:ind w:left="420" w:firstLine="1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投标人开户行：</w:t>
      </w:r>
    </w:p>
    <w:p w14:paraId="7410C1A7">
      <w:pPr>
        <w:pStyle w:val="220"/>
        <w:spacing w:before="0" w:after="0" w:line="420" w:lineRule="exact"/>
        <w:ind w:left="420" w:firstLine="1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号： </w:t>
      </w:r>
    </w:p>
    <w:p w14:paraId="1D2D444C">
      <w:pPr>
        <w:pStyle w:val="220"/>
        <w:spacing w:before="0" w:after="0" w:line="420" w:lineRule="exact"/>
        <w:ind w:left="420" w:firstLine="1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           期：________年____月____日</w:t>
      </w:r>
    </w:p>
    <w:p w14:paraId="4A00D6E9">
      <w:pPr>
        <w:spacing w:line="560" w:lineRule="exact"/>
        <w:ind w:firstLine="120"/>
        <w:jc w:val="center"/>
        <w:rPr>
          <w:bCs/>
          <w:color w:val="000000" w:themeColor="text1"/>
          <w:sz w:val="24"/>
          <w:highlight w:val="none"/>
          <w14:textFill>
            <w14:solidFill>
              <w14:schemeClr w14:val="tx1"/>
            </w14:solidFill>
          </w14:textFill>
        </w:rPr>
      </w:pPr>
    </w:p>
    <w:p w14:paraId="07CEB134">
      <w:pPr>
        <w:spacing w:line="560" w:lineRule="exact"/>
        <w:ind w:firstLine="120"/>
        <w:jc w:val="center"/>
        <w:rPr>
          <w:bCs/>
          <w:color w:val="000000" w:themeColor="text1"/>
          <w:sz w:val="24"/>
          <w:highlight w:val="none"/>
          <w14:textFill>
            <w14:solidFill>
              <w14:schemeClr w14:val="tx1"/>
            </w14:solidFill>
          </w14:textFill>
        </w:rPr>
      </w:pPr>
    </w:p>
    <w:p w14:paraId="1953B75D">
      <w:pPr>
        <w:spacing w:line="560" w:lineRule="exact"/>
        <w:ind w:firstLine="120"/>
        <w:jc w:val="center"/>
        <w:rPr>
          <w:bCs/>
          <w:color w:val="000000" w:themeColor="text1"/>
          <w:sz w:val="24"/>
          <w:highlight w:val="none"/>
          <w14:textFill>
            <w14:solidFill>
              <w14:schemeClr w14:val="tx1"/>
            </w14:solidFill>
          </w14:textFill>
        </w:rPr>
      </w:pPr>
    </w:p>
    <w:p w14:paraId="6B4813C0">
      <w:pPr>
        <w:spacing w:line="560" w:lineRule="exact"/>
        <w:ind w:firstLine="120"/>
        <w:rPr>
          <w:bCs/>
          <w:color w:val="000000" w:themeColor="text1"/>
          <w:sz w:val="24"/>
          <w:highlight w:val="none"/>
          <w14:textFill>
            <w14:solidFill>
              <w14:schemeClr w14:val="tx1"/>
            </w14:solidFill>
          </w14:textFill>
        </w:rPr>
      </w:pPr>
    </w:p>
    <w:p w14:paraId="1CE8326C">
      <w:pPr>
        <w:pStyle w:val="276"/>
        <w:rPr>
          <w:bCs/>
          <w:color w:val="000000" w:themeColor="text1"/>
          <w:highlight w:val="none"/>
          <w14:textFill>
            <w14:solidFill>
              <w14:schemeClr w14:val="tx1"/>
            </w14:solidFill>
          </w14:textFill>
        </w:rPr>
      </w:pPr>
    </w:p>
    <w:p w14:paraId="549AE418">
      <w:pPr>
        <w:rPr>
          <w:color w:val="000000" w:themeColor="text1"/>
          <w:highlight w:val="none"/>
          <w14:textFill>
            <w14:solidFill>
              <w14:schemeClr w14:val="tx1"/>
            </w14:solidFill>
          </w14:textFill>
        </w:rPr>
      </w:pPr>
    </w:p>
    <w:p w14:paraId="6F480C93">
      <w:pPr>
        <w:spacing w:line="460" w:lineRule="exact"/>
        <w:ind w:firstLine="161"/>
        <w:jc w:val="center"/>
        <w:rPr>
          <w:rFonts w:ascii="黑体" w:hAnsi="黑体" w:eastAsia="黑体"/>
          <w:b/>
          <w:color w:val="000000" w:themeColor="text1"/>
          <w:sz w:val="32"/>
          <w:szCs w:val="32"/>
          <w:highlight w:val="none"/>
          <w14:textFill>
            <w14:solidFill>
              <w14:schemeClr w14:val="tx1"/>
            </w14:solidFill>
          </w14:textFill>
        </w:rPr>
      </w:pPr>
    </w:p>
    <w:p w14:paraId="16118EC4">
      <w:pPr>
        <w:spacing w:line="360" w:lineRule="auto"/>
        <w:jc w:val="both"/>
        <w:rPr>
          <w:rFonts w:hint="eastAsia" w:ascii="黑体" w:hAnsi="黑体" w:eastAsia="黑体" w:cs="宋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十、</w:t>
      </w:r>
      <w:r>
        <w:rPr>
          <w:rFonts w:hint="eastAsia" w:ascii="黑体" w:hAnsi="黑体" w:eastAsia="黑体" w:cs="宋体"/>
          <w:b/>
          <w:color w:val="000000" w:themeColor="text1"/>
          <w:sz w:val="32"/>
          <w:szCs w:val="32"/>
          <w:highlight w:val="none"/>
          <w14:textFill>
            <w14:solidFill>
              <w14:schemeClr w14:val="tx1"/>
            </w14:solidFill>
          </w14:textFill>
        </w:rPr>
        <w:t>中小企业声明函（</w:t>
      </w:r>
      <w:r>
        <w:rPr>
          <w:rFonts w:hint="eastAsia" w:ascii="黑体" w:hAnsi="黑体" w:eastAsia="黑体" w:cs="宋体"/>
          <w:b/>
          <w:color w:val="000000" w:themeColor="text1"/>
          <w:sz w:val="32"/>
          <w:szCs w:val="32"/>
          <w:highlight w:val="none"/>
          <w:lang w:val="en-US" w:eastAsia="zh-CN"/>
          <w14:textFill>
            <w14:solidFill>
              <w14:schemeClr w14:val="tx1"/>
            </w14:solidFill>
          </w14:textFill>
        </w:rPr>
        <w:t>服务</w:t>
      </w:r>
      <w:r>
        <w:rPr>
          <w:rFonts w:hint="eastAsia" w:ascii="黑体" w:hAnsi="黑体" w:eastAsia="黑体" w:cs="宋体"/>
          <w:b/>
          <w:color w:val="000000" w:themeColor="text1"/>
          <w:sz w:val="32"/>
          <w:szCs w:val="32"/>
          <w:highlight w:val="none"/>
          <w14:textFill>
            <w14:solidFill>
              <w14:schemeClr w14:val="tx1"/>
            </w14:solidFill>
          </w14:textFill>
        </w:rPr>
        <w:t>）</w:t>
      </w:r>
    </w:p>
    <w:p w14:paraId="254C3177">
      <w:pPr>
        <w:spacing w:line="360" w:lineRule="auto"/>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本公司（联合体）郑重声明，根据《政府采购促进中小企业发展管理办法》（财库﹝2020﹞46 号）的规定，本公司（联合体）参加</w:t>
      </w:r>
      <w:r>
        <w:rPr>
          <w:rFonts w:hint="eastAsia"/>
          <w:color w:val="000000" w:themeColor="text1"/>
          <w:highlight w:val="none"/>
          <w:u w:val="single"/>
          <w14:textFill>
            <w14:solidFill>
              <w14:schemeClr w14:val="tx1"/>
            </w14:solidFill>
          </w14:textFill>
        </w:rPr>
        <w:t>（单位名称）</w:t>
      </w:r>
      <w:r>
        <w:rPr>
          <w:rFonts w:hint="eastAsia"/>
          <w:color w:val="000000" w:themeColor="text1"/>
          <w:highlight w:val="none"/>
          <w14:textFill>
            <w14:solidFill>
              <w14:schemeClr w14:val="tx1"/>
            </w14:solidFill>
          </w14:textFill>
        </w:rPr>
        <w:t>的</w:t>
      </w:r>
      <w:r>
        <w:rPr>
          <w:rFonts w:hint="eastAsia"/>
          <w:color w:val="000000" w:themeColor="text1"/>
          <w:highlight w:val="none"/>
          <w:u w:val="single"/>
          <w14:textFill>
            <w14:solidFill>
              <w14:schemeClr w14:val="tx1"/>
            </w14:solidFill>
          </w14:textFill>
        </w:rPr>
        <w:t>（项目名称）</w:t>
      </w:r>
      <w:r>
        <w:rPr>
          <w:rFonts w:hint="eastAsia"/>
          <w:color w:val="000000" w:themeColor="text1"/>
          <w:highlight w:val="none"/>
          <w14:textFill>
            <w14:solidFill>
              <w14:schemeClr w14:val="tx1"/>
            </w14:solidFill>
          </w14:textFill>
        </w:rPr>
        <w:t>采购活动，服务全部由符合政策要求的中小企业承接。相关企业（含联合体中的中小企业、签订分包意向协议的中小企业）的具体情况如下：</w:t>
      </w:r>
    </w:p>
    <w:p w14:paraId="233D919D">
      <w:pPr>
        <w:pageBreakBefore w:val="0"/>
        <w:pBdr>
          <w:top w:val="none" w:color="000000" w:sz="0" w:space="0"/>
          <w:left w:val="none" w:color="000000" w:sz="0" w:space="0"/>
          <w:bottom w:val="none" w:color="000000" w:sz="0" w:space="0"/>
          <w:right w:val="none" w:color="000000" w:sz="0" w:space="0"/>
        </w:pBdr>
        <w:spacing w:line="360" w:lineRule="auto"/>
        <w:ind w:firstLine="360"/>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1.</w:t>
      </w:r>
      <w:r>
        <w:rPr>
          <w:rFonts w:ascii="Times New Roman" w:hAnsi="Times New Roman" w:eastAsia="宋体" w:cs="宋体"/>
          <w:color w:val="auto"/>
          <w:sz w:val="21"/>
          <w:szCs w:val="21"/>
          <w:highlight w:val="none"/>
          <w:u w:val="single"/>
        </w:rPr>
        <w:t>（标的名称）</w:t>
      </w:r>
      <w:r>
        <w:rPr>
          <w:rFonts w:ascii="Times New Roman" w:hAnsi="Times New Roman" w:eastAsia="宋体" w:cs="宋体"/>
          <w:i/>
          <w:color w:val="auto"/>
          <w:sz w:val="21"/>
          <w:szCs w:val="21"/>
          <w:highlight w:val="none"/>
        </w:rPr>
        <w:t>，</w:t>
      </w:r>
      <w:r>
        <w:rPr>
          <w:rFonts w:ascii="Times New Roman" w:hAnsi="Times New Roman" w:eastAsia="宋体" w:cs="宋体"/>
          <w:color w:val="auto"/>
          <w:sz w:val="21"/>
          <w:szCs w:val="21"/>
          <w:highlight w:val="none"/>
        </w:rPr>
        <w:t>属于</w:t>
      </w:r>
      <w:r>
        <w:rPr>
          <w:rFonts w:hint="eastAsia" w:ascii="Times New Roman" w:hAnsi="Times New Roman" w:eastAsia="宋体" w:cs="宋体"/>
          <w:color w:val="auto"/>
          <w:sz w:val="21"/>
          <w:szCs w:val="21"/>
          <w:highlight w:val="none"/>
          <w:u w:val="single"/>
          <w:lang w:val="en-US" w:eastAsia="zh-CN"/>
        </w:rPr>
        <w:t>其他未列明</w:t>
      </w:r>
      <w:r>
        <w:rPr>
          <w:rFonts w:hint="eastAsia" w:cs="宋体"/>
          <w:color w:val="auto"/>
          <w:sz w:val="21"/>
          <w:szCs w:val="21"/>
          <w:highlight w:val="none"/>
          <w:u w:val="single"/>
          <w:lang w:val="en-US" w:eastAsia="zh-CN"/>
        </w:rPr>
        <w:t>行业</w:t>
      </w:r>
      <w:r>
        <w:rPr>
          <w:rFonts w:ascii="Times New Roman" w:hAnsi="Times New Roman" w:eastAsia="宋体" w:cs="宋体"/>
          <w:color w:val="auto"/>
          <w:sz w:val="21"/>
          <w:szCs w:val="21"/>
          <w:highlight w:val="none"/>
        </w:rPr>
        <w:t>；承接企业为</w:t>
      </w:r>
      <w:r>
        <w:rPr>
          <w:rFonts w:ascii="Times New Roman" w:hAnsi="Times New Roman" w:eastAsia="宋体" w:cs="宋体"/>
          <w:color w:val="auto"/>
          <w:sz w:val="21"/>
          <w:szCs w:val="21"/>
          <w:highlight w:val="none"/>
          <w:u w:val="single"/>
        </w:rPr>
        <w:t>（企业名称）</w:t>
      </w:r>
      <w:r>
        <w:rPr>
          <w:rFonts w:ascii="Times New Roman" w:hAnsi="Times New Roman" w:eastAsia="宋体" w:cs="宋体"/>
          <w:color w:val="auto"/>
          <w:sz w:val="21"/>
          <w:szCs w:val="21"/>
          <w:highlight w:val="none"/>
        </w:rPr>
        <w:t>，从业人员</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人，营业收入为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万元，资产总额为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万元</w:t>
      </w:r>
      <w:r>
        <w:rPr>
          <w:rFonts w:ascii="Times New Roman" w:hAnsi="Times New Roman" w:eastAsia="宋体" w:cs="宋体"/>
          <w:color w:val="auto"/>
          <w:sz w:val="21"/>
          <w:szCs w:val="21"/>
          <w:highlight w:val="none"/>
          <w:vertAlign w:val="superscript"/>
        </w:rPr>
        <w:t>1</w:t>
      </w:r>
      <w:r>
        <w:rPr>
          <w:rFonts w:ascii="Times New Roman" w:hAnsi="Times New Roman" w:eastAsia="宋体" w:cs="宋体"/>
          <w:color w:val="auto"/>
          <w:sz w:val="21"/>
          <w:szCs w:val="21"/>
          <w:highlight w:val="none"/>
        </w:rPr>
        <w:t>，属于</w:t>
      </w:r>
      <w:r>
        <w:rPr>
          <w:rFonts w:ascii="Times New Roman" w:hAnsi="Times New Roman" w:eastAsia="宋体" w:cs="宋体"/>
          <w:color w:val="auto"/>
          <w:sz w:val="21"/>
          <w:szCs w:val="21"/>
          <w:highlight w:val="none"/>
          <w:u w:val="single"/>
        </w:rPr>
        <w:t>（□中型企业 □小型企业 □微型企业）；</w:t>
      </w:r>
    </w:p>
    <w:p w14:paraId="01A163EF">
      <w:pPr>
        <w:pageBreakBefore w:val="0"/>
        <w:pBdr>
          <w:top w:val="none" w:color="000000" w:sz="0" w:space="0"/>
          <w:left w:val="none" w:color="000000" w:sz="0" w:space="0"/>
          <w:bottom w:val="none" w:color="000000" w:sz="0" w:space="0"/>
          <w:right w:val="none" w:color="000000" w:sz="0" w:space="0"/>
        </w:pBdr>
        <w:spacing w:line="360" w:lineRule="auto"/>
        <w:ind w:firstLine="360"/>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2.</w:t>
      </w:r>
      <w:r>
        <w:rPr>
          <w:rFonts w:ascii="Times New Roman" w:hAnsi="Times New Roman" w:eastAsia="宋体" w:cs="宋体"/>
          <w:color w:val="auto"/>
          <w:sz w:val="21"/>
          <w:szCs w:val="21"/>
          <w:highlight w:val="none"/>
          <w:u w:val="single"/>
        </w:rPr>
        <w:t>（标的名称）</w:t>
      </w:r>
      <w:r>
        <w:rPr>
          <w:rFonts w:ascii="Times New Roman" w:hAnsi="Times New Roman" w:eastAsia="宋体" w:cs="宋体"/>
          <w:i/>
          <w:color w:val="auto"/>
          <w:sz w:val="21"/>
          <w:szCs w:val="21"/>
          <w:highlight w:val="none"/>
        </w:rPr>
        <w:t>，</w:t>
      </w:r>
      <w:r>
        <w:rPr>
          <w:rFonts w:ascii="Times New Roman" w:hAnsi="Times New Roman" w:eastAsia="宋体" w:cs="宋体"/>
          <w:color w:val="auto"/>
          <w:sz w:val="21"/>
          <w:szCs w:val="21"/>
          <w:highlight w:val="none"/>
        </w:rPr>
        <w:t>属于</w:t>
      </w:r>
      <w:r>
        <w:rPr>
          <w:rFonts w:ascii="Times New Roman" w:hAnsi="Times New Roman" w:eastAsia="宋体" w:cs="宋体"/>
          <w:color w:val="auto"/>
          <w:sz w:val="21"/>
          <w:szCs w:val="21"/>
          <w:highlight w:val="none"/>
          <w:u w:val="single"/>
        </w:rPr>
        <w:t>（供应商填写招标文件中明确的所属行业）</w:t>
      </w:r>
      <w:r>
        <w:rPr>
          <w:rFonts w:ascii="Times New Roman" w:hAnsi="Times New Roman" w:eastAsia="宋体" w:cs="宋体"/>
          <w:color w:val="auto"/>
          <w:sz w:val="21"/>
          <w:szCs w:val="21"/>
          <w:highlight w:val="none"/>
        </w:rPr>
        <w:t>行业；承接企业为</w:t>
      </w:r>
      <w:r>
        <w:rPr>
          <w:rFonts w:ascii="Times New Roman" w:hAnsi="Times New Roman" w:eastAsia="宋体" w:cs="宋体"/>
          <w:color w:val="auto"/>
          <w:sz w:val="21"/>
          <w:szCs w:val="21"/>
          <w:highlight w:val="none"/>
          <w:u w:val="single"/>
        </w:rPr>
        <w:t>（企业名称）</w:t>
      </w:r>
      <w:r>
        <w:rPr>
          <w:rFonts w:ascii="Times New Roman" w:hAnsi="Times New Roman" w:eastAsia="宋体" w:cs="宋体"/>
          <w:color w:val="auto"/>
          <w:sz w:val="21"/>
          <w:szCs w:val="21"/>
          <w:highlight w:val="none"/>
        </w:rPr>
        <w:t>，从业人员</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人，营业收入为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万元，资产总额为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万元</w:t>
      </w:r>
      <w:r>
        <w:rPr>
          <w:rFonts w:ascii="Times New Roman" w:hAnsi="Times New Roman" w:eastAsia="宋体" w:cs="宋体"/>
          <w:color w:val="auto"/>
          <w:sz w:val="21"/>
          <w:szCs w:val="21"/>
          <w:highlight w:val="none"/>
          <w:vertAlign w:val="superscript"/>
        </w:rPr>
        <w:t>1</w:t>
      </w:r>
      <w:r>
        <w:rPr>
          <w:rFonts w:ascii="Times New Roman" w:hAnsi="Times New Roman" w:eastAsia="宋体" w:cs="宋体"/>
          <w:color w:val="auto"/>
          <w:sz w:val="21"/>
          <w:szCs w:val="21"/>
          <w:highlight w:val="none"/>
        </w:rPr>
        <w:t>，属于</w:t>
      </w:r>
      <w:r>
        <w:rPr>
          <w:rFonts w:ascii="Times New Roman" w:hAnsi="Times New Roman" w:eastAsia="宋体" w:cs="宋体"/>
          <w:color w:val="auto"/>
          <w:sz w:val="21"/>
          <w:szCs w:val="21"/>
          <w:highlight w:val="none"/>
          <w:u w:val="single"/>
        </w:rPr>
        <w:t>（□中型企业 □小型企业 □微型企业）；</w:t>
      </w:r>
    </w:p>
    <w:p w14:paraId="2170EE0E">
      <w:pPr>
        <w:pageBreakBefore w:val="0"/>
        <w:pBdr>
          <w:top w:val="none" w:color="000000" w:sz="0" w:space="0"/>
          <w:left w:val="none" w:color="000000" w:sz="0" w:space="0"/>
          <w:bottom w:val="none" w:color="000000" w:sz="0" w:space="0"/>
          <w:right w:val="none" w:color="000000" w:sz="0" w:space="0"/>
        </w:pBdr>
        <w:spacing w:line="360" w:lineRule="auto"/>
        <w:ind w:firstLine="360"/>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w:t>
      </w:r>
    </w:p>
    <w:p w14:paraId="2B07B061">
      <w:pPr>
        <w:pageBreakBefore w:val="0"/>
        <w:pBdr>
          <w:top w:val="none" w:color="000000" w:sz="0" w:space="0"/>
          <w:left w:val="none" w:color="000000" w:sz="0" w:space="0"/>
          <w:bottom w:val="none" w:color="000000" w:sz="0" w:space="0"/>
          <w:right w:val="none" w:color="000000" w:sz="0" w:space="0"/>
        </w:pBdr>
        <w:spacing w:line="360" w:lineRule="auto"/>
        <w:ind w:firstLine="360"/>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以上企业，不属于大企业的分支机构，不存在控股股东为大企业的情形，也不存在与大企业的负责人为同一人的情形。</w:t>
      </w:r>
    </w:p>
    <w:p w14:paraId="60CF0D63">
      <w:pPr>
        <w:pageBreakBefore w:val="0"/>
        <w:pBdr>
          <w:top w:val="none" w:color="000000" w:sz="0" w:space="0"/>
          <w:left w:val="none" w:color="000000" w:sz="0" w:space="0"/>
          <w:bottom w:val="none" w:color="000000" w:sz="0" w:space="0"/>
          <w:right w:val="none" w:color="000000" w:sz="0" w:space="0"/>
        </w:pBdr>
        <w:spacing w:line="360" w:lineRule="auto"/>
        <w:ind w:firstLine="360"/>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本企业对上述声明内容的真实性负责。如有虚假，将依法承担相应责任</w:t>
      </w:r>
    </w:p>
    <w:p w14:paraId="1A14AE66">
      <w:pPr>
        <w:pageBreakBefore w:val="0"/>
        <w:pBdr>
          <w:top w:val="none" w:color="000000" w:sz="0" w:space="0"/>
          <w:left w:val="none" w:color="000000" w:sz="0" w:space="0"/>
          <w:bottom w:val="none" w:color="000000" w:sz="0" w:space="0"/>
          <w:right w:val="none" w:color="000000" w:sz="0" w:space="0"/>
        </w:pBdr>
        <w:spacing w:line="360" w:lineRule="auto"/>
        <w:ind w:right="72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w:t>
      </w:r>
    </w:p>
    <w:p w14:paraId="32E7B956">
      <w:pPr>
        <w:pageBreakBefore w:val="0"/>
        <w:pBdr>
          <w:top w:val="none" w:color="000000" w:sz="0" w:space="0"/>
          <w:left w:val="none" w:color="000000" w:sz="0" w:space="0"/>
          <w:bottom w:val="none" w:color="000000" w:sz="0" w:space="0"/>
          <w:right w:val="none" w:color="000000" w:sz="0" w:space="0"/>
        </w:pBdr>
        <w:spacing w:line="360" w:lineRule="auto"/>
        <w:ind w:right="180" w:firstLine="360"/>
        <w:jc w:val="right"/>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企业名称（加盖CA电子公章）：</w:t>
      </w:r>
    </w:p>
    <w:p w14:paraId="38FEF2B0">
      <w:pPr>
        <w:pageBreakBefore w:val="0"/>
        <w:pBdr>
          <w:top w:val="none" w:color="000000" w:sz="0" w:space="0"/>
          <w:left w:val="none" w:color="000000" w:sz="0" w:space="0"/>
          <w:bottom w:val="none" w:color="000000" w:sz="0" w:space="0"/>
          <w:right w:val="none" w:color="000000" w:sz="0" w:space="0"/>
        </w:pBdr>
        <w:spacing w:line="360" w:lineRule="auto"/>
        <w:ind w:right="480" w:firstLine="5400"/>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日  期：</w:t>
      </w:r>
    </w:p>
    <w:p w14:paraId="5CD08657">
      <w:pPr>
        <w:pStyle w:val="239"/>
        <w:rPr>
          <w:color w:val="000000" w:themeColor="text1"/>
          <w:highlight w:val="none"/>
          <w14:textFill>
            <w14:solidFill>
              <w14:schemeClr w14:val="tx1"/>
            </w14:solidFill>
          </w14:textFill>
        </w:rPr>
      </w:pPr>
    </w:p>
    <w:p w14:paraId="3831DC7E">
      <w:pPr>
        <w:spacing w:line="380" w:lineRule="exact"/>
        <w:jc w:val="left"/>
        <w:rPr>
          <w:rFonts w:hint="eastAsia" w:ascii="宋体" w:hAnsi="宋体" w:eastAsia="宋体" w:cs="宋体"/>
          <w:color w:val="000000" w:themeColor="text1"/>
          <w:highlight w:val="none"/>
          <w14:textFill>
            <w14:solidFill>
              <w14:schemeClr w14:val="tx1"/>
            </w14:solidFill>
          </w14:textFill>
        </w:rPr>
      </w:pPr>
      <w:bookmarkStart w:id="63" w:name="_Hlk116216083"/>
      <w:r>
        <w:rPr>
          <w:rFonts w:hint="eastAsia" w:ascii="宋体" w:hAnsi="宋体" w:eastAsia="宋体" w:cs="宋体"/>
          <w:color w:val="000000" w:themeColor="text1"/>
          <w:highlight w:val="none"/>
          <w14:textFill>
            <w14:solidFill>
              <w14:schemeClr w14:val="tx1"/>
            </w14:solidFill>
          </w14:textFill>
        </w:rPr>
        <w:t>注： 1、从业人员（不仅指在职职工）、营业收入、资产总额填报上一年度数据，无上一年度数据的新成立企业可不填报。</w:t>
      </w:r>
      <w:bookmarkEnd w:id="63"/>
    </w:p>
    <w:p w14:paraId="71A582FF">
      <w:pPr>
        <w:spacing w:line="380" w:lineRule="exact"/>
        <w:ind w:firstLine="42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2、供应商如不提供此声明函，价格将不做相应扣除。</w:t>
      </w:r>
    </w:p>
    <w:p w14:paraId="0B8A602D">
      <w:pPr>
        <w:spacing w:line="380" w:lineRule="exact"/>
        <w:ind w:firstLine="42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3、企业声明函请完整填写，中标后将公示。</w:t>
      </w:r>
    </w:p>
    <w:p w14:paraId="4CBC8ED8">
      <w:pPr>
        <w:spacing w:line="380" w:lineRule="exact"/>
        <w:ind w:firstLine="42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14:paraId="1572794F">
      <w:pPr>
        <w:spacing w:line="380" w:lineRule="exact"/>
        <w:ind w:firstLine="42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5、中小企业不得属于大企业的分支机构，不得存在控股股东为大企业的情形，不得存在与大企业的负责人为同一人的情形。</w:t>
      </w:r>
    </w:p>
    <w:p w14:paraId="5C4698E3">
      <w:pPr>
        <w:spacing w:line="380" w:lineRule="exact"/>
        <w:ind w:firstLine="42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60BDC369">
      <w:pPr>
        <w:spacing w:line="560" w:lineRule="exact"/>
        <w:ind w:right="720" w:firstLine="12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           </w:t>
      </w:r>
    </w:p>
    <w:p w14:paraId="19618FD0">
      <w:pPr>
        <w:keepNext/>
        <w:keepLines/>
        <w:spacing w:before="300" w:after="300" w:line="360" w:lineRule="auto"/>
        <w:jc w:val="center"/>
        <w:outlineLvl w:val="1"/>
        <w:rPr>
          <w:rFonts w:ascii="Arial" w:hAnsi="Arial" w:eastAsia="幼圆" w:cs="Arial"/>
          <w:b/>
          <w:bCs/>
          <w:color w:val="000000" w:themeColor="text1"/>
          <w:highlight w:val="none"/>
          <w14:textFill>
            <w14:solidFill>
              <w14:schemeClr w14:val="tx1"/>
            </w14:solidFill>
          </w14:textFill>
        </w:rPr>
      </w:pPr>
      <w:bookmarkStart w:id="64" w:name="_Toc150519795"/>
      <w:r>
        <w:rPr>
          <w:rFonts w:hint="eastAsia" w:ascii="Arial" w:hAnsi="Arial" w:eastAsia="幼圆" w:cs="微软雅黑"/>
          <w:b/>
          <w:bCs/>
          <w:color w:val="000000" w:themeColor="text1"/>
          <w:highlight w:val="none"/>
          <w14:textFill>
            <w14:solidFill>
              <w14:schemeClr w14:val="tx1"/>
            </w14:solidFill>
          </w14:textFill>
        </w:rPr>
        <w:t>中小微企业划型标准</w:t>
      </w:r>
      <w:bookmarkEnd w:id="64"/>
    </w:p>
    <w:p w14:paraId="59E543F9">
      <w:pPr>
        <w:spacing w:before="300" w:after="452"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中小微企业划型标准如下：</w:t>
      </w:r>
    </w:p>
    <w:tbl>
      <w:tblPr>
        <w:tblStyle w:val="46"/>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491"/>
        <w:gridCol w:w="1748"/>
        <w:gridCol w:w="732"/>
        <w:gridCol w:w="1922"/>
        <w:gridCol w:w="1739"/>
        <w:gridCol w:w="1545"/>
      </w:tblGrid>
      <w:tr w14:paraId="3506952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trPr>
        <w:tc>
          <w:tcPr>
            <w:tcW w:w="1491" w:type="dxa"/>
            <w:noWrap w:val="0"/>
            <w:tcMar>
              <w:top w:w="0" w:type="dxa"/>
              <w:left w:w="105" w:type="dxa"/>
              <w:bottom w:w="0" w:type="dxa"/>
              <w:right w:w="105" w:type="dxa"/>
            </w:tcMar>
            <w:vAlign w:val="center"/>
          </w:tcPr>
          <w:p w14:paraId="0147C3E5">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行业名称</w:t>
            </w:r>
          </w:p>
        </w:tc>
        <w:tc>
          <w:tcPr>
            <w:tcW w:w="1748" w:type="dxa"/>
            <w:noWrap w:val="0"/>
            <w:tcMar>
              <w:top w:w="0" w:type="dxa"/>
              <w:left w:w="105" w:type="dxa"/>
              <w:bottom w:w="0" w:type="dxa"/>
              <w:right w:w="105" w:type="dxa"/>
            </w:tcMar>
            <w:vAlign w:val="center"/>
          </w:tcPr>
          <w:p w14:paraId="7D21B32B">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指标名称</w:t>
            </w:r>
          </w:p>
        </w:tc>
        <w:tc>
          <w:tcPr>
            <w:tcW w:w="732" w:type="dxa"/>
            <w:noWrap w:val="0"/>
            <w:tcMar>
              <w:top w:w="0" w:type="dxa"/>
              <w:left w:w="105" w:type="dxa"/>
              <w:bottom w:w="0" w:type="dxa"/>
              <w:right w:w="105" w:type="dxa"/>
            </w:tcMar>
            <w:vAlign w:val="center"/>
          </w:tcPr>
          <w:p w14:paraId="02946F7E">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计量单位</w:t>
            </w:r>
          </w:p>
        </w:tc>
        <w:tc>
          <w:tcPr>
            <w:tcW w:w="1922" w:type="dxa"/>
            <w:noWrap w:val="0"/>
            <w:tcMar>
              <w:top w:w="0" w:type="dxa"/>
              <w:left w:w="105" w:type="dxa"/>
              <w:bottom w:w="0" w:type="dxa"/>
              <w:right w:w="105" w:type="dxa"/>
            </w:tcMar>
            <w:vAlign w:val="center"/>
          </w:tcPr>
          <w:p w14:paraId="1278EE99">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中型</w:t>
            </w:r>
          </w:p>
        </w:tc>
        <w:tc>
          <w:tcPr>
            <w:tcW w:w="1739" w:type="dxa"/>
            <w:noWrap w:val="0"/>
            <w:tcMar>
              <w:top w:w="0" w:type="dxa"/>
              <w:left w:w="105" w:type="dxa"/>
              <w:bottom w:w="0" w:type="dxa"/>
              <w:right w:w="105" w:type="dxa"/>
            </w:tcMar>
            <w:vAlign w:val="center"/>
          </w:tcPr>
          <w:p w14:paraId="4EBB3B99">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小型</w:t>
            </w:r>
          </w:p>
        </w:tc>
        <w:tc>
          <w:tcPr>
            <w:tcW w:w="1545" w:type="dxa"/>
            <w:noWrap w:val="0"/>
            <w:tcMar>
              <w:top w:w="0" w:type="dxa"/>
              <w:left w:w="105" w:type="dxa"/>
              <w:bottom w:w="0" w:type="dxa"/>
              <w:right w:w="105" w:type="dxa"/>
            </w:tcMar>
            <w:vAlign w:val="center"/>
          </w:tcPr>
          <w:p w14:paraId="2538BCFC">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微型</w:t>
            </w:r>
          </w:p>
        </w:tc>
      </w:tr>
      <w:tr w14:paraId="68FBDEB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noWrap w:val="0"/>
            <w:tcMar>
              <w:top w:w="0" w:type="dxa"/>
              <w:left w:w="105" w:type="dxa"/>
              <w:bottom w:w="0" w:type="dxa"/>
              <w:right w:w="105" w:type="dxa"/>
            </w:tcMar>
            <w:vAlign w:val="center"/>
          </w:tcPr>
          <w:p w14:paraId="74D33488">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农、林、牧、渔</w:t>
            </w:r>
          </w:p>
        </w:tc>
        <w:tc>
          <w:tcPr>
            <w:tcW w:w="1748" w:type="dxa"/>
            <w:noWrap w:val="0"/>
            <w:tcMar>
              <w:top w:w="0" w:type="dxa"/>
              <w:left w:w="105" w:type="dxa"/>
              <w:bottom w:w="0" w:type="dxa"/>
              <w:right w:w="105" w:type="dxa"/>
            </w:tcMar>
            <w:vAlign w:val="center"/>
          </w:tcPr>
          <w:p w14:paraId="5097D464">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营业收入（Y）</w:t>
            </w:r>
          </w:p>
        </w:tc>
        <w:tc>
          <w:tcPr>
            <w:tcW w:w="732" w:type="dxa"/>
            <w:noWrap w:val="0"/>
            <w:tcMar>
              <w:top w:w="0" w:type="dxa"/>
              <w:left w:w="105" w:type="dxa"/>
              <w:bottom w:w="0" w:type="dxa"/>
              <w:right w:w="105" w:type="dxa"/>
            </w:tcMar>
            <w:vAlign w:val="center"/>
          </w:tcPr>
          <w:p w14:paraId="604E6337">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万元</w:t>
            </w:r>
          </w:p>
        </w:tc>
        <w:tc>
          <w:tcPr>
            <w:tcW w:w="1922" w:type="dxa"/>
            <w:noWrap w:val="0"/>
            <w:tcMar>
              <w:top w:w="0" w:type="dxa"/>
              <w:left w:w="105" w:type="dxa"/>
              <w:bottom w:w="0" w:type="dxa"/>
              <w:right w:w="105" w:type="dxa"/>
            </w:tcMar>
            <w:vAlign w:val="center"/>
          </w:tcPr>
          <w:p w14:paraId="5D9E1536">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500≤Y＜20000</w:t>
            </w:r>
          </w:p>
        </w:tc>
        <w:tc>
          <w:tcPr>
            <w:tcW w:w="1739" w:type="dxa"/>
            <w:noWrap w:val="0"/>
            <w:tcMar>
              <w:top w:w="0" w:type="dxa"/>
              <w:left w:w="105" w:type="dxa"/>
              <w:bottom w:w="0" w:type="dxa"/>
              <w:right w:w="105" w:type="dxa"/>
            </w:tcMar>
            <w:vAlign w:val="center"/>
          </w:tcPr>
          <w:p w14:paraId="7232DABD">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50≤Y＜500</w:t>
            </w:r>
          </w:p>
        </w:tc>
        <w:tc>
          <w:tcPr>
            <w:tcW w:w="1545" w:type="dxa"/>
            <w:noWrap w:val="0"/>
            <w:tcMar>
              <w:top w:w="0" w:type="dxa"/>
              <w:left w:w="105" w:type="dxa"/>
              <w:bottom w:w="0" w:type="dxa"/>
              <w:right w:w="105" w:type="dxa"/>
            </w:tcMar>
            <w:vAlign w:val="center"/>
          </w:tcPr>
          <w:p w14:paraId="078550AB">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Y＜50</w:t>
            </w:r>
          </w:p>
        </w:tc>
      </w:tr>
      <w:tr w14:paraId="13D51FB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restart"/>
            <w:noWrap w:val="0"/>
            <w:tcMar>
              <w:top w:w="0" w:type="dxa"/>
              <w:left w:w="105" w:type="dxa"/>
              <w:bottom w:w="0" w:type="dxa"/>
              <w:right w:w="105" w:type="dxa"/>
            </w:tcMar>
            <w:vAlign w:val="center"/>
          </w:tcPr>
          <w:p w14:paraId="35AE2002">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工业</w:t>
            </w:r>
          </w:p>
        </w:tc>
        <w:tc>
          <w:tcPr>
            <w:tcW w:w="1748" w:type="dxa"/>
            <w:noWrap w:val="0"/>
            <w:tcMar>
              <w:top w:w="0" w:type="dxa"/>
              <w:left w:w="105" w:type="dxa"/>
              <w:bottom w:w="0" w:type="dxa"/>
              <w:right w:w="105" w:type="dxa"/>
            </w:tcMar>
            <w:vAlign w:val="center"/>
          </w:tcPr>
          <w:p w14:paraId="02CA7BD8">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从业人员（X）</w:t>
            </w:r>
          </w:p>
        </w:tc>
        <w:tc>
          <w:tcPr>
            <w:tcW w:w="732" w:type="dxa"/>
            <w:noWrap w:val="0"/>
            <w:tcMar>
              <w:top w:w="0" w:type="dxa"/>
              <w:left w:w="105" w:type="dxa"/>
              <w:bottom w:w="0" w:type="dxa"/>
              <w:right w:w="105" w:type="dxa"/>
            </w:tcMar>
            <w:vAlign w:val="center"/>
          </w:tcPr>
          <w:p w14:paraId="4A348D25">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人</w:t>
            </w:r>
          </w:p>
        </w:tc>
        <w:tc>
          <w:tcPr>
            <w:tcW w:w="1922" w:type="dxa"/>
            <w:noWrap w:val="0"/>
            <w:tcMar>
              <w:top w:w="0" w:type="dxa"/>
              <w:left w:w="105" w:type="dxa"/>
              <w:bottom w:w="0" w:type="dxa"/>
              <w:right w:w="105" w:type="dxa"/>
            </w:tcMar>
            <w:vAlign w:val="center"/>
          </w:tcPr>
          <w:p w14:paraId="155636FE">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300≤X＜1000</w:t>
            </w:r>
          </w:p>
        </w:tc>
        <w:tc>
          <w:tcPr>
            <w:tcW w:w="1739" w:type="dxa"/>
            <w:noWrap w:val="0"/>
            <w:tcMar>
              <w:top w:w="0" w:type="dxa"/>
              <w:left w:w="105" w:type="dxa"/>
              <w:bottom w:w="0" w:type="dxa"/>
              <w:right w:w="105" w:type="dxa"/>
            </w:tcMar>
            <w:vAlign w:val="center"/>
          </w:tcPr>
          <w:p w14:paraId="52DABEA8">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20≤X＜300</w:t>
            </w:r>
          </w:p>
        </w:tc>
        <w:tc>
          <w:tcPr>
            <w:tcW w:w="1545" w:type="dxa"/>
            <w:noWrap w:val="0"/>
            <w:tcMar>
              <w:top w:w="0" w:type="dxa"/>
              <w:left w:w="105" w:type="dxa"/>
              <w:bottom w:w="0" w:type="dxa"/>
              <w:right w:w="105" w:type="dxa"/>
            </w:tcMar>
            <w:vAlign w:val="center"/>
          </w:tcPr>
          <w:p w14:paraId="43425671">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X＜20</w:t>
            </w:r>
          </w:p>
        </w:tc>
      </w:tr>
      <w:tr w14:paraId="03094FC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continue"/>
            <w:noWrap w:val="0"/>
            <w:vAlign w:val="center"/>
          </w:tcPr>
          <w:p w14:paraId="48E8D87F">
            <w:pPr>
              <w:jc w:val="center"/>
              <w:rPr>
                <w:rFonts w:eastAsia="等线"/>
                <w:color w:val="000000" w:themeColor="text1"/>
                <w:highlight w:val="none"/>
                <w14:textFill>
                  <w14:solidFill>
                    <w14:schemeClr w14:val="tx1"/>
                  </w14:solidFill>
                </w14:textFill>
              </w:rPr>
            </w:pPr>
          </w:p>
        </w:tc>
        <w:tc>
          <w:tcPr>
            <w:tcW w:w="1748" w:type="dxa"/>
            <w:noWrap w:val="0"/>
            <w:tcMar>
              <w:top w:w="0" w:type="dxa"/>
              <w:left w:w="105" w:type="dxa"/>
              <w:bottom w:w="0" w:type="dxa"/>
              <w:right w:w="105" w:type="dxa"/>
            </w:tcMar>
            <w:vAlign w:val="center"/>
          </w:tcPr>
          <w:p w14:paraId="7043A08F">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营业收入（Y）</w:t>
            </w:r>
          </w:p>
        </w:tc>
        <w:tc>
          <w:tcPr>
            <w:tcW w:w="732" w:type="dxa"/>
            <w:noWrap w:val="0"/>
            <w:tcMar>
              <w:top w:w="0" w:type="dxa"/>
              <w:left w:w="105" w:type="dxa"/>
              <w:bottom w:w="0" w:type="dxa"/>
              <w:right w:w="105" w:type="dxa"/>
            </w:tcMar>
            <w:vAlign w:val="center"/>
          </w:tcPr>
          <w:p w14:paraId="3FC4027C">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万元</w:t>
            </w:r>
          </w:p>
        </w:tc>
        <w:tc>
          <w:tcPr>
            <w:tcW w:w="1922" w:type="dxa"/>
            <w:noWrap w:val="0"/>
            <w:tcMar>
              <w:top w:w="0" w:type="dxa"/>
              <w:left w:w="105" w:type="dxa"/>
              <w:bottom w:w="0" w:type="dxa"/>
              <w:right w:w="105" w:type="dxa"/>
            </w:tcMar>
            <w:vAlign w:val="center"/>
          </w:tcPr>
          <w:p w14:paraId="3C130A7D">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2000≤Y＜40000</w:t>
            </w:r>
          </w:p>
        </w:tc>
        <w:tc>
          <w:tcPr>
            <w:tcW w:w="1739" w:type="dxa"/>
            <w:noWrap w:val="0"/>
            <w:tcMar>
              <w:top w:w="0" w:type="dxa"/>
              <w:left w:w="105" w:type="dxa"/>
              <w:bottom w:w="0" w:type="dxa"/>
              <w:right w:w="105" w:type="dxa"/>
            </w:tcMar>
            <w:vAlign w:val="center"/>
          </w:tcPr>
          <w:p w14:paraId="6F2739B7">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300≤Y＜2000</w:t>
            </w:r>
          </w:p>
        </w:tc>
        <w:tc>
          <w:tcPr>
            <w:tcW w:w="1545" w:type="dxa"/>
            <w:noWrap w:val="0"/>
            <w:tcMar>
              <w:top w:w="0" w:type="dxa"/>
              <w:left w:w="105" w:type="dxa"/>
              <w:bottom w:w="0" w:type="dxa"/>
              <w:right w:w="105" w:type="dxa"/>
            </w:tcMar>
            <w:vAlign w:val="center"/>
          </w:tcPr>
          <w:p w14:paraId="1F4AE39C">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Y＜300</w:t>
            </w:r>
          </w:p>
        </w:tc>
      </w:tr>
      <w:tr w14:paraId="1598E27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restart"/>
            <w:noWrap w:val="0"/>
            <w:tcMar>
              <w:top w:w="0" w:type="dxa"/>
              <w:left w:w="105" w:type="dxa"/>
              <w:bottom w:w="0" w:type="dxa"/>
              <w:right w:w="105" w:type="dxa"/>
            </w:tcMar>
            <w:vAlign w:val="center"/>
          </w:tcPr>
          <w:p w14:paraId="1C9ED5B2">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建筑业</w:t>
            </w:r>
          </w:p>
        </w:tc>
        <w:tc>
          <w:tcPr>
            <w:tcW w:w="1748" w:type="dxa"/>
            <w:noWrap w:val="0"/>
            <w:tcMar>
              <w:top w:w="0" w:type="dxa"/>
              <w:left w:w="105" w:type="dxa"/>
              <w:bottom w:w="0" w:type="dxa"/>
              <w:right w:w="105" w:type="dxa"/>
            </w:tcMar>
            <w:vAlign w:val="center"/>
          </w:tcPr>
          <w:p w14:paraId="0AF615DE">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营业收入（Y）</w:t>
            </w:r>
          </w:p>
        </w:tc>
        <w:tc>
          <w:tcPr>
            <w:tcW w:w="732" w:type="dxa"/>
            <w:noWrap w:val="0"/>
            <w:tcMar>
              <w:top w:w="0" w:type="dxa"/>
              <w:left w:w="105" w:type="dxa"/>
              <w:bottom w:w="0" w:type="dxa"/>
              <w:right w:w="105" w:type="dxa"/>
            </w:tcMar>
            <w:vAlign w:val="center"/>
          </w:tcPr>
          <w:p w14:paraId="41E56492">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万元</w:t>
            </w:r>
          </w:p>
        </w:tc>
        <w:tc>
          <w:tcPr>
            <w:tcW w:w="1922" w:type="dxa"/>
            <w:noWrap w:val="0"/>
            <w:tcMar>
              <w:top w:w="0" w:type="dxa"/>
              <w:left w:w="105" w:type="dxa"/>
              <w:bottom w:w="0" w:type="dxa"/>
              <w:right w:w="105" w:type="dxa"/>
            </w:tcMar>
            <w:vAlign w:val="center"/>
          </w:tcPr>
          <w:p w14:paraId="60D0F42C">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6000≤Y＜80000</w:t>
            </w:r>
          </w:p>
        </w:tc>
        <w:tc>
          <w:tcPr>
            <w:tcW w:w="1739" w:type="dxa"/>
            <w:noWrap w:val="0"/>
            <w:tcMar>
              <w:top w:w="0" w:type="dxa"/>
              <w:left w:w="105" w:type="dxa"/>
              <w:bottom w:w="0" w:type="dxa"/>
              <w:right w:w="105" w:type="dxa"/>
            </w:tcMar>
            <w:vAlign w:val="center"/>
          </w:tcPr>
          <w:p w14:paraId="69D7526A">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300≤Y＜6000</w:t>
            </w:r>
          </w:p>
        </w:tc>
        <w:tc>
          <w:tcPr>
            <w:tcW w:w="1545" w:type="dxa"/>
            <w:noWrap w:val="0"/>
            <w:tcMar>
              <w:top w:w="0" w:type="dxa"/>
              <w:left w:w="105" w:type="dxa"/>
              <w:bottom w:w="0" w:type="dxa"/>
              <w:right w:w="105" w:type="dxa"/>
            </w:tcMar>
            <w:vAlign w:val="center"/>
          </w:tcPr>
          <w:p w14:paraId="33B1C168">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Y＜300</w:t>
            </w:r>
          </w:p>
        </w:tc>
      </w:tr>
      <w:tr w14:paraId="67C7A6E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continue"/>
            <w:noWrap w:val="0"/>
            <w:vAlign w:val="center"/>
          </w:tcPr>
          <w:p w14:paraId="54819B57">
            <w:pPr>
              <w:jc w:val="center"/>
              <w:rPr>
                <w:rFonts w:eastAsia="等线"/>
                <w:color w:val="000000" w:themeColor="text1"/>
                <w:highlight w:val="none"/>
                <w14:textFill>
                  <w14:solidFill>
                    <w14:schemeClr w14:val="tx1"/>
                  </w14:solidFill>
                </w14:textFill>
              </w:rPr>
            </w:pPr>
          </w:p>
        </w:tc>
        <w:tc>
          <w:tcPr>
            <w:tcW w:w="1748" w:type="dxa"/>
            <w:noWrap w:val="0"/>
            <w:tcMar>
              <w:top w:w="0" w:type="dxa"/>
              <w:left w:w="105" w:type="dxa"/>
              <w:bottom w:w="0" w:type="dxa"/>
              <w:right w:w="105" w:type="dxa"/>
            </w:tcMar>
            <w:vAlign w:val="center"/>
          </w:tcPr>
          <w:p w14:paraId="4A4E52B1">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资产总额（Z）</w:t>
            </w:r>
          </w:p>
        </w:tc>
        <w:tc>
          <w:tcPr>
            <w:tcW w:w="732" w:type="dxa"/>
            <w:noWrap w:val="0"/>
            <w:tcMar>
              <w:top w:w="0" w:type="dxa"/>
              <w:left w:w="105" w:type="dxa"/>
              <w:bottom w:w="0" w:type="dxa"/>
              <w:right w:w="105" w:type="dxa"/>
            </w:tcMar>
            <w:vAlign w:val="center"/>
          </w:tcPr>
          <w:p w14:paraId="76F5702E">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万元</w:t>
            </w:r>
          </w:p>
        </w:tc>
        <w:tc>
          <w:tcPr>
            <w:tcW w:w="1922" w:type="dxa"/>
            <w:noWrap w:val="0"/>
            <w:tcMar>
              <w:top w:w="0" w:type="dxa"/>
              <w:left w:w="105" w:type="dxa"/>
              <w:bottom w:w="0" w:type="dxa"/>
              <w:right w:w="105" w:type="dxa"/>
            </w:tcMar>
            <w:vAlign w:val="center"/>
          </w:tcPr>
          <w:p w14:paraId="444FD865">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5000≤Z＜80000</w:t>
            </w:r>
          </w:p>
        </w:tc>
        <w:tc>
          <w:tcPr>
            <w:tcW w:w="1739" w:type="dxa"/>
            <w:noWrap w:val="0"/>
            <w:tcMar>
              <w:top w:w="0" w:type="dxa"/>
              <w:left w:w="105" w:type="dxa"/>
              <w:bottom w:w="0" w:type="dxa"/>
              <w:right w:w="105" w:type="dxa"/>
            </w:tcMar>
            <w:vAlign w:val="center"/>
          </w:tcPr>
          <w:p w14:paraId="6D9B5D0B">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300≤Z＜5000</w:t>
            </w:r>
          </w:p>
        </w:tc>
        <w:tc>
          <w:tcPr>
            <w:tcW w:w="1545" w:type="dxa"/>
            <w:noWrap w:val="0"/>
            <w:tcMar>
              <w:top w:w="0" w:type="dxa"/>
              <w:left w:w="105" w:type="dxa"/>
              <w:bottom w:w="0" w:type="dxa"/>
              <w:right w:w="105" w:type="dxa"/>
            </w:tcMar>
            <w:vAlign w:val="center"/>
          </w:tcPr>
          <w:p w14:paraId="257B827A">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Z＜300</w:t>
            </w:r>
          </w:p>
        </w:tc>
      </w:tr>
      <w:tr w14:paraId="5645172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restart"/>
            <w:noWrap w:val="0"/>
            <w:tcMar>
              <w:top w:w="0" w:type="dxa"/>
              <w:left w:w="105" w:type="dxa"/>
              <w:bottom w:w="0" w:type="dxa"/>
              <w:right w:w="105" w:type="dxa"/>
            </w:tcMar>
            <w:vAlign w:val="center"/>
          </w:tcPr>
          <w:p w14:paraId="65E5713C">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批发业</w:t>
            </w:r>
          </w:p>
        </w:tc>
        <w:tc>
          <w:tcPr>
            <w:tcW w:w="1748" w:type="dxa"/>
            <w:noWrap w:val="0"/>
            <w:tcMar>
              <w:top w:w="0" w:type="dxa"/>
              <w:left w:w="105" w:type="dxa"/>
              <w:bottom w:w="0" w:type="dxa"/>
              <w:right w:w="105" w:type="dxa"/>
            </w:tcMar>
            <w:vAlign w:val="center"/>
          </w:tcPr>
          <w:p w14:paraId="7A26518B">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从业人员（X）</w:t>
            </w:r>
          </w:p>
        </w:tc>
        <w:tc>
          <w:tcPr>
            <w:tcW w:w="732" w:type="dxa"/>
            <w:noWrap w:val="0"/>
            <w:tcMar>
              <w:top w:w="0" w:type="dxa"/>
              <w:left w:w="105" w:type="dxa"/>
              <w:bottom w:w="0" w:type="dxa"/>
              <w:right w:w="105" w:type="dxa"/>
            </w:tcMar>
            <w:vAlign w:val="center"/>
          </w:tcPr>
          <w:p w14:paraId="63388D6F">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人</w:t>
            </w:r>
          </w:p>
        </w:tc>
        <w:tc>
          <w:tcPr>
            <w:tcW w:w="1922" w:type="dxa"/>
            <w:noWrap w:val="0"/>
            <w:tcMar>
              <w:top w:w="0" w:type="dxa"/>
              <w:left w:w="105" w:type="dxa"/>
              <w:bottom w:w="0" w:type="dxa"/>
              <w:right w:w="105" w:type="dxa"/>
            </w:tcMar>
            <w:vAlign w:val="center"/>
          </w:tcPr>
          <w:p w14:paraId="5BD35E35">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20≤X＜200</w:t>
            </w:r>
          </w:p>
        </w:tc>
        <w:tc>
          <w:tcPr>
            <w:tcW w:w="1739" w:type="dxa"/>
            <w:noWrap w:val="0"/>
            <w:tcMar>
              <w:top w:w="0" w:type="dxa"/>
              <w:left w:w="105" w:type="dxa"/>
              <w:bottom w:w="0" w:type="dxa"/>
              <w:right w:w="105" w:type="dxa"/>
            </w:tcMar>
            <w:vAlign w:val="center"/>
          </w:tcPr>
          <w:p w14:paraId="320F9160">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5≤X＜20</w:t>
            </w:r>
          </w:p>
        </w:tc>
        <w:tc>
          <w:tcPr>
            <w:tcW w:w="1545" w:type="dxa"/>
            <w:noWrap w:val="0"/>
            <w:tcMar>
              <w:top w:w="0" w:type="dxa"/>
              <w:left w:w="105" w:type="dxa"/>
              <w:bottom w:w="0" w:type="dxa"/>
              <w:right w:w="105" w:type="dxa"/>
            </w:tcMar>
            <w:vAlign w:val="center"/>
          </w:tcPr>
          <w:p w14:paraId="02147487">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X＜5</w:t>
            </w:r>
          </w:p>
        </w:tc>
      </w:tr>
      <w:tr w14:paraId="77B26F7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continue"/>
            <w:noWrap w:val="0"/>
            <w:vAlign w:val="center"/>
          </w:tcPr>
          <w:p w14:paraId="4DDD344D">
            <w:pPr>
              <w:jc w:val="center"/>
              <w:rPr>
                <w:rFonts w:eastAsia="等线"/>
                <w:color w:val="000000" w:themeColor="text1"/>
                <w:highlight w:val="none"/>
                <w14:textFill>
                  <w14:solidFill>
                    <w14:schemeClr w14:val="tx1"/>
                  </w14:solidFill>
                </w14:textFill>
              </w:rPr>
            </w:pPr>
          </w:p>
        </w:tc>
        <w:tc>
          <w:tcPr>
            <w:tcW w:w="1748" w:type="dxa"/>
            <w:noWrap w:val="0"/>
            <w:tcMar>
              <w:top w:w="0" w:type="dxa"/>
              <w:left w:w="105" w:type="dxa"/>
              <w:bottom w:w="0" w:type="dxa"/>
              <w:right w:w="105" w:type="dxa"/>
            </w:tcMar>
            <w:vAlign w:val="center"/>
          </w:tcPr>
          <w:p w14:paraId="706B17D1">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营业收入（Y）</w:t>
            </w:r>
          </w:p>
        </w:tc>
        <w:tc>
          <w:tcPr>
            <w:tcW w:w="732" w:type="dxa"/>
            <w:noWrap w:val="0"/>
            <w:tcMar>
              <w:top w:w="0" w:type="dxa"/>
              <w:left w:w="105" w:type="dxa"/>
              <w:bottom w:w="0" w:type="dxa"/>
              <w:right w:w="105" w:type="dxa"/>
            </w:tcMar>
            <w:vAlign w:val="center"/>
          </w:tcPr>
          <w:p w14:paraId="3CC26282">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万元</w:t>
            </w:r>
          </w:p>
        </w:tc>
        <w:tc>
          <w:tcPr>
            <w:tcW w:w="1922" w:type="dxa"/>
            <w:noWrap w:val="0"/>
            <w:tcMar>
              <w:top w:w="0" w:type="dxa"/>
              <w:left w:w="105" w:type="dxa"/>
              <w:bottom w:w="0" w:type="dxa"/>
              <w:right w:w="105" w:type="dxa"/>
            </w:tcMar>
            <w:vAlign w:val="center"/>
          </w:tcPr>
          <w:p w14:paraId="2131C0F5">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5000≤Y＜40000</w:t>
            </w:r>
          </w:p>
        </w:tc>
        <w:tc>
          <w:tcPr>
            <w:tcW w:w="1739" w:type="dxa"/>
            <w:noWrap w:val="0"/>
            <w:tcMar>
              <w:top w:w="0" w:type="dxa"/>
              <w:left w:w="105" w:type="dxa"/>
              <w:bottom w:w="0" w:type="dxa"/>
              <w:right w:w="105" w:type="dxa"/>
            </w:tcMar>
            <w:vAlign w:val="center"/>
          </w:tcPr>
          <w:p w14:paraId="0E85065C">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1000≤Y＜5000</w:t>
            </w:r>
          </w:p>
        </w:tc>
        <w:tc>
          <w:tcPr>
            <w:tcW w:w="1545" w:type="dxa"/>
            <w:noWrap w:val="0"/>
            <w:tcMar>
              <w:top w:w="0" w:type="dxa"/>
              <w:left w:w="105" w:type="dxa"/>
              <w:bottom w:w="0" w:type="dxa"/>
              <w:right w:w="105" w:type="dxa"/>
            </w:tcMar>
            <w:vAlign w:val="center"/>
          </w:tcPr>
          <w:p w14:paraId="3C98DE32">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Y＜1000</w:t>
            </w:r>
          </w:p>
        </w:tc>
      </w:tr>
      <w:tr w14:paraId="0484B89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restart"/>
            <w:noWrap w:val="0"/>
            <w:tcMar>
              <w:top w:w="0" w:type="dxa"/>
              <w:left w:w="105" w:type="dxa"/>
              <w:bottom w:w="0" w:type="dxa"/>
              <w:right w:w="105" w:type="dxa"/>
            </w:tcMar>
            <w:vAlign w:val="center"/>
          </w:tcPr>
          <w:p w14:paraId="0422F823">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零售业</w:t>
            </w:r>
          </w:p>
        </w:tc>
        <w:tc>
          <w:tcPr>
            <w:tcW w:w="1748" w:type="dxa"/>
            <w:noWrap w:val="0"/>
            <w:tcMar>
              <w:top w:w="0" w:type="dxa"/>
              <w:left w:w="105" w:type="dxa"/>
              <w:bottom w:w="0" w:type="dxa"/>
              <w:right w:w="105" w:type="dxa"/>
            </w:tcMar>
            <w:vAlign w:val="center"/>
          </w:tcPr>
          <w:p w14:paraId="671FE3B1">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从业人员（X）</w:t>
            </w:r>
          </w:p>
        </w:tc>
        <w:tc>
          <w:tcPr>
            <w:tcW w:w="732" w:type="dxa"/>
            <w:noWrap w:val="0"/>
            <w:tcMar>
              <w:top w:w="0" w:type="dxa"/>
              <w:left w:w="105" w:type="dxa"/>
              <w:bottom w:w="0" w:type="dxa"/>
              <w:right w:w="105" w:type="dxa"/>
            </w:tcMar>
            <w:vAlign w:val="center"/>
          </w:tcPr>
          <w:p w14:paraId="69877B9D">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人</w:t>
            </w:r>
          </w:p>
        </w:tc>
        <w:tc>
          <w:tcPr>
            <w:tcW w:w="1922" w:type="dxa"/>
            <w:noWrap w:val="0"/>
            <w:tcMar>
              <w:top w:w="0" w:type="dxa"/>
              <w:left w:w="105" w:type="dxa"/>
              <w:bottom w:w="0" w:type="dxa"/>
              <w:right w:w="105" w:type="dxa"/>
            </w:tcMar>
            <w:vAlign w:val="center"/>
          </w:tcPr>
          <w:p w14:paraId="42EF44BF">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50≤X＜300</w:t>
            </w:r>
          </w:p>
        </w:tc>
        <w:tc>
          <w:tcPr>
            <w:tcW w:w="1739" w:type="dxa"/>
            <w:noWrap w:val="0"/>
            <w:tcMar>
              <w:top w:w="0" w:type="dxa"/>
              <w:left w:w="105" w:type="dxa"/>
              <w:bottom w:w="0" w:type="dxa"/>
              <w:right w:w="105" w:type="dxa"/>
            </w:tcMar>
            <w:vAlign w:val="center"/>
          </w:tcPr>
          <w:p w14:paraId="29AA08EB">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10≤X＜50</w:t>
            </w:r>
          </w:p>
        </w:tc>
        <w:tc>
          <w:tcPr>
            <w:tcW w:w="1545" w:type="dxa"/>
            <w:noWrap w:val="0"/>
            <w:tcMar>
              <w:top w:w="0" w:type="dxa"/>
              <w:left w:w="105" w:type="dxa"/>
              <w:bottom w:w="0" w:type="dxa"/>
              <w:right w:w="105" w:type="dxa"/>
            </w:tcMar>
            <w:vAlign w:val="center"/>
          </w:tcPr>
          <w:p w14:paraId="5B3E593B">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X＜10</w:t>
            </w:r>
          </w:p>
        </w:tc>
      </w:tr>
      <w:tr w14:paraId="63B2BDF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continue"/>
            <w:noWrap w:val="0"/>
            <w:vAlign w:val="center"/>
          </w:tcPr>
          <w:p w14:paraId="3CE0E4F4">
            <w:pPr>
              <w:jc w:val="center"/>
              <w:rPr>
                <w:rFonts w:eastAsia="等线"/>
                <w:color w:val="000000" w:themeColor="text1"/>
                <w:highlight w:val="none"/>
                <w14:textFill>
                  <w14:solidFill>
                    <w14:schemeClr w14:val="tx1"/>
                  </w14:solidFill>
                </w14:textFill>
              </w:rPr>
            </w:pPr>
          </w:p>
        </w:tc>
        <w:tc>
          <w:tcPr>
            <w:tcW w:w="1748" w:type="dxa"/>
            <w:noWrap w:val="0"/>
            <w:tcMar>
              <w:top w:w="0" w:type="dxa"/>
              <w:left w:w="105" w:type="dxa"/>
              <w:bottom w:w="0" w:type="dxa"/>
              <w:right w:w="105" w:type="dxa"/>
            </w:tcMar>
            <w:vAlign w:val="center"/>
          </w:tcPr>
          <w:p w14:paraId="075DFA7D">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营业收入（Y）</w:t>
            </w:r>
          </w:p>
        </w:tc>
        <w:tc>
          <w:tcPr>
            <w:tcW w:w="732" w:type="dxa"/>
            <w:noWrap w:val="0"/>
            <w:tcMar>
              <w:top w:w="0" w:type="dxa"/>
              <w:left w:w="105" w:type="dxa"/>
              <w:bottom w:w="0" w:type="dxa"/>
              <w:right w:w="105" w:type="dxa"/>
            </w:tcMar>
            <w:vAlign w:val="center"/>
          </w:tcPr>
          <w:p w14:paraId="0DC23C4E">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万元</w:t>
            </w:r>
          </w:p>
        </w:tc>
        <w:tc>
          <w:tcPr>
            <w:tcW w:w="1922" w:type="dxa"/>
            <w:noWrap w:val="0"/>
            <w:tcMar>
              <w:top w:w="0" w:type="dxa"/>
              <w:left w:w="105" w:type="dxa"/>
              <w:bottom w:w="0" w:type="dxa"/>
              <w:right w:w="105" w:type="dxa"/>
            </w:tcMar>
            <w:vAlign w:val="center"/>
          </w:tcPr>
          <w:p w14:paraId="350607DE">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500≤Y＜20000</w:t>
            </w:r>
          </w:p>
        </w:tc>
        <w:tc>
          <w:tcPr>
            <w:tcW w:w="1739" w:type="dxa"/>
            <w:noWrap w:val="0"/>
            <w:tcMar>
              <w:top w:w="0" w:type="dxa"/>
              <w:left w:w="105" w:type="dxa"/>
              <w:bottom w:w="0" w:type="dxa"/>
              <w:right w:w="105" w:type="dxa"/>
            </w:tcMar>
            <w:vAlign w:val="center"/>
          </w:tcPr>
          <w:p w14:paraId="28F6491E">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100≤Y＜500</w:t>
            </w:r>
          </w:p>
        </w:tc>
        <w:tc>
          <w:tcPr>
            <w:tcW w:w="1545" w:type="dxa"/>
            <w:noWrap w:val="0"/>
            <w:tcMar>
              <w:top w:w="0" w:type="dxa"/>
              <w:left w:w="105" w:type="dxa"/>
              <w:bottom w:w="0" w:type="dxa"/>
              <w:right w:w="105" w:type="dxa"/>
            </w:tcMar>
            <w:vAlign w:val="center"/>
          </w:tcPr>
          <w:p w14:paraId="24462ED8">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Y＜100</w:t>
            </w:r>
          </w:p>
        </w:tc>
      </w:tr>
      <w:tr w14:paraId="13C0E73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restart"/>
            <w:noWrap w:val="0"/>
            <w:tcMar>
              <w:top w:w="0" w:type="dxa"/>
              <w:left w:w="105" w:type="dxa"/>
              <w:bottom w:w="0" w:type="dxa"/>
              <w:right w:w="105" w:type="dxa"/>
            </w:tcMar>
            <w:vAlign w:val="center"/>
          </w:tcPr>
          <w:p w14:paraId="20CFE721">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交通运输业</w:t>
            </w:r>
          </w:p>
        </w:tc>
        <w:tc>
          <w:tcPr>
            <w:tcW w:w="1748" w:type="dxa"/>
            <w:noWrap w:val="0"/>
            <w:tcMar>
              <w:top w:w="0" w:type="dxa"/>
              <w:left w:w="105" w:type="dxa"/>
              <w:bottom w:w="0" w:type="dxa"/>
              <w:right w:w="105" w:type="dxa"/>
            </w:tcMar>
            <w:vAlign w:val="center"/>
          </w:tcPr>
          <w:p w14:paraId="25C5DAA6">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从业人员（X）</w:t>
            </w:r>
          </w:p>
        </w:tc>
        <w:tc>
          <w:tcPr>
            <w:tcW w:w="732" w:type="dxa"/>
            <w:noWrap w:val="0"/>
            <w:tcMar>
              <w:top w:w="0" w:type="dxa"/>
              <w:left w:w="105" w:type="dxa"/>
              <w:bottom w:w="0" w:type="dxa"/>
              <w:right w:w="105" w:type="dxa"/>
            </w:tcMar>
            <w:vAlign w:val="center"/>
          </w:tcPr>
          <w:p w14:paraId="07BBCDED">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人</w:t>
            </w:r>
          </w:p>
        </w:tc>
        <w:tc>
          <w:tcPr>
            <w:tcW w:w="1922" w:type="dxa"/>
            <w:noWrap w:val="0"/>
            <w:tcMar>
              <w:top w:w="0" w:type="dxa"/>
              <w:left w:w="105" w:type="dxa"/>
              <w:bottom w:w="0" w:type="dxa"/>
              <w:right w:w="105" w:type="dxa"/>
            </w:tcMar>
            <w:vAlign w:val="center"/>
          </w:tcPr>
          <w:p w14:paraId="4F406F82">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300≤X＜1000</w:t>
            </w:r>
          </w:p>
        </w:tc>
        <w:tc>
          <w:tcPr>
            <w:tcW w:w="1739" w:type="dxa"/>
            <w:noWrap w:val="0"/>
            <w:tcMar>
              <w:top w:w="0" w:type="dxa"/>
              <w:left w:w="105" w:type="dxa"/>
              <w:bottom w:w="0" w:type="dxa"/>
              <w:right w:w="105" w:type="dxa"/>
            </w:tcMar>
            <w:vAlign w:val="center"/>
          </w:tcPr>
          <w:p w14:paraId="5B166CC1">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20≤X＜300</w:t>
            </w:r>
          </w:p>
        </w:tc>
        <w:tc>
          <w:tcPr>
            <w:tcW w:w="1545" w:type="dxa"/>
            <w:noWrap w:val="0"/>
            <w:tcMar>
              <w:top w:w="0" w:type="dxa"/>
              <w:left w:w="105" w:type="dxa"/>
              <w:bottom w:w="0" w:type="dxa"/>
              <w:right w:w="105" w:type="dxa"/>
            </w:tcMar>
            <w:vAlign w:val="center"/>
          </w:tcPr>
          <w:p w14:paraId="70B6B288">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X＜20</w:t>
            </w:r>
          </w:p>
        </w:tc>
      </w:tr>
      <w:tr w14:paraId="19F2811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continue"/>
            <w:noWrap w:val="0"/>
            <w:vAlign w:val="center"/>
          </w:tcPr>
          <w:p w14:paraId="24FB8553">
            <w:pPr>
              <w:jc w:val="center"/>
              <w:rPr>
                <w:rFonts w:eastAsia="等线"/>
                <w:color w:val="000000" w:themeColor="text1"/>
                <w:highlight w:val="none"/>
                <w14:textFill>
                  <w14:solidFill>
                    <w14:schemeClr w14:val="tx1"/>
                  </w14:solidFill>
                </w14:textFill>
              </w:rPr>
            </w:pPr>
          </w:p>
        </w:tc>
        <w:tc>
          <w:tcPr>
            <w:tcW w:w="1748" w:type="dxa"/>
            <w:noWrap w:val="0"/>
            <w:tcMar>
              <w:top w:w="0" w:type="dxa"/>
              <w:left w:w="105" w:type="dxa"/>
              <w:bottom w:w="0" w:type="dxa"/>
              <w:right w:w="105" w:type="dxa"/>
            </w:tcMar>
            <w:vAlign w:val="center"/>
          </w:tcPr>
          <w:p w14:paraId="0152A3C8">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营业收入（Y）</w:t>
            </w:r>
          </w:p>
        </w:tc>
        <w:tc>
          <w:tcPr>
            <w:tcW w:w="732" w:type="dxa"/>
            <w:noWrap w:val="0"/>
            <w:tcMar>
              <w:top w:w="0" w:type="dxa"/>
              <w:left w:w="105" w:type="dxa"/>
              <w:bottom w:w="0" w:type="dxa"/>
              <w:right w:w="105" w:type="dxa"/>
            </w:tcMar>
            <w:vAlign w:val="center"/>
          </w:tcPr>
          <w:p w14:paraId="2F153897">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万元</w:t>
            </w:r>
          </w:p>
        </w:tc>
        <w:tc>
          <w:tcPr>
            <w:tcW w:w="1922" w:type="dxa"/>
            <w:noWrap w:val="0"/>
            <w:tcMar>
              <w:top w:w="0" w:type="dxa"/>
              <w:left w:w="105" w:type="dxa"/>
              <w:bottom w:w="0" w:type="dxa"/>
              <w:right w:w="105" w:type="dxa"/>
            </w:tcMar>
            <w:vAlign w:val="center"/>
          </w:tcPr>
          <w:p w14:paraId="3F8C9120">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3000≤Y＜30000</w:t>
            </w:r>
          </w:p>
        </w:tc>
        <w:tc>
          <w:tcPr>
            <w:tcW w:w="1739" w:type="dxa"/>
            <w:noWrap w:val="0"/>
            <w:tcMar>
              <w:top w:w="0" w:type="dxa"/>
              <w:left w:w="105" w:type="dxa"/>
              <w:bottom w:w="0" w:type="dxa"/>
              <w:right w:w="105" w:type="dxa"/>
            </w:tcMar>
            <w:vAlign w:val="center"/>
          </w:tcPr>
          <w:p w14:paraId="65658A75">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200≤Y＜3000</w:t>
            </w:r>
          </w:p>
        </w:tc>
        <w:tc>
          <w:tcPr>
            <w:tcW w:w="1545" w:type="dxa"/>
            <w:noWrap w:val="0"/>
            <w:tcMar>
              <w:top w:w="0" w:type="dxa"/>
              <w:left w:w="105" w:type="dxa"/>
              <w:bottom w:w="0" w:type="dxa"/>
              <w:right w:w="105" w:type="dxa"/>
            </w:tcMar>
            <w:vAlign w:val="center"/>
          </w:tcPr>
          <w:p w14:paraId="5133F606">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Y＜200</w:t>
            </w:r>
          </w:p>
        </w:tc>
      </w:tr>
      <w:tr w14:paraId="47D0387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restart"/>
            <w:noWrap w:val="0"/>
            <w:tcMar>
              <w:top w:w="0" w:type="dxa"/>
              <w:left w:w="105" w:type="dxa"/>
              <w:bottom w:w="0" w:type="dxa"/>
              <w:right w:w="105" w:type="dxa"/>
            </w:tcMar>
            <w:vAlign w:val="center"/>
          </w:tcPr>
          <w:p w14:paraId="4CD30340">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仓储业</w:t>
            </w:r>
          </w:p>
        </w:tc>
        <w:tc>
          <w:tcPr>
            <w:tcW w:w="1748" w:type="dxa"/>
            <w:noWrap w:val="0"/>
            <w:tcMar>
              <w:top w:w="0" w:type="dxa"/>
              <w:left w:w="105" w:type="dxa"/>
              <w:bottom w:w="0" w:type="dxa"/>
              <w:right w:w="105" w:type="dxa"/>
            </w:tcMar>
            <w:vAlign w:val="center"/>
          </w:tcPr>
          <w:p w14:paraId="6733B19E">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从业人员（X）</w:t>
            </w:r>
          </w:p>
        </w:tc>
        <w:tc>
          <w:tcPr>
            <w:tcW w:w="732" w:type="dxa"/>
            <w:noWrap w:val="0"/>
            <w:tcMar>
              <w:top w:w="0" w:type="dxa"/>
              <w:left w:w="105" w:type="dxa"/>
              <w:bottom w:w="0" w:type="dxa"/>
              <w:right w:w="105" w:type="dxa"/>
            </w:tcMar>
            <w:vAlign w:val="center"/>
          </w:tcPr>
          <w:p w14:paraId="430422C2">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人</w:t>
            </w:r>
          </w:p>
        </w:tc>
        <w:tc>
          <w:tcPr>
            <w:tcW w:w="1922" w:type="dxa"/>
            <w:noWrap w:val="0"/>
            <w:tcMar>
              <w:top w:w="0" w:type="dxa"/>
              <w:left w:w="105" w:type="dxa"/>
              <w:bottom w:w="0" w:type="dxa"/>
              <w:right w:w="105" w:type="dxa"/>
            </w:tcMar>
            <w:vAlign w:val="center"/>
          </w:tcPr>
          <w:p w14:paraId="7C86DAAA">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100≤X＜200</w:t>
            </w:r>
          </w:p>
        </w:tc>
        <w:tc>
          <w:tcPr>
            <w:tcW w:w="1739" w:type="dxa"/>
            <w:noWrap w:val="0"/>
            <w:tcMar>
              <w:top w:w="0" w:type="dxa"/>
              <w:left w:w="105" w:type="dxa"/>
              <w:bottom w:w="0" w:type="dxa"/>
              <w:right w:w="105" w:type="dxa"/>
            </w:tcMar>
            <w:vAlign w:val="center"/>
          </w:tcPr>
          <w:p w14:paraId="1E027A14">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20≤X＜100</w:t>
            </w:r>
          </w:p>
        </w:tc>
        <w:tc>
          <w:tcPr>
            <w:tcW w:w="1545" w:type="dxa"/>
            <w:noWrap w:val="0"/>
            <w:tcMar>
              <w:top w:w="0" w:type="dxa"/>
              <w:left w:w="105" w:type="dxa"/>
              <w:bottom w:w="0" w:type="dxa"/>
              <w:right w:w="105" w:type="dxa"/>
            </w:tcMar>
            <w:vAlign w:val="center"/>
          </w:tcPr>
          <w:p w14:paraId="7DB9F9BB">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X＜20</w:t>
            </w:r>
          </w:p>
        </w:tc>
      </w:tr>
      <w:tr w14:paraId="69FC665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continue"/>
            <w:noWrap w:val="0"/>
            <w:vAlign w:val="center"/>
          </w:tcPr>
          <w:p w14:paraId="690A36E6">
            <w:pPr>
              <w:jc w:val="center"/>
              <w:rPr>
                <w:rFonts w:eastAsia="等线"/>
                <w:color w:val="000000" w:themeColor="text1"/>
                <w:highlight w:val="none"/>
                <w14:textFill>
                  <w14:solidFill>
                    <w14:schemeClr w14:val="tx1"/>
                  </w14:solidFill>
                </w14:textFill>
              </w:rPr>
            </w:pPr>
          </w:p>
        </w:tc>
        <w:tc>
          <w:tcPr>
            <w:tcW w:w="1748" w:type="dxa"/>
            <w:noWrap w:val="0"/>
            <w:tcMar>
              <w:top w:w="0" w:type="dxa"/>
              <w:left w:w="105" w:type="dxa"/>
              <w:bottom w:w="0" w:type="dxa"/>
              <w:right w:w="105" w:type="dxa"/>
            </w:tcMar>
            <w:vAlign w:val="center"/>
          </w:tcPr>
          <w:p w14:paraId="215BD354">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营业收入（Y）</w:t>
            </w:r>
          </w:p>
        </w:tc>
        <w:tc>
          <w:tcPr>
            <w:tcW w:w="732" w:type="dxa"/>
            <w:noWrap w:val="0"/>
            <w:tcMar>
              <w:top w:w="0" w:type="dxa"/>
              <w:left w:w="105" w:type="dxa"/>
              <w:bottom w:w="0" w:type="dxa"/>
              <w:right w:w="105" w:type="dxa"/>
            </w:tcMar>
            <w:vAlign w:val="center"/>
          </w:tcPr>
          <w:p w14:paraId="45B34538">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万元</w:t>
            </w:r>
          </w:p>
        </w:tc>
        <w:tc>
          <w:tcPr>
            <w:tcW w:w="1922" w:type="dxa"/>
            <w:noWrap w:val="0"/>
            <w:tcMar>
              <w:top w:w="0" w:type="dxa"/>
              <w:left w:w="105" w:type="dxa"/>
              <w:bottom w:w="0" w:type="dxa"/>
              <w:right w:w="105" w:type="dxa"/>
            </w:tcMar>
            <w:vAlign w:val="center"/>
          </w:tcPr>
          <w:p w14:paraId="15765D29">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1000≤Y＜30000</w:t>
            </w:r>
          </w:p>
        </w:tc>
        <w:tc>
          <w:tcPr>
            <w:tcW w:w="1739" w:type="dxa"/>
            <w:noWrap w:val="0"/>
            <w:tcMar>
              <w:top w:w="0" w:type="dxa"/>
              <w:left w:w="105" w:type="dxa"/>
              <w:bottom w:w="0" w:type="dxa"/>
              <w:right w:w="105" w:type="dxa"/>
            </w:tcMar>
            <w:vAlign w:val="center"/>
          </w:tcPr>
          <w:p w14:paraId="7329B604">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100≤Y＜1000</w:t>
            </w:r>
          </w:p>
        </w:tc>
        <w:tc>
          <w:tcPr>
            <w:tcW w:w="1545" w:type="dxa"/>
            <w:noWrap w:val="0"/>
            <w:tcMar>
              <w:top w:w="0" w:type="dxa"/>
              <w:left w:w="105" w:type="dxa"/>
              <w:bottom w:w="0" w:type="dxa"/>
              <w:right w:w="105" w:type="dxa"/>
            </w:tcMar>
            <w:vAlign w:val="center"/>
          </w:tcPr>
          <w:p w14:paraId="1A450718">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Y＜100</w:t>
            </w:r>
          </w:p>
        </w:tc>
      </w:tr>
      <w:tr w14:paraId="7136A9D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restart"/>
            <w:noWrap w:val="0"/>
            <w:tcMar>
              <w:top w:w="0" w:type="dxa"/>
              <w:left w:w="105" w:type="dxa"/>
              <w:bottom w:w="0" w:type="dxa"/>
              <w:right w:w="105" w:type="dxa"/>
            </w:tcMar>
            <w:vAlign w:val="center"/>
          </w:tcPr>
          <w:p w14:paraId="7EA628D2">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邮政业</w:t>
            </w:r>
          </w:p>
        </w:tc>
        <w:tc>
          <w:tcPr>
            <w:tcW w:w="1748" w:type="dxa"/>
            <w:noWrap w:val="0"/>
            <w:tcMar>
              <w:top w:w="0" w:type="dxa"/>
              <w:left w:w="105" w:type="dxa"/>
              <w:bottom w:w="0" w:type="dxa"/>
              <w:right w:w="105" w:type="dxa"/>
            </w:tcMar>
            <w:vAlign w:val="center"/>
          </w:tcPr>
          <w:p w14:paraId="5C901F18">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从业人员（X）</w:t>
            </w:r>
          </w:p>
        </w:tc>
        <w:tc>
          <w:tcPr>
            <w:tcW w:w="732" w:type="dxa"/>
            <w:noWrap w:val="0"/>
            <w:tcMar>
              <w:top w:w="0" w:type="dxa"/>
              <w:left w:w="105" w:type="dxa"/>
              <w:bottom w:w="0" w:type="dxa"/>
              <w:right w:w="105" w:type="dxa"/>
            </w:tcMar>
            <w:vAlign w:val="center"/>
          </w:tcPr>
          <w:p w14:paraId="6F7899AA">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人</w:t>
            </w:r>
          </w:p>
        </w:tc>
        <w:tc>
          <w:tcPr>
            <w:tcW w:w="1922" w:type="dxa"/>
            <w:noWrap w:val="0"/>
            <w:tcMar>
              <w:top w:w="0" w:type="dxa"/>
              <w:left w:w="105" w:type="dxa"/>
              <w:bottom w:w="0" w:type="dxa"/>
              <w:right w:w="105" w:type="dxa"/>
            </w:tcMar>
            <w:vAlign w:val="center"/>
          </w:tcPr>
          <w:p w14:paraId="007D6594">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300≤X＜1000</w:t>
            </w:r>
          </w:p>
        </w:tc>
        <w:tc>
          <w:tcPr>
            <w:tcW w:w="1739" w:type="dxa"/>
            <w:noWrap w:val="0"/>
            <w:tcMar>
              <w:top w:w="0" w:type="dxa"/>
              <w:left w:w="105" w:type="dxa"/>
              <w:bottom w:w="0" w:type="dxa"/>
              <w:right w:w="105" w:type="dxa"/>
            </w:tcMar>
            <w:vAlign w:val="center"/>
          </w:tcPr>
          <w:p w14:paraId="26DD4093">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20≤X＜300</w:t>
            </w:r>
          </w:p>
        </w:tc>
        <w:tc>
          <w:tcPr>
            <w:tcW w:w="1545" w:type="dxa"/>
            <w:noWrap w:val="0"/>
            <w:tcMar>
              <w:top w:w="0" w:type="dxa"/>
              <w:left w:w="105" w:type="dxa"/>
              <w:bottom w:w="0" w:type="dxa"/>
              <w:right w:w="105" w:type="dxa"/>
            </w:tcMar>
            <w:vAlign w:val="center"/>
          </w:tcPr>
          <w:p w14:paraId="461BA145">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X＜20</w:t>
            </w:r>
          </w:p>
        </w:tc>
      </w:tr>
      <w:tr w14:paraId="2582AAD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continue"/>
            <w:noWrap w:val="0"/>
            <w:vAlign w:val="center"/>
          </w:tcPr>
          <w:p w14:paraId="38A878A1">
            <w:pPr>
              <w:jc w:val="center"/>
              <w:rPr>
                <w:rFonts w:eastAsia="等线"/>
                <w:color w:val="000000" w:themeColor="text1"/>
                <w:highlight w:val="none"/>
                <w14:textFill>
                  <w14:solidFill>
                    <w14:schemeClr w14:val="tx1"/>
                  </w14:solidFill>
                </w14:textFill>
              </w:rPr>
            </w:pPr>
          </w:p>
        </w:tc>
        <w:tc>
          <w:tcPr>
            <w:tcW w:w="1748" w:type="dxa"/>
            <w:noWrap w:val="0"/>
            <w:tcMar>
              <w:top w:w="0" w:type="dxa"/>
              <w:left w:w="105" w:type="dxa"/>
              <w:bottom w:w="0" w:type="dxa"/>
              <w:right w:w="105" w:type="dxa"/>
            </w:tcMar>
            <w:vAlign w:val="center"/>
          </w:tcPr>
          <w:p w14:paraId="3C4A327D">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营业收入（Y）</w:t>
            </w:r>
          </w:p>
        </w:tc>
        <w:tc>
          <w:tcPr>
            <w:tcW w:w="732" w:type="dxa"/>
            <w:noWrap w:val="0"/>
            <w:tcMar>
              <w:top w:w="0" w:type="dxa"/>
              <w:left w:w="105" w:type="dxa"/>
              <w:bottom w:w="0" w:type="dxa"/>
              <w:right w:w="105" w:type="dxa"/>
            </w:tcMar>
            <w:vAlign w:val="center"/>
          </w:tcPr>
          <w:p w14:paraId="0ECCAE16">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万元</w:t>
            </w:r>
          </w:p>
        </w:tc>
        <w:tc>
          <w:tcPr>
            <w:tcW w:w="1922" w:type="dxa"/>
            <w:noWrap w:val="0"/>
            <w:tcMar>
              <w:top w:w="0" w:type="dxa"/>
              <w:left w:w="105" w:type="dxa"/>
              <w:bottom w:w="0" w:type="dxa"/>
              <w:right w:w="105" w:type="dxa"/>
            </w:tcMar>
            <w:vAlign w:val="center"/>
          </w:tcPr>
          <w:p w14:paraId="18F7FE61">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2000≤Y＜30000</w:t>
            </w:r>
          </w:p>
        </w:tc>
        <w:tc>
          <w:tcPr>
            <w:tcW w:w="1739" w:type="dxa"/>
            <w:noWrap w:val="0"/>
            <w:tcMar>
              <w:top w:w="0" w:type="dxa"/>
              <w:left w:w="105" w:type="dxa"/>
              <w:bottom w:w="0" w:type="dxa"/>
              <w:right w:w="105" w:type="dxa"/>
            </w:tcMar>
            <w:vAlign w:val="center"/>
          </w:tcPr>
          <w:p w14:paraId="7CF712D0">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100≤Y＜2000</w:t>
            </w:r>
          </w:p>
        </w:tc>
        <w:tc>
          <w:tcPr>
            <w:tcW w:w="1545" w:type="dxa"/>
            <w:noWrap w:val="0"/>
            <w:tcMar>
              <w:top w:w="0" w:type="dxa"/>
              <w:left w:w="105" w:type="dxa"/>
              <w:bottom w:w="0" w:type="dxa"/>
              <w:right w:w="105" w:type="dxa"/>
            </w:tcMar>
            <w:vAlign w:val="center"/>
          </w:tcPr>
          <w:p w14:paraId="12A082E0">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Y＜100</w:t>
            </w:r>
          </w:p>
        </w:tc>
      </w:tr>
      <w:tr w14:paraId="7588689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restart"/>
            <w:noWrap w:val="0"/>
            <w:tcMar>
              <w:top w:w="0" w:type="dxa"/>
              <w:left w:w="105" w:type="dxa"/>
              <w:bottom w:w="0" w:type="dxa"/>
              <w:right w:w="105" w:type="dxa"/>
            </w:tcMar>
            <w:vAlign w:val="center"/>
          </w:tcPr>
          <w:p w14:paraId="2DCEBF31">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住宿业</w:t>
            </w:r>
          </w:p>
        </w:tc>
        <w:tc>
          <w:tcPr>
            <w:tcW w:w="1748" w:type="dxa"/>
            <w:noWrap w:val="0"/>
            <w:tcMar>
              <w:top w:w="0" w:type="dxa"/>
              <w:left w:w="105" w:type="dxa"/>
              <w:bottom w:w="0" w:type="dxa"/>
              <w:right w:w="105" w:type="dxa"/>
            </w:tcMar>
            <w:vAlign w:val="center"/>
          </w:tcPr>
          <w:p w14:paraId="00B5163C">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从业人员（X）</w:t>
            </w:r>
          </w:p>
        </w:tc>
        <w:tc>
          <w:tcPr>
            <w:tcW w:w="732" w:type="dxa"/>
            <w:noWrap w:val="0"/>
            <w:tcMar>
              <w:top w:w="0" w:type="dxa"/>
              <w:left w:w="105" w:type="dxa"/>
              <w:bottom w:w="0" w:type="dxa"/>
              <w:right w:w="105" w:type="dxa"/>
            </w:tcMar>
            <w:vAlign w:val="center"/>
          </w:tcPr>
          <w:p w14:paraId="2B8702CE">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人</w:t>
            </w:r>
          </w:p>
        </w:tc>
        <w:tc>
          <w:tcPr>
            <w:tcW w:w="1922" w:type="dxa"/>
            <w:noWrap w:val="0"/>
            <w:tcMar>
              <w:top w:w="0" w:type="dxa"/>
              <w:left w:w="105" w:type="dxa"/>
              <w:bottom w:w="0" w:type="dxa"/>
              <w:right w:w="105" w:type="dxa"/>
            </w:tcMar>
            <w:vAlign w:val="center"/>
          </w:tcPr>
          <w:p w14:paraId="0A1AA7D9">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100≤X＜300</w:t>
            </w:r>
          </w:p>
        </w:tc>
        <w:tc>
          <w:tcPr>
            <w:tcW w:w="1739" w:type="dxa"/>
            <w:noWrap w:val="0"/>
            <w:tcMar>
              <w:top w:w="0" w:type="dxa"/>
              <w:left w:w="105" w:type="dxa"/>
              <w:bottom w:w="0" w:type="dxa"/>
              <w:right w:w="105" w:type="dxa"/>
            </w:tcMar>
            <w:vAlign w:val="center"/>
          </w:tcPr>
          <w:p w14:paraId="0441E88B">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10≤X＜100</w:t>
            </w:r>
          </w:p>
        </w:tc>
        <w:tc>
          <w:tcPr>
            <w:tcW w:w="1545" w:type="dxa"/>
            <w:noWrap w:val="0"/>
            <w:tcMar>
              <w:top w:w="0" w:type="dxa"/>
              <w:left w:w="105" w:type="dxa"/>
              <w:bottom w:w="0" w:type="dxa"/>
              <w:right w:w="105" w:type="dxa"/>
            </w:tcMar>
            <w:vAlign w:val="center"/>
          </w:tcPr>
          <w:p w14:paraId="2F32A50C">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X＜10</w:t>
            </w:r>
          </w:p>
        </w:tc>
      </w:tr>
      <w:tr w14:paraId="63730F3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continue"/>
            <w:noWrap w:val="0"/>
            <w:vAlign w:val="center"/>
          </w:tcPr>
          <w:p w14:paraId="2E6B9F9F">
            <w:pPr>
              <w:jc w:val="center"/>
              <w:rPr>
                <w:rFonts w:eastAsia="等线"/>
                <w:color w:val="000000" w:themeColor="text1"/>
                <w:highlight w:val="none"/>
                <w14:textFill>
                  <w14:solidFill>
                    <w14:schemeClr w14:val="tx1"/>
                  </w14:solidFill>
                </w14:textFill>
              </w:rPr>
            </w:pPr>
          </w:p>
        </w:tc>
        <w:tc>
          <w:tcPr>
            <w:tcW w:w="1748" w:type="dxa"/>
            <w:noWrap w:val="0"/>
            <w:tcMar>
              <w:top w:w="0" w:type="dxa"/>
              <w:left w:w="105" w:type="dxa"/>
              <w:bottom w:w="0" w:type="dxa"/>
              <w:right w:w="105" w:type="dxa"/>
            </w:tcMar>
            <w:vAlign w:val="center"/>
          </w:tcPr>
          <w:p w14:paraId="4AB4A521">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营业收入（Y）</w:t>
            </w:r>
          </w:p>
        </w:tc>
        <w:tc>
          <w:tcPr>
            <w:tcW w:w="732" w:type="dxa"/>
            <w:noWrap w:val="0"/>
            <w:tcMar>
              <w:top w:w="0" w:type="dxa"/>
              <w:left w:w="105" w:type="dxa"/>
              <w:bottom w:w="0" w:type="dxa"/>
              <w:right w:w="105" w:type="dxa"/>
            </w:tcMar>
            <w:vAlign w:val="center"/>
          </w:tcPr>
          <w:p w14:paraId="12CF4FB0">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万元</w:t>
            </w:r>
          </w:p>
        </w:tc>
        <w:tc>
          <w:tcPr>
            <w:tcW w:w="1922" w:type="dxa"/>
            <w:noWrap w:val="0"/>
            <w:tcMar>
              <w:top w:w="0" w:type="dxa"/>
              <w:left w:w="105" w:type="dxa"/>
              <w:bottom w:w="0" w:type="dxa"/>
              <w:right w:w="105" w:type="dxa"/>
            </w:tcMar>
            <w:vAlign w:val="center"/>
          </w:tcPr>
          <w:p w14:paraId="55332CAB">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2000≤Y＜10000</w:t>
            </w:r>
          </w:p>
        </w:tc>
        <w:tc>
          <w:tcPr>
            <w:tcW w:w="1739" w:type="dxa"/>
            <w:noWrap w:val="0"/>
            <w:tcMar>
              <w:top w:w="0" w:type="dxa"/>
              <w:left w:w="105" w:type="dxa"/>
              <w:bottom w:w="0" w:type="dxa"/>
              <w:right w:w="105" w:type="dxa"/>
            </w:tcMar>
            <w:vAlign w:val="center"/>
          </w:tcPr>
          <w:p w14:paraId="0DEAD4B1">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100≤Y＜2000</w:t>
            </w:r>
          </w:p>
        </w:tc>
        <w:tc>
          <w:tcPr>
            <w:tcW w:w="1545" w:type="dxa"/>
            <w:noWrap w:val="0"/>
            <w:tcMar>
              <w:top w:w="0" w:type="dxa"/>
              <w:left w:w="105" w:type="dxa"/>
              <w:bottom w:w="0" w:type="dxa"/>
              <w:right w:w="105" w:type="dxa"/>
            </w:tcMar>
            <w:vAlign w:val="center"/>
          </w:tcPr>
          <w:p w14:paraId="65DFF140">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Y＜100</w:t>
            </w:r>
          </w:p>
        </w:tc>
      </w:tr>
      <w:tr w14:paraId="608BF3E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restart"/>
            <w:noWrap w:val="0"/>
            <w:tcMar>
              <w:top w:w="0" w:type="dxa"/>
              <w:left w:w="105" w:type="dxa"/>
              <w:bottom w:w="0" w:type="dxa"/>
              <w:right w:w="105" w:type="dxa"/>
            </w:tcMar>
            <w:vAlign w:val="center"/>
          </w:tcPr>
          <w:p w14:paraId="1D34DCEA">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餐饮业</w:t>
            </w:r>
          </w:p>
        </w:tc>
        <w:tc>
          <w:tcPr>
            <w:tcW w:w="1748" w:type="dxa"/>
            <w:noWrap w:val="0"/>
            <w:tcMar>
              <w:top w:w="0" w:type="dxa"/>
              <w:left w:w="105" w:type="dxa"/>
              <w:bottom w:w="0" w:type="dxa"/>
              <w:right w:w="105" w:type="dxa"/>
            </w:tcMar>
            <w:vAlign w:val="center"/>
          </w:tcPr>
          <w:p w14:paraId="58E20CDE">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从业人员（X）</w:t>
            </w:r>
          </w:p>
        </w:tc>
        <w:tc>
          <w:tcPr>
            <w:tcW w:w="732" w:type="dxa"/>
            <w:noWrap w:val="0"/>
            <w:tcMar>
              <w:top w:w="0" w:type="dxa"/>
              <w:left w:w="105" w:type="dxa"/>
              <w:bottom w:w="0" w:type="dxa"/>
              <w:right w:w="105" w:type="dxa"/>
            </w:tcMar>
            <w:vAlign w:val="center"/>
          </w:tcPr>
          <w:p w14:paraId="2AB0CE10">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人</w:t>
            </w:r>
          </w:p>
        </w:tc>
        <w:tc>
          <w:tcPr>
            <w:tcW w:w="1922" w:type="dxa"/>
            <w:noWrap w:val="0"/>
            <w:tcMar>
              <w:top w:w="0" w:type="dxa"/>
              <w:left w:w="105" w:type="dxa"/>
              <w:bottom w:w="0" w:type="dxa"/>
              <w:right w:w="105" w:type="dxa"/>
            </w:tcMar>
            <w:vAlign w:val="center"/>
          </w:tcPr>
          <w:p w14:paraId="7359A29D">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100≤X＜300</w:t>
            </w:r>
          </w:p>
        </w:tc>
        <w:tc>
          <w:tcPr>
            <w:tcW w:w="1739" w:type="dxa"/>
            <w:noWrap w:val="0"/>
            <w:tcMar>
              <w:top w:w="0" w:type="dxa"/>
              <w:left w:w="105" w:type="dxa"/>
              <w:bottom w:w="0" w:type="dxa"/>
              <w:right w:w="105" w:type="dxa"/>
            </w:tcMar>
            <w:vAlign w:val="center"/>
          </w:tcPr>
          <w:p w14:paraId="54F33723">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10≤X＜100</w:t>
            </w:r>
          </w:p>
        </w:tc>
        <w:tc>
          <w:tcPr>
            <w:tcW w:w="1545" w:type="dxa"/>
            <w:noWrap w:val="0"/>
            <w:tcMar>
              <w:top w:w="0" w:type="dxa"/>
              <w:left w:w="105" w:type="dxa"/>
              <w:bottom w:w="0" w:type="dxa"/>
              <w:right w:w="105" w:type="dxa"/>
            </w:tcMar>
            <w:vAlign w:val="center"/>
          </w:tcPr>
          <w:p w14:paraId="4DF72ACE">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X＜10</w:t>
            </w:r>
          </w:p>
        </w:tc>
      </w:tr>
      <w:tr w14:paraId="209C56B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continue"/>
            <w:noWrap w:val="0"/>
            <w:vAlign w:val="center"/>
          </w:tcPr>
          <w:p w14:paraId="658482AA">
            <w:pPr>
              <w:jc w:val="center"/>
              <w:rPr>
                <w:rFonts w:eastAsia="等线"/>
                <w:color w:val="000000" w:themeColor="text1"/>
                <w:highlight w:val="none"/>
                <w14:textFill>
                  <w14:solidFill>
                    <w14:schemeClr w14:val="tx1"/>
                  </w14:solidFill>
                </w14:textFill>
              </w:rPr>
            </w:pPr>
          </w:p>
        </w:tc>
        <w:tc>
          <w:tcPr>
            <w:tcW w:w="1748" w:type="dxa"/>
            <w:noWrap w:val="0"/>
            <w:tcMar>
              <w:top w:w="0" w:type="dxa"/>
              <w:left w:w="105" w:type="dxa"/>
              <w:bottom w:w="0" w:type="dxa"/>
              <w:right w:w="105" w:type="dxa"/>
            </w:tcMar>
            <w:vAlign w:val="center"/>
          </w:tcPr>
          <w:p w14:paraId="1F4A490B">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营业收入（Y）</w:t>
            </w:r>
          </w:p>
        </w:tc>
        <w:tc>
          <w:tcPr>
            <w:tcW w:w="732" w:type="dxa"/>
            <w:noWrap w:val="0"/>
            <w:tcMar>
              <w:top w:w="0" w:type="dxa"/>
              <w:left w:w="105" w:type="dxa"/>
              <w:bottom w:w="0" w:type="dxa"/>
              <w:right w:w="105" w:type="dxa"/>
            </w:tcMar>
            <w:vAlign w:val="center"/>
          </w:tcPr>
          <w:p w14:paraId="793589A8">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万元</w:t>
            </w:r>
          </w:p>
        </w:tc>
        <w:tc>
          <w:tcPr>
            <w:tcW w:w="1922" w:type="dxa"/>
            <w:noWrap w:val="0"/>
            <w:tcMar>
              <w:top w:w="0" w:type="dxa"/>
              <w:left w:w="105" w:type="dxa"/>
              <w:bottom w:w="0" w:type="dxa"/>
              <w:right w:w="105" w:type="dxa"/>
            </w:tcMar>
            <w:vAlign w:val="center"/>
          </w:tcPr>
          <w:p w14:paraId="58FAB736">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2000≤Y＜10000</w:t>
            </w:r>
          </w:p>
        </w:tc>
        <w:tc>
          <w:tcPr>
            <w:tcW w:w="1739" w:type="dxa"/>
            <w:noWrap w:val="0"/>
            <w:tcMar>
              <w:top w:w="0" w:type="dxa"/>
              <w:left w:w="105" w:type="dxa"/>
              <w:bottom w:w="0" w:type="dxa"/>
              <w:right w:w="105" w:type="dxa"/>
            </w:tcMar>
            <w:vAlign w:val="center"/>
          </w:tcPr>
          <w:p w14:paraId="5D48D3A2">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100≤Y＜2000</w:t>
            </w:r>
          </w:p>
        </w:tc>
        <w:tc>
          <w:tcPr>
            <w:tcW w:w="1545" w:type="dxa"/>
            <w:noWrap w:val="0"/>
            <w:tcMar>
              <w:top w:w="0" w:type="dxa"/>
              <w:left w:w="105" w:type="dxa"/>
              <w:bottom w:w="0" w:type="dxa"/>
              <w:right w:w="105" w:type="dxa"/>
            </w:tcMar>
            <w:vAlign w:val="center"/>
          </w:tcPr>
          <w:p w14:paraId="77B66246">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Y＜100</w:t>
            </w:r>
          </w:p>
        </w:tc>
      </w:tr>
      <w:tr w14:paraId="5510E84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restart"/>
            <w:noWrap w:val="0"/>
            <w:tcMar>
              <w:top w:w="0" w:type="dxa"/>
              <w:left w:w="105" w:type="dxa"/>
              <w:bottom w:w="0" w:type="dxa"/>
              <w:right w:w="105" w:type="dxa"/>
            </w:tcMar>
            <w:vAlign w:val="center"/>
          </w:tcPr>
          <w:p w14:paraId="7B34807C">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信息传输业</w:t>
            </w:r>
          </w:p>
        </w:tc>
        <w:tc>
          <w:tcPr>
            <w:tcW w:w="1748" w:type="dxa"/>
            <w:noWrap w:val="0"/>
            <w:tcMar>
              <w:top w:w="0" w:type="dxa"/>
              <w:left w:w="105" w:type="dxa"/>
              <w:bottom w:w="0" w:type="dxa"/>
              <w:right w:w="105" w:type="dxa"/>
            </w:tcMar>
            <w:vAlign w:val="center"/>
          </w:tcPr>
          <w:p w14:paraId="4966FB54">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从业人员（X）</w:t>
            </w:r>
          </w:p>
        </w:tc>
        <w:tc>
          <w:tcPr>
            <w:tcW w:w="732" w:type="dxa"/>
            <w:noWrap w:val="0"/>
            <w:tcMar>
              <w:top w:w="0" w:type="dxa"/>
              <w:left w:w="105" w:type="dxa"/>
              <w:bottom w:w="0" w:type="dxa"/>
              <w:right w:w="105" w:type="dxa"/>
            </w:tcMar>
            <w:vAlign w:val="center"/>
          </w:tcPr>
          <w:p w14:paraId="383C2AB0">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人</w:t>
            </w:r>
          </w:p>
        </w:tc>
        <w:tc>
          <w:tcPr>
            <w:tcW w:w="1922" w:type="dxa"/>
            <w:noWrap w:val="0"/>
            <w:tcMar>
              <w:top w:w="0" w:type="dxa"/>
              <w:left w:w="105" w:type="dxa"/>
              <w:bottom w:w="0" w:type="dxa"/>
              <w:right w:w="105" w:type="dxa"/>
            </w:tcMar>
            <w:vAlign w:val="center"/>
          </w:tcPr>
          <w:p w14:paraId="51F854E5">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100≤X＜2000</w:t>
            </w:r>
          </w:p>
        </w:tc>
        <w:tc>
          <w:tcPr>
            <w:tcW w:w="1739" w:type="dxa"/>
            <w:noWrap w:val="0"/>
            <w:tcMar>
              <w:top w:w="0" w:type="dxa"/>
              <w:left w:w="105" w:type="dxa"/>
              <w:bottom w:w="0" w:type="dxa"/>
              <w:right w:w="105" w:type="dxa"/>
            </w:tcMar>
            <w:vAlign w:val="center"/>
          </w:tcPr>
          <w:p w14:paraId="73DFE317">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10≤X＜100</w:t>
            </w:r>
          </w:p>
        </w:tc>
        <w:tc>
          <w:tcPr>
            <w:tcW w:w="1545" w:type="dxa"/>
            <w:noWrap w:val="0"/>
            <w:tcMar>
              <w:top w:w="0" w:type="dxa"/>
              <w:left w:w="105" w:type="dxa"/>
              <w:bottom w:w="0" w:type="dxa"/>
              <w:right w:w="105" w:type="dxa"/>
            </w:tcMar>
            <w:vAlign w:val="center"/>
          </w:tcPr>
          <w:p w14:paraId="1616144C">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X＜10</w:t>
            </w:r>
          </w:p>
        </w:tc>
      </w:tr>
      <w:tr w14:paraId="21EE504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continue"/>
            <w:noWrap w:val="0"/>
            <w:vAlign w:val="center"/>
          </w:tcPr>
          <w:p w14:paraId="3184091C">
            <w:pPr>
              <w:jc w:val="center"/>
              <w:rPr>
                <w:rFonts w:eastAsia="等线"/>
                <w:color w:val="000000" w:themeColor="text1"/>
                <w:highlight w:val="none"/>
                <w14:textFill>
                  <w14:solidFill>
                    <w14:schemeClr w14:val="tx1"/>
                  </w14:solidFill>
                </w14:textFill>
              </w:rPr>
            </w:pPr>
          </w:p>
        </w:tc>
        <w:tc>
          <w:tcPr>
            <w:tcW w:w="1748" w:type="dxa"/>
            <w:noWrap w:val="0"/>
            <w:tcMar>
              <w:top w:w="0" w:type="dxa"/>
              <w:left w:w="105" w:type="dxa"/>
              <w:bottom w:w="0" w:type="dxa"/>
              <w:right w:w="105" w:type="dxa"/>
            </w:tcMar>
            <w:vAlign w:val="center"/>
          </w:tcPr>
          <w:p w14:paraId="0013DE7D">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营业收入（Y）</w:t>
            </w:r>
          </w:p>
        </w:tc>
        <w:tc>
          <w:tcPr>
            <w:tcW w:w="732" w:type="dxa"/>
            <w:noWrap w:val="0"/>
            <w:tcMar>
              <w:top w:w="0" w:type="dxa"/>
              <w:left w:w="105" w:type="dxa"/>
              <w:bottom w:w="0" w:type="dxa"/>
              <w:right w:w="105" w:type="dxa"/>
            </w:tcMar>
            <w:vAlign w:val="center"/>
          </w:tcPr>
          <w:p w14:paraId="453271ED">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万元</w:t>
            </w:r>
          </w:p>
        </w:tc>
        <w:tc>
          <w:tcPr>
            <w:tcW w:w="1922" w:type="dxa"/>
            <w:noWrap w:val="0"/>
            <w:tcMar>
              <w:top w:w="0" w:type="dxa"/>
              <w:left w:w="105" w:type="dxa"/>
              <w:bottom w:w="0" w:type="dxa"/>
              <w:right w:w="105" w:type="dxa"/>
            </w:tcMar>
            <w:vAlign w:val="center"/>
          </w:tcPr>
          <w:p w14:paraId="4968B2B1">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1000≤Y＜100000</w:t>
            </w:r>
          </w:p>
        </w:tc>
        <w:tc>
          <w:tcPr>
            <w:tcW w:w="1739" w:type="dxa"/>
            <w:noWrap w:val="0"/>
            <w:tcMar>
              <w:top w:w="0" w:type="dxa"/>
              <w:left w:w="105" w:type="dxa"/>
              <w:bottom w:w="0" w:type="dxa"/>
              <w:right w:w="105" w:type="dxa"/>
            </w:tcMar>
            <w:vAlign w:val="center"/>
          </w:tcPr>
          <w:p w14:paraId="351C33F4">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100≤Y＜1000</w:t>
            </w:r>
          </w:p>
        </w:tc>
        <w:tc>
          <w:tcPr>
            <w:tcW w:w="1545" w:type="dxa"/>
            <w:noWrap w:val="0"/>
            <w:tcMar>
              <w:top w:w="0" w:type="dxa"/>
              <w:left w:w="105" w:type="dxa"/>
              <w:bottom w:w="0" w:type="dxa"/>
              <w:right w:w="105" w:type="dxa"/>
            </w:tcMar>
            <w:vAlign w:val="center"/>
          </w:tcPr>
          <w:p w14:paraId="5622B522">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Y＜100</w:t>
            </w:r>
          </w:p>
        </w:tc>
      </w:tr>
      <w:tr w14:paraId="0A2B11C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restart"/>
            <w:noWrap w:val="0"/>
            <w:tcMar>
              <w:top w:w="0" w:type="dxa"/>
              <w:left w:w="105" w:type="dxa"/>
              <w:bottom w:w="0" w:type="dxa"/>
              <w:right w:w="105" w:type="dxa"/>
            </w:tcMar>
            <w:vAlign w:val="center"/>
          </w:tcPr>
          <w:p w14:paraId="0DAFD70B">
            <w:pPr>
              <w:spacing w:after="150" w:line="360" w:lineRule="auto"/>
              <w:ind w:firstLine="100"/>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软件和信息技术服务业</w:t>
            </w:r>
          </w:p>
        </w:tc>
        <w:tc>
          <w:tcPr>
            <w:tcW w:w="1748" w:type="dxa"/>
            <w:noWrap w:val="0"/>
            <w:tcMar>
              <w:top w:w="0" w:type="dxa"/>
              <w:left w:w="105" w:type="dxa"/>
              <w:bottom w:w="0" w:type="dxa"/>
              <w:right w:w="105" w:type="dxa"/>
            </w:tcMar>
            <w:vAlign w:val="center"/>
          </w:tcPr>
          <w:p w14:paraId="068794E1">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从业人员（X）</w:t>
            </w:r>
          </w:p>
        </w:tc>
        <w:tc>
          <w:tcPr>
            <w:tcW w:w="732" w:type="dxa"/>
            <w:noWrap w:val="0"/>
            <w:tcMar>
              <w:top w:w="0" w:type="dxa"/>
              <w:left w:w="105" w:type="dxa"/>
              <w:bottom w:w="0" w:type="dxa"/>
              <w:right w:w="105" w:type="dxa"/>
            </w:tcMar>
            <w:vAlign w:val="center"/>
          </w:tcPr>
          <w:p w14:paraId="0B2DADD7">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人</w:t>
            </w:r>
          </w:p>
        </w:tc>
        <w:tc>
          <w:tcPr>
            <w:tcW w:w="1922" w:type="dxa"/>
            <w:noWrap w:val="0"/>
            <w:tcMar>
              <w:top w:w="0" w:type="dxa"/>
              <w:left w:w="105" w:type="dxa"/>
              <w:bottom w:w="0" w:type="dxa"/>
              <w:right w:w="105" w:type="dxa"/>
            </w:tcMar>
            <w:vAlign w:val="center"/>
          </w:tcPr>
          <w:p w14:paraId="23A2B12E">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100≤X＜300</w:t>
            </w:r>
          </w:p>
        </w:tc>
        <w:tc>
          <w:tcPr>
            <w:tcW w:w="1739" w:type="dxa"/>
            <w:noWrap w:val="0"/>
            <w:tcMar>
              <w:top w:w="0" w:type="dxa"/>
              <w:left w:w="105" w:type="dxa"/>
              <w:bottom w:w="0" w:type="dxa"/>
              <w:right w:w="105" w:type="dxa"/>
            </w:tcMar>
            <w:vAlign w:val="center"/>
          </w:tcPr>
          <w:p w14:paraId="6F9B72D2">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10≤X＜100</w:t>
            </w:r>
          </w:p>
        </w:tc>
        <w:tc>
          <w:tcPr>
            <w:tcW w:w="1545" w:type="dxa"/>
            <w:noWrap w:val="0"/>
            <w:tcMar>
              <w:top w:w="0" w:type="dxa"/>
              <w:left w:w="105" w:type="dxa"/>
              <w:bottom w:w="0" w:type="dxa"/>
              <w:right w:w="105" w:type="dxa"/>
            </w:tcMar>
            <w:vAlign w:val="center"/>
          </w:tcPr>
          <w:p w14:paraId="7B0085DA">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X＜10</w:t>
            </w:r>
          </w:p>
        </w:tc>
      </w:tr>
      <w:tr w14:paraId="6F5DAC4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continue"/>
            <w:noWrap w:val="0"/>
            <w:vAlign w:val="center"/>
          </w:tcPr>
          <w:p w14:paraId="391D7229">
            <w:pPr>
              <w:jc w:val="center"/>
              <w:rPr>
                <w:rFonts w:eastAsia="等线"/>
                <w:color w:val="000000" w:themeColor="text1"/>
                <w:highlight w:val="none"/>
                <w14:textFill>
                  <w14:solidFill>
                    <w14:schemeClr w14:val="tx1"/>
                  </w14:solidFill>
                </w14:textFill>
              </w:rPr>
            </w:pPr>
          </w:p>
        </w:tc>
        <w:tc>
          <w:tcPr>
            <w:tcW w:w="1748" w:type="dxa"/>
            <w:noWrap w:val="0"/>
            <w:tcMar>
              <w:top w:w="0" w:type="dxa"/>
              <w:left w:w="105" w:type="dxa"/>
              <w:bottom w:w="0" w:type="dxa"/>
              <w:right w:w="105" w:type="dxa"/>
            </w:tcMar>
            <w:vAlign w:val="center"/>
          </w:tcPr>
          <w:p w14:paraId="47979589">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营业收入（Y）</w:t>
            </w:r>
          </w:p>
        </w:tc>
        <w:tc>
          <w:tcPr>
            <w:tcW w:w="732" w:type="dxa"/>
            <w:noWrap w:val="0"/>
            <w:tcMar>
              <w:top w:w="0" w:type="dxa"/>
              <w:left w:w="105" w:type="dxa"/>
              <w:bottom w:w="0" w:type="dxa"/>
              <w:right w:w="105" w:type="dxa"/>
            </w:tcMar>
            <w:vAlign w:val="center"/>
          </w:tcPr>
          <w:p w14:paraId="1C76CBA1">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万元</w:t>
            </w:r>
          </w:p>
        </w:tc>
        <w:tc>
          <w:tcPr>
            <w:tcW w:w="1922" w:type="dxa"/>
            <w:noWrap w:val="0"/>
            <w:tcMar>
              <w:top w:w="0" w:type="dxa"/>
              <w:left w:w="105" w:type="dxa"/>
              <w:bottom w:w="0" w:type="dxa"/>
              <w:right w:w="105" w:type="dxa"/>
            </w:tcMar>
            <w:vAlign w:val="center"/>
          </w:tcPr>
          <w:p w14:paraId="607133A3">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1000≤Y＜10000</w:t>
            </w:r>
          </w:p>
        </w:tc>
        <w:tc>
          <w:tcPr>
            <w:tcW w:w="1739" w:type="dxa"/>
            <w:noWrap w:val="0"/>
            <w:tcMar>
              <w:top w:w="0" w:type="dxa"/>
              <w:left w:w="105" w:type="dxa"/>
              <w:bottom w:w="0" w:type="dxa"/>
              <w:right w:w="105" w:type="dxa"/>
            </w:tcMar>
            <w:vAlign w:val="center"/>
          </w:tcPr>
          <w:p w14:paraId="331E062F">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50≤Y＜1000</w:t>
            </w:r>
          </w:p>
        </w:tc>
        <w:tc>
          <w:tcPr>
            <w:tcW w:w="1545" w:type="dxa"/>
            <w:noWrap w:val="0"/>
            <w:tcMar>
              <w:top w:w="0" w:type="dxa"/>
              <w:left w:w="105" w:type="dxa"/>
              <w:bottom w:w="0" w:type="dxa"/>
              <w:right w:w="105" w:type="dxa"/>
            </w:tcMar>
            <w:vAlign w:val="center"/>
          </w:tcPr>
          <w:p w14:paraId="7037CF3C">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Y＜50</w:t>
            </w:r>
          </w:p>
        </w:tc>
      </w:tr>
      <w:tr w14:paraId="65C5781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restart"/>
            <w:noWrap w:val="0"/>
            <w:tcMar>
              <w:top w:w="0" w:type="dxa"/>
              <w:left w:w="105" w:type="dxa"/>
              <w:bottom w:w="0" w:type="dxa"/>
              <w:right w:w="105" w:type="dxa"/>
            </w:tcMar>
            <w:vAlign w:val="center"/>
          </w:tcPr>
          <w:p w14:paraId="419A6456">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房地产开发经营</w:t>
            </w:r>
          </w:p>
        </w:tc>
        <w:tc>
          <w:tcPr>
            <w:tcW w:w="1748" w:type="dxa"/>
            <w:noWrap w:val="0"/>
            <w:tcMar>
              <w:top w:w="0" w:type="dxa"/>
              <w:left w:w="105" w:type="dxa"/>
              <w:bottom w:w="0" w:type="dxa"/>
              <w:right w:w="105" w:type="dxa"/>
            </w:tcMar>
            <w:vAlign w:val="center"/>
          </w:tcPr>
          <w:p w14:paraId="4E56D8CB">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营业收入（Y）</w:t>
            </w:r>
          </w:p>
        </w:tc>
        <w:tc>
          <w:tcPr>
            <w:tcW w:w="732" w:type="dxa"/>
            <w:noWrap w:val="0"/>
            <w:tcMar>
              <w:top w:w="0" w:type="dxa"/>
              <w:left w:w="105" w:type="dxa"/>
              <w:bottom w:w="0" w:type="dxa"/>
              <w:right w:w="105" w:type="dxa"/>
            </w:tcMar>
            <w:vAlign w:val="center"/>
          </w:tcPr>
          <w:p w14:paraId="1A560136">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万元</w:t>
            </w:r>
          </w:p>
        </w:tc>
        <w:tc>
          <w:tcPr>
            <w:tcW w:w="1922" w:type="dxa"/>
            <w:noWrap w:val="0"/>
            <w:tcMar>
              <w:top w:w="0" w:type="dxa"/>
              <w:left w:w="105" w:type="dxa"/>
              <w:bottom w:w="0" w:type="dxa"/>
              <w:right w:w="105" w:type="dxa"/>
            </w:tcMar>
            <w:vAlign w:val="center"/>
          </w:tcPr>
          <w:p w14:paraId="035A6BA2">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1000≤Y＜200000</w:t>
            </w:r>
          </w:p>
        </w:tc>
        <w:tc>
          <w:tcPr>
            <w:tcW w:w="1739" w:type="dxa"/>
            <w:noWrap w:val="0"/>
            <w:tcMar>
              <w:top w:w="0" w:type="dxa"/>
              <w:left w:w="105" w:type="dxa"/>
              <w:bottom w:w="0" w:type="dxa"/>
              <w:right w:w="105" w:type="dxa"/>
            </w:tcMar>
            <w:vAlign w:val="center"/>
          </w:tcPr>
          <w:p w14:paraId="4BB192BF">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100≤X＜1000</w:t>
            </w:r>
          </w:p>
        </w:tc>
        <w:tc>
          <w:tcPr>
            <w:tcW w:w="1545" w:type="dxa"/>
            <w:noWrap w:val="0"/>
            <w:tcMar>
              <w:top w:w="0" w:type="dxa"/>
              <w:left w:w="105" w:type="dxa"/>
              <w:bottom w:w="0" w:type="dxa"/>
              <w:right w:w="105" w:type="dxa"/>
            </w:tcMar>
            <w:vAlign w:val="center"/>
          </w:tcPr>
          <w:p w14:paraId="1619E8C5">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X＜100</w:t>
            </w:r>
          </w:p>
        </w:tc>
      </w:tr>
      <w:tr w14:paraId="702AB05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continue"/>
            <w:noWrap w:val="0"/>
            <w:vAlign w:val="center"/>
          </w:tcPr>
          <w:p w14:paraId="4DE11713">
            <w:pPr>
              <w:jc w:val="center"/>
              <w:rPr>
                <w:rFonts w:eastAsia="等线"/>
                <w:color w:val="000000" w:themeColor="text1"/>
                <w:highlight w:val="none"/>
                <w14:textFill>
                  <w14:solidFill>
                    <w14:schemeClr w14:val="tx1"/>
                  </w14:solidFill>
                </w14:textFill>
              </w:rPr>
            </w:pPr>
          </w:p>
        </w:tc>
        <w:tc>
          <w:tcPr>
            <w:tcW w:w="1748" w:type="dxa"/>
            <w:noWrap w:val="0"/>
            <w:tcMar>
              <w:top w:w="0" w:type="dxa"/>
              <w:left w:w="105" w:type="dxa"/>
              <w:bottom w:w="0" w:type="dxa"/>
              <w:right w:w="105" w:type="dxa"/>
            </w:tcMar>
            <w:vAlign w:val="center"/>
          </w:tcPr>
          <w:p w14:paraId="1A5A0E23">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资产总额（Z）</w:t>
            </w:r>
          </w:p>
        </w:tc>
        <w:tc>
          <w:tcPr>
            <w:tcW w:w="732" w:type="dxa"/>
            <w:noWrap w:val="0"/>
            <w:tcMar>
              <w:top w:w="0" w:type="dxa"/>
              <w:left w:w="105" w:type="dxa"/>
              <w:bottom w:w="0" w:type="dxa"/>
              <w:right w:w="105" w:type="dxa"/>
            </w:tcMar>
            <w:vAlign w:val="center"/>
          </w:tcPr>
          <w:p w14:paraId="5F653904">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万元</w:t>
            </w:r>
          </w:p>
        </w:tc>
        <w:tc>
          <w:tcPr>
            <w:tcW w:w="1922" w:type="dxa"/>
            <w:noWrap w:val="0"/>
            <w:tcMar>
              <w:top w:w="0" w:type="dxa"/>
              <w:left w:w="105" w:type="dxa"/>
              <w:bottom w:w="0" w:type="dxa"/>
              <w:right w:w="105" w:type="dxa"/>
            </w:tcMar>
            <w:vAlign w:val="center"/>
          </w:tcPr>
          <w:p w14:paraId="5DF583D9">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5000≤Z＜10000</w:t>
            </w:r>
          </w:p>
        </w:tc>
        <w:tc>
          <w:tcPr>
            <w:tcW w:w="1739" w:type="dxa"/>
            <w:noWrap w:val="0"/>
            <w:tcMar>
              <w:top w:w="0" w:type="dxa"/>
              <w:left w:w="105" w:type="dxa"/>
              <w:bottom w:w="0" w:type="dxa"/>
              <w:right w:w="105" w:type="dxa"/>
            </w:tcMar>
            <w:vAlign w:val="center"/>
          </w:tcPr>
          <w:p w14:paraId="5FD573C7">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2000≤Y＜5000</w:t>
            </w:r>
          </w:p>
        </w:tc>
        <w:tc>
          <w:tcPr>
            <w:tcW w:w="1545" w:type="dxa"/>
            <w:noWrap w:val="0"/>
            <w:tcMar>
              <w:top w:w="0" w:type="dxa"/>
              <w:left w:w="105" w:type="dxa"/>
              <w:bottom w:w="0" w:type="dxa"/>
              <w:right w:w="105" w:type="dxa"/>
            </w:tcMar>
            <w:vAlign w:val="center"/>
          </w:tcPr>
          <w:p w14:paraId="10B2B95A">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Y＜2000</w:t>
            </w:r>
          </w:p>
        </w:tc>
      </w:tr>
      <w:tr w14:paraId="0AE2535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restart"/>
            <w:noWrap w:val="0"/>
            <w:tcMar>
              <w:top w:w="0" w:type="dxa"/>
              <w:left w:w="105" w:type="dxa"/>
              <w:bottom w:w="0" w:type="dxa"/>
              <w:right w:w="105" w:type="dxa"/>
            </w:tcMar>
            <w:vAlign w:val="center"/>
          </w:tcPr>
          <w:p w14:paraId="727D861B">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物业管理</w:t>
            </w:r>
          </w:p>
        </w:tc>
        <w:tc>
          <w:tcPr>
            <w:tcW w:w="1748" w:type="dxa"/>
            <w:noWrap w:val="0"/>
            <w:tcMar>
              <w:top w:w="0" w:type="dxa"/>
              <w:left w:w="105" w:type="dxa"/>
              <w:bottom w:w="0" w:type="dxa"/>
              <w:right w:w="105" w:type="dxa"/>
            </w:tcMar>
            <w:vAlign w:val="center"/>
          </w:tcPr>
          <w:p w14:paraId="74EDD1BF">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从业人员（X）</w:t>
            </w:r>
          </w:p>
        </w:tc>
        <w:tc>
          <w:tcPr>
            <w:tcW w:w="732" w:type="dxa"/>
            <w:noWrap w:val="0"/>
            <w:tcMar>
              <w:top w:w="0" w:type="dxa"/>
              <w:left w:w="105" w:type="dxa"/>
              <w:bottom w:w="0" w:type="dxa"/>
              <w:right w:w="105" w:type="dxa"/>
            </w:tcMar>
            <w:vAlign w:val="center"/>
          </w:tcPr>
          <w:p w14:paraId="4D602E15">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人</w:t>
            </w:r>
          </w:p>
        </w:tc>
        <w:tc>
          <w:tcPr>
            <w:tcW w:w="1922" w:type="dxa"/>
            <w:noWrap w:val="0"/>
            <w:tcMar>
              <w:top w:w="0" w:type="dxa"/>
              <w:left w:w="105" w:type="dxa"/>
              <w:bottom w:w="0" w:type="dxa"/>
              <w:right w:w="105" w:type="dxa"/>
            </w:tcMar>
            <w:vAlign w:val="center"/>
          </w:tcPr>
          <w:p w14:paraId="20EB2E24">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300≤X＜1000</w:t>
            </w:r>
          </w:p>
        </w:tc>
        <w:tc>
          <w:tcPr>
            <w:tcW w:w="1739" w:type="dxa"/>
            <w:noWrap w:val="0"/>
            <w:tcMar>
              <w:top w:w="0" w:type="dxa"/>
              <w:left w:w="105" w:type="dxa"/>
              <w:bottom w:w="0" w:type="dxa"/>
              <w:right w:w="105" w:type="dxa"/>
            </w:tcMar>
            <w:vAlign w:val="center"/>
          </w:tcPr>
          <w:p w14:paraId="3F10F0CE">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100≤X＜300</w:t>
            </w:r>
          </w:p>
        </w:tc>
        <w:tc>
          <w:tcPr>
            <w:tcW w:w="1545" w:type="dxa"/>
            <w:noWrap w:val="0"/>
            <w:tcMar>
              <w:top w:w="0" w:type="dxa"/>
              <w:left w:w="105" w:type="dxa"/>
              <w:bottom w:w="0" w:type="dxa"/>
              <w:right w:w="105" w:type="dxa"/>
            </w:tcMar>
            <w:vAlign w:val="center"/>
          </w:tcPr>
          <w:p w14:paraId="0C2D63EA">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X＜100</w:t>
            </w:r>
          </w:p>
        </w:tc>
      </w:tr>
      <w:tr w14:paraId="3950642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continue"/>
            <w:noWrap w:val="0"/>
            <w:vAlign w:val="center"/>
          </w:tcPr>
          <w:p w14:paraId="20FE74B7">
            <w:pPr>
              <w:jc w:val="center"/>
              <w:rPr>
                <w:rFonts w:eastAsia="等线"/>
                <w:color w:val="000000" w:themeColor="text1"/>
                <w:highlight w:val="none"/>
                <w14:textFill>
                  <w14:solidFill>
                    <w14:schemeClr w14:val="tx1"/>
                  </w14:solidFill>
                </w14:textFill>
              </w:rPr>
            </w:pPr>
          </w:p>
        </w:tc>
        <w:tc>
          <w:tcPr>
            <w:tcW w:w="1748" w:type="dxa"/>
            <w:noWrap w:val="0"/>
            <w:tcMar>
              <w:top w:w="0" w:type="dxa"/>
              <w:left w:w="105" w:type="dxa"/>
              <w:bottom w:w="0" w:type="dxa"/>
              <w:right w:w="105" w:type="dxa"/>
            </w:tcMar>
            <w:vAlign w:val="center"/>
          </w:tcPr>
          <w:p w14:paraId="49EF5F7B">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营业收入（Y）</w:t>
            </w:r>
          </w:p>
        </w:tc>
        <w:tc>
          <w:tcPr>
            <w:tcW w:w="732" w:type="dxa"/>
            <w:noWrap w:val="0"/>
            <w:tcMar>
              <w:top w:w="0" w:type="dxa"/>
              <w:left w:w="105" w:type="dxa"/>
              <w:bottom w:w="0" w:type="dxa"/>
              <w:right w:w="105" w:type="dxa"/>
            </w:tcMar>
            <w:vAlign w:val="center"/>
          </w:tcPr>
          <w:p w14:paraId="6807CDAF">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万元</w:t>
            </w:r>
          </w:p>
        </w:tc>
        <w:tc>
          <w:tcPr>
            <w:tcW w:w="1922" w:type="dxa"/>
            <w:noWrap w:val="0"/>
            <w:tcMar>
              <w:top w:w="0" w:type="dxa"/>
              <w:left w:w="105" w:type="dxa"/>
              <w:bottom w:w="0" w:type="dxa"/>
              <w:right w:w="105" w:type="dxa"/>
            </w:tcMar>
            <w:vAlign w:val="center"/>
          </w:tcPr>
          <w:p w14:paraId="1991DF09">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1000≤Y＜5000</w:t>
            </w:r>
          </w:p>
        </w:tc>
        <w:tc>
          <w:tcPr>
            <w:tcW w:w="1739" w:type="dxa"/>
            <w:noWrap w:val="0"/>
            <w:tcMar>
              <w:top w:w="0" w:type="dxa"/>
              <w:left w:w="105" w:type="dxa"/>
              <w:bottom w:w="0" w:type="dxa"/>
              <w:right w:w="105" w:type="dxa"/>
            </w:tcMar>
            <w:vAlign w:val="center"/>
          </w:tcPr>
          <w:p w14:paraId="60315064">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500≤Y＜1000</w:t>
            </w:r>
          </w:p>
        </w:tc>
        <w:tc>
          <w:tcPr>
            <w:tcW w:w="1545" w:type="dxa"/>
            <w:noWrap w:val="0"/>
            <w:tcMar>
              <w:top w:w="0" w:type="dxa"/>
              <w:left w:w="105" w:type="dxa"/>
              <w:bottom w:w="0" w:type="dxa"/>
              <w:right w:w="105" w:type="dxa"/>
            </w:tcMar>
            <w:vAlign w:val="center"/>
          </w:tcPr>
          <w:p w14:paraId="6D04CF48">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Y＜500</w:t>
            </w:r>
          </w:p>
        </w:tc>
      </w:tr>
      <w:tr w14:paraId="2851851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restart"/>
            <w:noWrap w:val="0"/>
            <w:tcMar>
              <w:top w:w="0" w:type="dxa"/>
              <w:left w:w="105" w:type="dxa"/>
              <w:bottom w:w="0" w:type="dxa"/>
              <w:right w:w="105" w:type="dxa"/>
            </w:tcMar>
            <w:vAlign w:val="center"/>
          </w:tcPr>
          <w:p w14:paraId="145406E2">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租赁和商务服务业</w:t>
            </w:r>
          </w:p>
        </w:tc>
        <w:tc>
          <w:tcPr>
            <w:tcW w:w="1748" w:type="dxa"/>
            <w:noWrap w:val="0"/>
            <w:tcMar>
              <w:top w:w="0" w:type="dxa"/>
              <w:left w:w="105" w:type="dxa"/>
              <w:bottom w:w="0" w:type="dxa"/>
              <w:right w:w="105" w:type="dxa"/>
            </w:tcMar>
            <w:vAlign w:val="center"/>
          </w:tcPr>
          <w:p w14:paraId="1E7B5119">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从业人员（X）</w:t>
            </w:r>
          </w:p>
        </w:tc>
        <w:tc>
          <w:tcPr>
            <w:tcW w:w="732" w:type="dxa"/>
            <w:noWrap w:val="0"/>
            <w:tcMar>
              <w:top w:w="0" w:type="dxa"/>
              <w:left w:w="105" w:type="dxa"/>
              <w:bottom w:w="0" w:type="dxa"/>
              <w:right w:w="105" w:type="dxa"/>
            </w:tcMar>
            <w:vAlign w:val="center"/>
          </w:tcPr>
          <w:p w14:paraId="39816070">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人</w:t>
            </w:r>
          </w:p>
        </w:tc>
        <w:tc>
          <w:tcPr>
            <w:tcW w:w="1922" w:type="dxa"/>
            <w:noWrap w:val="0"/>
            <w:tcMar>
              <w:top w:w="0" w:type="dxa"/>
              <w:left w:w="105" w:type="dxa"/>
              <w:bottom w:w="0" w:type="dxa"/>
              <w:right w:w="105" w:type="dxa"/>
            </w:tcMar>
            <w:vAlign w:val="center"/>
          </w:tcPr>
          <w:p w14:paraId="705D1DEE">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100≤X＜300</w:t>
            </w:r>
          </w:p>
        </w:tc>
        <w:tc>
          <w:tcPr>
            <w:tcW w:w="1739" w:type="dxa"/>
            <w:noWrap w:val="0"/>
            <w:tcMar>
              <w:top w:w="0" w:type="dxa"/>
              <w:left w:w="105" w:type="dxa"/>
              <w:bottom w:w="0" w:type="dxa"/>
              <w:right w:w="105" w:type="dxa"/>
            </w:tcMar>
            <w:vAlign w:val="center"/>
          </w:tcPr>
          <w:p w14:paraId="4F782386">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10≤X＜100</w:t>
            </w:r>
          </w:p>
        </w:tc>
        <w:tc>
          <w:tcPr>
            <w:tcW w:w="1545" w:type="dxa"/>
            <w:noWrap w:val="0"/>
            <w:tcMar>
              <w:top w:w="0" w:type="dxa"/>
              <w:left w:w="105" w:type="dxa"/>
              <w:bottom w:w="0" w:type="dxa"/>
              <w:right w:w="105" w:type="dxa"/>
            </w:tcMar>
            <w:vAlign w:val="center"/>
          </w:tcPr>
          <w:p w14:paraId="2A5A7E4F">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X＜10</w:t>
            </w:r>
          </w:p>
        </w:tc>
      </w:tr>
      <w:tr w14:paraId="79FEEEA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continue"/>
            <w:noWrap w:val="0"/>
            <w:vAlign w:val="center"/>
          </w:tcPr>
          <w:p w14:paraId="63E261D4">
            <w:pPr>
              <w:jc w:val="center"/>
              <w:rPr>
                <w:rFonts w:eastAsia="等线"/>
                <w:color w:val="000000" w:themeColor="text1"/>
                <w:highlight w:val="none"/>
                <w14:textFill>
                  <w14:solidFill>
                    <w14:schemeClr w14:val="tx1"/>
                  </w14:solidFill>
                </w14:textFill>
              </w:rPr>
            </w:pPr>
          </w:p>
        </w:tc>
        <w:tc>
          <w:tcPr>
            <w:tcW w:w="1748" w:type="dxa"/>
            <w:noWrap w:val="0"/>
            <w:tcMar>
              <w:top w:w="0" w:type="dxa"/>
              <w:left w:w="105" w:type="dxa"/>
              <w:bottom w:w="0" w:type="dxa"/>
              <w:right w:w="105" w:type="dxa"/>
            </w:tcMar>
            <w:vAlign w:val="center"/>
          </w:tcPr>
          <w:p w14:paraId="040702E8">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资产总额（Z）</w:t>
            </w:r>
          </w:p>
        </w:tc>
        <w:tc>
          <w:tcPr>
            <w:tcW w:w="732" w:type="dxa"/>
            <w:noWrap w:val="0"/>
            <w:tcMar>
              <w:top w:w="0" w:type="dxa"/>
              <w:left w:w="105" w:type="dxa"/>
              <w:bottom w:w="0" w:type="dxa"/>
              <w:right w:w="105" w:type="dxa"/>
            </w:tcMar>
            <w:vAlign w:val="center"/>
          </w:tcPr>
          <w:p w14:paraId="072BDC8F">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万元</w:t>
            </w:r>
          </w:p>
        </w:tc>
        <w:tc>
          <w:tcPr>
            <w:tcW w:w="1922" w:type="dxa"/>
            <w:noWrap w:val="0"/>
            <w:tcMar>
              <w:top w:w="0" w:type="dxa"/>
              <w:left w:w="105" w:type="dxa"/>
              <w:bottom w:w="0" w:type="dxa"/>
              <w:right w:w="105" w:type="dxa"/>
            </w:tcMar>
            <w:vAlign w:val="center"/>
          </w:tcPr>
          <w:p w14:paraId="0A4058F4">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8000≤Z＜120000</w:t>
            </w:r>
          </w:p>
        </w:tc>
        <w:tc>
          <w:tcPr>
            <w:tcW w:w="1739" w:type="dxa"/>
            <w:noWrap w:val="0"/>
            <w:tcMar>
              <w:top w:w="0" w:type="dxa"/>
              <w:left w:w="105" w:type="dxa"/>
              <w:bottom w:w="0" w:type="dxa"/>
              <w:right w:w="105" w:type="dxa"/>
            </w:tcMar>
            <w:vAlign w:val="center"/>
          </w:tcPr>
          <w:p w14:paraId="22E3EE1F">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100≤Z＜8000</w:t>
            </w:r>
          </w:p>
        </w:tc>
        <w:tc>
          <w:tcPr>
            <w:tcW w:w="1545" w:type="dxa"/>
            <w:noWrap w:val="0"/>
            <w:tcMar>
              <w:top w:w="0" w:type="dxa"/>
              <w:left w:w="105" w:type="dxa"/>
              <w:bottom w:w="0" w:type="dxa"/>
              <w:right w:w="105" w:type="dxa"/>
            </w:tcMar>
            <w:vAlign w:val="center"/>
          </w:tcPr>
          <w:p w14:paraId="54E638F7">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Y＜100</w:t>
            </w:r>
          </w:p>
        </w:tc>
      </w:tr>
      <w:tr w14:paraId="460D349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noWrap w:val="0"/>
            <w:tcMar>
              <w:top w:w="0" w:type="dxa"/>
              <w:left w:w="105" w:type="dxa"/>
              <w:bottom w:w="0" w:type="dxa"/>
              <w:right w:w="105" w:type="dxa"/>
            </w:tcMar>
            <w:vAlign w:val="center"/>
          </w:tcPr>
          <w:p w14:paraId="4D04B498">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其他未列明行业</w:t>
            </w:r>
          </w:p>
        </w:tc>
        <w:tc>
          <w:tcPr>
            <w:tcW w:w="1748" w:type="dxa"/>
            <w:noWrap w:val="0"/>
            <w:tcMar>
              <w:top w:w="0" w:type="dxa"/>
              <w:left w:w="105" w:type="dxa"/>
              <w:bottom w:w="0" w:type="dxa"/>
              <w:right w:w="105" w:type="dxa"/>
            </w:tcMar>
            <w:vAlign w:val="center"/>
          </w:tcPr>
          <w:p w14:paraId="3B57D75A">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从业人员（X）</w:t>
            </w:r>
          </w:p>
        </w:tc>
        <w:tc>
          <w:tcPr>
            <w:tcW w:w="732" w:type="dxa"/>
            <w:noWrap w:val="0"/>
            <w:tcMar>
              <w:top w:w="0" w:type="dxa"/>
              <w:left w:w="105" w:type="dxa"/>
              <w:bottom w:w="0" w:type="dxa"/>
              <w:right w:w="105" w:type="dxa"/>
            </w:tcMar>
            <w:vAlign w:val="center"/>
          </w:tcPr>
          <w:p w14:paraId="4B9507F4">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人</w:t>
            </w:r>
          </w:p>
        </w:tc>
        <w:tc>
          <w:tcPr>
            <w:tcW w:w="1922" w:type="dxa"/>
            <w:noWrap w:val="0"/>
            <w:tcMar>
              <w:top w:w="0" w:type="dxa"/>
              <w:left w:w="105" w:type="dxa"/>
              <w:bottom w:w="0" w:type="dxa"/>
              <w:right w:w="105" w:type="dxa"/>
            </w:tcMar>
            <w:vAlign w:val="center"/>
          </w:tcPr>
          <w:p w14:paraId="34A2AEEE">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100≤X＜300</w:t>
            </w:r>
          </w:p>
        </w:tc>
        <w:tc>
          <w:tcPr>
            <w:tcW w:w="1739" w:type="dxa"/>
            <w:noWrap w:val="0"/>
            <w:tcMar>
              <w:top w:w="0" w:type="dxa"/>
              <w:left w:w="105" w:type="dxa"/>
              <w:bottom w:w="0" w:type="dxa"/>
              <w:right w:w="105" w:type="dxa"/>
            </w:tcMar>
            <w:vAlign w:val="center"/>
          </w:tcPr>
          <w:p w14:paraId="761D5AFF">
            <w:pPr>
              <w:spacing w:after="150" w:line="360" w:lineRule="auto"/>
              <w:jc w:val="center"/>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10≤X＜100</w:t>
            </w:r>
          </w:p>
        </w:tc>
        <w:tc>
          <w:tcPr>
            <w:tcW w:w="1545" w:type="dxa"/>
            <w:noWrap w:val="0"/>
            <w:tcMar>
              <w:top w:w="0" w:type="dxa"/>
              <w:left w:w="105" w:type="dxa"/>
              <w:bottom w:w="0" w:type="dxa"/>
              <w:right w:w="105" w:type="dxa"/>
            </w:tcMar>
            <w:vAlign w:val="center"/>
          </w:tcPr>
          <w:p w14:paraId="769A86DD">
            <w:pPr>
              <w:spacing w:after="150"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X＜10</w:t>
            </w:r>
          </w:p>
        </w:tc>
      </w:tr>
    </w:tbl>
    <w:p w14:paraId="2BB7764D">
      <w:pPr>
        <w:spacing w:before="300" w:after="452" w:line="360" w:lineRule="auto"/>
        <w:ind w:firstLine="100"/>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说明：上述标准参照《关于印发中小企业划型标准规定的通知》（工信部联企业[2011]300号），大型、中型和小型企业须同时满足所列指标的下限，否则下划一档；微型企业只须满足所列指标中的一项即可。</w:t>
      </w:r>
    </w:p>
    <w:p w14:paraId="6B939C7F">
      <w:pPr>
        <w:spacing w:line="560" w:lineRule="exact"/>
        <w:ind w:firstLine="120"/>
        <w:rPr>
          <w:color w:val="000000" w:themeColor="text1"/>
          <w:sz w:val="24"/>
          <w:szCs w:val="24"/>
          <w:highlight w:val="none"/>
          <w14:textFill>
            <w14:solidFill>
              <w14:schemeClr w14:val="tx1"/>
            </w14:solidFill>
          </w14:textFill>
        </w:rPr>
      </w:pPr>
    </w:p>
    <w:p w14:paraId="367485D6">
      <w:pPr>
        <w:spacing w:line="460" w:lineRule="exact"/>
        <w:jc w:val="both"/>
        <w:rPr>
          <w:rFonts w:hint="eastAsia" w:ascii="黑体" w:hAnsi="黑体" w:eastAsia="黑体"/>
          <w:b/>
          <w:color w:val="000000" w:themeColor="text1"/>
          <w:sz w:val="32"/>
          <w:szCs w:val="32"/>
          <w:highlight w:val="none"/>
          <w14:textFill>
            <w14:solidFill>
              <w14:schemeClr w14:val="tx1"/>
            </w14:solidFill>
          </w14:textFill>
        </w:rPr>
        <w:sectPr>
          <w:footerReference r:id="rId6" w:type="default"/>
          <w:pgSz w:w="11906" w:h="16838"/>
          <w:pgMar w:top="1418" w:right="1588" w:bottom="1418" w:left="1365" w:header="851" w:footer="907" w:gutter="0"/>
          <w:pgNumType w:fmt="decimal"/>
          <w:cols w:space="1701" w:num="1"/>
          <w:titlePg/>
          <w:docGrid w:linePitch="360" w:charSpace="0"/>
        </w:sectPr>
      </w:pPr>
    </w:p>
    <w:p w14:paraId="39495F45">
      <w:pPr>
        <w:spacing w:line="460" w:lineRule="exact"/>
        <w:jc w:val="both"/>
        <w:rPr>
          <w:rFonts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十、残疾人福利性单位声明函</w:t>
      </w:r>
    </w:p>
    <w:p w14:paraId="23E47243">
      <w:pPr>
        <w:pageBreakBefore w:val="0"/>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p>
    <w:p w14:paraId="5B1BEEC7">
      <w:pPr>
        <w:pageBreakBefore w:val="0"/>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本单位在本次政府采购活动中提供的残疾人福利单位产品报价合计为人民币（大写）</w:t>
      </w:r>
      <w:r>
        <w:rPr>
          <w:rFonts w:hint="eastAsia"/>
          <w:color w:val="auto"/>
          <w:szCs w:val="21"/>
          <w:highlight w:val="none"/>
          <w:lang w:eastAsia="zh-CN"/>
        </w:rPr>
        <w:t>元</w:t>
      </w:r>
      <w:r>
        <w:rPr>
          <w:rFonts w:hint="eastAsia" w:ascii="Times New Roman" w:hAnsi="Times New Roman" w:eastAsia="宋体"/>
          <w:color w:val="auto"/>
          <w:szCs w:val="21"/>
          <w:highlight w:val="none"/>
        </w:rPr>
        <w:t>整（￥：）。</w:t>
      </w:r>
    </w:p>
    <w:p w14:paraId="623C4712">
      <w:pPr>
        <w:pageBreakBefore w:val="0"/>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本单位对上述声明的真实性负责。如有虚假，将依法承担相应责任。</w:t>
      </w:r>
    </w:p>
    <w:p w14:paraId="3ACAF4D0">
      <w:pPr>
        <w:pageBreakBefore w:val="0"/>
        <w:spacing w:line="360" w:lineRule="auto"/>
        <w:ind w:firstLine="420"/>
        <w:rPr>
          <w:rFonts w:ascii="Times New Roman" w:hAnsi="Times New Roman" w:eastAsia="宋体"/>
          <w:color w:val="auto"/>
          <w:szCs w:val="21"/>
          <w:highlight w:val="none"/>
        </w:rPr>
      </w:pPr>
    </w:p>
    <w:p w14:paraId="6EB425FB">
      <w:pPr>
        <w:pageBreakBefore w:val="0"/>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备注：1.专门面向中小微型企业采购的项目，供应商为残疾人福利性单位并提供本单位制造的货物</w:t>
      </w:r>
      <w:r>
        <w:rPr>
          <w:rFonts w:hint="eastAsia" w:ascii="Times New Roman" w:hAnsi="Times New Roman" w:eastAsia="宋体"/>
          <w:color w:val="auto"/>
          <w:szCs w:val="21"/>
          <w:highlight w:val="none"/>
          <w:lang w:eastAsia="zh-CN"/>
        </w:rPr>
        <w:t>（</w:t>
      </w:r>
      <w:r>
        <w:rPr>
          <w:rFonts w:hint="eastAsia" w:ascii="Times New Roman" w:hAnsi="Times New Roman" w:eastAsia="宋体"/>
          <w:color w:val="auto"/>
          <w:szCs w:val="21"/>
          <w:highlight w:val="none"/>
          <w:lang w:val="en-US" w:eastAsia="zh-CN"/>
        </w:rPr>
        <w:t>服务</w:t>
      </w:r>
      <w:r>
        <w:rPr>
          <w:rFonts w:hint="eastAsia" w:ascii="Times New Roman" w:hAnsi="Times New Roman" w:eastAsia="宋体"/>
          <w:color w:val="auto"/>
          <w:szCs w:val="21"/>
          <w:highlight w:val="none"/>
          <w:lang w:eastAsia="zh-CN"/>
        </w:rPr>
        <w:t>）</w:t>
      </w:r>
      <w:r>
        <w:rPr>
          <w:rFonts w:hint="eastAsia" w:ascii="Times New Roman" w:hAnsi="Times New Roman" w:eastAsia="宋体"/>
          <w:color w:val="auto"/>
          <w:szCs w:val="21"/>
          <w:highlight w:val="none"/>
        </w:rPr>
        <w:t>，或者提供其他残疾人福利性单位制造的货物</w:t>
      </w:r>
      <w:r>
        <w:rPr>
          <w:rFonts w:hint="eastAsia" w:ascii="Times New Roman" w:hAnsi="Times New Roman" w:eastAsia="宋体"/>
          <w:color w:val="auto"/>
          <w:szCs w:val="21"/>
          <w:highlight w:val="none"/>
          <w:lang w:eastAsia="zh-CN"/>
        </w:rPr>
        <w:t>（</w:t>
      </w:r>
      <w:r>
        <w:rPr>
          <w:rFonts w:hint="eastAsia" w:ascii="Times New Roman" w:hAnsi="Times New Roman" w:eastAsia="宋体"/>
          <w:color w:val="auto"/>
          <w:szCs w:val="21"/>
          <w:highlight w:val="none"/>
          <w:lang w:val="en-US" w:eastAsia="zh-CN"/>
        </w:rPr>
        <w:t>服务</w:t>
      </w:r>
      <w:r>
        <w:rPr>
          <w:rFonts w:hint="eastAsia" w:ascii="Times New Roman" w:hAnsi="Times New Roman" w:eastAsia="宋体"/>
          <w:color w:val="auto"/>
          <w:szCs w:val="21"/>
          <w:highlight w:val="none"/>
          <w:lang w:eastAsia="zh-CN"/>
        </w:rPr>
        <w:t>）</w:t>
      </w:r>
      <w:r>
        <w:rPr>
          <w:rFonts w:hint="eastAsia" w:ascii="Times New Roman" w:hAnsi="Times New Roman" w:eastAsia="宋体"/>
          <w:color w:val="auto"/>
          <w:szCs w:val="21"/>
          <w:highlight w:val="none"/>
        </w:rPr>
        <w:t>，必须提供此声明函，否则将不能通过资格审查。</w:t>
      </w:r>
    </w:p>
    <w:p w14:paraId="2C244BBE">
      <w:pPr>
        <w:pageBreakBefore w:val="0"/>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2.非专门面向中小微型企业采购的项目，供应商如不提供此声明函，价格将不做相应扣除。</w:t>
      </w:r>
    </w:p>
    <w:p w14:paraId="4B466B8D">
      <w:pPr>
        <w:pageBreakBefore w:val="0"/>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3.中标/成交供应商为残疾人福利性单位的，此声明函将随中标/成交结果同时公告，接受社会监督。</w:t>
      </w:r>
    </w:p>
    <w:p w14:paraId="1B322F0F">
      <w:pPr>
        <w:pageBreakBefore w:val="0"/>
        <w:spacing w:line="360" w:lineRule="auto"/>
        <w:ind w:firstLine="444"/>
        <w:rPr>
          <w:rFonts w:ascii="Times New Roman" w:hAnsi="Times New Roman" w:eastAsia="宋体"/>
          <w:color w:val="auto"/>
          <w:spacing w:val="6"/>
          <w:szCs w:val="21"/>
          <w:highlight w:val="none"/>
        </w:rPr>
      </w:pPr>
    </w:p>
    <w:p w14:paraId="47A865C0">
      <w:pPr>
        <w:pageBreakBefore w:val="0"/>
        <w:tabs>
          <w:tab w:val="left" w:pos="4860"/>
        </w:tabs>
        <w:spacing w:line="360" w:lineRule="auto"/>
        <w:ind w:right="1560" w:firstLine="420"/>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供应商全称（盖章）：</w:t>
      </w:r>
    </w:p>
    <w:p w14:paraId="22C9B097">
      <w:pPr>
        <w:pageBreakBefore w:val="0"/>
        <w:tabs>
          <w:tab w:val="left" w:pos="4860"/>
        </w:tabs>
        <w:spacing w:line="360" w:lineRule="auto"/>
        <w:ind w:right="1560" w:firstLine="420"/>
        <w:jc w:val="center"/>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日期：</w:t>
      </w:r>
    </w:p>
    <w:p w14:paraId="2C4412E6">
      <w:pPr>
        <w:pageBreakBefore w:val="0"/>
        <w:tabs>
          <w:tab w:val="left" w:pos="4860"/>
        </w:tabs>
        <w:spacing w:line="360" w:lineRule="auto"/>
        <w:ind w:right="1560" w:firstLine="420"/>
        <w:jc w:val="center"/>
        <w:rPr>
          <w:rFonts w:hint="eastAsia" w:ascii="Times New Roman" w:hAnsi="Times New Roman" w:eastAsia="宋体"/>
          <w:color w:val="auto"/>
          <w:szCs w:val="21"/>
          <w:highlight w:val="none"/>
        </w:rPr>
      </w:pPr>
    </w:p>
    <w:p w14:paraId="1D3B975B">
      <w:pPr>
        <w:pageBreakBefore w:val="0"/>
        <w:tabs>
          <w:tab w:val="left" w:pos="4860"/>
        </w:tabs>
        <w:spacing w:line="360" w:lineRule="auto"/>
        <w:ind w:right="1560" w:firstLine="420"/>
        <w:jc w:val="center"/>
        <w:rPr>
          <w:rFonts w:hint="eastAsia" w:ascii="Times New Roman" w:hAnsi="Times New Roman" w:eastAsia="宋体"/>
          <w:color w:val="auto"/>
          <w:szCs w:val="21"/>
          <w:highlight w:val="none"/>
        </w:rPr>
      </w:pPr>
    </w:p>
    <w:p w14:paraId="72FB8C90">
      <w:pPr>
        <w:pageBreakBefore w:val="0"/>
        <w:tabs>
          <w:tab w:val="left" w:pos="4860"/>
        </w:tabs>
        <w:spacing w:line="360" w:lineRule="auto"/>
        <w:ind w:right="1560" w:firstLine="420"/>
        <w:jc w:val="center"/>
        <w:rPr>
          <w:rFonts w:hint="eastAsia" w:ascii="Times New Roman" w:hAnsi="Times New Roman" w:eastAsia="宋体"/>
          <w:color w:val="auto"/>
          <w:szCs w:val="21"/>
          <w:highlight w:val="none"/>
        </w:rPr>
      </w:pPr>
    </w:p>
    <w:p w14:paraId="7A4CD540">
      <w:pPr>
        <w:pageBreakBefore w:val="0"/>
        <w:tabs>
          <w:tab w:val="left" w:pos="4860"/>
        </w:tabs>
        <w:spacing w:line="360" w:lineRule="auto"/>
        <w:ind w:right="1560" w:firstLine="420"/>
        <w:jc w:val="center"/>
        <w:rPr>
          <w:rFonts w:hint="eastAsia" w:ascii="Times New Roman" w:hAnsi="Times New Roman" w:eastAsia="宋体"/>
          <w:color w:val="auto"/>
          <w:szCs w:val="21"/>
          <w:highlight w:val="none"/>
        </w:rPr>
      </w:pPr>
    </w:p>
    <w:p w14:paraId="4B995505">
      <w:pPr>
        <w:pageBreakBefore w:val="0"/>
        <w:tabs>
          <w:tab w:val="left" w:pos="4860"/>
        </w:tabs>
        <w:spacing w:line="360" w:lineRule="auto"/>
        <w:ind w:right="1560" w:firstLine="420"/>
        <w:jc w:val="center"/>
        <w:rPr>
          <w:rFonts w:hint="eastAsia" w:ascii="Times New Roman" w:hAnsi="Times New Roman" w:eastAsia="宋体"/>
          <w:color w:val="auto"/>
          <w:szCs w:val="21"/>
          <w:highlight w:val="none"/>
        </w:rPr>
      </w:pPr>
    </w:p>
    <w:p w14:paraId="4FC5E6DD">
      <w:pPr>
        <w:pageBreakBefore w:val="0"/>
        <w:tabs>
          <w:tab w:val="left" w:pos="4860"/>
        </w:tabs>
        <w:spacing w:line="360" w:lineRule="auto"/>
        <w:ind w:right="1560" w:firstLine="420"/>
        <w:jc w:val="center"/>
        <w:rPr>
          <w:rFonts w:hint="eastAsia" w:ascii="Times New Roman" w:hAnsi="Times New Roman" w:eastAsia="宋体"/>
          <w:color w:val="auto"/>
          <w:szCs w:val="21"/>
          <w:highlight w:val="none"/>
        </w:rPr>
      </w:pPr>
    </w:p>
    <w:p w14:paraId="209C4464">
      <w:pPr>
        <w:pageBreakBefore w:val="0"/>
        <w:tabs>
          <w:tab w:val="left" w:pos="4860"/>
        </w:tabs>
        <w:spacing w:line="360" w:lineRule="auto"/>
        <w:ind w:right="1560" w:firstLine="420"/>
        <w:jc w:val="center"/>
        <w:rPr>
          <w:rFonts w:hint="eastAsia" w:ascii="Times New Roman" w:hAnsi="Times New Roman" w:eastAsia="宋体"/>
          <w:color w:val="auto"/>
          <w:szCs w:val="21"/>
          <w:highlight w:val="none"/>
        </w:rPr>
      </w:pPr>
    </w:p>
    <w:p w14:paraId="5D642013">
      <w:pPr>
        <w:pageBreakBefore w:val="0"/>
        <w:tabs>
          <w:tab w:val="left" w:pos="4860"/>
        </w:tabs>
        <w:spacing w:line="360" w:lineRule="auto"/>
        <w:ind w:right="1560" w:firstLine="420"/>
        <w:jc w:val="center"/>
        <w:rPr>
          <w:rFonts w:hint="eastAsia" w:ascii="Times New Roman" w:hAnsi="Times New Roman" w:eastAsia="宋体"/>
          <w:color w:val="auto"/>
          <w:szCs w:val="21"/>
          <w:highlight w:val="none"/>
        </w:rPr>
      </w:pPr>
    </w:p>
    <w:p w14:paraId="516AB932">
      <w:pPr>
        <w:pageBreakBefore w:val="0"/>
        <w:tabs>
          <w:tab w:val="left" w:pos="4860"/>
        </w:tabs>
        <w:spacing w:line="360" w:lineRule="auto"/>
        <w:ind w:right="1560" w:firstLine="420"/>
        <w:jc w:val="center"/>
        <w:rPr>
          <w:rFonts w:hint="eastAsia" w:ascii="Times New Roman" w:hAnsi="Times New Roman" w:eastAsia="宋体"/>
          <w:color w:val="auto"/>
          <w:szCs w:val="21"/>
          <w:highlight w:val="none"/>
        </w:rPr>
      </w:pPr>
    </w:p>
    <w:p w14:paraId="58C69F00">
      <w:pPr>
        <w:pageBreakBefore w:val="0"/>
        <w:tabs>
          <w:tab w:val="left" w:pos="4860"/>
        </w:tabs>
        <w:spacing w:line="360" w:lineRule="auto"/>
        <w:ind w:right="1560" w:firstLine="420"/>
        <w:jc w:val="center"/>
        <w:rPr>
          <w:rFonts w:hint="eastAsia" w:ascii="Times New Roman" w:hAnsi="Times New Roman" w:eastAsia="宋体"/>
          <w:color w:val="auto"/>
          <w:szCs w:val="21"/>
          <w:highlight w:val="none"/>
        </w:rPr>
      </w:pPr>
    </w:p>
    <w:p w14:paraId="3F7CB220">
      <w:pPr>
        <w:pageBreakBefore w:val="0"/>
        <w:tabs>
          <w:tab w:val="left" w:pos="4860"/>
        </w:tabs>
        <w:spacing w:line="360" w:lineRule="auto"/>
        <w:ind w:right="1560" w:firstLine="420"/>
        <w:jc w:val="center"/>
        <w:rPr>
          <w:rFonts w:hint="eastAsia" w:ascii="Times New Roman" w:hAnsi="Times New Roman" w:eastAsia="宋体"/>
          <w:color w:val="auto"/>
          <w:szCs w:val="21"/>
          <w:highlight w:val="none"/>
        </w:rPr>
      </w:pPr>
    </w:p>
    <w:p w14:paraId="0FFF0F53">
      <w:pPr>
        <w:pageBreakBefore w:val="0"/>
        <w:tabs>
          <w:tab w:val="left" w:pos="4860"/>
        </w:tabs>
        <w:spacing w:line="360" w:lineRule="auto"/>
        <w:ind w:right="1560" w:firstLine="420"/>
        <w:jc w:val="center"/>
        <w:rPr>
          <w:rFonts w:hint="eastAsia" w:ascii="Times New Roman" w:hAnsi="Times New Roman" w:eastAsia="宋体"/>
          <w:color w:val="auto"/>
          <w:szCs w:val="21"/>
          <w:highlight w:val="none"/>
        </w:rPr>
      </w:pPr>
    </w:p>
    <w:p w14:paraId="49209AE9">
      <w:pPr>
        <w:pageBreakBefore w:val="0"/>
        <w:tabs>
          <w:tab w:val="left" w:pos="4860"/>
        </w:tabs>
        <w:spacing w:line="360" w:lineRule="auto"/>
        <w:ind w:right="1560" w:firstLine="420"/>
        <w:jc w:val="center"/>
        <w:rPr>
          <w:rFonts w:hint="eastAsia" w:ascii="Times New Roman" w:hAnsi="Times New Roman" w:eastAsia="宋体"/>
          <w:color w:val="auto"/>
          <w:szCs w:val="21"/>
          <w:highlight w:val="none"/>
        </w:rPr>
      </w:pPr>
    </w:p>
    <w:p w14:paraId="3C06484A">
      <w:pPr>
        <w:pageBreakBefore w:val="0"/>
        <w:tabs>
          <w:tab w:val="left" w:pos="4860"/>
        </w:tabs>
        <w:spacing w:line="360" w:lineRule="auto"/>
        <w:ind w:right="1560" w:firstLine="420"/>
        <w:jc w:val="center"/>
        <w:rPr>
          <w:rFonts w:hint="eastAsia" w:ascii="Times New Roman" w:hAnsi="Times New Roman" w:eastAsia="宋体"/>
          <w:color w:val="auto"/>
          <w:szCs w:val="21"/>
          <w:highlight w:val="none"/>
        </w:rPr>
      </w:pPr>
    </w:p>
    <w:p w14:paraId="6812CE9D">
      <w:pPr>
        <w:pageBreakBefore w:val="0"/>
        <w:widowControl/>
        <w:spacing w:line="360" w:lineRule="auto"/>
        <w:jc w:val="left"/>
        <w:rPr>
          <w:rFonts w:ascii="Times New Roman" w:hAnsi="Times New Roman" w:eastAsia="宋体" w:cs="Arial"/>
          <w:b/>
          <w:bCs/>
          <w:color w:val="auto"/>
          <w:highlight w:val="none"/>
        </w:rPr>
      </w:pPr>
    </w:p>
    <w:p w14:paraId="746E2967">
      <w:pPr>
        <w:spacing w:line="560" w:lineRule="exact"/>
        <w:ind w:firstLine="161"/>
        <w:jc w:val="center"/>
        <w:rPr>
          <w:rFonts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十一、联合体协议（参考格式）</w:t>
      </w:r>
    </w:p>
    <w:p w14:paraId="02513C1F">
      <w:pPr>
        <w:spacing w:line="560" w:lineRule="exact"/>
        <w:ind w:firstLine="1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（联合体中各供应商全称）在此达成以下协议：</w:t>
      </w:r>
    </w:p>
    <w:p w14:paraId="64781F12">
      <w:pPr>
        <w:spacing w:line="560" w:lineRule="exact"/>
        <w:ind w:firstLine="1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、我们</w:t>
      </w:r>
      <w:r>
        <w:rPr>
          <w:rFonts w:hint="eastAsia"/>
          <w:color w:val="000000" w:themeColor="text1"/>
          <w:sz w:val="24"/>
          <w:highlight w:val="none"/>
          <w:u w:val="single"/>
          <w14:textFill>
            <w14:solidFill>
              <w14:schemeClr w14:val="tx1"/>
            </w14:solidFill>
          </w14:textFill>
        </w:rPr>
        <w:t xml:space="preserve"> （供应商1），（供应商2） ，</w:t>
      </w:r>
      <w:r>
        <w:rPr>
          <w:color w:val="000000" w:themeColor="text1"/>
          <w:sz w:val="24"/>
          <w:highlight w:val="none"/>
          <w:u w:val="single"/>
          <w14:textFill>
            <w14:solidFill>
              <w14:schemeClr w14:val="tx1"/>
            </w14:solidFill>
          </w14:textFill>
        </w:rPr>
        <w:t>……</w:t>
      </w:r>
      <w:r>
        <w:rPr>
          <w:rFonts w:hint="eastAsia"/>
          <w:color w:val="000000" w:themeColor="text1"/>
          <w:sz w:val="24"/>
          <w:highlight w:val="none"/>
          <w14:textFill>
            <w14:solidFill>
              <w14:schemeClr w14:val="tx1"/>
            </w14:solidFill>
          </w14:textFill>
        </w:rPr>
        <w:t>自愿组成联合体，参加</w:t>
      </w:r>
      <w:r>
        <w:rPr>
          <w:rFonts w:hint="eastAsia"/>
          <w:color w:val="000000" w:themeColor="text1"/>
          <w:sz w:val="24"/>
          <w:highlight w:val="none"/>
          <w:lang w:eastAsia="zh-CN"/>
          <w14:textFill>
            <w14:solidFill>
              <w14:schemeClr w14:val="tx1"/>
            </w14:solidFill>
          </w14:textFill>
        </w:rPr>
        <w:t>扬州诚庆工程咨询管理有限公司</w:t>
      </w:r>
      <w:r>
        <w:rPr>
          <w:rFonts w:hint="eastAsia"/>
          <w:color w:val="000000" w:themeColor="text1"/>
          <w:sz w:val="24"/>
          <w:highlight w:val="none"/>
          <w14:textFill>
            <w14:solidFill>
              <w14:schemeClr w14:val="tx1"/>
            </w14:solidFill>
          </w14:textFill>
        </w:rPr>
        <w:t>代理机构组织的采购编号为</w:t>
      </w:r>
      <w:r>
        <w:rPr>
          <w:rFonts w:hint="eastAsia"/>
          <w:color w:val="000000" w:themeColor="text1"/>
          <w:sz w:val="24"/>
          <w:highlight w:val="none"/>
          <w:u w:val="single"/>
          <w14:textFill>
            <w14:solidFill>
              <w14:schemeClr w14:val="tx1"/>
            </w14:solidFill>
          </w14:textFill>
        </w:rPr>
        <w:t>（编号全称），（项目全称）</w:t>
      </w:r>
      <w:r>
        <w:rPr>
          <w:rFonts w:hint="eastAsia"/>
          <w:color w:val="000000" w:themeColor="text1"/>
          <w:sz w:val="24"/>
          <w:highlight w:val="none"/>
          <w14:textFill>
            <w14:solidFill>
              <w14:schemeClr w14:val="tx1"/>
            </w14:solidFill>
          </w14:textFill>
        </w:rPr>
        <w:t>项目（分包号：**）的政府采购活动，我联合体指定</w:t>
      </w:r>
      <w:r>
        <w:rPr>
          <w:rFonts w:hint="eastAsia"/>
          <w:color w:val="000000" w:themeColor="text1"/>
          <w:sz w:val="24"/>
          <w:highlight w:val="none"/>
          <w:u w:val="single"/>
          <w14:textFill>
            <w14:solidFill>
              <w14:schemeClr w14:val="tx1"/>
            </w14:solidFill>
          </w14:textFill>
        </w:rPr>
        <w:t>（供应商*）</w:t>
      </w:r>
      <w:r>
        <w:rPr>
          <w:rFonts w:hint="eastAsia"/>
          <w:color w:val="000000" w:themeColor="text1"/>
          <w:sz w:val="24"/>
          <w:highlight w:val="none"/>
          <w14:textFill>
            <w14:solidFill>
              <w14:schemeClr w14:val="tx1"/>
            </w14:solidFill>
          </w14:textFill>
        </w:rPr>
        <w:t>为牵头单位（牵头单位必须为联合体成员）。</w:t>
      </w:r>
    </w:p>
    <w:p w14:paraId="4343980F">
      <w:pPr>
        <w:spacing w:line="560" w:lineRule="exact"/>
        <w:ind w:firstLine="1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r>
        <w:rPr>
          <w:rFonts w:hint="eastAsia"/>
          <w:color w:val="000000" w:themeColor="text1"/>
          <w:sz w:val="24"/>
          <w:highlight w:val="none"/>
          <w14:textFill>
            <w14:solidFill>
              <w14:schemeClr w14:val="tx1"/>
            </w14:solidFill>
          </w14:textFill>
        </w:rPr>
        <w:t>、若我们联合中标、成交，（供应商单位</w:t>
      </w: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全称）实施项目中（工作内容）部分工作，并承担相应的责任。（供应商单位</w:t>
      </w:r>
      <w:r>
        <w:rPr>
          <w:color w:val="000000" w:themeColor="text1"/>
          <w:sz w:val="24"/>
          <w:highlight w:val="none"/>
          <w14:textFill>
            <w14:solidFill>
              <w14:schemeClr w14:val="tx1"/>
            </w14:solidFill>
          </w14:textFill>
        </w:rPr>
        <w:t>2</w:t>
      </w:r>
      <w:r>
        <w:rPr>
          <w:rFonts w:hint="eastAsia"/>
          <w:color w:val="000000" w:themeColor="text1"/>
          <w:sz w:val="24"/>
          <w:highlight w:val="none"/>
          <w14:textFill>
            <w14:solidFill>
              <w14:schemeClr w14:val="tx1"/>
            </w14:solidFill>
          </w14:textFill>
        </w:rPr>
        <w:t>全称）实施项目中（工作内容）部分工作，并承担相应的责任……。（注：联合体中各供应商都应明示所承担的工作和相应的责任）。</w:t>
      </w:r>
    </w:p>
    <w:p w14:paraId="7970EBB8">
      <w:pPr>
        <w:spacing w:line="560" w:lineRule="exact"/>
        <w:ind w:firstLine="1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r>
        <w:rPr>
          <w:rFonts w:hint="eastAsia"/>
          <w:color w:val="000000" w:themeColor="text1"/>
          <w:sz w:val="24"/>
          <w:highlight w:val="none"/>
          <w14:textFill>
            <w14:solidFill>
              <w14:schemeClr w14:val="tx1"/>
            </w14:solidFill>
          </w14:textFill>
        </w:rPr>
        <w:t>、其中</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（小型、微型企业/残疾人福利性单位/监狱企业全称）为</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（小型、微型企业/残疾人福利性单位/监狱企业）企业，且我们约定该公司/单位所承担的合同金额将占本项目合同总金额的</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w:t>
      </w:r>
    </w:p>
    <w:p w14:paraId="370C50D4">
      <w:pPr>
        <w:spacing w:line="560" w:lineRule="exact"/>
        <w:ind w:firstLine="120"/>
        <w:rPr>
          <w:color w:val="000000" w:themeColor="text1"/>
          <w:sz w:val="24"/>
          <w:highlight w:val="none"/>
          <w14:textFill>
            <w14:solidFill>
              <w14:schemeClr w14:val="tx1"/>
            </w14:solidFill>
          </w14:textFill>
        </w:rPr>
      </w:pPr>
    </w:p>
    <w:p w14:paraId="1199C57B">
      <w:pPr>
        <w:spacing w:line="560" w:lineRule="exact"/>
        <w:ind w:firstLine="1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备注：本招标文件中要求加盖CA电子签章的地方，仅需加盖牵头单位的CA电子签章。</w:t>
      </w:r>
    </w:p>
    <w:p w14:paraId="3D654D7A">
      <w:pPr>
        <w:spacing w:line="560" w:lineRule="exact"/>
        <w:ind w:firstLine="1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p>
    <w:p w14:paraId="708F7530">
      <w:pPr>
        <w:spacing w:line="560" w:lineRule="exact"/>
        <w:ind w:firstLine="120"/>
        <w:jc w:val="righ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联合体中各供应商全称（公章）：</w:t>
      </w:r>
      <w:r>
        <w:rPr>
          <w:color w:val="000000" w:themeColor="text1"/>
          <w:sz w:val="24"/>
          <w:highlight w:val="none"/>
          <w14:textFill>
            <w14:solidFill>
              <w14:schemeClr w14:val="tx1"/>
            </w14:solidFill>
          </w14:textFill>
        </w:rPr>
        <w:t xml:space="preserve">     </w:t>
      </w:r>
    </w:p>
    <w:p w14:paraId="49A77B0B">
      <w:pPr>
        <w:spacing w:line="360" w:lineRule="auto"/>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r>
        <w:rPr>
          <w:rFonts w:hint="eastAsia"/>
          <w:color w:val="000000" w:themeColor="text1"/>
          <w:sz w:val="24"/>
          <w:highlight w:val="none"/>
          <w:lang w:val="en-US" w:eastAsia="zh-CN"/>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日期：</w:t>
      </w:r>
    </w:p>
    <w:p w14:paraId="456AAD31">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br w:type="page" w:clear="all"/>
      </w:r>
    </w:p>
    <w:p w14:paraId="3B2934D9">
      <w:pPr>
        <w:pStyle w:val="236"/>
        <w:pageBreakBefore w:val="0"/>
        <w:spacing w:after="0" w:line="360" w:lineRule="auto"/>
        <w:jc w:val="center"/>
        <w:rPr>
          <w:rFonts w:ascii="Times New Roman" w:hAnsi="Times New Roman" w:eastAsia="宋体"/>
          <w:b/>
          <w:bCs/>
          <w:color w:val="auto"/>
          <w:sz w:val="24"/>
          <w:szCs w:val="24"/>
          <w:highlight w:val="none"/>
          <w:lang w:eastAsia="zh-CN"/>
        </w:rPr>
      </w:pPr>
      <w:r>
        <w:rPr>
          <w:rFonts w:hint="eastAsia" w:ascii="黑体" w:hAnsi="黑体" w:eastAsia="黑体"/>
          <w:b/>
          <w:color w:val="000000" w:themeColor="text1"/>
          <w:sz w:val="32"/>
          <w:szCs w:val="32"/>
          <w:highlight w:val="none"/>
          <w14:textFill>
            <w14:solidFill>
              <w14:schemeClr w14:val="tx1"/>
            </w14:solidFill>
          </w14:textFill>
        </w:rPr>
        <w:t>十二、</w:t>
      </w:r>
      <w:r>
        <w:rPr>
          <w:rFonts w:hint="eastAsia" w:ascii="Times New Roman" w:hAnsi="Times New Roman" w:eastAsia="宋体"/>
          <w:b/>
          <w:bCs/>
          <w:color w:val="auto"/>
          <w:sz w:val="32"/>
          <w:highlight w:val="none"/>
        </w:rPr>
        <w:t>分项报价表</w:t>
      </w:r>
    </w:p>
    <w:p w14:paraId="358BADF0">
      <w:pPr>
        <w:pageBreakBefore w:val="0"/>
        <w:spacing w:line="360" w:lineRule="auto"/>
        <w:rPr>
          <w:rFonts w:ascii="Times New Roman" w:hAnsi="Times New Roman" w:eastAsia="宋体" w:cs="宋体"/>
          <w:color w:val="auto"/>
          <w:szCs w:val="21"/>
          <w:highlight w:val="none"/>
        </w:rPr>
      </w:pPr>
    </w:p>
    <w:tbl>
      <w:tblPr>
        <w:tblStyle w:val="46"/>
        <w:tblW w:w="9767" w:type="dxa"/>
        <w:jc w:val="center"/>
        <w:tblLayout w:type="fixed"/>
        <w:tblCellMar>
          <w:top w:w="0" w:type="dxa"/>
          <w:left w:w="10" w:type="dxa"/>
          <w:bottom w:w="0" w:type="dxa"/>
          <w:right w:w="10" w:type="dxa"/>
        </w:tblCellMar>
      </w:tblPr>
      <w:tblGrid>
        <w:gridCol w:w="999"/>
        <w:gridCol w:w="2690"/>
        <w:gridCol w:w="957"/>
        <w:gridCol w:w="787"/>
        <w:gridCol w:w="1334"/>
        <w:gridCol w:w="1497"/>
        <w:gridCol w:w="1503"/>
      </w:tblGrid>
      <w:tr w14:paraId="717CA722">
        <w:tblPrEx>
          <w:tblCellMar>
            <w:top w:w="0" w:type="dxa"/>
            <w:left w:w="10" w:type="dxa"/>
            <w:bottom w:w="0" w:type="dxa"/>
            <w:right w:w="10" w:type="dxa"/>
          </w:tblCellMar>
        </w:tblPrEx>
        <w:trPr>
          <w:trHeight w:val="567" w:hRule="atLeast"/>
          <w:jc w:val="center"/>
        </w:trPr>
        <w:tc>
          <w:tcPr>
            <w:tcW w:w="999" w:type="dxa"/>
            <w:tcBorders>
              <w:top w:val="single" w:color="auto" w:sz="4" w:space="0"/>
              <w:left w:val="single" w:color="auto" w:sz="4" w:space="0"/>
              <w:bottom w:val="single" w:color="auto" w:sz="4" w:space="0"/>
            </w:tcBorders>
            <w:shd w:val="clear" w:color="auto" w:fill="FFFFFF"/>
            <w:noWrap w:val="0"/>
            <w:vAlign w:val="center"/>
          </w:tcPr>
          <w:p w14:paraId="66BAD32D">
            <w:pPr>
              <w:pageBreakBefore w:val="0"/>
              <w:spacing w:line="360" w:lineRule="auto"/>
              <w:jc w:val="center"/>
              <w:rPr>
                <w:rFonts w:hint="eastAsia" w:ascii="Times New Roman" w:hAnsi="Times New Roman" w:eastAsia="宋体" w:cs="宋体"/>
                <w:b/>
                <w:bCs/>
                <w:color w:val="auto"/>
                <w:szCs w:val="21"/>
                <w:highlight w:val="none"/>
                <w:lang w:eastAsia="zh-CN"/>
              </w:rPr>
            </w:pPr>
            <w:r>
              <w:rPr>
                <w:rFonts w:hint="eastAsia" w:ascii="Times New Roman" w:hAnsi="Times New Roman" w:eastAsia="宋体" w:cs="宋体"/>
                <w:b/>
                <w:bCs/>
                <w:color w:val="auto"/>
                <w:szCs w:val="21"/>
                <w:highlight w:val="none"/>
                <w:lang w:val="en-US" w:eastAsia="zh-CN"/>
              </w:rPr>
              <w:t>序号</w:t>
            </w:r>
          </w:p>
        </w:tc>
        <w:tc>
          <w:tcPr>
            <w:tcW w:w="2690" w:type="dxa"/>
            <w:tcBorders>
              <w:top w:val="single" w:color="auto" w:sz="4" w:space="0"/>
              <w:left w:val="single" w:color="auto" w:sz="4" w:space="0"/>
            </w:tcBorders>
            <w:shd w:val="clear" w:color="auto" w:fill="FFFFFF"/>
            <w:noWrap w:val="0"/>
            <w:vAlign w:val="center"/>
          </w:tcPr>
          <w:p w14:paraId="7ACEF4BC">
            <w:pPr>
              <w:pageBreakBefore w:val="0"/>
              <w:spacing w:line="360" w:lineRule="auto"/>
              <w:jc w:val="center"/>
              <w:rPr>
                <w:rFonts w:hint="eastAsia" w:ascii="Times New Roman" w:hAnsi="Times New Roman" w:eastAsia="宋体" w:cs="宋体"/>
                <w:b/>
                <w:bCs/>
                <w:color w:val="auto"/>
                <w:szCs w:val="21"/>
                <w:highlight w:val="none"/>
                <w:lang w:eastAsia="zh-CN"/>
              </w:rPr>
            </w:pPr>
            <w:r>
              <w:rPr>
                <w:rFonts w:hint="eastAsia" w:ascii="Times New Roman" w:hAnsi="Times New Roman" w:eastAsia="宋体" w:cs="宋体"/>
                <w:b/>
                <w:bCs/>
                <w:color w:val="auto"/>
                <w:szCs w:val="21"/>
                <w:highlight w:val="none"/>
                <w:lang w:val="en-US" w:eastAsia="zh-CN"/>
              </w:rPr>
              <w:t>名称</w:t>
            </w:r>
          </w:p>
        </w:tc>
        <w:tc>
          <w:tcPr>
            <w:tcW w:w="957" w:type="dxa"/>
            <w:tcBorders>
              <w:top w:val="single" w:color="auto" w:sz="4" w:space="0"/>
              <w:left w:val="single" w:color="auto" w:sz="4" w:space="0"/>
            </w:tcBorders>
            <w:shd w:val="clear" w:color="auto" w:fill="FFFFFF"/>
            <w:noWrap w:val="0"/>
            <w:vAlign w:val="center"/>
          </w:tcPr>
          <w:p w14:paraId="0A2362DD">
            <w:pPr>
              <w:pageBreakBefore w:val="0"/>
              <w:spacing w:line="360" w:lineRule="auto"/>
              <w:jc w:val="center"/>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单位</w:t>
            </w:r>
          </w:p>
        </w:tc>
        <w:tc>
          <w:tcPr>
            <w:tcW w:w="787" w:type="dxa"/>
            <w:tcBorders>
              <w:top w:val="single" w:color="auto" w:sz="4" w:space="0"/>
              <w:left w:val="single" w:color="auto" w:sz="4" w:space="0"/>
            </w:tcBorders>
            <w:shd w:val="clear" w:color="auto" w:fill="FFFFFF"/>
            <w:noWrap w:val="0"/>
            <w:vAlign w:val="center"/>
          </w:tcPr>
          <w:p w14:paraId="1D4EB18A">
            <w:pPr>
              <w:pageBreakBefore w:val="0"/>
              <w:spacing w:line="360" w:lineRule="auto"/>
              <w:jc w:val="center"/>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数量</w:t>
            </w:r>
          </w:p>
        </w:tc>
        <w:tc>
          <w:tcPr>
            <w:tcW w:w="1334" w:type="dxa"/>
            <w:tcBorders>
              <w:top w:val="single" w:color="auto" w:sz="4" w:space="0"/>
              <w:left w:val="single" w:color="auto" w:sz="4" w:space="0"/>
            </w:tcBorders>
            <w:shd w:val="clear" w:color="auto" w:fill="FFFFFF"/>
            <w:noWrap w:val="0"/>
            <w:vAlign w:val="center"/>
          </w:tcPr>
          <w:p w14:paraId="19613B87">
            <w:pPr>
              <w:pageBreakBefore w:val="0"/>
              <w:spacing w:line="360" w:lineRule="auto"/>
              <w:jc w:val="center"/>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单价</w:t>
            </w:r>
          </w:p>
          <w:p w14:paraId="79DB4590">
            <w:pPr>
              <w:pageBreakBefore w:val="0"/>
              <w:spacing w:line="360" w:lineRule="auto"/>
              <w:jc w:val="center"/>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（元）</w:t>
            </w:r>
          </w:p>
        </w:tc>
        <w:tc>
          <w:tcPr>
            <w:tcW w:w="1497" w:type="dxa"/>
            <w:tcBorders>
              <w:top w:val="single" w:color="auto" w:sz="4" w:space="0"/>
              <w:left w:val="single" w:color="auto" w:sz="4" w:space="0"/>
            </w:tcBorders>
            <w:shd w:val="clear" w:color="auto" w:fill="FFFFFF"/>
            <w:noWrap w:val="0"/>
            <w:vAlign w:val="center"/>
          </w:tcPr>
          <w:p w14:paraId="0E559EA8">
            <w:pPr>
              <w:pageBreakBefore w:val="0"/>
              <w:spacing w:line="360" w:lineRule="auto"/>
              <w:jc w:val="center"/>
              <w:rPr>
                <w:rFonts w:hint="eastAsia" w:ascii="Times New Roman" w:hAnsi="Times New Roman" w:eastAsia="宋体" w:cs="宋体"/>
                <w:b/>
                <w:bCs/>
                <w:color w:val="auto"/>
                <w:szCs w:val="21"/>
                <w:highlight w:val="none"/>
                <w:lang w:val="en-US" w:eastAsia="zh-CN"/>
              </w:rPr>
            </w:pPr>
            <w:r>
              <w:rPr>
                <w:rFonts w:hint="eastAsia" w:ascii="Times New Roman" w:hAnsi="Times New Roman" w:eastAsia="宋体" w:cs="宋体"/>
                <w:b/>
                <w:bCs/>
                <w:color w:val="auto"/>
                <w:szCs w:val="21"/>
                <w:highlight w:val="none"/>
                <w:lang w:val="en-US" w:eastAsia="zh-CN"/>
              </w:rPr>
              <w:t>单价合计</w:t>
            </w:r>
          </w:p>
          <w:p w14:paraId="590BADC9">
            <w:pPr>
              <w:pageBreakBefore w:val="0"/>
              <w:spacing w:line="360" w:lineRule="auto"/>
              <w:jc w:val="center"/>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（元）</w:t>
            </w:r>
          </w:p>
        </w:tc>
        <w:tc>
          <w:tcPr>
            <w:tcW w:w="1503" w:type="dxa"/>
            <w:tcBorders>
              <w:top w:val="single" w:color="auto" w:sz="4" w:space="0"/>
              <w:left w:val="single" w:color="auto" w:sz="4" w:space="0"/>
              <w:right w:val="single" w:color="auto" w:sz="4" w:space="0"/>
            </w:tcBorders>
            <w:shd w:val="clear" w:color="auto" w:fill="FFFFFF"/>
            <w:noWrap w:val="0"/>
            <w:vAlign w:val="center"/>
          </w:tcPr>
          <w:p w14:paraId="04648AD3">
            <w:pPr>
              <w:pageBreakBefore w:val="0"/>
              <w:spacing w:line="360" w:lineRule="auto"/>
              <w:jc w:val="center"/>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备注</w:t>
            </w:r>
          </w:p>
        </w:tc>
      </w:tr>
      <w:tr w14:paraId="62D2338B">
        <w:tblPrEx>
          <w:tblCellMar>
            <w:top w:w="0" w:type="dxa"/>
            <w:left w:w="10" w:type="dxa"/>
            <w:bottom w:w="0" w:type="dxa"/>
            <w:right w:w="10" w:type="dxa"/>
          </w:tblCellMar>
        </w:tblPrEx>
        <w:trPr>
          <w:trHeight w:val="567" w:hRule="atLeast"/>
          <w:jc w:val="center"/>
        </w:trPr>
        <w:tc>
          <w:tcPr>
            <w:tcW w:w="999" w:type="dxa"/>
            <w:tcBorders>
              <w:top w:val="single" w:color="auto" w:sz="4" w:space="0"/>
              <w:left w:val="single" w:color="auto" w:sz="4" w:space="0"/>
              <w:bottom w:val="single" w:color="auto" w:sz="4" w:space="0"/>
            </w:tcBorders>
            <w:shd w:val="clear" w:color="auto" w:fill="FFFFFF"/>
            <w:noWrap w:val="0"/>
            <w:vAlign w:val="center"/>
          </w:tcPr>
          <w:p w14:paraId="5075F06C">
            <w:pPr>
              <w:pageBreakBefore w:val="0"/>
              <w:spacing w:line="360" w:lineRule="auto"/>
              <w:jc w:val="center"/>
              <w:rPr>
                <w:rFonts w:ascii="Times New Roman" w:hAnsi="Times New Roman" w:eastAsia="宋体" w:cs="宋体"/>
                <w:color w:val="auto"/>
                <w:szCs w:val="21"/>
                <w:highlight w:val="none"/>
              </w:rPr>
            </w:pPr>
          </w:p>
        </w:tc>
        <w:tc>
          <w:tcPr>
            <w:tcW w:w="2690" w:type="dxa"/>
            <w:tcBorders>
              <w:top w:val="single" w:color="auto" w:sz="4" w:space="0"/>
              <w:left w:val="single" w:color="auto" w:sz="4" w:space="0"/>
            </w:tcBorders>
            <w:shd w:val="clear" w:color="auto" w:fill="FFFFFF"/>
            <w:noWrap w:val="0"/>
            <w:vAlign w:val="center"/>
          </w:tcPr>
          <w:p w14:paraId="1D319DD5">
            <w:pPr>
              <w:pageBreakBefore w:val="0"/>
              <w:spacing w:line="360" w:lineRule="auto"/>
              <w:jc w:val="center"/>
              <w:rPr>
                <w:rFonts w:ascii="Times New Roman" w:hAnsi="Times New Roman" w:eastAsia="宋体" w:cs="宋体"/>
                <w:color w:val="auto"/>
                <w:szCs w:val="21"/>
                <w:highlight w:val="none"/>
              </w:rPr>
            </w:pPr>
          </w:p>
        </w:tc>
        <w:tc>
          <w:tcPr>
            <w:tcW w:w="957" w:type="dxa"/>
            <w:tcBorders>
              <w:top w:val="single" w:color="auto" w:sz="4" w:space="0"/>
              <w:left w:val="single" w:color="auto" w:sz="4" w:space="0"/>
            </w:tcBorders>
            <w:shd w:val="clear" w:color="auto" w:fill="FFFFFF"/>
            <w:noWrap w:val="0"/>
            <w:vAlign w:val="center"/>
          </w:tcPr>
          <w:p w14:paraId="738115C9">
            <w:pPr>
              <w:pageBreakBefore w:val="0"/>
              <w:spacing w:line="360" w:lineRule="auto"/>
              <w:jc w:val="center"/>
              <w:rPr>
                <w:rFonts w:ascii="Times New Roman" w:hAnsi="Times New Roman" w:eastAsia="宋体" w:cs="宋体"/>
                <w:color w:val="auto"/>
                <w:szCs w:val="21"/>
                <w:highlight w:val="none"/>
                <w:lang w:val="zh-TW" w:eastAsia="zh-TW"/>
              </w:rPr>
            </w:pPr>
          </w:p>
        </w:tc>
        <w:tc>
          <w:tcPr>
            <w:tcW w:w="787" w:type="dxa"/>
            <w:tcBorders>
              <w:top w:val="single" w:color="auto" w:sz="4" w:space="0"/>
              <w:left w:val="single" w:color="auto" w:sz="4" w:space="0"/>
            </w:tcBorders>
            <w:shd w:val="clear" w:color="auto" w:fill="FFFFFF"/>
            <w:noWrap w:val="0"/>
            <w:vAlign w:val="center"/>
          </w:tcPr>
          <w:p w14:paraId="10762164">
            <w:pPr>
              <w:pageBreakBefore w:val="0"/>
              <w:spacing w:line="360" w:lineRule="auto"/>
              <w:jc w:val="center"/>
              <w:rPr>
                <w:rFonts w:ascii="Times New Roman" w:hAnsi="Times New Roman" w:eastAsia="宋体" w:cs="宋体"/>
                <w:color w:val="auto"/>
                <w:szCs w:val="21"/>
                <w:highlight w:val="none"/>
              </w:rPr>
            </w:pPr>
          </w:p>
        </w:tc>
        <w:tc>
          <w:tcPr>
            <w:tcW w:w="1334" w:type="dxa"/>
            <w:tcBorders>
              <w:top w:val="single" w:color="auto" w:sz="4" w:space="0"/>
              <w:left w:val="single" w:color="auto" w:sz="4" w:space="0"/>
            </w:tcBorders>
            <w:shd w:val="clear" w:color="auto" w:fill="FFFFFF"/>
            <w:noWrap w:val="0"/>
            <w:vAlign w:val="center"/>
          </w:tcPr>
          <w:p w14:paraId="6769FAEB">
            <w:pPr>
              <w:pageBreakBefore w:val="0"/>
              <w:spacing w:line="360" w:lineRule="auto"/>
              <w:jc w:val="center"/>
              <w:rPr>
                <w:rFonts w:ascii="Times New Roman" w:hAnsi="Times New Roman" w:eastAsia="宋体" w:cs="宋体"/>
                <w:color w:val="auto"/>
                <w:szCs w:val="21"/>
                <w:highlight w:val="none"/>
                <w:lang w:val="zh-TW" w:eastAsia="zh-TW"/>
              </w:rPr>
            </w:pPr>
          </w:p>
        </w:tc>
        <w:tc>
          <w:tcPr>
            <w:tcW w:w="1497" w:type="dxa"/>
            <w:tcBorders>
              <w:top w:val="single" w:color="auto" w:sz="4" w:space="0"/>
              <w:left w:val="single" w:color="auto" w:sz="4" w:space="0"/>
            </w:tcBorders>
            <w:shd w:val="clear" w:color="auto" w:fill="FFFFFF"/>
            <w:noWrap w:val="0"/>
            <w:vAlign w:val="center"/>
          </w:tcPr>
          <w:p w14:paraId="0AB44C36">
            <w:pPr>
              <w:pageBreakBefore w:val="0"/>
              <w:spacing w:line="360" w:lineRule="auto"/>
              <w:jc w:val="center"/>
              <w:rPr>
                <w:rFonts w:ascii="Times New Roman" w:hAnsi="Times New Roman" w:eastAsia="宋体" w:cs="宋体"/>
                <w:color w:val="auto"/>
                <w:szCs w:val="21"/>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56C0C99">
            <w:pPr>
              <w:pageBreakBefore w:val="0"/>
              <w:spacing w:line="360" w:lineRule="auto"/>
              <w:jc w:val="center"/>
              <w:rPr>
                <w:rFonts w:ascii="Times New Roman" w:hAnsi="Times New Roman" w:eastAsia="宋体" w:cs="宋体"/>
                <w:color w:val="auto"/>
                <w:szCs w:val="21"/>
                <w:highlight w:val="none"/>
              </w:rPr>
            </w:pPr>
          </w:p>
        </w:tc>
      </w:tr>
      <w:tr w14:paraId="3D8AC93E">
        <w:tblPrEx>
          <w:tblCellMar>
            <w:top w:w="0" w:type="dxa"/>
            <w:left w:w="10" w:type="dxa"/>
            <w:bottom w:w="0" w:type="dxa"/>
            <w:right w:w="10" w:type="dxa"/>
          </w:tblCellMar>
        </w:tblPrEx>
        <w:trPr>
          <w:trHeight w:val="567" w:hRule="atLeast"/>
          <w:jc w:val="center"/>
        </w:trPr>
        <w:tc>
          <w:tcPr>
            <w:tcW w:w="999" w:type="dxa"/>
            <w:tcBorders>
              <w:top w:val="single" w:color="auto" w:sz="4" w:space="0"/>
              <w:left w:val="single" w:color="auto" w:sz="4" w:space="0"/>
              <w:bottom w:val="single" w:color="auto" w:sz="4" w:space="0"/>
            </w:tcBorders>
            <w:shd w:val="clear" w:color="auto" w:fill="FFFFFF"/>
            <w:noWrap w:val="0"/>
            <w:vAlign w:val="center"/>
          </w:tcPr>
          <w:p w14:paraId="26DBF1CC">
            <w:pPr>
              <w:pageBreakBefore w:val="0"/>
              <w:spacing w:line="360" w:lineRule="auto"/>
              <w:jc w:val="center"/>
              <w:rPr>
                <w:rFonts w:ascii="Times New Roman" w:hAnsi="Times New Roman" w:eastAsia="宋体" w:cs="宋体"/>
                <w:color w:val="auto"/>
                <w:szCs w:val="21"/>
                <w:highlight w:val="none"/>
              </w:rPr>
            </w:pPr>
          </w:p>
        </w:tc>
        <w:tc>
          <w:tcPr>
            <w:tcW w:w="2690" w:type="dxa"/>
            <w:tcBorders>
              <w:top w:val="single" w:color="auto" w:sz="4" w:space="0"/>
              <w:left w:val="single" w:color="auto" w:sz="4" w:space="0"/>
            </w:tcBorders>
            <w:shd w:val="clear" w:color="auto" w:fill="FFFFFF"/>
            <w:noWrap w:val="0"/>
            <w:vAlign w:val="center"/>
          </w:tcPr>
          <w:p w14:paraId="7DA9AD75">
            <w:pPr>
              <w:pageBreakBefore w:val="0"/>
              <w:spacing w:line="360" w:lineRule="auto"/>
              <w:jc w:val="center"/>
              <w:rPr>
                <w:rFonts w:ascii="Times New Roman" w:hAnsi="Times New Roman" w:eastAsia="宋体" w:cs="宋体"/>
                <w:color w:val="auto"/>
                <w:szCs w:val="21"/>
                <w:highlight w:val="none"/>
              </w:rPr>
            </w:pPr>
          </w:p>
        </w:tc>
        <w:tc>
          <w:tcPr>
            <w:tcW w:w="957" w:type="dxa"/>
            <w:tcBorders>
              <w:top w:val="single" w:color="auto" w:sz="4" w:space="0"/>
              <w:left w:val="single" w:color="auto" w:sz="4" w:space="0"/>
              <w:bottom w:val="single" w:color="auto" w:sz="4" w:space="0"/>
            </w:tcBorders>
            <w:shd w:val="clear" w:color="auto" w:fill="FFFFFF"/>
            <w:noWrap w:val="0"/>
            <w:vAlign w:val="center"/>
          </w:tcPr>
          <w:p w14:paraId="0D58E258">
            <w:pPr>
              <w:pageBreakBefore w:val="0"/>
              <w:spacing w:line="360" w:lineRule="auto"/>
              <w:jc w:val="center"/>
              <w:rPr>
                <w:rFonts w:ascii="Times New Roman" w:hAnsi="Times New Roman" w:eastAsia="宋体" w:cs="宋体"/>
                <w:color w:val="auto"/>
                <w:szCs w:val="21"/>
                <w:highlight w:val="none"/>
                <w:lang w:val="zh-TW" w:eastAsia="zh-TW"/>
              </w:rPr>
            </w:pPr>
          </w:p>
        </w:tc>
        <w:tc>
          <w:tcPr>
            <w:tcW w:w="787" w:type="dxa"/>
            <w:tcBorders>
              <w:top w:val="single" w:color="auto" w:sz="4" w:space="0"/>
              <w:left w:val="single" w:color="auto" w:sz="4" w:space="0"/>
              <w:bottom w:val="single" w:color="auto" w:sz="4" w:space="0"/>
            </w:tcBorders>
            <w:shd w:val="clear" w:color="auto" w:fill="FFFFFF"/>
            <w:noWrap w:val="0"/>
            <w:vAlign w:val="center"/>
          </w:tcPr>
          <w:p w14:paraId="4F4F3314">
            <w:pPr>
              <w:pageBreakBefore w:val="0"/>
              <w:spacing w:line="360" w:lineRule="auto"/>
              <w:jc w:val="center"/>
              <w:rPr>
                <w:rFonts w:ascii="Times New Roman" w:hAnsi="Times New Roman" w:eastAsia="宋体" w:cs="宋体"/>
                <w:color w:val="auto"/>
                <w:szCs w:val="21"/>
                <w:highlight w:val="none"/>
              </w:rPr>
            </w:pPr>
          </w:p>
        </w:tc>
        <w:tc>
          <w:tcPr>
            <w:tcW w:w="1334" w:type="dxa"/>
            <w:tcBorders>
              <w:top w:val="single" w:color="auto" w:sz="4" w:space="0"/>
              <w:left w:val="single" w:color="auto" w:sz="4" w:space="0"/>
              <w:bottom w:val="single" w:color="auto" w:sz="4" w:space="0"/>
            </w:tcBorders>
            <w:shd w:val="clear" w:color="auto" w:fill="FFFFFF"/>
            <w:noWrap w:val="0"/>
            <w:vAlign w:val="center"/>
          </w:tcPr>
          <w:p w14:paraId="04F58132">
            <w:pPr>
              <w:pageBreakBefore w:val="0"/>
              <w:spacing w:line="360" w:lineRule="auto"/>
              <w:jc w:val="center"/>
              <w:rPr>
                <w:rFonts w:ascii="Times New Roman" w:hAnsi="Times New Roman" w:eastAsia="宋体" w:cs="宋体"/>
                <w:color w:val="auto"/>
                <w:szCs w:val="21"/>
                <w:highlight w:val="none"/>
                <w:lang w:val="zh-TW" w:eastAsia="zh-TW"/>
              </w:rPr>
            </w:pPr>
          </w:p>
        </w:tc>
        <w:tc>
          <w:tcPr>
            <w:tcW w:w="1497" w:type="dxa"/>
            <w:tcBorders>
              <w:top w:val="single" w:color="auto" w:sz="4" w:space="0"/>
              <w:left w:val="single" w:color="auto" w:sz="4" w:space="0"/>
              <w:bottom w:val="single" w:color="auto" w:sz="4" w:space="0"/>
            </w:tcBorders>
            <w:shd w:val="clear" w:color="auto" w:fill="FFFFFF"/>
            <w:noWrap w:val="0"/>
            <w:vAlign w:val="center"/>
          </w:tcPr>
          <w:p w14:paraId="717E6A96">
            <w:pPr>
              <w:pageBreakBefore w:val="0"/>
              <w:spacing w:line="360" w:lineRule="auto"/>
              <w:jc w:val="center"/>
              <w:rPr>
                <w:rFonts w:ascii="Times New Roman" w:hAnsi="Times New Roman" w:eastAsia="宋体" w:cs="宋体"/>
                <w:color w:val="auto"/>
                <w:szCs w:val="21"/>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3595A28">
            <w:pPr>
              <w:pageBreakBefore w:val="0"/>
              <w:spacing w:line="360" w:lineRule="auto"/>
              <w:jc w:val="center"/>
              <w:rPr>
                <w:rFonts w:ascii="Times New Roman" w:hAnsi="Times New Roman" w:eastAsia="宋体" w:cs="宋体"/>
                <w:color w:val="auto"/>
                <w:szCs w:val="21"/>
                <w:highlight w:val="none"/>
              </w:rPr>
            </w:pPr>
          </w:p>
        </w:tc>
      </w:tr>
      <w:tr w14:paraId="2496E8C3">
        <w:tblPrEx>
          <w:tblCellMar>
            <w:top w:w="0" w:type="dxa"/>
            <w:left w:w="10" w:type="dxa"/>
            <w:bottom w:w="0" w:type="dxa"/>
            <w:right w:w="10" w:type="dxa"/>
          </w:tblCellMar>
        </w:tblPrEx>
        <w:trPr>
          <w:trHeight w:val="567" w:hRule="atLeast"/>
          <w:jc w:val="center"/>
        </w:trPr>
        <w:tc>
          <w:tcPr>
            <w:tcW w:w="999" w:type="dxa"/>
            <w:tcBorders>
              <w:top w:val="single" w:color="auto" w:sz="4" w:space="0"/>
              <w:left w:val="single" w:color="auto" w:sz="4" w:space="0"/>
              <w:bottom w:val="single" w:color="auto" w:sz="4" w:space="0"/>
            </w:tcBorders>
            <w:shd w:val="clear" w:color="auto" w:fill="FFFFFF"/>
            <w:noWrap w:val="0"/>
            <w:vAlign w:val="center"/>
          </w:tcPr>
          <w:p w14:paraId="51D2993F">
            <w:pPr>
              <w:pageBreakBefore w:val="0"/>
              <w:spacing w:line="360" w:lineRule="auto"/>
              <w:jc w:val="center"/>
              <w:rPr>
                <w:rFonts w:ascii="Times New Roman" w:hAnsi="Times New Roman" w:eastAsia="宋体" w:cs="宋体"/>
                <w:color w:val="auto"/>
                <w:szCs w:val="21"/>
                <w:highlight w:val="none"/>
              </w:rPr>
            </w:pPr>
          </w:p>
        </w:tc>
        <w:tc>
          <w:tcPr>
            <w:tcW w:w="2690" w:type="dxa"/>
            <w:tcBorders>
              <w:top w:val="single" w:color="auto" w:sz="4" w:space="0"/>
              <w:left w:val="single" w:color="auto" w:sz="4" w:space="0"/>
              <w:bottom w:val="single" w:color="auto" w:sz="4" w:space="0"/>
            </w:tcBorders>
            <w:shd w:val="clear" w:color="auto" w:fill="FFFFFF"/>
            <w:noWrap w:val="0"/>
            <w:vAlign w:val="center"/>
          </w:tcPr>
          <w:p w14:paraId="5C15D33F">
            <w:pPr>
              <w:pageBreakBefore w:val="0"/>
              <w:spacing w:line="360" w:lineRule="auto"/>
              <w:jc w:val="center"/>
              <w:rPr>
                <w:rFonts w:ascii="Times New Roman" w:hAnsi="Times New Roman" w:eastAsia="宋体" w:cs="宋体"/>
                <w:color w:val="auto"/>
                <w:szCs w:val="21"/>
                <w:highlight w:val="none"/>
                <w:lang w:val="zh-TW" w:eastAsia="zh-TW"/>
              </w:rPr>
            </w:pPr>
          </w:p>
        </w:tc>
        <w:tc>
          <w:tcPr>
            <w:tcW w:w="957" w:type="dxa"/>
            <w:tcBorders>
              <w:top w:val="single" w:color="auto" w:sz="4" w:space="0"/>
              <w:left w:val="single" w:color="auto" w:sz="4" w:space="0"/>
              <w:bottom w:val="single" w:color="auto" w:sz="4" w:space="0"/>
            </w:tcBorders>
            <w:shd w:val="clear" w:color="auto" w:fill="FFFFFF"/>
            <w:noWrap w:val="0"/>
            <w:vAlign w:val="center"/>
          </w:tcPr>
          <w:p w14:paraId="36C37592">
            <w:pPr>
              <w:pageBreakBefore w:val="0"/>
              <w:spacing w:line="360" w:lineRule="auto"/>
              <w:jc w:val="center"/>
              <w:rPr>
                <w:rFonts w:ascii="Times New Roman" w:hAnsi="Times New Roman" w:eastAsia="宋体" w:cs="宋体"/>
                <w:color w:val="auto"/>
                <w:szCs w:val="21"/>
                <w:highlight w:val="none"/>
                <w:lang w:val="zh-TW"/>
              </w:rPr>
            </w:pPr>
          </w:p>
        </w:tc>
        <w:tc>
          <w:tcPr>
            <w:tcW w:w="787" w:type="dxa"/>
            <w:tcBorders>
              <w:top w:val="single" w:color="auto" w:sz="4" w:space="0"/>
              <w:left w:val="single" w:color="auto" w:sz="4" w:space="0"/>
              <w:bottom w:val="single" w:color="auto" w:sz="4" w:space="0"/>
            </w:tcBorders>
            <w:shd w:val="clear" w:color="auto" w:fill="FFFFFF"/>
            <w:noWrap w:val="0"/>
            <w:vAlign w:val="center"/>
          </w:tcPr>
          <w:p w14:paraId="4A97313E">
            <w:pPr>
              <w:pageBreakBefore w:val="0"/>
              <w:spacing w:line="360" w:lineRule="auto"/>
              <w:jc w:val="center"/>
              <w:rPr>
                <w:rFonts w:ascii="Times New Roman" w:hAnsi="Times New Roman" w:eastAsia="宋体" w:cs="宋体"/>
                <w:color w:val="auto"/>
                <w:szCs w:val="21"/>
                <w:highlight w:val="none"/>
                <w:lang w:val="zh-TW" w:eastAsia="zh-TW"/>
              </w:rPr>
            </w:pPr>
          </w:p>
        </w:tc>
        <w:tc>
          <w:tcPr>
            <w:tcW w:w="1334" w:type="dxa"/>
            <w:tcBorders>
              <w:top w:val="single" w:color="auto" w:sz="4" w:space="0"/>
              <w:left w:val="single" w:color="auto" w:sz="4" w:space="0"/>
              <w:bottom w:val="single" w:color="auto" w:sz="4" w:space="0"/>
            </w:tcBorders>
            <w:shd w:val="clear" w:color="auto" w:fill="FFFFFF"/>
            <w:noWrap w:val="0"/>
            <w:vAlign w:val="center"/>
          </w:tcPr>
          <w:p w14:paraId="755D61FE">
            <w:pPr>
              <w:pageBreakBefore w:val="0"/>
              <w:spacing w:line="360" w:lineRule="auto"/>
              <w:jc w:val="center"/>
              <w:rPr>
                <w:rFonts w:ascii="Times New Roman" w:hAnsi="Times New Roman" w:eastAsia="宋体" w:cs="宋体"/>
                <w:color w:val="auto"/>
                <w:szCs w:val="21"/>
                <w:highlight w:val="none"/>
                <w:lang w:val="zh-TW" w:eastAsia="zh-TW"/>
              </w:rPr>
            </w:pPr>
          </w:p>
        </w:tc>
        <w:tc>
          <w:tcPr>
            <w:tcW w:w="1497" w:type="dxa"/>
            <w:tcBorders>
              <w:top w:val="single" w:color="auto" w:sz="4" w:space="0"/>
              <w:left w:val="single" w:color="auto" w:sz="4" w:space="0"/>
              <w:bottom w:val="single" w:color="auto" w:sz="4" w:space="0"/>
            </w:tcBorders>
            <w:shd w:val="clear" w:color="auto" w:fill="FFFFFF"/>
            <w:noWrap w:val="0"/>
            <w:vAlign w:val="center"/>
          </w:tcPr>
          <w:p w14:paraId="3A36506C">
            <w:pPr>
              <w:pageBreakBefore w:val="0"/>
              <w:spacing w:line="360" w:lineRule="auto"/>
              <w:jc w:val="center"/>
              <w:rPr>
                <w:rFonts w:ascii="Times New Roman" w:hAnsi="Times New Roman" w:eastAsia="宋体" w:cs="宋体"/>
                <w:color w:val="auto"/>
                <w:szCs w:val="21"/>
                <w:highlight w:val="none"/>
                <w:lang w:val="zh-TW" w:eastAsia="zh-TW"/>
              </w:rPr>
            </w:pPr>
          </w:p>
        </w:tc>
        <w:tc>
          <w:tcPr>
            <w:tcW w:w="150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C6584B8">
            <w:pPr>
              <w:pStyle w:val="290"/>
              <w:pageBreakBefore w:val="0"/>
              <w:spacing w:line="360" w:lineRule="auto"/>
              <w:rPr>
                <w:rFonts w:ascii="Times New Roman" w:hAnsi="Times New Roman" w:eastAsia="宋体"/>
                <w:color w:val="auto"/>
                <w:sz w:val="21"/>
                <w:szCs w:val="21"/>
                <w:highlight w:val="none"/>
                <w:lang w:eastAsia="zh-CN"/>
              </w:rPr>
            </w:pPr>
          </w:p>
        </w:tc>
      </w:tr>
      <w:tr w14:paraId="447B2A63">
        <w:tblPrEx>
          <w:tblCellMar>
            <w:top w:w="0" w:type="dxa"/>
            <w:left w:w="10" w:type="dxa"/>
            <w:bottom w:w="0" w:type="dxa"/>
            <w:right w:w="10" w:type="dxa"/>
          </w:tblCellMar>
        </w:tblPrEx>
        <w:trPr>
          <w:trHeight w:val="567" w:hRule="atLeast"/>
          <w:jc w:val="center"/>
        </w:trPr>
        <w:tc>
          <w:tcPr>
            <w:tcW w:w="999" w:type="dxa"/>
            <w:tcBorders>
              <w:top w:val="single" w:color="auto" w:sz="4" w:space="0"/>
              <w:left w:val="single" w:color="auto" w:sz="4" w:space="0"/>
              <w:bottom w:val="single" w:color="auto" w:sz="4" w:space="0"/>
            </w:tcBorders>
            <w:shd w:val="clear" w:color="auto" w:fill="FFFFFF"/>
            <w:noWrap w:val="0"/>
            <w:vAlign w:val="center"/>
          </w:tcPr>
          <w:p w14:paraId="6E67C864">
            <w:pPr>
              <w:pageBreakBefore w:val="0"/>
              <w:spacing w:line="360" w:lineRule="auto"/>
              <w:jc w:val="center"/>
              <w:rPr>
                <w:rFonts w:ascii="Times New Roman" w:hAnsi="Times New Roman" w:eastAsia="宋体" w:cs="宋体"/>
                <w:color w:val="auto"/>
                <w:szCs w:val="21"/>
                <w:highlight w:val="none"/>
              </w:rPr>
            </w:pPr>
          </w:p>
        </w:tc>
        <w:tc>
          <w:tcPr>
            <w:tcW w:w="2690" w:type="dxa"/>
            <w:tcBorders>
              <w:top w:val="single" w:color="auto" w:sz="4" w:space="0"/>
              <w:left w:val="single" w:color="auto" w:sz="4" w:space="0"/>
              <w:bottom w:val="single" w:color="auto" w:sz="4" w:space="0"/>
            </w:tcBorders>
            <w:shd w:val="clear" w:color="auto" w:fill="FFFFFF"/>
            <w:noWrap w:val="0"/>
            <w:vAlign w:val="center"/>
          </w:tcPr>
          <w:p w14:paraId="7433A0A1">
            <w:pPr>
              <w:pageBreakBefore w:val="0"/>
              <w:spacing w:line="360" w:lineRule="auto"/>
              <w:jc w:val="center"/>
              <w:rPr>
                <w:rFonts w:ascii="Times New Roman" w:hAnsi="Times New Roman" w:eastAsia="宋体" w:cs="宋体"/>
                <w:color w:val="auto"/>
                <w:szCs w:val="21"/>
                <w:highlight w:val="none"/>
                <w:lang w:val="zh-TW" w:eastAsia="zh-TW"/>
              </w:rPr>
            </w:pPr>
          </w:p>
        </w:tc>
        <w:tc>
          <w:tcPr>
            <w:tcW w:w="957" w:type="dxa"/>
            <w:tcBorders>
              <w:top w:val="single" w:color="auto" w:sz="4" w:space="0"/>
              <w:left w:val="single" w:color="auto" w:sz="4" w:space="0"/>
              <w:bottom w:val="single" w:color="auto" w:sz="4" w:space="0"/>
            </w:tcBorders>
            <w:shd w:val="clear" w:color="auto" w:fill="FFFFFF"/>
            <w:noWrap w:val="0"/>
            <w:vAlign w:val="center"/>
          </w:tcPr>
          <w:p w14:paraId="3DB64888">
            <w:pPr>
              <w:pageBreakBefore w:val="0"/>
              <w:spacing w:line="360" w:lineRule="auto"/>
              <w:jc w:val="center"/>
              <w:rPr>
                <w:rFonts w:ascii="Times New Roman" w:hAnsi="Times New Roman" w:eastAsia="宋体" w:cs="宋体"/>
                <w:color w:val="auto"/>
                <w:szCs w:val="21"/>
                <w:highlight w:val="none"/>
              </w:rPr>
            </w:pPr>
          </w:p>
        </w:tc>
        <w:tc>
          <w:tcPr>
            <w:tcW w:w="787" w:type="dxa"/>
            <w:tcBorders>
              <w:top w:val="single" w:color="auto" w:sz="4" w:space="0"/>
              <w:left w:val="single" w:color="auto" w:sz="4" w:space="0"/>
              <w:bottom w:val="single" w:color="auto" w:sz="4" w:space="0"/>
            </w:tcBorders>
            <w:shd w:val="clear" w:color="auto" w:fill="FFFFFF"/>
            <w:noWrap w:val="0"/>
            <w:vAlign w:val="center"/>
          </w:tcPr>
          <w:p w14:paraId="4FF3860F">
            <w:pPr>
              <w:pageBreakBefore w:val="0"/>
              <w:spacing w:line="360" w:lineRule="auto"/>
              <w:jc w:val="center"/>
              <w:rPr>
                <w:rFonts w:ascii="Times New Roman" w:hAnsi="Times New Roman" w:eastAsia="宋体" w:cs="宋体"/>
                <w:color w:val="auto"/>
                <w:szCs w:val="21"/>
                <w:highlight w:val="none"/>
              </w:rPr>
            </w:pPr>
          </w:p>
        </w:tc>
        <w:tc>
          <w:tcPr>
            <w:tcW w:w="1334" w:type="dxa"/>
            <w:tcBorders>
              <w:top w:val="single" w:color="auto" w:sz="4" w:space="0"/>
              <w:left w:val="single" w:color="auto" w:sz="4" w:space="0"/>
              <w:bottom w:val="single" w:color="auto" w:sz="4" w:space="0"/>
            </w:tcBorders>
            <w:shd w:val="clear" w:color="auto" w:fill="FFFFFF"/>
            <w:noWrap w:val="0"/>
            <w:vAlign w:val="center"/>
          </w:tcPr>
          <w:p w14:paraId="01CFF20B">
            <w:pPr>
              <w:pageBreakBefore w:val="0"/>
              <w:spacing w:line="360" w:lineRule="auto"/>
              <w:jc w:val="center"/>
              <w:rPr>
                <w:rFonts w:ascii="Times New Roman" w:hAnsi="Times New Roman" w:eastAsia="宋体" w:cs="宋体"/>
                <w:color w:val="auto"/>
                <w:szCs w:val="21"/>
                <w:highlight w:val="none"/>
              </w:rPr>
            </w:pPr>
          </w:p>
        </w:tc>
        <w:tc>
          <w:tcPr>
            <w:tcW w:w="1497" w:type="dxa"/>
            <w:tcBorders>
              <w:top w:val="single" w:color="auto" w:sz="4" w:space="0"/>
              <w:left w:val="single" w:color="auto" w:sz="4" w:space="0"/>
              <w:bottom w:val="single" w:color="auto" w:sz="4" w:space="0"/>
            </w:tcBorders>
            <w:shd w:val="clear" w:color="auto" w:fill="FFFFFF"/>
            <w:noWrap w:val="0"/>
            <w:vAlign w:val="center"/>
          </w:tcPr>
          <w:p w14:paraId="57491D4C">
            <w:pPr>
              <w:pStyle w:val="290"/>
              <w:pageBreakBefore w:val="0"/>
              <w:spacing w:line="360" w:lineRule="auto"/>
              <w:rPr>
                <w:rFonts w:ascii="Times New Roman" w:hAnsi="Times New Roman" w:eastAsia="宋体"/>
                <w:color w:val="auto"/>
                <w:sz w:val="21"/>
                <w:szCs w:val="21"/>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FBC4CCB">
            <w:pPr>
              <w:pStyle w:val="290"/>
              <w:pageBreakBefore w:val="0"/>
              <w:spacing w:line="360" w:lineRule="auto"/>
              <w:rPr>
                <w:rFonts w:ascii="Times New Roman" w:hAnsi="Times New Roman" w:eastAsia="宋体"/>
                <w:color w:val="auto"/>
                <w:sz w:val="21"/>
                <w:szCs w:val="21"/>
                <w:highlight w:val="none"/>
              </w:rPr>
            </w:pPr>
          </w:p>
        </w:tc>
      </w:tr>
      <w:tr w14:paraId="50C9E02A">
        <w:tblPrEx>
          <w:tblCellMar>
            <w:top w:w="0" w:type="dxa"/>
            <w:left w:w="10" w:type="dxa"/>
            <w:bottom w:w="0" w:type="dxa"/>
            <w:right w:w="10" w:type="dxa"/>
          </w:tblCellMar>
        </w:tblPrEx>
        <w:trPr>
          <w:trHeight w:val="567" w:hRule="atLeast"/>
          <w:jc w:val="center"/>
        </w:trPr>
        <w:tc>
          <w:tcPr>
            <w:tcW w:w="999" w:type="dxa"/>
            <w:tcBorders>
              <w:top w:val="single" w:color="auto" w:sz="4" w:space="0"/>
              <w:left w:val="single" w:color="auto" w:sz="4" w:space="0"/>
              <w:bottom w:val="single" w:color="auto" w:sz="4" w:space="0"/>
            </w:tcBorders>
            <w:shd w:val="clear" w:color="auto" w:fill="FFFFFF"/>
            <w:noWrap w:val="0"/>
            <w:vAlign w:val="center"/>
          </w:tcPr>
          <w:p w14:paraId="09A66037">
            <w:pPr>
              <w:pageBreakBefore w:val="0"/>
              <w:spacing w:line="360" w:lineRule="auto"/>
              <w:jc w:val="center"/>
              <w:rPr>
                <w:rFonts w:ascii="Times New Roman" w:hAnsi="Times New Roman" w:eastAsia="宋体" w:cs="宋体"/>
                <w:color w:val="auto"/>
                <w:szCs w:val="21"/>
                <w:highlight w:val="none"/>
              </w:rPr>
            </w:pPr>
          </w:p>
        </w:tc>
        <w:tc>
          <w:tcPr>
            <w:tcW w:w="2690" w:type="dxa"/>
            <w:tcBorders>
              <w:top w:val="single" w:color="auto" w:sz="4" w:space="0"/>
              <w:left w:val="single" w:color="auto" w:sz="4" w:space="0"/>
              <w:bottom w:val="single" w:color="auto" w:sz="4" w:space="0"/>
            </w:tcBorders>
            <w:shd w:val="clear" w:color="auto" w:fill="FFFFFF"/>
            <w:noWrap w:val="0"/>
            <w:vAlign w:val="center"/>
          </w:tcPr>
          <w:p w14:paraId="195E3968">
            <w:pPr>
              <w:pageBreakBefore w:val="0"/>
              <w:spacing w:line="360" w:lineRule="auto"/>
              <w:jc w:val="center"/>
              <w:rPr>
                <w:rFonts w:ascii="Times New Roman" w:hAnsi="Times New Roman" w:eastAsia="宋体" w:cs="宋体"/>
                <w:color w:val="auto"/>
                <w:szCs w:val="21"/>
                <w:highlight w:val="none"/>
                <w:lang w:val="zh-TW" w:eastAsia="zh-TW"/>
              </w:rPr>
            </w:pPr>
          </w:p>
        </w:tc>
        <w:tc>
          <w:tcPr>
            <w:tcW w:w="957" w:type="dxa"/>
            <w:tcBorders>
              <w:top w:val="single" w:color="auto" w:sz="4" w:space="0"/>
              <w:left w:val="single" w:color="auto" w:sz="4" w:space="0"/>
              <w:bottom w:val="single" w:color="auto" w:sz="4" w:space="0"/>
            </w:tcBorders>
            <w:shd w:val="clear" w:color="auto" w:fill="FFFFFF"/>
            <w:noWrap w:val="0"/>
            <w:vAlign w:val="center"/>
          </w:tcPr>
          <w:p w14:paraId="31D12487">
            <w:pPr>
              <w:pageBreakBefore w:val="0"/>
              <w:spacing w:line="360" w:lineRule="auto"/>
              <w:jc w:val="center"/>
              <w:rPr>
                <w:rFonts w:ascii="Times New Roman" w:hAnsi="Times New Roman" w:eastAsia="宋体" w:cs="宋体"/>
                <w:color w:val="auto"/>
                <w:szCs w:val="21"/>
                <w:highlight w:val="none"/>
              </w:rPr>
            </w:pPr>
          </w:p>
        </w:tc>
        <w:tc>
          <w:tcPr>
            <w:tcW w:w="787" w:type="dxa"/>
            <w:tcBorders>
              <w:top w:val="single" w:color="auto" w:sz="4" w:space="0"/>
              <w:left w:val="single" w:color="auto" w:sz="4" w:space="0"/>
              <w:bottom w:val="single" w:color="auto" w:sz="4" w:space="0"/>
            </w:tcBorders>
            <w:shd w:val="clear" w:color="auto" w:fill="FFFFFF"/>
            <w:noWrap w:val="0"/>
            <w:vAlign w:val="center"/>
          </w:tcPr>
          <w:p w14:paraId="79D979CD">
            <w:pPr>
              <w:pageBreakBefore w:val="0"/>
              <w:spacing w:line="360" w:lineRule="auto"/>
              <w:jc w:val="center"/>
              <w:rPr>
                <w:rFonts w:ascii="Times New Roman" w:hAnsi="Times New Roman" w:eastAsia="宋体" w:cs="宋体"/>
                <w:color w:val="auto"/>
                <w:szCs w:val="21"/>
                <w:highlight w:val="none"/>
              </w:rPr>
            </w:pPr>
          </w:p>
        </w:tc>
        <w:tc>
          <w:tcPr>
            <w:tcW w:w="1334" w:type="dxa"/>
            <w:tcBorders>
              <w:top w:val="single" w:color="auto" w:sz="4" w:space="0"/>
              <w:left w:val="single" w:color="auto" w:sz="4" w:space="0"/>
              <w:bottom w:val="single" w:color="auto" w:sz="4" w:space="0"/>
            </w:tcBorders>
            <w:shd w:val="clear" w:color="auto" w:fill="FFFFFF"/>
            <w:noWrap w:val="0"/>
            <w:vAlign w:val="center"/>
          </w:tcPr>
          <w:p w14:paraId="1398EBCB">
            <w:pPr>
              <w:pageBreakBefore w:val="0"/>
              <w:spacing w:line="360" w:lineRule="auto"/>
              <w:jc w:val="center"/>
              <w:rPr>
                <w:rFonts w:ascii="Times New Roman" w:hAnsi="Times New Roman" w:eastAsia="宋体" w:cs="宋体"/>
                <w:color w:val="auto"/>
                <w:szCs w:val="21"/>
                <w:highlight w:val="none"/>
              </w:rPr>
            </w:pPr>
          </w:p>
        </w:tc>
        <w:tc>
          <w:tcPr>
            <w:tcW w:w="1497" w:type="dxa"/>
            <w:tcBorders>
              <w:top w:val="single" w:color="auto" w:sz="4" w:space="0"/>
              <w:left w:val="single" w:color="auto" w:sz="4" w:space="0"/>
              <w:bottom w:val="single" w:color="auto" w:sz="4" w:space="0"/>
            </w:tcBorders>
            <w:shd w:val="clear" w:color="auto" w:fill="FFFFFF"/>
            <w:noWrap w:val="0"/>
            <w:vAlign w:val="center"/>
          </w:tcPr>
          <w:p w14:paraId="296EF6BC">
            <w:pPr>
              <w:pStyle w:val="290"/>
              <w:pageBreakBefore w:val="0"/>
              <w:spacing w:line="360" w:lineRule="auto"/>
              <w:ind w:firstLine="180"/>
              <w:rPr>
                <w:rFonts w:ascii="Times New Roman" w:hAnsi="Times New Roman" w:eastAsia="宋体"/>
                <w:color w:val="auto"/>
                <w:sz w:val="21"/>
                <w:szCs w:val="21"/>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2C3792F">
            <w:pPr>
              <w:pStyle w:val="290"/>
              <w:pageBreakBefore w:val="0"/>
              <w:spacing w:line="360" w:lineRule="auto"/>
              <w:ind w:firstLine="180"/>
              <w:rPr>
                <w:rFonts w:ascii="Times New Roman" w:hAnsi="Times New Roman" w:eastAsia="宋体"/>
                <w:color w:val="auto"/>
                <w:sz w:val="21"/>
                <w:szCs w:val="21"/>
                <w:highlight w:val="none"/>
              </w:rPr>
            </w:pPr>
          </w:p>
        </w:tc>
      </w:tr>
      <w:tr w14:paraId="3FF19B34">
        <w:tblPrEx>
          <w:tblCellMar>
            <w:top w:w="0" w:type="dxa"/>
            <w:left w:w="10" w:type="dxa"/>
            <w:bottom w:w="0" w:type="dxa"/>
            <w:right w:w="10" w:type="dxa"/>
          </w:tblCellMar>
        </w:tblPrEx>
        <w:trPr>
          <w:trHeight w:val="567" w:hRule="atLeast"/>
          <w:jc w:val="center"/>
        </w:trPr>
        <w:tc>
          <w:tcPr>
            <w:tcW w:w="6767" w:type="dxa"/>
            <w:gridSpan w:val="5"/>
            <w:tcBorders>
              <w:top w:val="single" w:color="auto" w:sz="4" w:space="0"/>
              <w:left w:val="single" w:color="auto" w:sz="4" w:space="0"/>
              <w:bottom w:val="single" w:color="auto" w:sz="4" w:space="0"/>
            </w:tcBorders>
            <w:shd w:val="clear" w:color="auto" w:fill="FFFFFF"/>
            <w:noWrap w:val="0"/>
            <w:vAlign w:val="center"/>
          </w:tcPr>
          <w:p w14:paraId="679CF56F">
            <w:pPr>
              <w:pageBreakBefore w:val="0"/>
              <w:spacing w:line="360" w:lineRule="auto"/>
              <w:jc w:val="center"/>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合计（元）</w:t>
            </w:r>
          </w:p>
        </w:tc>
        <w:tc>
          <w:tcPr>
            <w:tcW w:w="1497" w:type="dxa"/>
            <w:tcBorders>
              <w:top w:val="single" w:color="auto" w:sz="4" w:space="0"/>
              <w:left w:val="single" w:color="auto" w:sz="4" w:space="0"/>
              <w:bottom w:val="single" w:color="auto" w:sz="4" w:space="0"/>
            </w:tcBorders>
            <w:shd w:val="clear" w:color="auto" w:fill="FFFFFF"/>
            <w:noWrap w:val="0"/>
            <w:vAlign w:val="center"/>
          </w:tcPr>
          <w:p w14:paraId="6C96A5E9">
            <w:pPr>
              <w:pageBreakBefore w:val="0"/>
              <w:spacing w:line="360" w:lineRule="auto"/>
              <w:jc w:val="center"/>
              <w:rPr>
                <w:rFonts w:ascii="Times New Roman" w:hAnsi="Times New Roman" w:eastAsia="宋体" w:cs="宋体"/>
                <w:color w:val="auto"/>
                <w:szCs w:val="21"/>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6EF2996">
            <w:pPr>
              <w:pageBreakBefore w:val="0"/>
              <w:spacing w:line="360" w:lineRule="auto"/>
              <w:jc w:val="center"/>
              <w:rPr>
                <w:rFonts w:ascii="Times New Roman" w:hAnsi="Times New Roman" w:eastAsia="宋体" w:cs="宋体"/>
                <w:color w:val="auto"/>
                <w:szCs w:val="21"/>
                <w:highlight w:val="none"/>
              </w:rPr>
            </w:pPr>
          </w:p>
        </w:tc>
      </w:tr>
    </w:tbl>
    <w:p w14:paraId="5238043D">
      <w:pPr>
        <w:pageBreakBefore w:val="0"/>
        <w:widowControl/>
        <w:spacing w:line="360" w:lineRule="auto"/>
        <w:jc w:val="left"/>
        <w:rPr>
          <w:rFonts w:ascii="Times New Roman" w:hAnsi="Times New Roman" w:eastAsia="宋体"/>
          <w:color w:val="auto"/>
          <w:szCs w:val="21"/>
          <w:highlight w:val="none"/>
        </w:rPr>
      </w:pPr>
    </w:p>
    <w:p w14:paraId="48F28790">
      <w:pPr>
        <w:pageBreakBefore w:val="0"/>
        <w:widowControl/>
        <w:spacing w:line="360" w:lineRule="auto"/>
        <w:jc w:val="left"/>
        <w:rPr>
          <w:rFonts w:ascii="Times New Roman" w:hAnsi="Times New Roman" w:eastAsia="宋体"/>
          <w:color w:val="auto"/>
          <w:szCs w:val="21"/>
          <w:highlight w:val="none"/>
        </w:rPr>
      </w:pPr>
    </w:p>
    <w:p w14:paraId="53B6D4FF">
      <w:pPr>
        <w:pageBreakBefore w:val="0"/>
        <w:spacing w:line="360" w:lineRule="auto"/>
        <w:jc w:val="left"/>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备注：</w:t>
      </w:r>
    </w:p>
    <w:p w14:paraId="4DD7A9C8">
      <w:pPr>
        <w:pageBreakBefore w:val="0"/>
        <w:spacing w:line="360" w:lineRule="auto"/>
        <w:jc w:val="left"/>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1、各供应商可以根据实际情况合理安排，对上述项目适当予以调整。  </w:t>
      </w:r>
    </w:p>
    <w:p w14:paraId="5DFAB218">
      <w:pPr>
        <w:pageBreakBefore w:val="0"/>
        <w:spacing w:line="360" w:lineRule="auto"/>
        <w:jc w:val="left"/>
        <w:rPr>
          <w:rFonts w:hint="eastAsia" w:ascii="Times New Roman" w:hAnsi="Times New Roman" w:eastAsia="宋体" w:cs="宋体"/>
          <w:color w:val="auto"/>
          <w:szCs w:val="21"/>
          <w:highlight w:val="none"/>
          <w:lang w:eastAsia="zh-CN"/>
        </w:rPr>
        <w:sectPr>
          <w:pgSz w:w="11906" w:h="16838"/>
          <w:pgMar w:top="1440" w:right="1800" w:bottom="1440" w:left="1800" w:header="851" w:footer="992" w:gutter="0"/>
          <w:cols w:space="720" w:num="1"/>
          <w:docGrid w:linePitch="360" w:charSpace="0"/>
        </w:sectPr>
      </w:pPr>
      <w:r>
        <w:rPr>
          <w:rFonts w:hint="eastAsia" w:ascii="Times New Roman" w:hAnsi="Times New Roman" w:eastAsia="宋体" w:cs="宋体"/>
          <w:color w:val="auto"/>
          <w:szCs w:val="21"/>
          <w:highlight w:val="none"/>
        </w:rPr>
        <w:t>2、所有报价（含各分项报价）必须符合国家法律法规及本次采购文件要求</w:t>
      </w:r>
    </w:p>
    <w:p w14:paraId="21713A70">
      <w:pPr>
        <w:pStyle w:val="276"/>
        <w:jc w:val="both"/>
        <w:rPr>
          <w:color w:val="000000" w:themeColor="text1"/>
          <w:highlight w:val="none"/>
          <w14:textFill>
            <w14:solidFill>
              <w14:schemeClr w14:val="tx1"/>
            </w14:solidFill>
          </w14:textFill>
        </w:rPr>
      </w:pPr>
    </w:p>
    <w:p w14:paraId="0A0DE63B">
      <w:pPr>
        <w:ind w:firstLine="161"/>
        <w:jc w:val="center"/>
        <w:rPr>
          <w:rFonts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十三、技术要求响应及偏离表</w:t>
      </w:r>
    </w:p>
    <w:tbl>
      <w:tblPr>
        <w:tblStyle w:val="46"/>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40708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5B45D925">
            <w:pPr>
              <w:jc w:val="both"/>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序号</w:t>
            </w:r>
          </w:p>
        </w:tc>
        <w:tc>
          <w:tcPr>
            <w:tcW w:w="3291" w:type="dxa"/>
            <w:noWrap w:val="0"/>
            <w:vAlign w:val="center"/>
          </w:tcPr>
          <w:p w14:paraId="19B0F7AB">
            <w:pPr>
              <w:ind w:firstLine="120"/>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招标文件要求</w:t>
            </w:r>
          </w:p>
        </w:tc>
        <w:tc>
          <w:tcPr>
            <w:tcW w:w="2852" w:type="dxa"/>
            <w:noWrap w:val="0"/>
            <w:vAlign w:val="center"/>
          </w:tcPr>
          <w:p w14:paraId="6B365CBF">
            <w:pPr>
              <w:ind w:firstLine="120"/>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投标响应情况</w:t>
            </w:r>
          </w:p>
        </w:tc>
        <w:tc>
          <w:tcPr>
            <w:tcW w:w="1308" w:type="dxa"/>
            <w:noWrap w:val="0"/>
            <w:vAlign w:val="center"/>
          </w:tcPr>
          <w:p w14:paraId="2869AF4E">
            <w:pPr>
              <w:ind w:firstLine="120"/>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超出、符合或偏离</w:t>
            </w:r>
          </w:p>
        </w:tc>
        <w:tc>
          <w:tcPr>
            <w:tcW w:w="1173" w:type="dxa"/>
            <w:noWrap w:val="0"/>
            <w:vAlign w:val="center"/>
          </w:tcPr>
          <w:p w14:paraId="72EAEABB">
            <w:pPr>
              <w:ind w:firstLine="120"/>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证明</w:t>
            </w:r>
          </w:p>
          <w:p w14:paraId="4B4F3A35">
            <w:pPr>
              <w:ind w:firstLine="120"/>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材料</w:t>
            </w:r>
          </w:p>
        </w:tc>
      </w:tr>
      <w:tr w14:paraId="2325A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534DA356">
            <w:pPr>
              <w:ind w:firstLine="120"/>
              <w:jc w:val="center"/>
              <w:rPr>
                <w:rFonts w:ascii="宋体" w:hAnsi="宋体"/>
                <w:color w:val="000000" w:themeColor="text1"/>
                <w:sz w:val="24"/>
                <w:szCs w:val="24"/>
                <w:highlight w:val="none"/>
                <w14:textFill>
                  <w14:solidFill>
                    <w14:schemeClr w14:val="tx1"/>
                  </w14:solidFill>
                </w14:textFill>
              </w:rPr>
            </w:pPr>
          </w:p>
        </w:tc>
        <w:tc>
          <w:tcPr>
            <w:tcW w:w="3291" w:type="dxa"/>
            <w:noWrap w:val="0"/>
          </w:tcPr>
          <w:p w14:paraId="3E1C58BD">
            <w:pPr>
              <w:ind w:firstLine="120"/>
              <w:jc w:val="center"/>
              <w:rPr>
                <w:rFonts w:ascii="宋体" w:hAnsi="宋体"/>
                <w:color w:val="000000" w:themeColor="text1"/>
                <w:sz w:val="24"/>
                <w:szCs w:val="24"/>
                <w:highlight w:val="none"/>
                <w14:textFill>
                  <w14:solidFill>
                    <w14:schemeClr w14:val="tx1"/>
                  </w14:solidFill>
                </w14:textFill>
              </w:rPr>
            </w:pPr>
          </w:p>
        </w:tc>
        <w:tc>
          <w:tcPr>
            <w:tcW w:w="2852" w:type="dxa"/>
            <w:noWrap w:val="0"/>
          </w:tcPr>
          <w:p w14:paraId="24B1FFC8">
            <w:pPr>
              <w:ind w:firstLine="120"/>
              <w:jc w:val="center"/>
              <w:rPr>
                <w:rFonts w:ascii="宋体" w:hAnsi="宋体"/>
                <w:color w:val="000000" w:themeColor="text1"/>
                <w:sz w:val="24"/>
                <w:szCs w:val="24"/>
                <w:highlight w:val="none"/>
                <w14:textFill>
                  <w14:solidFill>
                    <w14:schemeClr w14:val="tx1"/>
                  </w14:solidFill>
                </w14:textFill>
              </w:rPr>
            </w:pPr>
          </w:p>
        </w:tc>
        <w:tc>
          <w:tcPr>
            <w:tcW w:w="1308" w:type="dxa"/>
            <w:noWrap w:val="0"/>
          </w:tcPr>
          <w:p w14:paraId="57DEECFE">
            <w:pPr>
              <w:ind w:firstLine="120"/>
              <w:jc w:val="center"/>
              <w:rPr>
                <w:rFonts w:ascii="宋体" w:hAnsi="宋体"/>
                <w:color w:val="000000" w:themeColor="text1"/>
                <w:sz w:val="24"/>
                <w:szCs w:val="24"/>
                <w:highlight w:val="none"/>
                <w14:textFill>
                  <w14:solidFill>
                    <w14:schemeClr w14:val="tx1"/>
                  </w14:solidFill>
                </w14:textFill>
              </w:rPr>
            </w:pPr>
          </w:p>
        </w:tc>
        <w:tc>
          <w:tcPr>
            <w:tcW w:w="1173" w:type="dxa"/>
            <w:noWrap w:val="0"/>
          </w:tcPr>
          <w:p w14:paraId="52DE4D2A">
            <w:pPr>
              <w:ind w:firstLine="120"/>
              <w:jc w:val="center"/>
              <w:rPr>
                <w:rFonts w:ascii="宋体" w:hAnsi="宋体"/>
                <w:color w:val="000000" w:themeColor="text1"/>
                <w:sz w:val="24"/>
                <w:szCs w:val="24"/>
                <w:highlight w:val="none"/>
                <w14:textFill>
                  <w14:solidFill>
                    <w14:schemeClr w14:val="tx1"/>
                  </w14:solidFill>
                </w14:textFill>
              </w:rPr>
            </w:pPr>
          </w:p>
        </w:tc>
      </w:tr>
      <w:tr w14:paraId="29A0F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19FBBEEE">
            <w:pPr>
              <w:ind w:firstLine="120"/>
              <w:jc w:val="center"/>
              <w:rPr>
                <w:rFonts w:ascii="宋体" w:hAnsi="宋体"/>
                <w:color w:val="000000" w:themeColor="text1"/>
                <w:sz w:val="24"/>
                <w:szCs w:val="24"/>
                <w:highlight w:val="none"/>
                <w14:textFill>
                  <w14:solidFill>
                    <w14:schemeClr w14:val="tx1"/>
                  </w14:solidFill>
                </w14:textFill>
              </w:rPr>
            </w:pPr>
          </w:p>
        </w:tc>
        <w:tc>
          <w:tcPr>
            <w:tcW w:w="3291" w:type="dxa"/>
            <w:noWrap w:val="0"/>
          </w:tcPr>
          <w:p w14:paraId="224DD24F">
            <w:pPr>
              <w:ind w:firstLine="120"/>
              <w:jc w:val="center"/>
              <w:rPr>
                <w:rFonts w:ascii="宋体" w:hAnsi="宋体"/>
                <w:color w:val="000000" w:themeColor="text1"/>
                <w:sz w:val="24"/>
                <w:szCs w:val="24"/>
                <w:highlight w:val="none"/>
                <w14:textFill>
                  <w14:solidFill>
                    <w14:schemeClr w14:val="tx1"/>
                  </w14:solidFill>
                </w14:textFill>
              </w:rPr>
            </w:pPr>
          </w:p>
        </w:tc>
        <w:tc>
          <w:tcPr>
            <w:tcW w:w="2852" w:type="dxa"/>
            <w:noWrap w:val="0"/>
          </w:tcPr>
          <w:p w14:paraId="4062A3AD">
            <w:pPr>
              <w:ind w:firstLine="120"/>
              <w:jc w:val="center"/>
              <w:rPr>
                <w:rFonts w:ascii="宋体" w:hAnsi="宋体"/>
                <w:color w:val="000000" w:themeColor="text1"/>
                <w:sz w:val="24"/>
                <w:szCs w:val="24"/>
                <w:highlight w:val="none"/>
                <w14:textFill>
                  <w14:solidFill>
                    <w14:schemeClr w14:val="tx1"/>
                  </w14:solidFill>
                </w14:textFill>
              </w:rPr>
            </w:pPr>
          </w:p>
        </w:tc>
        <w:tc>
          <w:tcPr>
            <w:tcW w:w="1308" w:type="dxa"/>
            <w:noWrap w:val="0"/>
          </w:tcPr>
          <w:p w14:paraId="07EF83A4">
            <w:pPr>
              <w:ind w:firstLine="120"/>
              <w:jc w:val="center"/>
              <w:rPr>
                <w:rFonts w:ascii="宋体" w:hAnsi="宋体"/>
                <w:color w:val="000000" w:themeColor="text1"/>
                <w:sz w:val="24"/>
                <w:szCs w:val="24"/>
                <w:highlight w:val="none"/>
                <w14:textFill>
                  <w14:solidFill>
                    <w14:schemeClr w14:val="tx1"/>
                  </w14:solidFill>
                </w14:textFill>
              </w:rPr>
            </w:pPr>
          </w:p>
        </w:tc>
        <w:tc>
          <w:tcPr>
            <w:tcW w:w="1173" w:type="dxa"/>
            <w:noWrap w:val="0"/>
          </w:tcPr>
          <w:p w14:paraId="534922F3">
            <w:pPr>
              <w:ind w:firstLine="120"/>
              <w:jc w:val="center"/>
              <w:rPr>
                <w:rFonts w:ascii="宋体" w:hAnsi="宋体"/>
                <w:color w:val="000000" w:themeColor="text1"/>
                <w:sz w:val="24"/>
                <w:szCs w:val="24"/>
                <w:highlight w:val="none"/>
                <w14:textFill>
                  <w14:solidFill>
                    <w14:schemeClr w14:val="tx1"/>
                  </w14:solidFill>
                </w14:textFill>
              </w:rPr>
            </w:pPr>
          </w:p>
        </w:tc>
      </w:tr>
      <w:tr w14:paraId="58491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67788EAF">
            <w:pPr>
              <w:ind w:firstLine="120"/>
              <w:jc w:val="center"/>
              <w:rPr>
                <w:rFonts w:ascii="宋体" w:hAnsi="宋体"/>
                <w:color w:val="000000" w:themeColor="text1"/>
                <w:sz w:val="24"/>
                <w:szCs w:val="24"/>
                <w:highlight w:val="none"/>
                <w14:textFill>
                  <w14:solidFill>
                    <w14:schemeClr w14:val="tx1"/>
                  </w14:solidFill>
                </w14:textFill>
              </w:rPr>
            </w:pPr>
          </w:p>
        </w:tc>
        <w:tc>
          <w:tcPr>
            <w:tcW w:w="3291" w:type="dxa"/>
            <w:noWrap w:val="0"/>
          </w:tcPr>
          <w:p w14:paraId="4419E5AE">
            <w:pPr>
              <w:ind w:firstLine="120"/>
              <w:jc w:val="center"/>
              <w:rPr>
                <w:rFonts w:ascii="宋体" w:hAnsi="宋体"/>
                <w:color w:val="000000" w:themeColor="text1"/>
                <w:sz w:val="24"/>
                <w:szCs w:val="24"/>
                <w:highlight w:val="none"/>
                <w14:textFill>
                  <w14:solidFill>
                    <w14:schemeClr w14:val="tx1"/>
                  </w14:solidFill>
                </w14:textFill>
              </w:rPr>
            </w:pPr>
          </w:p>
        </w:tc>
        <w:tc>
          <w:tcPr>
            <w:tcW w:w="2852" w:type="dxa"/>
            <w:noWrap w:val="0"/>
          </w:tcPr>
          <w:p w14:paraId="37D1E752">
            <w:pPr>
              <w:ind w:firstLine="120"/>
              <w:jc w:val="center"/>
              <w:rPr>
                <w:rFonts w:ascii="宋体" w:hAnsi="宋体"/>
                <w:color w:val="000000" w:themeColor="text1"/>
                <w:sz w:val="24"/>
                <w:szCs w:val="24"/>
                <w:highlight w:val="none"/>
                <w14:textFill>
                  <w14:solidFill>
                    <w14:schemeClr w14:val="tx1"/>
                  </w14:solidFill>
                </w14:textFill>
              </w:rPr>
            </w:pPr>
          </w:p>
        </w:tc>
        <w:tc>
          <w:tcPr>
            <w:tcW w:w="1308" w:type="dxa"/>
            <w:noWrap w:val="0"/>
          </w:tcPr>
          <w:p w14:paraId="0F3FCBE4">
            <w:pPr>
              <w:ind w:firstLine="120"/>
              <w:jc w:val="center"/>
              <w:rPr>
                <w:rFonts w:ascii="宋体" w:hAnsi="宋体"/>
                <w:color w:val="000000" w:themeColor="text1"/>
                <w:sz w:val="24"/>
                <w:szCs w:val="24"/>
                <w:highlight w:val="none"/>
                <w14:textFill>
                  <w14:solidFill>
                    <w14:schemeClr w14:val="tx1"/>
                  </w14:solidFill>
                </w14:textFill>
              </w:rPr>
            </w:pPr>
          </w:p>
        </w:tc>
        <w:tc>
          <w:tcPr>
            <w:tcW w:w="1173" w:type="dxa"/>
            <w:noWrap w:val="0"/>
          </w:tcPr>
          <w:p w14:paraId="5D9046CD">
            <w:pPr>
              <w:ind w:firstLine="120"/>
              <w:jc w:val="center"/>
              <w:rPr>
                <w:rFonts w:ascii="宋体" w:hAnsi="宋体"/>
                <w:color w:val="000000" w:themeColor="text1"/>
                <w:sz w:val="24"/>
                <w:szCs w:val="24"/>
                <w:highlight w:val="none"/>
                <w14:textFill>
                  <w14:solidFill>
                    <w14:schemeClr w14:val="tx1"/>
                  </w14:solidFill>
                </w14:textFill>
              </w:rPr>
            </w:pPr>
          </w:p>
        </w:tc>
      </w:tr>
      <w:tr w14:paraId="47F4E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1622B2D1">
            <w:pPr>
              <w:ind w:firstLine="120"/>
              <w:jc w:val="center"/>
              <w:rPr>
                <w:rFonts w:ascii="宋体" w:hAnsi="宋体"/>
                <w:color w:val="000000" w:themeColor="text1"/>
                <w:sz w:val="24"/>
                <w:szCs w:val="24"/>
                <w:highlight w:val="none"/>
                <w14:textFill>
                  <w14:solidFill>
                    <w14:schemeClr w14:val="tx1"/>
                  </w14:solidFill>
                </w14:textFill>
              </w:rPr>
            </w:pPr>
          </w:p>
        </w:tc>
        <w:tc>
          <w:tcPr>
            <w:tcW w:w="3291" w:type="dxa"/>
            <w:noWrap w:val="0"/>
          </w:tcPr>
          <w:p w14:paraId="62A617F9">
            <w:pPr>
              <w:ind w:firstLine="120"/>
              <w:jc w:val="center"/>
              <w:rPr>
                <w:rFonts w:ascii="宋体" w:hAnsi="宋体"/>
                <w:color w:val="000000" w:themeColor="text1"/>
                <w:sz w:val="24"/>
                <w:szCs w:val="24"/>
                <w:highlight w:val="none"/>
                <w14:textFill>
                  <w14:solidFill>
                    <w14:schemeClr w14:val="tx1"/>
                  </w14:solidFill>
                </w14:textFill>
              </w:rPr>
            </w:pPr>
          </w:p>
        </w:tc>
        <w:tc>
          <w:tcPr>
            <w:tcW w:w="2852" w:type="dxa"/>
            <w:noWrap w:val="0"/>
          </w:tcPr>
          <w:p w14:paraId="69DB1E04">
            <w:pPr>
              <w:ind w:firstLine="120"/>
              <w:jc w:val="center"/>
              <w:rPr>
                <w:rFonts w:ascii="宋体" w:hAnsi="宋体"/>
                <w:color w:val="000000" w:themeColor="text1"/>
                <w:sz w:val="24"/>
                <w:szCs w:val="24"/>
                <w:highlight w:val="none"/>
                <w14:textFill>
                  <w14:solidFill>
                    <w14:schemeClr w14:val="tx1"/>
                  </w14:solidFill>
                </w14:textFill>
              </w:rPr>
            </w:pPr>
          </w:p>
        </w:tc>
        <w:tc>
          <w:tcPr>
            <w:tcW w:w="1308" w:type="dxa"/>
            <w:noWrap w:val="0"/>
          </w:tcPr>
          <w:p w14:paraId="13BDE445">
            <w:pPr>
              <w:ind w:firstLine="120"/>
              <w:jc w:val="center"/>
              <w:rPr>
                <w:rFonts w:ascii="宋体" w:hAnsi="宋体"/>
                <w:color w:val="000000" w:themeColor="text1"/>
                <w:sz w:val="24"/>
                <w:szCs w:val="24"/>
                <w:highlight w:val="none"/>
                <w14:textFill>
                  <w14:solidFill>
                    <w14:schemeClr w14:val="tx1"/>
                  </w14:solidFill>
                </w14:textFill>
              </w:rPr>
            </w:pPr>
          </w:p>
        </w:tc>
        <w:tc>
          <w:tcPr>
            <w:tcW w:w="1173" w:type="dxa"/>
            <w:noWrap w:val="0"/>
          </w:tcPr>
          <w:p w14:paraId="0EA82538">
            <w:pPr>
              <w:ind w:firstLine="120"/>
              <w:jc w:val="center"/>
              <w:rPr>
                <w:rFonts w:ascii="宋体" w:hAnsi="宋体"/>
                <w:color w:val="000000" w:themeColor="text1"/>
                <w:sz w:val="24"/>
                <w:szCs w:val="24"/>
                <w:highlight w:val="none"/>
                <w14:textFill>
                  <w14:solidFill>
                    <w14:schemeClr w14:val="tx1"/>
                  </w14:solidFill>
                </w14:textFill>
              </w:rPr>
            </w:pPr>
          </w:p>
        </w:tc>
      </w:tr>
      <w:tr w14:paraId="362DA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407F1A70">
            <w:pPr>
              <w:ind w:firstLine="120"/>
              <w:jc w:val="center"/>
              <w:rPr>
                <w:rFonts w:ascii="宋体" w:hAnsi="宋体"/>
                <w:color w:val="000000" w:themeColor="text1"/>
                <w:sz w:val="24"/>
                <w:szCs w:val="24"/>
                <w:highlight w:val="none"/>
                <w14:textFill>
                  <w14:solidFill>
                    <w14:schemeClr w14:val="tx1"/>
                  </w14:solidFill>
                </w14:textFill>
              </w:rPr>
            </w:pPr>
          </w:p>
        </w:tc>
        <w:tc>
          <w:tcPr>
            <w:tcW w:w="3291" w:type="dxa"/>
            <w:noWrap w:val="0"/>
          </w:tcPr>
          <w:p w14:paraId="14097242">
            <w:pPr>
              <w:ind w:firstLine="120"/>
              <w:jc w:val="center"/>
              <w:rPr>
                <w:rFonts w:ascii="宋体" w:hAnsi="宋体"/>
                <w:color w:val="000000" w:themeColor="text1"/>
                <w:sz w:val="24"/>
                <w:szCs w:val="24"/>
                <w:highlight w:val="none"/>
                <w14:textFill>
                  <w14:solidFill>
                    <w14:schemeClr w14:val="tx1"/>
                  </w14:solidFill>
                </w14:textFill>
              </w:rPr>
            </w:pPr>
          </w:p>
        </w:tc>
        <w:tc>
          <w:tcPr>
            <w:tcW w:w="2852" w:type="dxa"/>
            <w:noWrap w:val="0"/>
          </w:tcPr>
          <w:p w14:paraId="57FAD164">
            <w:pPr>
              <w:ind w:firstLine="120"/>
              <w:jc w:val="center"/>
              <w:rPr>
                <w:rFonts w:ascii="宋体" w:hAnsi="宋体"/>
                <w:color w:val="000000" w:themeColor="text1"/>
                <w:sz w:val="24"/>
                <w:szCs w:val="24"/>
                <w:highlight w:val="none"/>
                <w14:textFill>
                  <w14:solidFill>
                    <w14:schemeClr w14:val="tx1"/>
                  </w14:solidFill>
                </w14:textFill>
              </w:rPr>
            </w:pPr>
          </w:p>
        </w:tc>
        <w:tc>
          <w:tcPr>
            <w:tcW w:w="1308" w:type="dxa"/>
            <w:noWrap w:val="0"/>
          </w:tcPr>
          <w:p w14:paraId="43BC20C7">
            <w:pPr>
              <w:ind w:firstLine="120"/>
              <w:jc w:val="center"/>
              <w:rPr>
                <w:rFonts w:ascii="宋体" w:hAnsi="宋体"/>
                <w:color w:val="000000" w:themeColor="text1"/>
                <w:sz w:val="24"/>
                <w:szCs w:val="24"/>
                <w:highlight w:val="none"/>
                <w14:textFill>
                  <w14:solidFill>
                    <w14:schemeClr w14:val="tx1"/>
                  </w14:solidFill>
                </w14:textFill>
              </w:rPr>
            </w:pPr>
          </w:p>
        </w:tc>
        <w:tc>
          <w:tcPr>
            <w:tcW w:w="1173" w:type="dxa"/>
            <w:noWrap w:val="0"/>
          </w:tcPr>
          <w:p w14:paraId="5B3E9CA6">
            <w:pPr>
              <w:ind w:firstLine="120"/>
              <w:jc w:val="center"/>
              <w:rPr>
                <w:rFonts w:ascii="宋体" w:hAnsi="宋体"/>
                <w:color w:val="000000" w:themeColor="text1"/>
                <w:sz w:val="24"/>
                <w:szCs w:val="24"/>
                <w:highlight w:val="none"/>
                <w14:textFill>
                  <w14:solidFill>
                    <w14:schemeClr w14:val="tx1"/>
                  </w14:solidFill>
                </w14:textFill>
              </w:rPr>
            </w:pPr>
          </w:p>
        </w:tc>
      </w:tr>
      <w:tr w14:paraId="5FFE0F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205484F6">
            <w:pPr>
              <w:ind w:firstLine="120"/>
              <w:jc w:val="center"/>
              <w:rPr>
                <w:rFonts w:ascii="宋体" w:hAnsi="宋体"/>
                <w:color w:val="000000" w:themeColor="text1"/>
                <w:sz w:val="24"/>
                <w:szCs w:val="24"/>
                <w:highlight w:val="none"/>
                <w14:textFill>
                  <w14:solidFill>
                    <w14:schemeClr w14:val="tx1"/>
                  </w14:solidFill>
                </w14:textFill>
              </w:rPr>
            </w:pPr>
          </w:p>
        </w:tc>
        <w:tc>
          <w:tcPr>
            <w:tcW w:w="3291" w:type="dxa"/>
            <w:noWrap w:val="0"/>
          </w:tcPr>
          <w:p w14:paraId="1A279C3A">
            <w:pPr>
              <w:ind w:firstLine="120"/>
              <w:jc w:val="center"/>
              <w:rPr>
                <w:rFonts w:ascii="宋体" w:hAnsi="宋体"/>
                <w:color w:val="000000" w:themeColor="text1"/>
                <w:sz w:val="24"/>
                <w:szCs w:val="24"/>
                <w:highlight w:val="none"/>
                <w14:textFill>
                  <w14:solidFill>
                    <w14:schemeClr w14:val="tx1"/>
                  </w14:solidFill>
                </w14:textFill>
              </w:rPr>
            </w:pPr>
          </w:p>
        </w:tc>
        <w:tc>
          <w:tcPr>
            <w:tcW w:w="2852" w:type="dxa"/>
            <w:noWrap w:val="0"/>
          </w:tcPr>
          <w:p w14:paraId="75D55076">
            <w:pPr>
              <w:ind w:firstLine="120"/>
              <w:jc w:val="center"/>
              <w:rPr>
                <w:rFonts w:ascii="宋体" w:hAnsi="宋体"/>
                <w:color w:val="000000" w:themeColor="text1"/>
                <w:sz w:val="24"/>
                <w:szCs w:val="24"/>
                <w:highlight w:val="none"/>
                <w14:textFill>
                  <w14:solidFill>
                    <w14:schemeClr w14:val="tx1"/>
                  </w14:solidFill>
                </w14:textFill>
              </w:rPr>
            </w:pPr>
          </w:p>
        </w:tc>
        <w:tc>
          <w:tcPr>
            <w:tcW w:w="1308" w:type="dxa"/>
            <w:noWrap w:val="0"/>
          </w:tcPr>
          <w:p w14:paraId="203CE163">
            <w:pPr>
              <w:ind w:firstLine="120"/>
              <w:jc w:val="center"/>
              <w:rPr>
                <w:rFonts w:ascii="宋体" w:hAnsi="宋体"/>
                <w:color w:val="000000" w:themeColor="text1"/>
                <w:sz w:val="24"/>
                <w:szCs w:val="24"/>
                <w:highlight w:val="none"/>
                <w14:textFill>
                  <w14:solidFill>
                    <w14:schemeClr w14:val="tx1"/>
                  </w14:solidFill>
                </w14:textFill>
              </w:rPr>
            </w:pPr>
          </w:p>
        </w:tc>
        <w:tc>
          <w:tcPr>
            <w:tcW w:w="1173" w:type="dxa"/>
            <w:noWrap w:val="0"/>
          </w:tcPr>
          <w:p w14:paraId="5ED0F035">
            <w:pPr>
              <w:ind w:firstLine="120"/>
              <w:jc w:val="center"/>
              <w:rPr>
                <w:rFonts w:ascii="宋体" w:hAnsi="宋体"/>
                <w:color w:val="000000" w:themeColor="text1"/>
                <w:sz w:val="24"/>
                <w:szCs w:val="24"/>
                <w:highlight w:val="none"/>
                <w14:textFill>
                  <w14:solidFill>
                    <w14:schemeClr w14:val="tx1"/>
                  </w14:solidFill>
                </w14:textFill>
              </w:rPr>
            </w:pPr>
          </w:p>
        </w:tc>
      </w:tr>
      <w:tr w14:paraId="743CC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77DFC55A">
            <w:pPr>
              <w:ind w:firstLine="120"/>
              <w:jc w:val="center"/>
              <w:rPr>
                <w:rFonts w:ascii="宋体" w:hAnsi="宋体"/>
                <w:color w:val="000000" w:themeColor="text1"/>
                <w:sz w:val="24"/>
                <w:szCs w:val="24"/>
                <w:highlight w:val="none"/>
                <w14:textFill>
                  <w14:solidFill>
                    <w14:schemeClr w14:val="tx1"/>
                  </w14:solidFill>
                </w14:textFill>
              </w:rPr>
            </w:pPr>
          </w:p>
        </w:tc>
        <w:tc>
          <w:tcPr>
            <w:tcW w:w="3291" w:type="dxa"/>
            <w:noWrap w:val="0"/>
          </w:tcPr>
          <w:p w14:paraId="7637C949">
            <w:pPr>
              <w:ind w:firstLine="120"/>
              <w:jc w:val="center"/>
              <w:rPr>
                <w:rFonts w:ascii="宋体" w:hAnsi="宋体"/>
                <w:color w:val="000000" w:themeColor="text1"/>
                <w:sz w:val="24"/>
                <w:szCs w:val="24"/>
                <w:highlight w:val="none"/>
                <w14:textFill>
                  <w14:solidFill>
                    <w14:schemeClr w14:val="tx1"/>
                  </w14:solidFill>
                </w14:textFill>
              </w:rPr>
            </w:pPr>
          </w:p>
        </w:tc>
        <w:tc>
          <w:tcPr>
            <w:tcW w:w="2852" w:type="dxa"/>
            <w:noWrap w:val="0"/>
          </w:tcPr>
          <w:p w14:paraId="75D8A6AD">
            <w:pPr>
              <w:ind w:firstLine="120"/>
              <w:jc w:val="center"/>
              <w:rPr>
                <w:rFonts w:ascii="宋体" w:hAnsi="宋体"/>
                <w:color w:val="000000" w:themeColor="text1"/>
                <w:sz w:val="24"/>
                <w:szCs w:val="24"/>
                <w:highlight w:val="none"/>
                <w14:textFill>
                  <w14:solidFill>
                    <w14:schemeClr w14:val="tx1"/>
                  </w14:solidFill>
                </w14:textFill>
              </w:rPr>
            </w:pPr>
          </w:p>
        </w:tc>
        <w:tc>
          <w:tcPr>
            <w:tcW w:w="1308" w:type="dxa"/>
            <w:noWrap w:val="0"/>
          </w:tcPr>
          <w:p w14:paraId="2E790553">
            <w:pPr>
              <w:ind w:firstLine="120"/>
              <w:jc w:val="center"/>
              <w:rPr>
                <w:rFonts w:ascii="宋体" w:hAnsi="宋体"/>
                <w:color w:val="000000" w:themeColor="text1"/>
                <w:sz w:val="24"/>
                <w:szCs w:val="24"/>
                <w:highlight w:val="none"/>
                <w14:textFill>
                  <w14:solidFill>
                    <w14:schemeClr w14:val="tx1"/>
                  </w14:solidFill>
                </w14:textFill>
              </w:rPr>
            </w:pPr>
          </w:p>
        </w:tc>
        <w:tc>
          <w:tcPr>
            <w:tcW w:w="1173" w:type="dxa"/>
            <w:noWrap w:val="0"/>
          </w:tcPr>
          <w:p w14:paraId="7140FB62">
            <w:pPr>
              <w:ind w:firstLine="120"/>
              <w:jc w:val="center"/>
              <w:rPr>
                <w:rFonts w:ascii="宋体" w:hAnsi="宋体"/>
                <w:color w:val="000000" w:themeColor="text1"/>
                <w:sz w:val="24"/>
                <w:szCs w:val="24"/>
                <w:highlight w:val="none"/>
                <w14:textFill>
                  <w14:solidFill>
                    <w14:schemeClr w14:val="tx1"/>
                  </w14:solidFill>
                </w14:textFill>
              </w:rPr>
            </w:pPr>
          </w:p>
        </w:tc>
      </w:tr>
      <w:tr w14:paraId="065E2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005AAF52">
            <w:pPr>
              <w:ind w:firstLine="120"/>
              <w:jc w:val="center"/>
              <w:rPr>
                <w:rFonts w:ascii="宋体" w:hAnsi="宋体"/>
                <w:color w:val="000000" w:themeColor="text1"/>
                <w:sz w:val="24"/>
                <w:szCs w:val="24"/>
                <w:highlight w:val="none"/>
                <w14:textFill>
                  <w14:solidFill>
                    <w14:schemeClr w14:val="tx1"/>
                  </w14:solidFill>
                </w14:textFill>
              </w:rPr>
            </w:pPr>
          </w:p>
        </w:tc>
        <w:tc>
          <w:tcPr>
            <w:tcW w:w="3291" w:type="dxa"/>
            <w:noWrap w:val="0"/>
          </w:tcPr>
          <w:p w14:paraId="4147FB0E">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w:t>
            </w:r>
          </w:p>
        </w:tc>
        <w:tc>
          <w:tcPr>
            <w:tcW w:w="2852" w:type="dxa"/>
            <w:noWrap w:val="0"/>
          </w:tcPr>
          <w:p w14:paraId="535920C1">
            <w:pPr>
              <w:ind w:firstLine="120"/>
              <w:jc w:val="center"/>
              <w:rPr>
                <w:rFonts w:ascii="宋体" w:hAnsi="宋体"/>
                <w:color w:val="000000" w:themeColor="text1"/>
                <w:sz w:val="24"/>
                <w:szCs w:val="24"/>
                <w:highlight w:val="none"/>
                <w14:textFill>
                  <w14:solidFill>
                    <w14:schemeClr w14:val="tx1"/>
                  </w14:solidFill>
                </w14:textFill>
              </w:rPr>
            </w:pPr>
          </w:p>
        </w:tc>
        <w:tc>
          <w:tcPr>
            <w:tcW w:w="1308" w:type="dxa"/>
            <w:noWrap w:val="0"/>
          </w:tcPr>
          <w:p w14:paraId="04282778">
            <w:pPr>
              <w:ind w:firstLine="120"/>
              <w:jc w:val="center"/>
              <w:rPr>
                <w:rFonts w:ascii="宋体" w:hAnsi="宋体"/>
                <w:color w:val="000000" w:themeColor="text1"/>
                <w:sz w:val="24"/>
                <w:szCs w:val="24"/>
                <w:highlight w:val="none"/>
                <w14:textFill>
                  <w14:solidFill>
                    <w14:schemeClr w14:val="tx1"/>
                  </w14:solidFill>
                </w14:textFill>
              </w:rPr>
            </w:pPr>
          </w:p>
        </w:tc>
        <w:tc>
          <w:tcPr>
            <w:tcW w:w="1173" w:type="dxa"/>
            <w:noWrap w:val="0"/>
          </w:tcPr>
          <w:p w14:paraId="4EFC57B5">
            <w:pPr>
              <w:ind w:firstLine="120"/>
              <w:jc w:val="center"/>
              <w:rPr>
                <w:rFonts w:ascii="宋体" w:hAnsi="宋体"/>
                <w:color w:val="000000" w:themeColor="text1"/>
                <w:sz w:val="24"/>
                <w:szCs w:val="24"/>
                <w:highlight w:val="none"/>
                <w14:textFill>
                  <w14:solidFill>
                    <w14:schemeClr w14:val="tx1"/>
                  </w14:solidFill>
                </w14:textFill>
              </w:rPr>
            </w:pPr>
          </w:p>
        </w:tc>
      </w:tr>
    </w:tbl>
    <w:p w14:paraId="675A372C">
      <w:pPr>
        <w:ind w:firstLine="1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注： 行数不够，可自行添加。</w:t>
      </w:r>
    </w:p>
    <w:p w14:paraId="6E1D6726">
      <w:pPr>
        <w:ind w:firstLine="181"/>
        <w:jc w:val="center"/>
        <w:rPr>
          <w:rFonts w:ascii="黑体" w:hAnsi="Arial" w:eastAsia="黑体"/>
          <w:b/>
          <w:color w:val="000000" w:themeColor="text1"/>
          <w:sz w:val="36"/>
          <w:highlight w:val="none"/>
          <w14:textFill>
            <w14:solidFill>
              <w14:schemeClr w14:val="tx1"/>
            </w14:solidFill>
          </w14:textFill>
        </w:rPr>
      </w:pPr>
    </w:p>
    <w:p w14:paraId="14CA5C4A">
      <w:pPr>
        <w:ind w:firstLine="181"/>
        <w:jc w:val="center"/>
        <w:rPr>
          <w:rFonts w:ascii="黑体" w:hAnsi="Arial" w:eastAsia="黑体"/>
          <w:b/>
          <w:color w:val="000000" w:themeColor="text1"/>
          <w:sz w:val="36"/>
          <w:highlight w:val="none"/>
          <w14:textFill>
            <w14:solidFill>
              <w14:schemeClr w14:val="tx1"/>
            </w14:solidFill>
          </w14:textFill>
        </w:rPr>
      </w:pPr>
    </w:p>
    <w:p w14:paraId="207DAA7D">
      <w:pPr>
        <w:ind w:firstLine="181"/>
        <w:jc w:val="center"/>
        <w:rPr>
          <w:rFonts w:ascii="黑体" w:hAnsi="Arial" w:eastAsia="黑体"/>
          <w:b/>
          <w:color w:val="000000" w:themeColor="text1"/>
          <w:sz w:val="36"/>
          <w:highlight w:val="none"/>
          <w14:textFill>
            <w14:solidFill>
              <w14:schemeClr w14:val="tx1"/>
            </w14:solidFill>
          </w14:textFill>
        </w:rPr>
      </w:pPr>
    </w:p>
    <w:p w14:paraId="69866F08">
      <w:pPr>
        <w:ind w:firstLine="181"/>
        <w:jc w:val="center"/>
        <w:rPr>
          <w:rFonts w:ascii="黑体" w:hAnsi="Arial" w:eastAsia="黑体"/>
          <w:b/>
          <w:color w:val="000000" w:themeColor="text1"/>
          <w:sz w:val="36"/>
          <w:highlight w:val="none"/>
          <w14:textFill>
            <w14:solidFill>
              <w14:schemeClr w14:val="tx1"/>
            </w14:solidFill>
          </w14:textFill>
        </w:rPr>
      </w:pPr>
    </w:p>
    <w:p w14:paraId="1A2EB224">
      <w:pPr>
        <w:ind w:firstLine="160"/>
        <w:rPr>
          <w:rFonts w:ascii="黑体" w:hAnsi="Arial" w:eastAsia="黑体"/>
          <w:color w:val="000000" w:themeColor="text1"/>
          <w:sz w:val="32"/>
          <w:highlight w:val="none"/>
          <w14:textFill>
            <w14:solidFill>
              <w14:schemeClr w14:val="tx1"/>
            </w14:solidFill>
          </w14:textFill>
        </w:rPr>
      </w:pPr>
    </w:p>
    <w:p w14:paraId="662E8497">
      <w:pPr>
        <w:ind w:firstLine="160"/>
        <w:rPr>
          <w:rFonts w:ascii="黑体" w:hAnsi="Arial" w:eastAsia="黑体"/>
          <w:color w:val="000000" w:themeColor="text1"/>
          <w:sz w:val="32"/>
          <w:highlight w:val="none"/>
          <w14:textFill>
            <w14:solidFill>
              <w14:schemeClr w14:val="tx1"/>
            </w14:solidFill>
          </w14:textFill>
        </w:rPr>
      </w:pPr>
    </w:p>
    <w:p w14:paraId="65B43512">
      <w:pPr>
        <w:ind w:firstLine="160"/>
        <w:rPr>
          <w:rFonts w:ascii="黑体" w:hAnsi="Arial" w:eastAsia="黑体"/>
          <w:color w:val="000000" w:themeColor="text1"/>
          <w:sz w:val="32"/>
          <w:highlight w:val="none"/>
          <w14:textFill>
            <w14:solidFill>
              <w14:schemeClr w14:val="tx1"/>
            </w14:solidFill>
          </w14:textFill>
        </w:rPr>
      </w:pPr>
    </w:p>
    <w:p w14:paraId="447285F9">
      <w:pPr>
        <w:ind w:firstLine="160"/>
        <w:rPr>
          <w:rFonts w:ascii="黑体" w:hAnsi="Arial" w:eastAsia="黑体"/>
          <w:color w:val="000000" w:themeColor="text1"/>
          <w:sz w:val="32"/>
          <w:highlight w:val="none"/>
          <w14:textFill>
            <w14:solidFill>
              <w14:schemeClr w14:val="tx1"/>
            </w14:solidFill>
          </w14:textFill>
        </w:rPr>
      </w:pPr>
    </w:p>
    <w:p w14:paraId="24BE68BF">
      <w:pPr>
        <w:ind w:firstLine="160"/>
        <w:rPr>
          <w:rFonts w:ascii="黑体" w:hAnsi="Arial" w:eastAsia="黑体"/>
          <w:color w:val="000000" w:themeColor="text1"/>
          <w:sz w:val="32"/>
          <w:highlight w:val="none"/>
          <w14:textFill>
            <w14:solidFill>
              <w14:schemeClr w14:val="tx1"/>
            </w14:solidFill>
          </w14:textFill>
        </w:rPr>
      </w:pPr>
    </w:p>
    <w:p w14:paraId="46F142E2">
      <w:pPr>
        <w:ind w:firstLine="160"/>
        <w:rPr>
          <w:rFonts w:ascii="黑体" w:hAnsi="Arial" w:eastAsia="黑体"/>
          <w:color w:val="000000" w:themeColor="text1"/>
          <w:sz w:val="32"/>
          <w:highlight w:val="none"/>
          <w14:textFill>
            <w14:solidFill>
              <w14:schemeClr w14:val="tx1"/>
            </w14:solidFill>
          </w14:textFill>
        </w:rPr>
      </w:pPr>
    </w:p>
    <w:p w14:paraId="05159CA2">
      <w:pPr>
        <w:ind w:firstLine="160"/>
        <w:rPr>
          <w:rFonts w:ascii="黑体" w:hAnsi="Arial" w:eastAsia="黑体"/>
          <w:color w:val="000000" w:themeColor="text1"/>
          <w:sz w:val="32"/>
          <w:highlight w:val="none"/>
          <w14:textFill>
            <w14:solidFill>
              <w14:schemeClr w14:val="tx1"/>
            </w14:solidFill>
          </w14:textFill>
        </w:rPr>
      </w:pPr>
    </w:p>
    <w:p w14:paraId="1EEF732E">
      <w:pPr>
        <w:ind w:firstLine="160"/>
        <w:rPr>
          <w:rFonts w:ascii="黑体" w:hAnsi="Arial" w:eastAsia="黑体"/>
          <w:color w:val="000000" w:themeColor="text1"/>
          <w:sz w:val="32"/>
          <w:highlight w:val="none"/>
          <w14:textFill>
            <w14:solidFill>
              <w14:schemeClr w14:val="tx1"/>
            </w14:solidFill>
          </w14:textFill>
        </w:rPr>
      </w:pPr>
    </w:p>
    <w:p w14:paraId="40E63C91">
      <w:pPr>
        <w:ind w:firstLine="160"/>
        <w:rPr>
          <w:rFonts w:ascii="黑体" w:hAnsi="Arial" w:eastAsia="黑体"/>
          <w:color w:val="000000" w:themeColor="text1"/>
          <w:sz w:val="32"/>
          <w:highlight w:val="none"/>
          <w14:textFill>
            <w14:solidFill>
              <w14:schemeClr w14:val="tx1"/>
            </w14:solidFill>
          </w14:textFill>
        </w:rPr>
      </w:pPr>
    </w:p>
    <w:p w14:paraId="4BF88122">
      <w:pPr>
        <w:ind w:firstLine="160"/>
        <w:rPr>
          <w:rFonts w:ascii="黑体" w:hAnsi="Arial" w:eastAsia="黑体"/>
          <w:color w:val="000000" w:themeColor="text1"/>
          <w:sz w:val="32"/>
          <w:highlight w:val="none"/>
          <w14:textFill>
            <w14:solidFill>
              <w14:schemeClr w14:val="tx1"/>
            </w14:solidFill>
          </w14:textFill>
        </w:rPr>
      </w:pPr>
    </w:p>
    <w:p w14:paraId="6D5CA326">
      <w:pPr>
        <w:ind w:firstLine="160"/>
        <w:rPr>
          <w:rFonts w:ascii="黑体" w:hAnsi="Arial" w:eastAsia="黑体"/>
          <w:color w:val="000000" w:themeColor="text1"/>
          <w:sz w:val="32"/>
          <w:highlight w:val="none"/>
          <w14:textFill>
            <w14:solidFill>
              <w14:schemeClr w14:val="tx1"/>
            </w14:solidFill>
          </w14:textFill>
        </w:rPr>
      </w:pPr>
    </w:p>
    <w:p w14:paraId="47288683">
      <w:pPr>
        <w:ind w:firstLine="160"/>
        <w:rPr>
          <w:rFonts w:ascii="黑体" w:hAnsi="Arial" w:eastAsia="黑体"/>
          <w:color w:val="000000" w:themeColor="text1"/>
          <w:sz w:val="32"/>
          <w:highlight w:val="none"/>
          <w14:textFill>
            <w14:solidFill>
              <w14:schemeClr w14:val="tx1"/>
            </w14:solidFill>
          </w14:textFill>
        </w:rPr>
      </w:pPr>
    </w:p>
    <w:p w14:paraId="026BFF7B">
      <w:pPr>
        <w:ind w:firstLine="161"/>
        <w:jc w:val="center"/>
        <w:rPr>
          <w:rFonts w:ascii="黑体" w:hAnsi="黑体" w:eastAsia="黑体"/>
          <w:b/>
          <w:color w:val="000000" w:themeColor="text1"/>
          <w:sz w:val="32"/>
          <w:szCs w:val="32"/>
          <w:highlight w:val="none"/>
          <w14:textFill>
            <w14:solidFill>
              <w14:schemeClr w14:val="tx1"/>
            </w14:solidFill>
          </w14:textFill>
        </w:rPr>
      </w:pPr>
      <w:bookmarkStart w:id="65" w:name="_Hlt26955054"/>
      <w:bookmarkEnd w:id="65"/>
      <w:r>
        <w:rPr>
          <w:rFonts w:hint="eastAsia" w:ascii="黑体" w:hAnsi="黑体" w:eastAsia="黑体"/>
          <w:b/>
          <w:color w:val="000000" w:themeColor="text1"/>
          <w:sz w:val="32"/>
          <w:szCs w:val="32"/>
          <w:highlight w:val="none"/>
          <w14:textFill>
            <w14:solidFill>
              <w14:schemeClr w14:val="tx1"/>
            </w14:solidFill>
          </w14:textFill>
        </w:rPr>
        <w:t>十四、商务要求响应及偏离表</w:t>
      </w:r>
    </w:p>
    <w:tbl>
      <w:tblPr>
        <w:tblStyle w:val="46"/>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45"/>
        <w:gridCol w:w="2125"/>
        <w:gridCol w:w="2883"/>
        <w:gridCol w:w="1302"/>
        <w:gridCol w:w="1614"/>
      </w:tblGrid>
      <w:tr w14:paraId="56E11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245" w:type="dxa"/>
            <w:noWrap w:val="0"/>
            <w:vAlign w:val="center"/>
          </w:tcPr>
          <w:p w14:paraId="0B89CC39">
            <w:pPr>
              <w:jc w:val="center"/>
              <w:rPr>
                <w:rFonts w:ascii="宋体" w:hAnsi="宋体"/>
                <w:color w:val="000000" w:themeColor="text1"/>
                <w:sz w:val="24"/>
                <w:szCs w:val="24"/>
                <w:highlight w:val="none"/>
                <w14:textFill>
                  <w14:solidFill>
                    <w14:schemeClr w14:val="tx1"/>
                  </w14:solidFill>
                </w14:textFill>
              </w:rPr>
            </w:pPr>
            <w:bookmarkStart w:id="66" w:name="_Hlt26671343"/>
            <w:bookmarkEnd w:id="66"/>
            <w:bookmarkStart w:id="67" w:name="_Hlt24879081"/>
            <w:bookmarkEnd w:id="67"/>
            <w:bookmarkStart w:id="68" w:name="_Hlt26609391"/>
            <w:bookmarkEnd w:id="68"/>
            <w:bookmarkStart w:id="69" w:name="_Hlt26955056"/>
            <w:bookmarkEnd w:id="69"/>
            <w:bookmarkStart w:id="70" w:name="_Hlt26955064"/>
            <w:bookmarkEnd w:id="70"/>
            <w:bookmarkStart w:id="71" w:name="_Hlt26671372"/>
            <w:bookmarkEnd w:id="71"/>
            <w:bookmarkStart w:id="72" w:name="_Hlt26782999"/>
            <w:bookmarkEnd w:id="72"/>
            <w:bookmarkStart w:id="73" w:name="_Hlt26580838"/>
            <w:bookmarkEnd w:id="73"/>
            <w:r>
              <w:rPr>
                <w:rFonts w:hint="eastAsia" w:ascii="宋体" w:hAnsi="宋体"/>
                <w:color w:val="000000" w:themeColor="text1"/>
                <w:sz w:val="24"/>
                <w:szCs w:val="24"/>
                <w:highlight w:val="none"/>
                <w14:textFill>
                  <w14:solidFill>
                    <w14:schemeClr w14:val="tx1"/>
                  </w14:solidFill>
                </w14:textFill>
              </w:rPr>
              <w:t>序号</w:t>
            </w:r>
          </w:p>
        </w:tc>
        <w:tc>
          <w:tcPr>
            <w:tcW w:w="2125" w:type="dxa"/>
            <w:noWrap w:val="0"/>
            <w:vAlign w:val="center"/>
          </w:tcPr>
          <w:p w14:paraId="2E1B7021">
            <w:pPr>
              <w:ind w:firstLine="120"/>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招标文件要求</w:t>
            </w:r>
          </w:p>
        </w:tc>
        <w:tc>
          <w:tcPr>
            <w:tcW w:w="2883" w:type="dxa"/>
            <w:noWrap w:val="0"/>
            <w:vAlign w:val="center"/>
          </w:tcPr>
          <w:p w14:paraId="6FA2606B">
            <w:pPr>
              <w:ind w:firstLine="120"/>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投标响应情况</w:t>
            </w:r>
          </w:p>
        </w:tc>
        <w:tc>
          <w:tcPr>
            <w:tcW w:w="1302" w:type="dxa"/>
            <w:noWrap w:val="0"/>
            <w:vAlign w:val="center"/>
          </w:tcPr>
          <w:p w14:paraId="47884C08">
            <w:pPr>
              <w:ind w:firstLine="120"/>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超出、符合或偏离</w:t>
            </w:r>
          </w:p>
        </w:tc>
        <w:tc>
          <w:tcPr>
            <w:tcW w:w="1614" w:type="dxa"/>
            <w:noWrap w:val="0"/>
            <w:vAlign w:val="center"/>
          </w:tcPr>
          <w:p w14:paraId="18E42028">
            <w:pPr>
              <w:ind w:firstLine="120"/>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证明</w:t>
            </w:r>
          </w:p>
          <w:p w14:paraId="6DB42DE9">
            <w:pPr>
              <w:ind w:firstLine="120"/>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材料</w:t>
            </w:r>
          </w:p>
        </w:tc>
      </w:tr>
      <w:tr w14:paraId="0065B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245" w:type="dxa"/>
            <w:noWrap w:val="0"/>
          </w:tcPr>
          <w:p w14:paraId="484CE4AB">
            <w:pPr>
              <w:ind w:firstLine="120"/>
              <w:jc w:val="center"/>
              <w:rPr>
                <w:rFonts w:ascii="宋体" w:hAnsi="宋体"/>
                <w:color w:val="000000" w:themeColor="text1"/>
                <w:sz w:val="24"/>
                <w:szCs w:val="24"/>
                <w:highlight w:val="none"/>
                <w14:textFill>
                  <w14:solidFill>
                    <w14:schemeClr w14:val="tx1"/>
                  </w14:solidFill>
                </w14:textFill>
              </w:rPr>
            </w:pPr>
          </w:p>
        </w:tc>
        <w:tc>
          <w:tcPr>
            <w:tcW w:w="2125" w:type="dxa"/>
            <w:noWrap w:val="0"/>
          </w:tcPr>
          <w:p w14:paraId="0BE8BA6D">
            <w:pPr>
              <w:ind w:firstLine="120"/>
              <w:jc w:val="center"/>
              <w:rPr>
                <w:rFonts w:ascii="宋体" w:hAnsi="宋体"/>
                <w:color w:val="000000" w:themeColor="text1"/>
                <w:sz w:val="24"/>
                <w:szCs w:val="24"/>
                <w:highlight w:val="none"/>
                <w14:textFill>
                  <w14:solidFill>
                    <w14:schemeClr w14:val="tx1"/>
                  </w14:solidFill>
                </w14:textFill>
              </w:rPr>
            </w:pPr>
          </w:p>
        </w:tc>
        <w:tc>
          <w:tcPr>
            <w:tcW w:w="2883" w:type="dxa"/>
            <w:noWrap w:val="0"/>
          </w:tcPr>
          <w:p w14:paraId="22096B44">
            <w:pPr>
              <w:ind w:firstLine="120"/>
              <w:jc w:val="center"/>
              <w:rPr>
                <w:rFonts w:ascii="宋体" w:hAnsi="宋体"/>
                <w:color w:val="000000" w:themeColor="text1"/>
                <w:sz w:val="24"/>
                <w:szCs w:val="24"/>
                <w:highlight w:val="none"/>
                <w14:textFill>
                  <w14:solidFill>
                    <w14:schemeClr w14:val="tx1"/>
                  </w14:solidFill>
                </w14:textFill>
              </w:rPr>
            </w:pPr>
          </w:p>
        </w:tc>
        <w:tc>
          <w:tcPr>
            <w:tcW w:w="1302" w:type="dxa"/>
            <w:noWrap w:val="0"/>
          </w:tcPr>
          <w:p w14:paraId="6FC63BCC">
            <w:pPr>
              <w:ind w:firstLine="120"/>
              <w:jc w:val="center"/>
              <w:rPr>
                <w:rFonts w:ascii="宋体" w:hAnsi="宋体"/>
                <w:color w:val="000000" w:themeColor="text1"/>
                <w:sz w:val="24"/>
                <w:szCs w:val="24"/>
                <w:highlight w:val="none"/>
                <w14:textFill>
                  <w14:solidFill>
                    <w14:schemeClr w14:val="tx1"/>
                  </w14:solidFill>
                </w14:textFill>
              </w:rPr>
            </w:pPr>
          </w:p>
        </w:tc>
        <w:tc>
          <w:tcPr>
            <w:tcW w:w="1614" w:type="dxa"/>
            <w:noWrap w:val="0"/>
          </w:tcPr>
          <w:p w14:paraId="323D69D9">
            <w:pPr>
              <w:ind w:firstLine="120"/>
              <w:jc w:val="center"/>
              <w:rPr>
                <w:rFonts w:ascii="宋体" w:hAnsi="宋体"/>
                <w:color w:val="000000" w:themeColor="text1"/>
                <w:sz w:val="24"/>
                <w:szCs w:val="24"/>
                <w:highlight w:val="none"/>
                <w14:textFill>
                  <w14:solidFill>
                    <w14:schemeClr w14:val="tx1"/>
                  </w14:solidFill>
                </w14:textFill>
              </w:rPr>
            </w:pPr>
          </w:p>
        </w:tc>
      </w:tr>
      <w:tr w14:paraId="1B1BA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245" w:type="dxa"/>
            <w:noWrap w:val="0"/>
          </w:tcPr>
          <w:p w14:paraId="42C87FF1">
            <w:pPr>
              <w:ind w:firstLine="120"/>
              <w:jc w:val="center"/>
              <w:rPr>
                <w:rFonts w:ascii="宋体" w:hAnsi="宋体"/>
                <w:color w:val="000000" w:themeColor="text1"/>
                <w:sz w:val="24"/>
                <w:szCs w:val="24"/>
                <w:highlight w:val="none"/>
                <w14:textFill>
                  <w14:solidFill>
                    <w14:schemeClr w14:val="tx1"/>
                  </w14:solidFill>
                </w14:textFill>
              </w:rPr>
            </w:pPr>
          </w:p>
        </w:tc>
        <w:tc>
          <w:tcPr>
            <w:tcW w:w="2125" w:type="dxa"/>
            <w:noWrap w:val="0"/>
          </w:tcPr>
          <w:p w14:paraId="05F49538">
            <w:pPr>
              <w:ind w:firstLine="120"/>
              <w:jc w:val="center"/>
              <w:rPr>
                <w:rFonts w:ascii="宋体" w:hAnsi="宋体"/>
                <w:color w:val="000000" w:themeColor="text1"/>
                <w:sz w:val="24"/>
                <w:szCs w:val="24"/>
                <w:highlight w:val="none"/>
                <w14:textFill>
                  <w14:solidFill>
                    <w14:schemeClr w14:val="tx1"/>
                  </w14:solidFill>
                </w14:textFill>
              </w:rPr>
            </w:pPr>
          </w:p>
        </w:tc>
        <w:tc>
          <w:tcPr>
            <w:tcW w:w="2883" w:type="dxa"/>
            <w:noWrap w:val="0"/>
          </w:tcPr>
          <w:p w14:paraId="37C95827">
            <w:pPr>
              <w:ind w:firstLine="120"/>
              <w:jc w:val="center"/>
              <w:rPr>
                <w:rFonts w:ascii="宋体" w:hAnsi="宋体"/>
                <w:color w:val="000000" w:themeColor="text1"/>
                <w:sz w:val="24"/>
                <w:szCs w:val="24"/>
                <w:highlight w:val="none"/>
                <w14:textFill>
                  <w14:solidFill>
                    <w14:schemeClr w14:val="tx1"/>
                  </w14:solidFill>
                </w14:textFill>
              </w:rPr>
            </w:pPr>
          </w:p>
        </w:tc>
        <w:tc>
          <w:tcPr>
            <w:tcW w:w="1302" w:type="dxa"/>
            <w:noWrap w:val="0"/>
          </w:tcPr>
          <w:p w14:paraId="138F3C3C">
            <w:pPr>
              <w:ind w:firstLine="120"/>
              <w:jc w:val="center"/>
              <w:rPr>
                <w:rFonts w:ascii="宋体" w:hAnsi="宋体"/>
                <w:color w:val="000000" w:themeColor="text1"/>
                <w:sz w:val="24"/>
                <w:szCs w:val="24"/>
                <w:highlight w:val="none"/>
                <w14:textFill>
                  <w14:solidFill>
                    <w14:schemeClr w14:val="tx1"/>
                  </w14:solidFill>
                </w14:textFill>
              </w:rPr>
            </w:pPr>
          </w:p>
        </w:tc>
        <w:tc>
          <w:tcPr>
            <w:tcW w:w="1614" w:type="dxa"/>
            <w:noWrap w:val="0"/>
          </w:tcPr>
          <w:p w14:paraId="41584A77">
            <w:pPr>
              <w:ind w:firstLine="120"/>
              <w:jc w:val="center"/>
              <w:rPr>
                <w:rFonts w:ascii="宋体" w:hAnsi="宋体"/>
                <w:color w:val="000000" w:themeColor="text1"/>
                <w:sz w:val="24"/>
                <w:szCs w:val="24"/>
                <w:highlight w:val="none"/>
                <w14:textFill>
                  <w14:solidFill>
                    <w14:schemeClr w14:val="tx1"/>
                  </w14:solidFill>
                </w14:textFill>
              </w:rPr>
            </w:pPr>
          </w:p>
        </w:tc>
      </w:tr>
      <w:tr w14:paraId="65A11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245" w:type="dxa"/>
            <w:noWrap w:val="0"/>
          </w:tcPr>
          <w:p w14:paraId="21FA80BC">
            <w:pPr>
              <w:ind w:firstLine="120"/>
              <w:jc w:val="center"/>
              <w:rPr>
                <w:rFonts w:ascii="宋体" w:hAnsi="宋体"/>
                <w:color w:val="000000" w:themeColor="text1"/>
                <w:sz w:val="24"/>
                <w:szCs w:val="24"/>
                <w:highlight w:val="none"/>
                <w14:textFill>
                  <w14:solidFill>
                    <w14:schemeClr w14:val="tx1"/>
                  </w14:solidFill>
                </w14:textFill>
              </w:rPr>
            </w:pPr>
          </w:p>
        </w:tc>
        <w:tc>
          <w:tcPr>
            <w:tcW w:w="2125" w:type="dxa"/>
            <w:noWrap w:val="0"/>
          </w:tcPr>
          <w:p w14:paraId="5F49151A">
            <w:pPr>
              <w:ind w:firstLine="120"/>
              <w:jc w:val="center"/>
              <w:rPr>
                <w:rFonts w:ascii="宋体" w:hAnsi="宋体"/>
                <w:color w:val="000000" w:themeColor="text1"/>
                <w:sz w:val="24"/>
                <w:szCs w:val="24"/>
                <w:highlight w:val="none"/>
                <w14:textFill>
                  <w14:solidFill>
                    <w14:schemeClr w14:val="tx1"/>
                  </w14:solidFill>
                </w14:textFill>
              </w:rPr>
            </w:pPr>
          </w:p>
        </w:tc>
        <w:tc>
          <w:tcPr>
            <w:tcW w:w="2883" w:type="dxa"/>
            <w:noWrap w:val="0"/>
          </w:tcPr>
          <w:p w14:paraId="716A52C4">
            <w:pPr>
              <w:ind w:firstLine="120"/>
              <w:jc w:val="center"/>
              <w:rPr>
                <w:rFonts w:ascii="宋体" w:hAnsi="宋体"/>
                <w:color w:val="000000" w:themeColor="text1"/>
                <w:sz w:val="24"/>
                <w:szCs w:val="24"/>
                <w:highlight w:val="none"/>
                <w14:textFill>
                  <w14:solidFill>
                    <w14:schemeClr w14:val="tx1"/>
                  </w14:solidFill>
                </w14:textFill>
              </w:rPr>
            </w:pPr>
          </w:p>
        </w:tc>
        <w:tc>
          <w:tcPr>
            <w:tcW w:w="1302" w:type="dxa"/>
            <w:noWrap w:val="0"/>
          </w:tcPr>
          <w:p w14:paraId="21BD7572">
            <w:pPr>
              <w:ind w:firstLine="120"/>
              <w:jc w:val="center"/>
              <w:rPr>
                <w:rFonts w:ascii="宋体" w:hAnsi="宋体"/>
                <w:color w:val="000000" w:themeColor="text1"/>
                <w:sz w:val="24"/>
                <w:szCs w:val="24"/>
                <w:highlight w:val="none"/>
                <w14:textFill>
                  <w14:solidFill>
                    <w14:schemeClr w14:val="tx1"/>
                  </w14:solidFill>
                </w14:textFill>
              </w:rPr>
            </w:pPr>
          </w:p>
        </w:tc>
        <w:tc>
          <w:tcPr>
            <w:tcW w:w="1614" w:type="dxa"/>
            <w:noWrap w:val="0"/>
          </w:tcPr>
          <w:p w14:paraId="64CBCFAC">
            <w:pPr>
              <w:ind w:firstLine="120"/>
              <w:jc w:val="center"/>
              <w:rPr>
                <w:rFonts w:ascii="宋体" w:hAnsi="宋体"/>
                <w:color w:val="000000" w:themeColor="text1"/>
                <w:sz w:val="24"/>
                <w:szCs w:val="24"/>
                <w:highlight w:val="none"/>
                <w14:textFill>
                  <w14:solidFill>
                    <w14:schemeClr w14:val="tx1"/>
                  </w14:solidFill>
                </w14:textFill>
              </w:rPr>
            </w:pPr>
          </w:p>
        </w:tc>
      </w:tr>
      <w:tr w14:paraId="338E1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245" w:type="dxa"/>
            <w:noWrap w:val="0"/>
          </w:tcPr>
          <w:p w14:paraId="72E7B5A3">
            <w:pPr>
              <w:ind w:firstLine="120"/>
              <w:jc w:val="center"/>
              <w:rPr>
                <w:rFonts w:ascii="宋体" w:hAnsi="宋体"/>
                <w:color w:val="000000" w:themeColor="text1"/>
                <w:sz w:val="24"/>
                <w:szCs w:val="24"/>
                <w:highlight w:val="none"/>
                <w14:textFill>
                  <w14:solidFill>
                    <w14:schemeClr w14:val="tx1"/>
                  </w14:solidFill>
                </w14:textFill>
              </w:rPr>
            </w:pPr>
          </w:p>
        </w:tc>
        <w:tc>
          <w:tcPr>
            <w:tcW w:w="2125" w:type="dxa"/>
            <w:noWrap w:val="0"/>
          </w:tcPr>
          <w:p w14:paraId="7793302F">
            <w:pPr>
              <w:ind w:firstLine="120"/>
              <w:jc w:val="center"/>
              <w:rPr>
                <w:rFonts w:ascii="宋体" w:hAnsi="宋体"/>
                <w:color w:val="000000" w:themeColor="text1"/>
                <w:sz w:val="24"/>
                <w:szCs w:val="24"/>
                <w:highlight w:val="none"/>
                <w14:textFill>
                  <w14:solidFill>
                    <w14:schemeClr w14:val="tx1"/>
                  </w14:solidFill>
                </w14:textFill>
              </w:rPr>
            </w:pPr>
          </w:p>
        </w:tc>
        <w:tc>
          <w:tcPr>
            <w:tcW w:w="2883" w:type="dxa"/>
            <w:noWrap w:val="0"/>
          </w:tcPr>
          <w:p w14:paraId="362F74C4">
            <w:pPr>
              <w:ind w:firstLine="120"/>
              <w:jc w:val="center"/>
              <w:rPr>
                <w:rFonts w:ascii="宋体" w:hAnsi="宋体"/>
                <w:color w:val="000000" w:themeColor="text1"/>
                <w:sz w:val="24"/>
                <w:szCs w:val="24"/>
                <w:highlight w:val="none"/>
                <w14:textFill>
                  <w14:solidFill>
                    <w14:schemeClr w14:val="tx1"/>
                  </w14:solidFill>
                </w14:textFill>
              </w:rPr>
            </w:pPr>
          </w:p>
        </w:tc>
        <w:tc>
          <w:tcPr>
            <w:tcW w:w="1302" w:type="dxa"/>
            <w:noWrap w:val="0"/>
          </w:tcPr>
          <w:p w14:paraId="57CDA892">
            <w:pPr>
              <w:ind w:firstLine="120"/>
              <w:jc w:val="center"/>
              <w:rPr>
                <w:rFonts w:ascii="宋体" w:hAnsi="宋体"/>
                <w:color w:val="000000" w:themeColor="text1"/>
                <w:sz w:val="24"/>
                <w:szCs w:val="24"/>
                <w:highlight w:val="none"/>
                <w14:textFill>
                  <w14:solidFill>
                    <w14:schemeClr w14:val="tx1"/>
                  </w14:solidFill>
                </w14:textFill>
              </w:rPr>
            </w:pPr>
          </w:p>
        </w:tc>
        <w:tc>
          <w:tcPr>
            <w:tcW w:w="1614" w:type="dxa"/>
            <w:noWrap w:val="0"/>
          </w:tcPr>
          <w:p w14:paraId="07B2DDE9">
            <w:pPr>
              <w:ind w:firstLine="120"/>
              <w:jc w:val="center"/>
              <w:rPr>
                <w:rFonts w:ascii="宋体" w:hAnsi="宋体"/>
                <w:color w:val="000000" w:themeColor="text1"/>
                <w:sz w:val="24"/>
                <w:szCs w:val="24"/>
                <w:highlight w:val="none"/>
                <w14:textFill>
                  <w14:solidFill>
                    <w14:schemeClr w14:val="tx1"/>
                  </w14:solidFill>
                </w14:textFill>
              </w:rPr>
            </w:pPr>
          </w:p>
        </w:tc>
      </w:tr>
      <w:tr w14:paraId="63E64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245" w:type="dxa"/>
            <w:noWrap w:val="0"/>
          </w:tcPr>
          <w:p w14:paraId="77293315">
            <w:pPr>
              <w:ind w:firstLine="120"/>
              <w:jc w:val="center"/>
              <w:rPr>
                <w:rFonts w:ascii="宋体" w:hAnsi="宋体"/>
                <w:color w:val="000000" w:themeColor="text1"/>
                <w:sz w:val="24"/>
                <w:szCs w:val="24"/>
                <w:highlight w:val="none"/>
                <w14:textFill>
                  <w14:solidFill>
                    <w14:schemeClr w14:val="tx1"/>
                  </w14:solidFill>
                </w14:textFill>
              </w:rPr>
            </w:pPr>
          </w:p>
        </w:tc>
        <w:tc>
          <w:tcPr>
            <w:tcW w:w="2125" w:type="dxa"/>
            <w:noWrap w:val="0"/>
          </w:tcPr>
          <w:p w14:paraId="45C07F32">
            <w:pPr>
              <w:ind w:firstLine="120"/>
              <w:jc w:val="center"/>
              <w:rPr>
                <w:rFonts w:ascii="宋体" w:hAnsi="宋体"/>
                <w:color w:val="000000" w:themeColor="text1"/>
                <w:sz w:val="24"/>
                <w:szCs w:val="24"/>
                <w:highlight w:val="none"/>
                <w14:textFill>
                  <w14:solidFill>
                    <w14:schemeClr w14:val="tx1"/>
                  </w14:solidFill>
                </w14:textFill>
              </w:rPr>
            </w:pPr>
          </w:p>
        </w:tc>
        <w:tc>
          <w:tcPr>
            <w:tcW w:w="2883" w:type="dxa"/>
            <w:noWrap w:val="0"/>
          </w:tcPr>
          <w:p w14:paraId="26FCDFB2">
            <w:pPr>
              <w:ind w:firstLine="120"/>
              <w:jc w:val="center"/>
              <w:rPr>
                <w:rFonts w:ascii="宋体" w:hAnsi="宋体"/>
                <w:color w:val="000000" w:themeColor="text1"/>
                <w:sz w:val="24"/>
                <w:szCs w:val="24"/>
                <w:highlight w:val="none"/>
                <w14:textFill>
                  <w14:solidFill>
                    <w14:schemeClr w14:val="tx1"/>
                  </w14:solidFill>
                </w14:textFill>
              </w:rPr>
            </w:pPr>
          </w:p>
        </w:tc>
        <w:tc>
          <w:tcPr>
            <w:tcW w:w="1302" w:type="dxa"/>
            <w:noWrap w:val="0"/>
          </w:tcPr>
          <w:p w14:paraId="20FD5F27">
            <w:pPr>
              <w:ind w:firstLine="120"/>
              <w:jc w:val="center"/>
              <w:rPr>
                <w:rFonts w:ascii="宋体" w:hAnsi="宋体"/>
                <w:color w:val="000000" w:themeColor="text1"/>
                <w:sz w:val="24"/>
                <w:szCs w:val="24"/>
                <w:highlight w:val="none"/>
                <w14:textFill>
                  <w14:solidFill>
                    <w14:schemeClr w14:val="tx1"/>
                  </w14:solidFill>
                </w14:textFill>
              </w:rPr>
            </w:pPr>
          </w:p>
        </w:tc>
        <w:tc>
          <w:tcPr>
            <w:tcW w:w="1614" w:type="dxa"/>
            <w:noWrap w:val="0"/>
          </w:tcPr>
          <w:p w14:paraId="5415526D">
            <w:pPr>
              <w:ind w:firstLine="120"/>
              <w:jc w:val="center"/>
              <w:rPr>
                <w:rFonts w:ascii="宋体" w:hAnsi="宋体"/>
                <w:color w:val="000000" w:themeColor="text1"/>
                <w:sz w:val="24"/>
                <w:szCs w:val="24"/>
                <w:highlight w:val="none"/>
                <w14:textFill>
                  <w14:solidFill>
                    <w14:schemeClr w14:val="tx1"/>
                  </w14:solidFill>
                </w14:textFill>
              </w:rPr>
            </w:pPr>
          </w:p>
        </w:tc>
      </w:tr>
      <w:tr w14:paraId="2C6271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245" w:type="dxa"/>
            <w:noWrap w:val="0"/>
          </w:tcPr>
          <w:p w14:paraId="08050416">
            <w:pPr>
              <w:ind w:firstLine="120"/>
              <w:jc w:val="center"/>
              <w:rPr>
                <w:rFonts w:ascii="宋体" w:hAnsi="宋体"/>
                <w:color w:val="000000" w:themeColor="text1"/>
                <w:sz w:val="24"/>
                <w:szCs w:val="24"/>
                <w:highlight w:val="none"/>
                <w14:textFill>
                  <w14:solidFill>
                    <w14:schemeClr w14:val="tx1"/>
                  </w14:solidFill>
                </w14:textFill>
              </w:rPr>
            </w:pPr>
          </w:p>
        </w:tc>
        <w:tc>
          <w:tcPr>
            <w:tcW w:w="2125" w:type="dxa"/>
            <w:noWrap w:val="0"/>
          </w:tcPr>
          <w:p w14:paraId="44CB87E2">
            <w:pPr>
              <w:ind w:firstLine="120"/>
              <w:jc w:val="center"/>
              <w:rPr>
                <w:rFonts w:ascii="宋体" w:hAnsi="宋体"/>
                <w:color w:val="000000" w:themeColor="text1"/>
                <w:sz w:val="24"/>
                <w:szCs w:val="24"/>
                <w:highlight w:val="none"/>
                <w14:textFill>
                  <w14:solidFill>
                    <w14:schemeClr w14:val="tx1"/>
                  </w14:solidFill>
                </w14:textFill>
              </w:rPr>
            </w:pPr>
          </w:p>
        </w:tc>
        <w:tc>
          <w:tcPr>
            <w:tcW w:w="2883" w:type="dxa"/>
            <w:noWrap w:val="0"/>
          </w:tcPr>
          <w:p w14:paraId="78552218">
            <w:pPr>
              <w:ind w:firstLine="120"/>
              <w:jc w:val="center"/>
              <w:rPr>
                <w:rFonts w:ascii="宋体" w:hAnsi="宋体"/>
                <w:color w:val="000000" w:themeColor="text1"/>
                <w:sz w:val="24"/>
                <w:szCs w:val="24"/>
                <w:highlight w:val="none"/>
                <w14:textFill>
                  <w14:solidFill>
                    <w14:schemeClr w14:val="tx1"/>
                  </w14:solidFill>
                </w14:textFill>
              </w:rPr>
            </w:pPr>
          </w:p>
        </w:tc>
        <w:tc>
          <w:tcPr>
            <w:tcW w:w="1302" w:type="dxa"/>
            <w:noWrap w:val="0"/>
          </w:tcPr>
          <w:p w14:paraId="51A12561">
            <w:pPr>
              <w:ind w:firstLine="120"/>
              <w:jc w:val="center"/>
              <w:rPr>
                <w:rFonts w:ascii="宋体" w:hAnsi="宋体"/>
                <w:color w:val="000000" w:themeColor="text1"/>
                <w:sz w:val="24"/>
                <w:szCs w:val="24"/>
                <w:highlight w:val="none"/>
                <w14:textFill>
                  <w14:solidFill>
                    <w14:schemeClr w14:val="tx1"/>
                  </w14:solidFill>
                </w14:textFill>
              </w:rPr>
            </w:pPr>
          </w:p>
        </w:tc>
        <w:tc>
          <w:tcPr>
            <w:tcW w:w="1614" w:type="dxa"/>
            <w:noWrap w:val="0"/>
          </w:tcPr>
          <w:p w14:paraId="065AEA2A">
            <w:pPr>
              <w:ind w:firstLine="120"/>
              <w:jc w:val="center"/>
              <w:rPr>
                <w:rFonts w:ascii="宋体" w:hAnsi="宋体"/>
                <w:color w:val="000000" w:themeColor="text1"/>
                <w:sz w:val="24"/>
                <w:szCs w:val="24"/>
                <w:highlight w:val="none"/>
                <w14:textFill>
                  <w14:solidFill>
                    <w14:schemeClr w14:val="tx1"/>
                  </w14:solidFill>
                </w14:textFill>
              </w:rPr>
            </w:pPr>
          </w:p>
        </w:tc>
      </w:tr>
      <w:tr w14:paraId="521B02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245" w:type="dxa"/>
            <w:noWrap w:val="0"/>
          </w:tcPr>
          <w:p w14:paraId="04F67E16">
            <w:pPr>
              <w:ind w:firstLine="120"/>
              <w:jc w:val="center"/>
              <w:rPr>
                <w:rFonts w:ascii="宋体" w:hAnsi="宋体"/>
                <w:color w:val="000000" w:themeColor="text1"/>
                <w:sz w:val="24"/>
                <w:szCs w:val="24"/>
                <w:highlight w:val="none"/>
                <w14:textFill>
                  <w14:solidFill>
                    <w14:schemeClr w14:val="tx1"/>
                  </w14:solidFill>
                </w14:textFill>
              </w:rPr>
            </w:pPr>
          </w:p>
        </w:tc>
        <w:tc>
          <w:tcPr>
            <w:tcW w:w="2125" w:type="dxa"/>
            <w:noWrap w:val="0"/>
          </w:tcPr>
          <w:p w14:paraId="20D122C4">
            <w:pPr>
              <w:ind w:firstLine="120"/>
              <w:jc w:val="center"/>
              <w:rPr>
                <w:rFonts w:ascii="宋体" w:hAnsi="宋体"/>
                <w:color w:val="000000" w:themeColor="text1"/>
                <w:sz w:val="24"/>
                <w:szCs w:val="24"/>
                <w:highlight w:val="none"/>
                <w14:textFill>
                  <w14:solidFill>
                    <w14:schemeClr w14:val="tx1"/>
                  </w14:solidFill>
                </w14:textFill>
              </w:rPr>
            </w:pPr>
          </w:p>
        </w:tc>
        <w:tc>
          <w:tcPr>
            <w:tcW w:w="2883" w:type="dxa"/>
            <w:noWrap w:val="0"/>
          </w:tcPr>
          <w:p w14:paraId="7CE0E865">
            <w:pPr>
              <w:ind w:firstLine="120"/>
              <w:jc w:val="center"/>
              <w:rPr>
                <w:rFonts w:ascii="宋体" w:hAnsi="宋体"/>
                <w:color w:val="000000" w:themeColor="text1"/>
                <w:sz w:val="24"/>
                <w:szCs w:val="24"/>
                <w:highlight w:val="none"/>
                <w14:textFill>
                  <w14:solidFill>
                    <w14:schemeClr w14:val="tx1"/>
                  </w14:solidFill>
                </w14:textFill>
              </w:rPr>
            </w:pPr>
          </w:p>
        </w:tc>
        <w:tc>
          <w:tcPr>
            <w:tcW w:w="1302" w:type="dxa"/>
            <w:noWrap w:val="0"/>
          </w:tcPr>
          <w:p w14:paraId="1D5F67AB">
            <w:pPr>
              <w:ind w:firstLine="120"/>
              <w:jc w:val="center"/>
              <w:rPr>
                <w:rFonts w:ascii="宋体" w:hAnsi="宋体"/>
                <w:color w:val="000000" w:themeColor="text1"/>
                <w:sz w:val="24"/>
                <w:szCs w:val="24"/>
                <w:highlight w:val="none"/>
                <w14:textFill>
                  <w14:solidFill>
                    <w14:schemeClr w14:val="tx1"/>
                  </w14:solidFill>
                </w14:textFill>
              </w:rPr>
            </w:pPr>
          </w:p>
        </w:tc>
        <w:tc>
          <w:tcPr>
            <w:tcW w:w="1614" w:type="dxa"/>
            <w:noWrap w:val="0"/>
          </w:tcPr>
          <w:p w14:paraId="1705A09A">
            <w:pPr>
              <w:ind w:firstLine="120"/>
              <w:jc w:val="center"/>
              <w:rPr>
                <w:rFonts w:ascii="宋体" w:hAnsi="宋体"/>
                <w:color w:val="000000" w:themeColor="text1"/>
                <w:sz w:val="24"/>
                <w:szCs w:val="24"/>
                <w:highlight w:val="none"/>
                <w14:textFill>
                  <w14:solidFill>
                    <w14:schemeClr w14:val="tx1"/>
                  </w14:solidFill>
                </w14:textFill>
              </w:rPr>
            </w:pPr>
          </w:p>
        </w:tc>
      </w:tr>
      <w:tr w14:paraId="429F5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245" w:type="dxa"/>
            <w:noWrap w:val="0"/>
          </w:tcPr>
          <w:p w14:paraId="238D2CEB">
            <w:pPr>
              <w:ind w:firstLine="120"/>
              <w:jc w:val="center"/>
              <w:rPr>
                <w:rFonts w:ascii="宋体" w:hAnsi="宋体"/>
                <w:color w:val="000000" w:themeColor="text1"/>
                <w:sz w:val="24"/>
                <w:szCs w:val="24"/>
                <w:highlight w:val="none"/>
                <w14:textFill>
                  <w14:solidFill>
                    <w14:schemeClr w14:val="tx1"/>
                  </w14:solidFill>
                </w14:textFill>
              </w:rPr>
            </w:pPr>
          </w:p>
        </w:tc>
        <w:tc>
          <w:tcPr>
            <w:tcW w:w="2125" w:type="dxa"/>
            <w:noWrap w:val="0"/>
          </w:tcPr>
          <w:p w14:paraId="76CDF45E">
            <w:pPr>
              <w:ind w:firstLine="120"/>
              <w:jc w:val="center"/>
              <w:rPr>
                <w:rFonts w:ascii="宋体" w:hAnsi="宋体"/>
                <w:color w:val="000000" w:themeColor="text1"/>
                <w:sz w:val="24"/>
                <w:szCs w:val="24"/>
                <w:highlight w:val="none"/>
                <w14:textFill>
                  <w14:solidFill>
                    <w14:schemeClr w14:val="tx1"/>
                  </w14:solidFill>
                </w14:textFill>
              </w:rPr>
            </w:pPr>
          </w:p>
        </w:tc>
        <w:tc>
          <w:tcPr>
            <w:tcW w:w="2883" w:type="dxa"/>
            <w:noWrap w:val="0"/>
          </w:tcPr>
          <w:p w14:paraId="2EB92E49">
            <w:pPr>
              <w:ind w:firstLine="120"/>
              <w:jc w:val="center"/>
              <w:rPr>
                <w:rFonts w:ascii="宋体" w:hAnsi="宋体"/>
                <w:color w:val="000000" w:themeColor="text1"/>
                <w:sz w:val="24"/>
                <w:szCs w:val="24"/>
                <w:highlight w:val="none"/>
                <w14:textFill>
                  <w14:solidFill>
                    <w14:schemeClr w14:val="tx1"/>
                  </w14:solidFill>
                </w14:textFill>
              </w:rPr>
            </w:pPr>
          </w:p>
        </w:tc>
        <w:tc>
          <w:tcPr>
            <w:tcW w:w="1302" w:type="dxa"/>
            <w:noWrap w:val="0"/>
          </w:tcPr>
          <w:p w14:paraId="365246E1">
            <w:pPr>
              <w:ind w:firstLine="120"/>
              <w:jc w:val="center"/>
              <w:rPr>
                <w:rFonts w:ascii="宋体" w:hAnsi="宋体"/>
                <w:color w:val="000000" w:themeColor="text1"/>
                <w:sz w:val="24"/>
                <w:szCs w:val="24"/>
                <w:highlight w:val="none"/>
                <w14:textFill>
                  <w14:solidFill>
                    <w14:schemeClr w14:val="tx1"/>
                  </w14:solidFill>
                </w14:textFill>
              </w:rPr>
            </w:pPr>
          </w:p>
        </w:tc>
        <w:tc>
          <w:tcPr>
            <w:tcW w:w="1614" w:type="dxa"/>
            <w:noWrap w:val="0"/>
          </w:tcPr>
          <w:p w14:paraId="138B7479">
            <w:pPr>
              <w:ind w:firstLine="120"/>
              <w:jc w:val="center"/>
              <w:rPr>
                <w:rFonts w:ascii="宋体" w:hAnsi="宋体"/>
                <w:color w:val="000000" w:themeColor="text1"/>
                <w:sz w:val="24"/>
                <w:szCs w:val="24"/>
                <w:highlight w:val="none"/>
                <w14:textFill>
                  <w14:solidFill>
                    <w14:schemeClr w14:val="tx1"/>
                  </w14:solidFill>
                </w14:textFill>
              </w:rPr>
            </w:pPr>
          </w:p>
        </w:tc>
      </w:tr>
    </w:tbl>
    <w:p w14:paraId="2D2F2784">
      <w:pPr>
        <w:ind w:firstLine="1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注： 行数不够，可自行添加。</w:t>
      </w:r>
    </w:p>
    <w:p w14:paraId="348CE44A">
      <w:pPr>
        <w:spacing w:line="480" w:lineRule="auto"/>
        <w:ind w:firstLine="120"/>
        <w:rPr>
          <w:rFonts w:ascii="宋体" w:hAnsi="宋体"/>
          <w:color w:val="000000" w:themeColor="text1"/>
          <w:sz w:val="24"/>
          <w:highlight w:val="none"/>
          <w14:textFill>
            <w14:solidFill>
              <w14:schemeClr w14:val="tx1"/>
            </w14:solidFill>
          </w14:textFill>
        </w:rPr>
      </w:pPr>
    </w:p>
    <w:p w14:paraId="0F25E967">
      <w:pPr>
        <w:spacing w:line="480" w:lineRule="auto"/>
        <w:ind w:firstLine="150"/>
        <w:rPr>
          <w:rFonts w:ascii="仿宋_GB2312" w:hAnsi="Arial"/>
          <w:color w:val="000000" w:themeColor="text1"/>
          <w:sz w:val="30"/>
          <w:highlight w:val="none"/>
          <w14:textFill>
            <w14:solidFill>
              <w14:schemeClr w14:val="tx1"/>
            </w14:solidFill>
          </w14:textFill>
        </w:rPr>
      </w:pPr>
    </w:p>
    <w:p w14:paraId="6F03B6AB">
      <w:pPr>
        <w:pStyle w:val="243"/>
        <w:ind w:firstLine="120"/>
        <w:rPr>
          <w:rFonts w:ascii="宋体" w:hAnsi="宋体"/>
          <w:color w:val="000000" w:themeColor="text1"/>
          <w:sz w:val="24"/>
          <w:highlight w:val="none"/>
          <w14:textFill>
            <w14:solidFill>
              <w14:schemeClr w14:val="tx1"/>
            </w14:solidFill>
          </w14:textFill>
        </w:rPr>
      </w:pPr>
      <w:bookmarkStart w:id="74" w:name="_Hlt26955066"/>
      <w:bookmarkEnd w:id="74"/>
      <w:bookmarkStart w:id="75" w:name="_Hlt26609389"/>
      <w:bookmarkEnd w:id="75"/>
      <w:bookmarkStart w:id="76" w:name="_Toc462564146"/>
      <w:bookmarkEnd w:id="76"/>
      <w:bookmarkStart w:id="77" w:name="_Hlt26671374"/>
      <w:bookmarkEnd w:id="77"/>
    </w:p>
    <w:p w14:paraId="504A31BA">
      <w:pPr>
        <w:ind w:firstLine="161"/>
        <w:jc w:val="center"/>
        <w:rPr>
          <w:rFonts w:ascii="黑体" w:hAnsi="黑体" w:eastAsia="黑体"/>
          <w:b/>
          <w:color w:val="000000" w:themeColor="text1"/>
          <w:sz w:val="32"/>
          <w:szCs w:val="32"/>
          <w:highlight w:val="none"/>
          <w14:textFill>
            <w14:solidFill>
              <w14:schemeClr w14:val="tx1"/>
            </w14:solidFill>
          </w14:textFill>
        </w:rPr>
      </w:pPr>
      <w:bookmarkStart w:id="78" w:name="_格式2__法定代表人授权书"/>
      <w:bookmarkEnd w:id="78"/>
    </w:p>
    <w:p w14:paraId="1F2B904F">
      <w:pPr>
        <w:ind w:firstLine="161"/>
        <w:jc w:val="center"/>
        <w:rPr>
          <w:rFonts w:ascii="黑体" w:hAnsi="黑体" w:eastAsia="黑体"/>
          <w:b/>
          <w:color w:val="000000" w:themeColor="text1"/>
          <w:sz w:val="32"/>
          <w:szCs w:val="32"/>
          <w:highlight w:val="none"/>
          <w14:textFill>
            <w14:solidFill>
              <w14:schemeClr w14:val="tx1"/>
            </w14:solidFill>
          </w14:textFill>
        </w:rPr>
      </w:pPr>
    </w:p>
    <w:p w14:paraId="09261719">
      <w:pPr>
        <w:ind w:firstLine="161"/>
        <w:rPr>
          <w:rFonts w:ascii="黑体" w:hAnsi="黑体" w:eastAsia="黑体"/>
          <w:b/>
          <w:color w:val="000000" w:themeColor="text1"/>
          <w:sz w:val="32"/>
          <w:szCs w:val="32"/>
          <w:highlight w:val="none"/>
          <w14:textFill>
            <w14:solidFill>
              <w14:schemeClr w14:val="tx1"/>
            </w14:solidFill>
          </w14:textFill>
        </w:rPr>
      </w:pPr>
    </w:p>
    <w:p w14:paraId="787400AC">
      <w:pPr>
        <w:ind w:firstLine="161"/>
        <w:rPr>
          <w:rFonts w:ascii="黑体" w:hAnsi="黑体" w:eastAsia="黑体"/>
          <w:b/>
          <w:color w:val="000000" w:themeColor="text1"/>
          <w:sz w:val="32"/>
          <w:szCs w:val="32"/>
          <w:highlight w:val="none"/>
          <w14:textFill>
            <w14:solidFill>
              <w14:schemeClr w14:val="tx1"/>
            </w14:solidFill>
          </w14:textFill>
        </w:rPr>
      </w:pPr>
    </w:p>
    <w:p w14:paraId="72900009">
      <w:pPr>
        <w:ind w:firstLine="161"/>
        <w:rPr>
          <w:rFonts w:ascii="黑体" w:hAnsi="黑体" w:eastAsia="黑体"/>
          <w:b/>
          <w:color w:val="000000" w:themeColor="text1"/>
          <w:sz w:val="32"/>
          <w:szCs w:val="32"/>
          <w:highlight w:val="none"/>
          <w14:textFill>
            <w14:solidFill>
              <w14:schemeClr w14:val="tx1"/>
            </w14:solidFill>
          </w14:textFill>
        </w:rPr>
      </w:pPr>
    </w:p>
    <w:p w14:paraId="59E98452">
      <w:pPr>
        <w:ind w:firstLine="161"/>
        <w:rPr>
          <w:rFonts w:ascii="黑体" w:hAnsi="黑体" w:eastAsia="黑体"/>
          <w:b/>
          <w:color w:val="000000" w:themeColor="text1"/>
          <w:sz w:val="32"/>
          <w:szCs w:val="32"/>
          <w:highlight w:val="none"/>
          <w14:textFill>
            <w14:solidFill>
              <w14:schemeClr w14:val="tx1"/>
            </w14:solidFill>
          </w14:textFill>
        </w:rPr>
      </w:pPr>
    </w:p>
    <w:p w14:paraId="211F2FC6">
      <w:pPr>
        <w:ind w:firstLine="161"/>
        <w:rPr>
          <w:rFonts w:ascii="黑体" w:hAnsi="黑体" w:eastAsia="黑体"/>
          <w:b/>
          <w:color w:val="000000" w:themeColor="text1"/>
          <w:sz w:val="32"/>
          <w:szCs w:val="32"/>
          <w:highlight w:val="none"/>
          <w14:textFill>
            <w14:solidFill>
              <w14:schemeClr w14:val="tx1"/>
            </w14:solidFill>
          </w14:textFill>
        </w:rPr>
      </w:pPr>
    </w:p>
    <w:p w14:paraId="7CCFBF74">
      <w:pPr>
        <w:ind w:firstLine="161"/>
        <w:rPr>
          <w:rFonts w:ascii="黑体" w:hAnsi="黑体" w:eastAsia="黑体"/>
          <w:b/>
          <w:color w:val="000000" w:themeColor="text1"/>
          <w:sz w:val="32"/>
          <w:szCs w:val="32"/>
          <w:highlight w:val="none"/>
          <w14:textFill>
            <w14:solidFill>
              <w14:schemeClr w14:val="tx1"/>
            </w14:solidFill>
          </w14:textFill>
        </w:rPr>
      </w:pPr>
    </w:p>
    <w:p w14:paraId="712C771A">
      <w:pPr>
        <w:ind w:firstLine="161"/>
        <w:rPr>
          <w:rFonts w:ascii="黑体" w:hAnsi="黑体" w:eastAsia="黑体"/>
          <w:b/>
          <w:color w:val="000000" w:themeColor="text1"/>
          <w:sz w:val="32"/>
          <w:szCs w:val="32"/>
          <w:highlight w:val="none"/>
          <w14:textFill>
            <w14:solidFill>
              <w14:schemeClr w14:val="tx1"/>
            </w14:solidFill>
          </w14:textFill>
        </w:rPr>
      </w:pPr>
    </w:p>
    <w:p w14:paraId="377D6632">
      <w:pPr>
        <w:ind w:firstLine="161"/>
        <w:rPr>
          <w:rFonts w:ascii="黑体" w:hAnsi="黑体" w:eastAsia="黑体"/>
          <w:b/>
          <w:color w:val="000000" w:themeColor="text1"/>
          <w:sz w:val="32"/>
          <w:szCs w:val="32"/>
          <w:highlight w:val="none"/>
          <w14:textFill>
            <w14:solidFill>
              <w14:schemeClr w14:val="tx1"/>
            </w14:solidFill>
          </w14:textFill>
        </w:rPr>
      </w:pPr>
    </w:p>
    <w:p w14:paraId="214A5F6A">
      <w:pPr>
        <w:ind w:firstLine="161"/>
        <w:rPr>
          <w:rFonts w:ascii="黑体" w:hAnsi="黑体" w:eastAsia="黑体"/>
          <w:b/>
          <w:color w:val="000000" w:themeColor="text1"/>
          <w:sz w:val="32"/>
          <w:szCs w:val="32"/>
          <w:highlight w:val="none"/>
          <w14:textFill>
            <w14:solidFill>
              <w14:schemeClr w14:val="tx1"/>
            </w14:solidFill>
          </w14:textFill>
        </w:rPr>
      </w:pPr>
    </w:p>
    <w:p w14:paraId="4BD090DE">
      <w:pPr>
        <w:ind w:firstLine="161"/>
        <w:rPr>
          <w:rFonts w:ascii="黑体" w:hAnsi="黑体" w:eastAsia="黑体"/>
          <w:b/>
          <w:color w:val="000000" w:themeColor="text1"/>
          <w:sz w:val="32"/>
          <w:szCs w:val="32"/>
          <w:highlight w:val="none"/>
          <w14:textFill>
            <w14:solidFill>
              <w14:schemeClr w14:val="tx1"/>
            </w14:solidFill>
          </w14:textFill>
        </w:rPr>
      </w:pPr>
    </w:p>
    <w:p w14:paraId="33D4C242">
      <w:pPr>
        <w:ind w:firstLine="161"/>
        <w:rPr>
          <w:rFonts w:ascii="黑体" w:hAnsi="黑体" w:eastAsia="黑体"/>
          <w:b/>
          <w:color w:val="000000" w:themeColor="text1"/>
          <w:sz w:val="32"/>
          <w:szCs w:val="32"/>
          <w:highlight w:val="none"/>
          <w14:textFill>
            <w14:solidFill>
              <w14:schemeClr w14:val="tx1"/>
            </w14:solidFill>
          </w14:textFill>
        </w:rPr>
      </w:pPr>
    </w:p>
    <w:p w14:paraId="14B06240">
      <w:pPr>
        <w:ind w:firstLine="161"/>
        <w:jc w:val="center"/>
        <w:rPr>
          <w:rFonts w:ascii="黑体" w:hAnsi="黑体" w:eastAsia="黑体"/>
          <w:b/>
          <w:i/>
          <w:color w:val="000000" w:themeColor="text1"/>
          <w:sz w:val="32"/>
          <w:szCs w:val="32"/>
          <w:highlight w:val="none"/>
          <w:u w:val="single"/>
          <w14:textFill>
            <w14:solidFill>
              <w14:schemeClr w14:val="tx1"/>
            </w14:solidFill>
          </w14:textFill>
        </w:rPr>
      </w:pPr>
      <w:r>
        <w:rPr>
          <w:rFonts w:hint="eastAsia" w:ascii="黑体" w:hAnsi="黑体" w:eastAsia="黑体"/>
          <w:b/>
          <w:i/>
          <w:color w:val="000000" w:themeColor="text1"/>
          <w:sz w:val="32"/>
          <w:szCs w:val="32"/>
          <w:highlight w:val="none"/>
          <w:u w:val="single"/>
          <w14:textFill>
            <w14:solidFill>
              <w14:schemeClr w14:val="tx1"/>
            </w14:solidFill>
          </w14:textFill>
        </w:rPr>
        <w:t>十五、开标一览表</w:t>
      </w:r>
    </w:p>
    <w:p w14:paraId="7D25C0A4">
      <w:pPr>
        <w:ind w:firstLine="1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投标人全称（加盖CA电子签章）：</w:t>
      </w:r>
    </w:p>
    <w:p w14:paraId="1332949D">
      <w:pPr>
        <w:ind w:firstLine="120"/>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项目名称：</w:t>
      </w:r>
    </w:p>
    <w:p w14:paraId="49ECAE5F">
      <w:pPr>
        <w:ind w:firstLine="1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项目编号：                                   分包号：</w:t>
      </w:r>
    </w:p>
    <w:tbl>
      <w:tblPr>
        <w:tblStyle w:val="46"/>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587CF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14:paraId="27DBEA0F">
            <w:pPr>
              <w:ind w:firstLine="1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投标总报价</w:t>
            </w:r>
          </w:p>
        </w:tc>
      </w:tr>
      <w:tr w14:paraId="62198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trPr>
        <w:tc>
          <w:tcPr>
            <w:tcW w:w="8206" w:type="dxa"/>
            <w:vMerge w:val="restart"/>
            <w:noWrap w:val="0"/>
            <w:vAlign w:val="center"/>
          </w:tcPr>
          <w:p w14:paraId="4501EFD5">
            <w:pPr>
              <w:pStyle w:val="220"/>
              <w:spacing w:before="0" w:after="0" w:line="500" w:lineRule="exact"/>
              <w:ind w:firstLine="1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大写：                              （人民币：元）</w:t>
            </w:r>
          </w:p>
        </w:tc>
      </w:tr>
      <w:tr w14:paraId="40D65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2C5E8730">
            <w:pPr>
              <w:pStyle w:val="220"/>
              <w:spacing w:before="0" w:after="0" w:line="500" w:lineRule="exact"/>
              <w:ind w:firstLine="120"/>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小写：                             （人民币：元）</w:t>
            </w:r>
          </w:p>
        </w:tc>
      </w:tr>
    </w:tbl>
    <w:p w14:paraId="385C322F">
      <w:pPr>
        <w:ind w:firstLine="120"/>
        <w:rPr>
          <w:rFonts w:ascii="宋体" w:hAnsi="宋体"/>
          <w:color w:val="000000" w:themeColor="text1"/>
          <w:sz w:val="24"/>
          <w:szCs w:val="24"/>
          <w:highlight w:val="none"/>
          <w14:textFill>
            <w14:solidFill>
              <w14:schemeClr w14:val="tx1"/>
            </w14:solidFill>
          </w14:textFill>
        </w:rPr>
      </w:pPr>
    </w:p>
    <w:p w14:paraId="64E56615">
      <w:pPr>
        <w:ind w:firstLine="1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日期：  年月日</w:t>
      </w:r>
    </w:p>
    <w:p w14:paraId="25E88660">
      <w:pPr>
        <w:ind w:firstLine="120"/>
        <w:rPr>
          <w:rFonts w:ascii="宋体" w:hAnsi="宋体"/>
          <w:color w:val="000000" w:themeColor="text1"/>
          <w:sz w:val="24"/>
          <w:szCs w:val="24"/>
          <w:highlight w:val="none"/>
          <w14:textFill>
            <w14:solidFill>
              <w14:schemeClr w14:val="tx1"/>
            </w14:solidFill>
          </w14:textFill>
        </w:rPr>
      </w:pPr>
    </w:p>
    <w:p w14:paraId="05226E84">
      <w:pPr>
        <w:ind w:firstLine="120"/>
        <w:rPr>
          <w:rFonts w:ascii="宋体" w:hAnsi="宋体"/>
          <w:color w:val="000000" w:themeColor="text1"/>
          <w:sz w:val="24"/>
          <w:szCs w:val="24"/>
          <w:highlight w:val="none"/>
          <w14:textFill>
            <w14:solidFill>
              <w14:schemeClr w14:val="tx1"/>
            </w14:solidFill>
          </w14:textFill>
        </w:rPr>
      </w:pPr>
    </w:p>
    <w:p w14:paraId="1854347B">
      <w:pPr>
        <w:ind w:firstLine="120"/>
        <w:rPr>
          <w:rFonts w:ascii="宋体" w:hAnsi="宋体"/>
          <w:color w:val="000000" w:themeColor="text1"/>
          <w:sz w:val="24"/>
          <w:szCs w:val="24"/>
          <w:highlight w:val="none"/>
          <w14:textFill>
            <w14:solidFill>
              <w14:schemeClr w14:val="tx1"/>
            </w14:solidFill>
          </w14:textFill>
        </w:rPr>
      </w:pPr>
    </w:p>
    <w:p w14:paraId="6B017F23">
      <w:pPr>
        <w:ind w:firstLine="161"/>
        <w:jc w:val="center"/>
        <w:rPr>
          <w:rFonts w:ascii="宋体" w:hAnsi="宋体" w:cs="仿宋"/>
          <w:b/>
          <w:bCs/>
          <w:color w:val="000000" w:themeColor="text1"/>
          <w:sz w:val="32"/>
          <w:szCs w:val="32"/>
          <w:highlight w:val="none"/>
          <w14:textFill>
            <w14:solidFill>
              <w14:schemeClr w14:val="tx1"/>
            </w14:solidFill>
          </w14:textFill>
        </w:rPr>
      </w:pPr>
    </w:p>
    <w:p w14:paraId="59AD5813">
      <w:pPr>
        <w:ind w:firstLine="161"/>
        <w:jc w:val="center"/>
        <w:rPr>
          <w:rFonts w:ascii="宋体" w:hAnsi="宋体" w:cs="仿宋"/>
          <w:b/>
          <w:bCs/>
          <w:color w:val="000000" w:themeColor="text1"/>
          <w:sz w:val="32"/>
          <w:szCs w:val="32"/>
          <w:highlight w:val="none"/>
          <w14:textFill>
            <w14:solidFill>
              <w14:schemeClr w14:val="tx1"/>
            </w14:solidFill>
          </w14:textFill>
        </w:rPr>
      </w:pPr>
    </w:p>
    <w:p w14:paraId="19F0AD99">
      <w:pPr>
        <w:ind w:firstLine="161"/>
        <w:jc w:val="center"/>
        <w:rPr>
          <w:rFonts w:ascii="宋体" w:hAnsi="宋体" w:cs="仿宋"/>
          <w:b/>
          <w:bCs/>
          <w:color w:val="000000" w:themeColor="text1"/>
          <w:sz w:val="32"/>
          <w:szCs w:val="32"/>
          <w:highlight w:val="none"/>
          <w14:textFill>
            <w14:solidFill>
              <w14:schemeClr w14:val="tx1"/>
            </w14:solidFill>
          </w14:textFill>
        </w:rPr>
      </w:pPr>
    </w:p>
    <w:p w14:paraId="4122C01D">
      <w:pPr>
        <w:ind w:firstLine="161"/>
        <w:jc w:val="center"/>
        <w:rPr>
          <w:rFonts w:ascii="宋体" w:hAnsi="宋体" w:cs="仿宋"/>
          <w:b/>
          <w:bCs/>
          <w:color w:val="000000" w:themeColor="text1"/>
          <w:sz w:val="32"/>
          <w:szCs w:val="32"/>
          <w:highlight w:val="none"/>
          <w14:textFill>
            <w14:solidFill>
              <w14:schemeClr w14:val="tx1"/>
            </w14:solidFill>
          </w14:textFill>
        </w:rPr>
      </w:pPr>
    </w:p>
    <w:p w14:paraId="0943E62E">
      <w:pPr>
        <w:ind w:firstLine="161"/>
        <w:jc w:val="center"/>
        <w:rPr>
          <w:rFonts w:ascii="宋体" w:hAnsi="宋体" w:cs="仿宋"/>
          <w:b/>
          <w:bCs/>
          <w:color w:val="000000" w:themeColor="text1"/>
          <w:sz w:val="32"/>
          <w:szCs w:val="32"/>
          <w:highlight w:val="none"/>
          <w14:textFill>
            <w14:solidFill>
              <w14:schemeClr w14:val="tx1"/>
            </w14:solidFill>
          </w14:textFill>
        </w:rPr>
      </w:pPr>
    </w:p>
    <w:p w14:paraId="11642F26">
      <w:pPr>
        <w:ind w:firstLine="161"/>
        <w:jc w:val="center"/>
        <w:rPr>
          <w:rFonts w:ascii="宋体" w:hAnsi="宋体" w:cs="仿宋"/>
          <w:b/>
          <w:bCs/>
          <w:color w:val="000000" w:themeColor="text1"/>
          <w:sz w:val="32"/>
          <w:szCs w:val="32"/>
          <w:highlight w:val="none"/>
          <w14:textFill>
            <w14:solidFill>
              <w14:schemeClr w14:val="tx1"/>
            </w14:solidFill>
          </w14:textFill>
        </w:rPr>
      </w:pPr>
    </w:p>
    <w:p w14:paraId="01A10A20">
      <w:pPr>
        <w:ind w:firstLine="161"/>
        <w:jc w:val="center"/>
        <w:rPr>
          <w:rFonts w:ascii="宋体" w:hAnsi="宋体" w:cs="仿宋"/>
          <w:b/>
          <w:bCs/>
          <w:color w:val="000000" w:themeColor="text1"/>
          <w:sz w:val="32"/>
          <w:szCs w:val="32"/>
          <w:highlight w:val="none"/>
          <w14:textFill>
            <w14:solidFill>
              <w14:schemeClr w14:val="tx1"/>
            </w14:solidFill>
          </w14:textFill>
        </w:rPr>
      </w:pPr>
    </w:p>
    <w:p w14:paraId="34A6784C">
      <w:pPr>
        <w:ind w:firstLine="161"/>
        <w:jc w:val="center"/>
        <w:rPr>
          <w:rFonts w:ascii="宋体" w:hAnsi="宋体" w:cs="仿宋"/>
          <w:b/>
          <w:bCs/>
          <w:color w:val="000000" w:themeColor="text1"/>
          <w:sz w:val="32"/>
          <w:szCs w:val="32"/>
          <w:highlight w:val="none"/>
          <w14:textFill>
            <w14:solidFill>
              <w14:schemeClr w14:val="tx1"/>
            </w14:solidFill>
          </w14:textFill>
        </w:rPr>
      </w:pPr>
    </w:p>
    <w:p w14:paraId="623CB798">
      <w:pPr>
        <w:ind w:firstLine="161"/>
        <w:jc w:val="center"/>
        <w:rPr>
          <w:rFonts w:ascii="宋体" w:hAnsi="宋体" w:cs="仿宋"/>
          <w:b/>
          <w:bCs/>
          <w:color w:val="000000" w:themeColor="text1"/>
          <w:sz w:val="32"/>
          <w:szCs w:val="32"/>
          <w:highlight w:val="none"/>
          <w14:textFill>
            <w14:solidFill>
              <w14:schemeClr w14:val="tx1"/>
            </w14:solidFill>
          </w14:textFill>
        </w:rPr>
      </w:pPr>
    </w:p>
    <w:p w14:paraId="0E158469">
      <w:pPr>
        <w:ind w:firstLine="161"/>
        <w:jc w:val="center"/>
        <w:rPr>
          <w:rFonts w:ascii="宋体" w:hAnsi="宋体" w:cs="仿宋"/>
          <w:b/>
          <w:bCs/>
          <w:color w:val="000000" w:themeColor="text1"/>
          <w:sz w:val="32"/>
          <w:szCs w:val="32"/>
          <w:highlight w:val="none"/>
          <w14:textFill>
            <w14:solidFill>
              <w14:schemeClr w14:val="tx1"/>
            </w14:solidFill>
          </w14:textFill>
        </w:rPr>
      </w:pPr>
    </w:p>
    <w:p w14:paraId="58F5470D">
      <w:pPr>
        <w:ind w:firstLine="161"/>
        <w:jc w:val="center"/>
        <w:rPr>
          <w:rFonts w:ascii="宋体" w:hAnsi="宋体" w:cs="仿宋"/>
          <w:b/>
          <w:bCs/>
          <w:color w:val="000000" w:themeColor="text1"/>
          <w:sz w:val="32"/>
          <w:szCs w:val="32"/>
          <w:highlight w:val="none"/>
          <w14:textFill>
            <w14:solidFill>
              <w14:schemeClr w14:val="tx1"/>
            </w14:solidFill>
          </w14:textFill>
        </w:rPr>
      </w:pPr>
    </w:p>
    <w:p w14:paraId="0D1F8ED7">
      <w:pPr>
        <w:ind w:firstLine="161"/>
        <w:jc w:val="center"/>
        <w:rPr>
          <w:rFonts w:ascii="宋体" w:hAnsi="宋体" w:cs="仿宋"/>
          <w:b/>
          <w:bCs/>
          <w:color w:val="000000" w:themeColor="text1"/>
          <w:sz w:val="32"/>
          <w:szCs w:val="32"/>
          <w:highlight w:val="none"/>
          <w14:textFill>
            <w14:solidFill>
              <w14:schemeClr w14:val="tx1"/>
            </w14:solidFill>
          </w14:textFill>
        </w:rPr>
      </w:pPr>
    </w:p>
    <w:p w14:paraId="0121C50B">
      <w:pPr>
        <w:ind w:firstLine="161"/>
        <w:jc w:val="center"/>
        <w:rPr>
          <w:rFonts w:ascii="宋体" w:hAnsi="宋体" w:cs="仿宋"/>
          <w:b/>
          <w:bCs/>
          <w:color w:val="000000" w:themeColor="text1"/>
          <w:sz w:val="32"/>
          <w:szCs w:val="32"/>
          <w:highlight w:val="none"/>
          <w14:textFill>
            <w14:solidFill>
              <w14:schemeClr w14:val="tx1"/>
            </w14:solidFill>
          </w14:textFill>
        </w:rPr>
      </w:pPr>
    </w:p>
    <w:p w14:paraId="00543528">
      <w:pPr>
        <w:ind w:firstLine="161"/>
        <w:jc w:val="center"/>
        <w:rPr>
          <w:rFonts w:ascii="宋体" w:hAnsi="宋体" w:cs="仿宋"/>
          <w:b/>
          <w:bCs/>
          <w:color w:val="000000" w:themeColor="text1"/>
          <w:sz w:val="32"/>
          <w:szCs w:val="32"/>
          <w:highlight w:val="none"/>
          <w14:textFill>
            <w14:solidFill>
              <w14:schemeClr w14:val="tx1"/>
            </w14:solidFill>
          </w14:textFill>
        </w:rPr>
      </w:pPr>
    </w:p>
    <w:p w14:paraId="36F38E7C">
      <w:pPr>
        <w:ind w:firstLine="161"/>
        <w:jc w:val="center"/>
        <w:rPr>
          <w:rFonts w:ascii="宋体" w:hAnsi="宋体" w:cs="仿宋"/>
          <w:b/>
          <w:bCs/>
          <w:color w:val="000000" w:themeColor="text1"/>
          <w:sz w:val="32"/>
          <w:szCs w:val="32"/>
          <w:highlight w:val="none"/>
          <w14:textFill>
            <w14:solidFill>
              <w14:schemeClr w14:val="tx1"/>
            </w14:solidFill>
          </w14:textFill>
        </w:rPr>
      </w:pPr>
    </w:p>
    <w:p w14:paraId="6E3AA0D4">
      <w:pPr>
        <w:ind w:firstLine="161"/>
        <w:jc w:val="center"/>
        <w:rPr>
          <w:rFonts w:ascii="宋体" w:hAnsi="宋体" w:cs="仿宋"/>
          <w:b/>
          <w:bCs/>
          <w:color w:val="000000" w:themeColor="text1"/>
          <w:sz w:val="32"/>
          <w:szCs w:val="32"/>
          <w:highlight w:val="none"/>
          <w14:textFill>
            <w14:solidFill>
              <w14:schemeClr w14:val="tx1"/>
            </w14:solidFill>
          </w14:textFill>
        </w:rPr>
      </w:pPr>
    </w:p>
    <w:p w14:paraId="48D4B96B">
      <w:pPr>
        <w:ind w:firstLine="161"/>
        <w:jc w:val="center"/>
        <w:rPr>
          <w:rFonts w:ascii="宋体" w:hAnsi="宋体" w:cs="仿宋"/>
          <w:b/>
          <w:bCs/>
          <w:color w:val="000000" w:themeColor="text1"/>
          <w:sz w:val="32"/>
          <w:szCs w:val="32"/>
          <w:highlight w:val="none"/>
          <w14:textFill>
            <w14:solidFill>
              <w14:schemeClr w14:val="tx1"/>
            </w14:solidFill>
          </w14:textFill>
        </w:rPr>
      </w:pPr>
    </w:p>
    <w:p w14:paraId="763F84B6">
      <w:pPr>
        <w:ind w:firstLine="161"/>
        <w:jc w:val="center"/>
        <w:rPr>
          <w:rFonts w:ascii="宋体" w:hAnsi="宋体" w:cs="仿宋"/>
          <w:b/>
          <w:bCs/>
          <w:color w:val="000000" w:themeColor="text1"/>
          <w:sz w:val="32"/>
          <w:szCs w:val="32"/>
          <w:highlight w:val="none"/>
          <w14:textFill>
            <w14:solidFill>
              <w14:schemeClr w14:val="tx1"/>
            </w14:solidFill>
          </w14:textFill>
        </w:rPr>
      </w:pPr>
    </w:p>
    <w:p w14:paraId="31A25F52">
      <w:pPr>
        <w:ind w:firstLine="161"/>
        <w:jc w:val="center"/>
        <w:rPr>
          <w:rFonts w:ascii="宋体" w:hAnsi="宋体" w:cs="仿宋"/>
          <w:b/>
          <w:bCs/>
          <w:color w:val="000000" w:themeColor="text1"/>
          <w:sz w:val="32"/>
          <w:szCs w:val="32"/>
          <w:highlight w:val="none"/>
          <w14:textFill>
            <w14:solidFill>
              <w14:schemeClr w14:val="tx1"/>
            </w14:solidFill>
          </w14:textFill>
        </w:rPr>
      </w:pPr>
    </w:p>
    <w:p w14:paraId="48570078">
      <w:pPr>
        <w:pStyle w:val="276"/>
        <w:rPr>
          <w:rFonts w:hAnsi="宋体" w:cs="仿宋"/>
          <w:b/>
          <w:bCs/>
          <w:color w:val="000000" w:themeColor="text1"/>
          <w:sz w:val="32"/>
          <w:szCs w:val="32"/>
          <w:highlight w:val="none"/>
          <w14:textFill>
            <w14:solidFill>
              <w14:schemeClr w14:val="tx1"/>
            </w14:solidFill>
          </w14:textFill>
        </w:rPr>
      </w:pPr>
    </w:p>
    <w:p w14:paraId="45D4C434">
      <w:pPr>
        <w:rPr>
          <w:color w:val="000000" w:themeColor="text1"/>
          <w:highlight w:val="none"/>
          <w14:textFill>
            <w14:solidFill>
              <w14:schemeClr w14:val="tx1"/>
            </w14:solidFill>
          </w14:textFill>
        </w:rPr>
      </w:pPr>
    </w:p>
    <w:p w14:paraId="7B7DDF38">
      <w:pPr>
        <w:ind w:firstLine="161"/>
        <w:jc w:val="center"/>
        <w:rPr>
          <w:rFonts w:ascii="宋体" w:hAnsi="宋体" w:cs="仿宋"/>
          <w:b/>
          <w:bCs/>
          <w:color w:val="000000" w:themeColor="text1"/>
          <w:sz w:val="32"/>
          <w:szCs w:val="32"/>
          <w:highlight w:val="none"/>
          <w14:textFill>
            <w14:solidFill>
              <w14:schemeClr w14:val="tx1"/>
            </w14:solidFill>
          </w14:textFill>
        </w:rPr>
      </w:pPr>
    </w:p>
    <w:p w14:paraId="66D554C8">
      <w:pPr>
        <w:ind w:firstLine="161"/>
        <w:rPr>
          <w:rFonts w:ascii="黑体" w:hAnsi="黑体" w:eastAsia="黑体"/>
          <w:b/>
          <w:iCs/>
          <w:color w:val="000000" w:themeColor="text1"/>
          <w:sz w:val="32"/>
          <w:szCs w:val="32"/>
          <w:highlight w:val="none"/>
          <w14:textFill>
            <w14:solidFill>
              <w14:schemeClr w14:val="tx1"/>
            </w14:solidFill>
          </w14:textFill>
        </w:rPr>
      </w:pPr>
      <w:r>
        <w:rPr>
          <w:rFonts w:hint="eastAsia" w:ascii="黑体" w:hAnsi="黑体" w:eastAsia="黑体"/>
          <w:b/>
          <w:iCs/>
          <w:color w:val="000000" w:themeColor="text1"/>
          <w:sz w:val="32"/>
          <w:szCs w:val="32"/>
          <w:highlight w:val="none"/>
          <w14:textFill>
            <w14:solidFill>
              <w14:schemeClr w14:val="tx1"/>
            </w14:solidFill>
          </w14:textFill>
        </w:rPr>
        <w:t>十六、主要标的信息</w:t>
      </w:r>
    </w:p>
    <w:p w14:paraId="5DDEAB90">
      <w:pPr>
        <w:spacing w:before="312" w:line="360" w:lineRule="auto"/>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主要标的信息（中标后将公示）</w:t>
      </w:r>
    </w:p>
    <w:p w14:paraId="1DA6ACF1">
      <w:pPr>
        <w:spacing w:after="312" w:line="360" w:lineRule="auto"/>
        <w:rPr>
          <w:rFonts w:ascii="宋体" w:hAnsi="宋体"/>
          <w:b/>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投标人全称：</w:t>
      </w:r>
      <w:r>
        <w:rPr>
          <w:rFonts w:hint="eastAsia" w:ascii="宋体" w:hAnsi="宋体" w:cs="宋体"/>
          <w:bCs/>
          <w:highlight w:val="none"/>
        </w:rPr>
        <w:t>（加盖CA电子公章）</w:t>
      </w:r>
      <w:r>
        <w:rPr>
          <w:rFonts w:hint="eastAsia" w:ascii="宋体" w:hAnsi="宋体"/>
          <w:color w:val="auto"/>
          <w:highlight w:val="none"/>
        </w:rPr>
        <w:t>：</w:t>
      </w:r>
    </w:p>
    <w:tbl>
      <w:tblPr>
        <w:tblStyle w:val="46"/>
        <w:tblW w:w="71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3"/>
      </w:tblGrid>
      <w:tr w14:paraId="63082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33" w:type="dxa"/>
            <w:noWrap w:val="0"/>
          </w:tcPr>
          <w:p w14:paraId="2ADB8DB6">
            <w:pPr>
              <w:jc w:val="center"/>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服务类</w:t>
            </w:r>
          </w:p>
        </w:tc>
      </w:tr>
      <w:tr w14:paraId="5DA02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0" w:hRule="atLeast"/>
          <w:jc w:val="center"/>
        </w:trPr>
        <w:tc>
          <w:tcPr>
            <w:tcW w:w="7133" w:type="dxa"/>
            <w:noWrap w:val="0"/>
            <w:vAlign w:val="top"/>
          </w:tcPr>
          <w:p w14:paraId="1DF4E537">
            <w:pPr>
              <w:spacing w:line="360" w:lineRule="auto"/>
              <w:rPr>
                <w:rFonts w:ascii="宋体" w:hAnsi="宋体" w:cs="宋体"/>
                <w:color w:val="auto"/>
                <w:highlight w:val="none"/>
              </w:rPr>
            </w:pPr>
            <w:r>
              <w:rPr>
                <w:rFonts w:hint="eastAsia" w:ascii="宋体" w:hAnsi="宋体" w:cs="宋体"/>
                <w:color w:val="auto"/>
                <w:highlight w:val="none"/>
              </w:rPr>
              <w:t>名称：</w:t>
            </w:r>
          </w:p>
          <w:p w14:paraId="45CB376F">
            <w:pPr>
              <w:spacing w:line="360" w:lineRule="auto"/>
              <w:rPr>
                <w:rFonts w:ascii="宋体" w:hAnsi="宋体" w:cs="宋体"/>
                <w:color w:val="auto"/>
                <w:highlight w:val="none"/>
              </w:rPr>
            </w:pPr>
            <w:r>
              <w:rPr>
                <w:rFonts w:hint="eastAsia" w:ascii="宋体" w:hAnsi="宋体" w:cs="宋体"/>
                <w:color w:val="auto"/>
                <w:highlight w:val="none"/>
              </w:rPr>
              <w:t>服务范围：</w:t>
            </w:r>
          </w:p>
          <w:p w14:paraId="7D23C8C6">
            <w:pPr>
              <w:spacing w:line="360" w:lineRule="auto"/>
              <w:rPr>
                <w:rFonts w:ascii="宋体" w:hAnsi="宋体" w:cs="宋体"/>
                <w:color w:val="auto"/>
                <w:highlight w:val="none"/>
                <w:u w:val="single"/>
              </w:rPr>
            </w:pPr>
            <w:r>
              <w:rPr>
                <w:rFonts w:hint="eastAsia" w:ascii="宋体" w:hAnsi="宋体" w:cs="宋体"/>
                <w:color w:val="auto"/>
                <w:highlight w:val="none"/>
              </w:rPr>
              <w:t>服务要求：</w:t>
            </w:r>
          </w:p>
          <w:p w14:paraId="487CF3AF">
            <w:pPr>
              <w:spacing w:line="360" w:lineRule="auto"/>
              <w:rPr>
                <w:rFonts w:ascii="宋体" w:hAnsi="宋体" w:cs="宋体"/>
                <w:color w:val="auto"/>
                <w:highlight w:val="none"/>
                <w:u w:val="single"/>
              </w:rPr>
            </w:pPr>
            <w:r>
              <w:rPr>
                <w:rFonts w:hint="eastAsia" w:ascii="宋体" w:hAnsi="宋体" w:cs="宋体"/>
                <w:color w:val="auto"/>
                <w:highlight w:val="none"/>
              </w:rPr>
              <w:t>服务时间：</w:t>
            </w:r>
          </w:p>
          <w:p w14:paraId="121C34E4">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auto"/>
                <w:highlight w:val="none"/>
              </w:rPr>
              <w:t>服务标准：</w:t>
            </w:r>
          </w:p>
        </w:tc>
      </w:tr>
    </w:tbl>
    <w:p w14:paraId="47963E56">
      <w:pPr>
        <w:ind w:firstLine="161"/>
        <w:jc w:val="center"/>
        <w:rPr>
          <w:rFonts w:ascii="宋体" w:hAnsi="宋体" w:cs="仿宋"/>
          <w:b/>
          <w:bCs/>
          <w:color w:val="000000" w:themeColor="text1"/>
          <w:sz w:val="32"/>
          <w:szCs w:val="32"/>
          <w:highlight w:val="none"/>
          <w14:textFill>
            <w14:solidFill>
              <w14:schemeClr w14:val="tx1"/>
            </w14:solidFill>
          </w14:textFill>
        </w:rPr>
      </w:pPr>
    </w:p>
    <w:p w14:paraId="289C5032">
      <w:pPr>
        <w:ind w:firstLine="161"/>
        <w:jc w:val="center"/>
        <w:rPr>
          <w:rFonts w:ascii="宋体" w:hAnsi="宋体" w:cs="仿宋"/>
          <w:b/>
          <w:bCs/>
          <w:color w:val="000000" w:themeColor="text1"/>
          <w:sz w:val="32"/>
          <w:szCs w:val="32"/>
          <w:highlight w:val="none"/>
          <w14:textFill>
            <w14:solidFill>
              <w14:schemeClr w14:val="tx1"/>
            </w14:solidFill>
          </w14:textFill>
        </w:rPr>
      </w:pPr>
    </w:p>
    <w:p w14:paraId="3E6CD31A">
      <w:pPr>
        <w:ind w:firstLine="161"/>
        <w:jc w:val="center"/>
        <w:rPr>
          <w:rFonts w:ascii="宋体" w:hAnsi="宋体" w:cs="仿宋"/>
          <w:b/>
          <w:bCs/>
          <w:color w:val="000000" w:themeColor="text1"/>
          <w:sz w:val="32"/>
          <w:szCs w:val="32"/>
          <w:highlight w:val="none"/>
          <w14:textFill>
            <w14:solidFill>
              <w14:schemeClr w14:val="tx1"/>
            </w14:solidFill>
          </w14:textFill>
        </w:rPr>
      </w:pPr>
    </w:p>
    <w:p w14:paraId="7FCEB1EB">
      <w:pPr>
        <w:ind w:firstLine="161"/>
        <w:jc w:val="center"/>
        <w:rPr>
          <w:rFonts w:ascii="宋体" w:hAnsi="宋体" w:cs="仿宋"/>
          <w:b/>
          <w:bCs/>
          <w:color w:val="000000" w:themeColor="text1"/>
          <w:sz w:val="32"/>
          <w:szCs w:val="32"/>
          <w:highlight w:val="none"/>
          <w14:textFill>
            <w14:solidFill>
              <w14:schemeClr w14:val="tx1"/>
            </w14:solidFill>
          </w14:textFill>
        </w:rPr>
      </w:pPr>
    </w:p>
    <w:p w14:paraId="441F9E28">
      <w:pPr>
        <w:ind w:firstLine="161"/>
        <w:jc w:val="center"/>
        <w:rPr>
          <w:rFonts w:ascii="宋体" w:hAnsi="宋体" w:cs="仿宋"/>
          <w:b/>
          <w:bCs/>
          <w:color w:val="000000" w:themeColor="text1"/>
          <w:sz w:val="32"/>
          <w:szCs w:val="32"/>
          <w:highlight w:val="none"/>
          <w14:textFill>
            <w14:solidFill>
              <w14:schemeClr w14:val="tx1"/>
            </w14:solidFill>
          </w14:textFill>
        </w:rPr>
      </w:pPr>
    </w:p>
    <w:p w14:paraId="1D2814EC">
      <w:pPr>
        <w:ind w:firstLine="161"/>
        <w:jc w:val="center"/>
        <w:rPr>
          <w:rFonts w:ascii="宋体" w:hAnsi="宋体" w:cs="仿宋"/>
          <w:b/>
          <w:bCs/>
          <w:color w:val="000000" w:themeColor="text1"/>
          <w:sz w:val="32"/>
          <w:szCs w:val="32"/>
          <w:highlight w:val="none"/>
          <w14:textFill>
            <w14:solidFill>
              <w14:schemeClr w14:val="tx1"/>
            </w14:solidFill>
          </w14:textFill>
        </w:rPr>
      </w:pPr>
    </w:p>
    <w:p w14:paraId="426F3FBF">
      <w:pPr>
        <w:ind w:firstLine="161"/>
        <w:jc w:val="center"/>
        <w:rPr>
          <w:rFonts w:ascii="宋体" w:hAnsi="宋体" w:cs="仿宋"/>
          <w:b/>
          <w:bCs/>
          <w:color w:val="000000" w:themeColor="text1"/>
          <w:sz w:val="32"/>
          <w:szCs w:val="32"/>
          <w:highlight w:val="none"/>
          <w14:textFill>
            <w14:solidFill>
              <w14:schemeClr w14:val="tx1"/>
            </w14:solidFill>
          </w14:textFill>
        </w:rPr>
      </w:pPr>
    </w:p>
    <w:p w14:paraId="44E84C03">
      <w:pPr>
        <w:ind w:firstLine="161"/>
        <w:jc w:val="center"/>
        <w:rPr>
          <w:rFonts w:ascii="宋体" w:hAnsi="宋体" w:cs="仿宋"/>
          <w:b/>
          <w:bCs/>
          <w:color w:val="000000" w:themeColor="text1"/>
          <w:sz w:val="32"/>
          <w:szCs w:val="32"/>
          <w:highlight w:val="none"/>
          <w14:textFill>
            <w14:solidFill>
              <w14:schemeClr w14:val="tx1"/>
            </w14:solidFill>
          </w14:textFill>
        </w:rPr>
      </w:pPr>
    </w:p>
    <w:p w14:paraId="64B29B87">
      <w:pPr>
        <w:ind w:firstLine="161"/>
        <w:jc w:val="center"/>
        <w:rPr>
          <w:rFonts w:ascii="宋体" w:hAnsi="宋体" w:cs="仿宋"/>
          <w:b/>
          <w:bCs/>
          <w:color w:val="000000" w:themeColor="text1"/>
          <w:sz w:val="32"/>
          <w:szCs w:val="32"/>
          <w:highlight w:val="none"/>
          <w14:textFill>
            <w14:solidFill>
              <w14:schemeClr w14:val="tx1"/>
            </w14:solidFill>
          </w14:textFill>
        </w:rPr>
      </w:pPr>
    </w:p>
    <w:p w14:paraId="3731C982">
      <w:pPr>
        <w:ind w:firstLine="161"/>
        <w:jc w:val="center"/>
        <w:rPr>
          <w:rFonts w:ascii="宋体" w:hAnsi="宋体" w:cs="仿宋"/>
          <w:b/>
          <w:bCs/>
          <w:color w:val="000000" w:themeColor="text1"/>
          <w:sz w:val="32"/>
          <w:szCs w:val="32"/>
          <w:highlight w:val="none"/>
          <w14:textFill>
            <w14:solidFill>
              <w14:schemeClr w14:val="tx1"/>
            </w14:solidFill>
          </w14:textFill>
        </w:rPr>
      </w:pPr>
    </w:p>
    <w:p w14:paraId="4A92B44B">
      <w:pPr>
        <w:ind w:firstLine="161"/>
        <w:jc w:val="center"/>
        <w:rPr>
          <w:rFonts w:ascii="宋体" w:hAnsi="宋体" w:cs="仿宋"/>
          <w:b/>
          <w:bCs/>
          <w:color w:val="000000" w:themeColor="text1"/>
          <w:sz w:val="32"/>
          <w:szCs w:val="32"/>
          <w:highlight w:val="none"/>
          <w14:textFill>
            <w14:solidFill>
              <w14:schemeClr w14:val="tx1"/>
            </w14:solidFill>
          </w14:textFill>
        </w:rPr>
      </w:pPr>
    </w:p>
    <w:p w14:paraId="5B5AC61D">
      <w:pPr>
        <w:ind w:firstLine="161"/>
        <w:jc w:val="center"/>
        <w:rPr>
          <w:rFonts w:ascii="宋体" w:hAnsi="宋体" w:cs="仿宋"/>
          <w:b/>
          <w:bCs/>
          <w:color w:val="000000" w:themeColor="text1"/>
          <w:sz w:val="32"/>
          <w:szCs w:val="32"/>
          <w:highlight w:val="none"/>
          <w14:textFill>
            <w14:solidFill>
              <w14:schemeClr w14:val="tx1"/>
            </w14:solidFill>
          </w14:textFill>
        </w:rPr>
      </w:pPr>
    </w:p>
    <w:p w14:paraId="525A9705">
      <w:pPr>
        <w:ind w:firstLine="161"/>
        <w:jc w:val="center"/>
        <w:rPr>
          <w:rFonts w:ascii="宋体" w:hAnsi="宋体" w:cs="仿宋"/>
          <w:b/>
          <w:bCs/>
          <w:color w:val="000000" w:themeColor="text1"/>
          <w:sz w:val="32"/>
          <w:szCs w:val="32"/>
          <w:highlight w:val="none"/>
          <w14:textFill>
            <w14:solidFill>
              <w14:schemeClr w14:val="tx1"/>
            </w14:solidFill>
          </w14:textFill>
        </w:rPr>
      </w:pPr>
    </w:p>
    <w:p w14:paraId="2AEEDA9A">
      <w:pPr>
        <w:ind w:firstLine="161"/>
        <w:jc w:val="center"/>
        <w:rPr>
          <w:rFonts w:ascii="宋体" w:hAnsi="宋体" w:cs="仿宋"/>
          <w:b/>
          <w:bCs/>
          <w:color w:val="000000" w:themeColor="text1"/>
          <w:sz w:val="32"/>
          <w:szCs w:val="32"/>
          <w:highlight w:val="none"/>
          <w14:textFill>
            <w14:solidFill>
              <w14:schemeClr w14:val="tx1"/>
            </w14:solidFill>
          </w14:textFill>
        </w:rPr>
      </w:pPr>
    </w:p>
    <w:p w14:paraId="01F1A3DE">
      <w:pPr>
        <w:ind w:firstLine="161"/>
        <w:jc w:val="center"/>
        <w:rPr>
          <w:rFonts w:ascii="宋体" w:hAnsi="宋体" w:cs="仿宋"/>
          <w:b/>
          <w:bCs/>
          <w:color w:val="000000" w:themeColor="text1"/>
          <w:sz w:val="32"/>
          <w:szCs w:val="32"/>
          <w:highlight w:val="none"/>
          <w14:textFill>
            <w14:solidFill>
              <w14:schemeClr w14:val="tx1"/>
            </w14:solidFill>
          </w14:textFill>
        </w:rPr>
      </w:pPr>
    </w:p>
    <w:p w14:paraId="5B3C69E8">
      <w:pPr>
        <w:ind w:firstLine="161"/>
        <w:jc w:val="center"/>
        <w:rPr>
          <w:rFonts w:ascii="宋体" w:hAnsi="宋体" w:cs="仿宋"/>
          <w:b/>
          <w:bCs/>
          <w:color w:val="000000" w:themeColor="text1"/>
          <w:sz w:val="32"/>
          <w:szCs w:val="32"/>
          <w:highlight w:val="none"/>
          <w14:textFill>
            <w14:solidFill>
              <w14:schemeClr w14:val="tx1"/>
            </w14:solidFill>
          </w14:textFill>
        </w:rPr>
      </w:pPr>
    </w:p>
    <w:p w14:paraId="0F4ACD0D">
      <w:pPr>
        <w:pStyle w:val="276"/>
        <w:rPr>
          <w:color w:val="000000" w:themeColor="text1"/>
          <w:highlight w:val="none"/>
          <w14:textFill>
            <w14:solidFill>
              <w14:schemeClr w14:val="tx1"/>
            </w14:solidFill>
          </w14:textFill>
        </w:rPr>
      </w:pPr>
    </w:p>
    <w:p w14:paraId="1FCD346F">
      <w:pPr>
        <w:ind w:firstLine="161"/>
        <w:jc w:val="center"/>
        <w:rPr>
          <w:rFonts w:ascii="宋体" w:hAnsi="宋体" w:cs="仿宋"/>
          <w:b/>
          <w:bCs/>
          <w:color w:val="000000" w:themeColor="text1"/>
          <w:sz w:val="32"/>
          <w:szCs w:val="32"/>
          <w:highlight w:val="none"/>
          <w14:textFill>
            <w14:solidFill>
              <w14:schemeClr w14:val="tx1"/>
            </w14:solidFill>
          </w14:textFill>
        </w:rPr>
      </w:pPr>
    </w:p>
    <w:p w14:paraId="066727D2">
      <w:pPr>
        <w:ind w:firstLine="161"/>
        <w:jc w:val="center"/>
        <w:rPr>
          <w:rFonts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t>质疑函范本</w:t>
      </w:r>
    </w:p>
    <w:p w14:paraId="3F7E2D75">
      <w:pPr>
        <w:spacing w:before="290" w:line="360" w:lineRule="auto"/>
        <w:ind w:firstLine="120"/>
        <w:rPr>
          <w:rFonts w:cs="仿宋"/>
          <w:bCs/>
          <w:color w:val="000000" w:themeColor="text1"/>
          <w:sz w:val="24"/>
          <w:szCs w:val="24"/>
          <w:highlight w:val="none"/>
          <w14:textFill>
            <w14:solidFill>
              <w14:schemeClr w14:val="tx1"/>
            </w14:solidFill>
          </w14:textFill>
        </w:rPr>
      </w:pPr>
      <w:r>
        <w:rPr>
          <w:rFonts w:hint="eastAsia" w:cs="仿宋"/>
          <w:bCs/>
          <w:color w:val="000000" w:themeColor="text1"/>
          <w:sz w:val="24"/>
          <w:szCs w:val="24"/>
          <w:highlight w:val="none"/>
          <w14:textFill>
            <w14:solidFill>
              <w14:schemeClr w14:val="tx1"/>
            </w14:solidFill>
          </w14:textFill>
        </w:rPr>
        <w:t>一、质疑供应商基本信息</w:t>
      </w:r>
    </w:p>
    <w:p w14:paraId="1FF0760E">
      <w:pPr>
        <w:spacing w:line="360" w:lineRule="auto"/>
        <w:ind w:firstLine="120"/>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质疑供应商：</w:t>
      </w:r>
      <w:r>
        <w:rPr>
          <w:rFonts w:hint="eastAsia" w:cs="仿宋"/>
          <w:color w:val="000000" w:themeColor="text1"/>
          <w:sz w:val="24"/>
          <w:szCs w:val="24"/>
          <w:highlight w:val="none"/>
          <w:u w:val="single"/>
          <w14:textFill>
            <w14:solidFill>
              <w14:schemeClr w14:val="tx1"/>
            </w14:solidFill>
          </w14:textFill>
        </w:rPr>
        <w:t xml:space="preserve">                                                              </w:t>
      </w:r>
    </w:p>
    <w:p w14:paraId="562F7A26">
      <w:pPr>
        <w:spacing w:line="360" w:lineRule="auto"/>
        <w:ind w:firstLine="120"/>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地址：</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邮编：</w:t>
      </w:r>
      <w:r>
        <w:rPr>
          <w:rFonts w:hint="eastAsia" w:cs="仿宋"/>
          <w:color w:val="000000" w:themeColor="text1"/>
          <w:sz w:val="24"/>
          <w:szCs w:val="24"/>
          <w:highlight w:val="none"/>
          <w:u w:val="single"/>
          <w14:textFill>
            <w14:solidFill>
              <w14:schemeClr w14:val="tx1"/>
            </w14:solidFill>
          </w14:textFill>
        </w:rPr>
        <w:t xml:space="preserve">                                    </w:t>
      </w:r>
    </w:p>
    <w:p w14:paraId="4098504C">
      <w:pPr>
        <w:spacing w:line="360" w:lineRule="auto"/>
        <w:ind w:firstLine="120"/>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联系人：</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联系电话：</w:t>
      </w:r>
      <w:r>
        <w:rPr>
          <w:rFonts w:hint="eastAsia" w:cs="仿宋"/>
          <w:color w:val="000000" w:themeColor="text1"/>
          <w:sz w:val="24"/>
          <w:szCs w:val="24"/>
          <w:highlight w:val="none"/>
          <w:u w:val="single"/>
          <w14:textFill>
            <w14:solidFill>
              <w14:schemeClr w14:val="tx1"/>
            </w14:solidFill>
          </w14:textFill>
        </w:rPr>
        <w:t xml:space="preserve">                                       </w:t>
      </w:r>
    </w:p>
    <w:p w14:paraId="3D11D955">
      <w:pPr>
        <w:spacing w:line="360" w:lineRule="auto"/>
        <w:ind w:firstLine="120"/>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授权代表：</w:t>
      </w:r>
      <w:r>
        <w:rPr>
          <w:rFonts w:hint="eastAsia" w:cs="仿宋"/>
          <w:color w:val="000000" w:themeColor="text1"/>
          <w:sz w:val="24"/>
          <w:szCs w:val="24"/>
          <w:highlight w:val="none"/>
          <w:u w:val="single"/>
          <w14:textFill>
            <w14:solidFill>
              <w14:schemeClr w14:val="tx1"/>
            </w14:solidFill>
          </w14:textFill>
        </w:rPr>
        <w:t xml:space="preserve">                                                                 </w:t>
      </w:r>
    </w:p>
    <w:p w14:paraId="328E5468">
      <w:pPr>
        <w:spacing w:line="360" w:lineRule="auto"/>
        <w:ind w:firstLine="120"/>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联系电话：</w:t>
      </w:r>
      <w:r>
        <w:rPr>
          <w:rFonts w:hint="eastAsia" w:cs="仿宋"/>
          <w:color w:val="000000" w:themeColor="text1"/>
          <w:sz w:val="24"/>
          <w:szCs w:val="24"/>
          <w:highlight w:val="none"/>
          <w:u w:val="single"/>
          <w14:textFill>
            <w14:solidFill>
              <w14:schemeClr w14:val="tx1"/>
            </w14:solidFill>
          </w14:textFill>
        </w:rPr>
        <w:t xml:space="preserve">                                                                </w:t>
      </w:r>
    </w:p>
    <w:p w14:paraId="5175418E">
      <w:pPr>
        <w:spacing w:line="360" w:lineRule="auto"/>
        <w:ind w:firstLine="120"/>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地址：</w:t>
      </w:r>
      <w:r>
        <w:rPr>
          <w:rFonts w:cs="仿宋"/>
          <w:color w:val="000000" w:themeColor="text1"/>
          <w:sz w:val="24"/>
          <w:szCs w:val="24"/>
          <w:highlight w:val="none"/>
          <w14:textFill>
            <w14:solidFill>
              <w14:schemeClr w14:val="tx1"/>
            </w14:solidFill>
          </w14:textFill>
        </w:rPr>
        <w:t xml:space="preserve"> </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邮编：</w:t>
      </w:r>
      <w:r>
        <w:rPr>
          <w:rFonts w:hint="eastAsia" w:cs="仿宋"/>
          <w:color w:val="000000" w:themeColor="text1"/>
          <w:sz w:val="24"/>
          <w:szCs w:val="24"/>
          <w:highlight w:val="none"/>
          <w:u w:val="single"/>
          <w14:textFill>
            <w14:solidFill>
              <w14:schemeClr w14:val="tx1"/>
            </w14:solidFill>
          </w14:textFill>
        </w:rPr>
        <w:t xml:space="preserve">                                     </w:t>
      </w:r>
    </w:p>
    <w:p w14:paraId="3097EC0D">
      <w:pPr>
        <w:spacing w:line="360" w:lineRule="auto"/>
        <w:ind w:firstLine="120"/>
        <w:rPr>
          <w:rFonts w:cs="仿宋"/>
          <w:bCs/>
          <w:color w:val="000000" w:themeColor="text1"/>
          <w:sz w:val="24"/>
          <w:szCs w:val="24"/>
          <w:highlight w:val="none"/>
          <w14:textFill>
            <w14:solidFill>
              <w14:schemeClr w14:val="tx1"/>
            </w14:solidFill>
          </w14:textFill>
        </w:rPr>
      </w:pPr>
      <w:r>
        <w:rPr>
          <w:rFonts w:hint="eastAsia" w:cs="仿宋"/>
          <w:bCs/>
          <w:color w:val="000000" w:themeColor="text1"/>
          <w:sz w:val="24"/>
          <w:szCs w:val="24"/>
          <w:highlight w:val="none"/>
          <w14:textFill>
            <w14:solidFill>
              <w14:schemeClr w14:val="tx1"/>
            </w14:solidFill>
          </w14:textFill>
        </w:rPr>
        <w:t>二、质疑项目基本情况</w:t>
      </w:r>
    </w:p>
    <w:p w14:paraId="206BB91D">
      <w:pPr>
        <w:spacing w:line="360" w:lineRule="auto"/>
        <w:ind w:firstLine="120"/>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质疑项目的名称：</w:t>
      </w:r>
      <w:r>
        <w:rPr>
          <w:rFonts w:hint="eastAsia" w:cs="仿宋"/>
          <w:color w:val="000000" w:themeColor="text1"/>
          <w:sz w:val="24"/>
          <w:szCs w:val="24"/>
          <w:highlight w:val="none"/>
          <w:u w:val="single"/>
          <w14:textFill>
            <w14:solidFill>
              <w14:schemeClr w14:val="tx1"/>
            </w14:solidFill>
          </w14:textFill>
        </w:rPr>
        <w:t xml:space="preserve">                                                          </w:t>
      </w:r>
    </w:p>
    <w:p w14:paraId="6232CA36">
      <w:pPr>
        <w:spacing w:line="360" w:lineRule="auto"/>
        <w:ind w:firstLine="120"/>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质疑项目的编号：</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包号：</w:t>
      </w:r>
      <w:r>
        <w:rPr>
          <w:rFonts w:hint="eastAsia" w:cs="仿宋"/>
          <w:color w:val="000000" w:themeColor="text1"/>
          <w:sz w:val="24"/>
          <w:szCs w:val="24"/>
          <w:highlight w:val="none"/>
          <w:u w:val="single"/>
          <w14:textFill>
            <w14:solidFill>
              <w14:schemeClr w14:val="tx1"/>
            </w14:solidFill>
          </w14:textFill>
        </w:rPr>
        <w:t xml:space="preserve">                           </w:t>
      </w:r>
    </w:p>
    <w:p w14:paraId="104BBE8F">
      <w:pPr>
        <w:spacing w:line="360" w:lineRule="auto"/>
        <w:ind w:firstLine="120"/>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采购人名称：</w:t>
      </w:r>
      <w:r>
        <w:rPr>
          <w:rFonts w:hint="eastAsia" w:cs="仿宋"/>
          <w:color w:val="000000" w:themeColor="text1"/>
          <w:sz w:val="24"/>
          <w:szCs w:val="24"/>
          <w:highlight w:val="none"/>
          <w:u w:val="single"/>
          <w14:textFill>
            <w14:solidFill>
              <w14:schemeClr w14:val="tx1"/>
            </w14:solidFill>
          </w14:textFill>
        </w:rPr>
        <w:t xml:space="preserve">                                                              </w:t>
      </w:r>
    </w:p>
    <w:p w14:paraId="4616B35E">
      <w:pPr>
        <w:spacing w:line="360" w:lineRule="auto"/>
        <w:ind w:firstLine="120"/>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采购文件获取日期：</w:t>
      </w:r>
      <w:r>
        <w:rPr>
          <w:rFonts w:hint="eastAsia" w:cs="仿宋"/>
          <w:color w:val="000000" w:themeColor="text1"/>
          <w:sz w:val="24"/>
          <w:szCs w:val="24"/>
          <w:highlight w:val="none"/>
          <w:u w:val="single"/>
          <w14:textFill>
            <w14:solidFill>
              <w14:schemeClr w14:val="tx1"/>
            </w14:solidFill>
          </w14:textFill>
        </w:rPr>
        <w:t xml:space="preserve">                                                        </w:t>
      </w:r>
    </w:p>
    <w:p w14:paraId="02BEB298">
      <w:pPr>
        <w:spacing w:line="360" w:lineRule="auto"/>
        <w:ind w:firstLine="120"/>
        <w:rPr>
          <w:rFonts w:cs="仿宋"/>
          <w:bCs/>
          <w:color w:val="000000" w:themeColor="text1"/>
          <w:sz w:val="24"/>
          <w:szCs w:val="24"/>
          <w:highlight w:val="none"/>
          <w14:textFill>
            <w14:solidFill>
              <w14:schemeClr w14:val="tx1"/>
            </w14:solidFill>
          </w14:textFill>
        </w:rPr>
      </w:pPr>
      <w:r>
        <w:rPr>
          <w:rFonts w:hint="eastAsia" w:cs="仿宋"/>
          <w:bCs/>
          <w:color w:val="000000" w:themeColor="text1"/>
          <w:sz w:val="24"/>
          <w:szCs w:val="24"/>
          <w:highlight w:val="none"/>
          <w14:textFill>
            <w14:solidFill>
              <w14:schemeClr w14:val="tx1"/>
            </w14:solidFill>
          </w14:textFill>
        </w:rPr>
        <w:t>三、质疑事项具体内容</w:t>
      </w:r>
    </w:p>
    <w:p w14:paraId="1F298F39">
      <w:pPr>
        <w:spacing w:line="360" w:lineRule="auto"/>
        <w:ind w:firstLine="120"/>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质疑事项1：</w:t>
      </w:r>
      <w:r>
        <w:rPr>
          <w:rFonts w:hint="eastAsia" w:cs="仿宋"/>
          <w:color w:val="000000" w:themeColor="text1"/>
          <w:sz w:val="24"/>
          <w:szCs w:val="24"/>
          <w:highlight w:val="none"/>
          <w:u w:val="single"/>
          <w14:textFill>
            <w14:solidFill>
              <w14:schemeClr w14:val="tx1"/>
            </w14:solidFill>
          </w14:textFill>
        </w:rPr>
        <w:t xml:space="preserve">                                                              </w:t>
      </w:r>
    </w:p>
    <w:p w14:paraId="3F7140C8">
      <w:pPr>
        <w:spacing w:line="360" w:lineRule="auto"/>
        <w:ind w:firstLine="120"/>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事实依据：</w:t>
      </w:r>
      <w:r>
        <w:rPr>
          <w:rFonts w:hint="eastAsia" w:cs="仿宋"/>
          <w:color w:val="000000" w:themeColor="text1"/>
          <w:sz w:val="24"/>
          <w:szCs w:val="24"/>
          <w:highlight w:val="none"/>
          <w:u w:val="single"/>
          <w14:textFill>
            <w14:solidFill>
              <w14:schemeClr w14:val="tx1"/>
            </w14:solidFill>
          </w14:textFill>
        </w:rPr>
        <w:t xml:space="preserve">                                                                </w:t>
      </w:r>
    </w:p>
    <w:p w14:paraId="315CCC0F">
      <w:pPr>
        <w:spacing w:line="360" w:lineRule="auto"/>
        <w:ind w:firstLine="120"/>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u w:val="single"/>
          <w14:textFill>
            <w14:solidFill>
              <w14:schemeClr w14:val="tx1"/>
            </w14:solidFill>
          </w14:textFill>
        </w:rPr>
        <w:t xml:space="preserve">                                                                           </w:t>
      </w:r>
    </w:p>
    <w:p w14:paraId="51639DFD">
      <w:pPr>
        <w:spacing w:line="360" w:lineRule="auto"/>
        <w:ind w:firstLine="120"/>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法律依据：</w:t>
      </w:r>
      <w:r>
        <w:rPr>
          <w:rFonts w:hint="eastAsia" w:cs="仿宋"/>
          <w:color w:val="000000" w:themeColor="text1"/>
          <w:sz w:val="24"/>
          <w:szCs w:val="24"/>
          <w:highlight w:val="none"/>
          <w:u w:val="single"/>
          <w14:textFill>
            <w14:solidFill>
              <w14:schemeClr w14:val="tx1"/>
            </w14:solidFill>
          </w14:textFill>
        </w:rPr>
        <w:t xml:space="preserve">                                                                 </w:t>
      </w:r>
    </w:p>
    <w:p w14:paraId="46C25249">
      <w:pPr>
        <w:spacing w:line="360" w:lineRule="auto"/>
        <w:ind w:firstLine="120"/>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u w:val="single"/>
          <w14:textFill>
            <w14:solidFill>
              <w14:schemeClr w14:val="tx1"/>
            </w14:solidFill>
          </w14:textFill>
        </w:rPr>
        <w:t xml:space="preserve">                                                                           </w:t>
      </w:r>
    </w:p>
    <w:p w14:paraId="58218266">
      <w:pPr>
        <w:spacing w:line="360" w:lineRule="auto"/>
        <w:ind w:firstLine="120"/>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质疑事项2</w:t>
      </w:r>
    </w:p>
    <w:p w14:paraId="7679C842">
      <w:pPr>
        <w:spacing w:line="360" w:lineRule="auto"/>
        <w:ind w:firstLine="120"/>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w:t>
      </w:r>
    </w:p>
    <w:p w14:paraId="1F1B66DB">
      <w:pPr>
        <w:spacing w:line="360" w:lineRule="auto"/>
        <w:ind w:firstLine="120"/>
        <w:rPr>
          <w:rFonts w:cs="仿宋"/>
          <w:bCs/>
          <w:color w:val="000000" w:themeColor="text1"/>
          <w:sz w:val="24"/>
          <w:szCs w:val="24"/>
          <w:highlight w:val="none"/>
          <w14:textFill>
            <w14:solidFill>
              <w14:schemeClr w14:val="tx1"/>
            </w14:solidFill>
          </w14:textFill>
        </w:rPr>
      </w:pPr>
      <w:r>
        <w:rPr>
          <w:rFonts w:hint="eastAsia" w:cs="仿宋"/>
          <w:bCs/>
          <w:color w:val="000000" w:themeColor="text1"/>
          <w:sz w:val="24"/>
          <w:szCs w:val="24"/>
          <w:highlight w:val="none"/>
          <w14:textFill>
            <w14:solidFill>
              <w14:schemeClr w14:val="tx1"/>
            </w14:solidFill>
          </w14:textFill>
        </w:rPr>
        <w:t>四、与质疑事项相关的质疑请求</w:t>
      </w:r>
    </w:p>
    <w:p w14:paraId="3179BBB4">
      <w:pPr>
        <w:spacing w:line="360" w:lineRule="auto"/>
        <w:ind w:firstLine="120"/>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请求：</w:t>
      </w:r>
      <w:r>
        <w:rPr>
          <w:rFonts w:hint="eastAsia" w:cs="仿宋"/>
          <w:color w:val="000000" w:themeColor="text1"/>
          <w:sz w:val="24"/>
          <w:szCs w:val="24"/>
          <w:highlight w:val="none"/>
          <w:u w:val="single"/>
          <w14:textFill>
            <w14:solidFill>
              <w14:schemeClr w14:val="tx1"/>
            </w14:solidFill>
          </w14:textFill>
        </w:rPr>
        <w:t xml:space="preserve">                                                                     </w:t>
      </w:r>
    </w:p>
    <w:p w14:paraId="267FFDC8">
      <w:pPr>
        <w:ind w:firstLine="12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签字(签章)：                   公章：                      </w:t>
      </w:r>
    </w:p>
    <w:p w14:paraId="76138E98">
      <w:pPr>
        <w:ind w:firstLine="12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日期：    </w:t>
      </w:r>
    </w:p>
    <w:p w14:paraId="1AA8ECA7">
      <w:pPr>
        <w:spacing w:line="400" w:lineRule="exact"/>
        <w:ind w:firstLine="120"/>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质疑函制作说明：</w:t>
      </w:r>
    </w:p>
    <w:p w14:paraId="38A3BDF6">
      <w:pPr>
        <w:spacing w:line="400" w:lineRule="exact"/>
        <w:ind w:firstLine="12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1.供应商提出质疑时，应提交质疑函和必要的证明材料。</w:t>
      </w:r>
    </w:p>
    <w:p w14:paraId="64FC620B">
      <w:pPr>
        <w:spacing w:line="400" w:lineRule="exact"/>
        <w:ind w:firstLine="12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9EA48C0">
      <w:pPr>
        <w:spacing w:line="400" w:lineRule="exact"/>
        <w:ind w:firstLine="12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3.质疑供应商若对项目的某一分包进行质疑，质疑函中应列明具体分包号。</w:t>
      </w:r>
    </w:p>
    <w:p w14:paraId="09B2D904">
      <w:pPr>
        <w:spacing w:line="400" w:lineRule="exact"/>
        <w:ind w:firstLine="12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4.质疑函的质疑事项应具体、明确，并有必要的事实依据和法律依据。</w:t>
      </w:r>
    </w:p>
    <w:p w14:paraId="1564C6D0">
      <w:pPr>
        <w:spacing w:line="400" w:lineRule="exact"/>
        <w:ind w:firstLine="12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5.质疑函的质疑请求应与质疑事项相关。</w:t>
      </w:r>
    </w:p>
    <w:p w14:paraId="127A7025">
      <w:pPr>
        <w:spacing w:line="400" w:lineRule="exact"/>
        <w:ind w:firstLine="12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p w14:paraId="49E36DE5">
      <w:pPr>
        <w:widowControl/>
        <w:spacing w:line="400" w:lineRule="exact"/>
        <w:ind w:firstLine="120"/>
        <w:jc w:val="left"/>
        <w:rPr>
          <w:rFonts w:ascii="宋体" w:hAnsi="宋体"/>
          <w:color w:val="000000" w:themeColor="text1"/>
          <w:sz w:val="24"/>
          <w:szCs w:val="24"/>
          <w:highlight w:val="none"/>
          <w14:textFill>
            <w14:solidFill>
              <w14:schemeClr w14:val="tx1"/>
            </w14:solidFill>
          </w14:textFill>
        </w:rPr>
      </w:pPr>
    </w:p>
    <w:p w14:paraId="4B257CCD">
      <w:pPr>
        <w:pStyle w:val="243"/>
        <w:ind w:firstLine="120"/>
        <w:rPr>
          <w:color w:val="000000" w:themeColor="text1"/>
          <w:sz w:val="24"/>
          <w:szCs w:val="24"/>
          <w:highlight w:val="none"/>
          <w14:textFill>
            <w14:solidFill>
              <w14:schemeClr w14:val="tx1"/>
            </w14:solidFill>
          </w14:textFill>
        </w:rPr>
      </w:pPr>
    </w:p>
    <w:p w14:paraId="07E722E8">
      <w:pPr>
        <w:pStyle w:val="243"/>
        <w:ind w:firstLine="120"/>
        <w:rPr>
          <w:color w:val="000000" w:themeColor="text1"/>
          <w:sz w:val="24"/>
          <w:szCs w:val="24"/>
          <w:highlight w:val="none"/>
          <w14:textFill>
            <w14:solidFill>
              <w14:schemeClr w14:val="tx1"/>
            </w14:solidFill>
          </w14:textFill>
        </w:rPr>
      </w:pPr>
    </w:p>
    <w:p w14:paraId="17B0F1E4">
      <w:pPr>
        <w:spacing w:line="360" w:lineRule="auto"/>
        <w:rPr>
          <w:rFonts w:hint="eastAsia"/>
          <w:color w:val="000000" w:themeColor="text1"/>
          <w:sz w:val="24"/>
          <w:highlight w:val="none"/>
          <w14:textFill>
            <w14:solidFill>
              <w14:schemeClr w14:val="tx1"/>
            </w14:solidFill>
          </w14:textFill>
        </w:rPr>
      </w:pPr>
    </w:p>
    <w:p w14:paraId="2569730C">
      <w:pPr>
        <w:spacing w:line="360" w:lineRule="auto"/>
        <w:rPr>
          <w:rFonts w:hint="eastAsia"/>
          <w:color w:val="000000" w:themeColor="text1"/>
          <w:sz w:val="24"/>
          <w:highlight w:val="none"/>
          <w14:textFill>
            <w14:solidFill>
              <w14:schemeClr w14:val="tx1"/>
            </w14:solidFill>
          </w14:textFill>
        </w:rPr>
      </w:pPr>
    </w:p>
    <w:p w14:paraId="31AB7A44">
      <w:pPr>
        <w:spacing w:line="360" w:lineRule="auto"/>
        <w:rPr>
          <w:rFonts w:hint="eastAsia"/>
          <w:color w:val="000000" w:themeColor="text1"/>
          <w:sz w:val="24"/>
          <w:highlight w:val="none"/>
          <w14:textFill>
            <w14:solidFill>
              <w14:schemeClr w14:val="tx1"/>
            </w14:solidFill>
          </w14:textFill>
        </w:rPr>
      </w:pPr>
    </w:p>
    <w:p w14:paraId="3C304674">
      <w:pPr>
        <w:spacing w:line="360" w:lineRule="auto"/>
        <w:rPr>
          <w:rFonts w:hint="eastAsia"/>
          <w:color w:val="000000" w:themeColor="text1"/>
          <w:sz w:val="24"/>
          <w:highlight w:val="none"/>
          <w14:textFill>
            <w14:solidFill>
              <w14:schemeClr w14:val="tx1"/>
            </w14:solidFill>
          </w14:textFill>
        </w:rPr>
      </w:pPr>
    </w:p>
    <w:p w14:paraId="3F337A97">
      <w:pPr>
        <w:spacing w:line="360" w:lineRule="auto"/>
        <w:rPr>
          <w:rFonts w:hint="eastAsia"/>
          <w:color w:val="000000" w:themeColor="text1"/>
          <w:sz w:val="24"/>
          <w:highlight w:val="none"/>
          <w14:textFill>
            <w14:solidFill>
              <w14:schemeClr w14:val="tx1"/>
            </w14:solidFill>
          </w14:textFill>
        </w:rPr>
      </w:pPr>
    </w:p>
    <w:p w14:paraId="4F0BED6A">
      <w:pPr>
        <w:spacing w:line="360" w:lineRule="auto"/>
        <w:rPr>
          <w:rFonts w:hint="eastAsia"/>
          <w:color w:val="000000" w:themeColor="text1"/>
          <w:sz w:val="24"/>
          <w:highlight w:val="none"/>
          <w14:textFill>
            <w14:solidFill>
              <w14:schemeClr w14:val="tx1"/>
            </w14:solidFill>
          </w14:textFill>
        </w:rPr>
      </w:pPr>
    </w:p>
    <w:p w14:paraId="082FCFA2">
      <w:pPr>
        <w:spacing w:line="360" w:lineRule="auto"/>
        <w:rPr>
          <w:rFonts w:hint="eastAsia"/>
          <w:color w:val="000000" w:themeColor="text1"/>
          <w:sz w:val="24"/>
          <w:highlight w:val="none"/>
          <w14:textFill>
            <w14:solidFill>
              <w14:schemeClr w14:val="tx1"/>
            </w14:solidFill>
          </w14:textFill>
        </w:rPr>
      </w:pPr>
    </w:p>
    <w:p w14:paraId="1B7B9146">
      <w:pPr>
        <w:spacing w:line="360" w:lineRule="auto"/>
        <w:rPr>
          <w:rFonts w:hint="eastAsia"/>
          <w:color w:val="000000" w:themeColor="text1"/>
          <w:sz w:val="24"/>
          <w:highlight w:val="none"/>
          <w14:textFill>
            <w14:solidFill>
              <w14:schemeClr w14:val="tx1"/>
            </w14:solidFill>
          </w14:textFill>
        </w:rPr>
      </w:pPr>
    </w:p>
    <w:p w14:paraId="7F974A30">
      <w:pPr>
        <w:spacing w:line="360" w:lineRule="auto"/>
        <w:rPr>
          <w:rFonts w:hint="eastAsia"/>
          <w:color w:val="000000" w:themeColor="text1"/>
          <w:sz w:val="24"/>
          <w:highlight w:val="none"/>
          <w14:textFill>
            <w14:solidFill>
              <w14:schemeClr w14:val="tx1"/>
            </w14:solidFill>
          </w14:textFill>
        </w:rPr>
      </w:pPr>
    </w:p>
    <w:p w14:paraId="17C8F8D2">
      <w:pPr>
        <w:spacing w:line="360" w:lineRule="auto"/>
        <w:rPr>
          <w:rFonts w:hint="eastAsia"/>
          <w:color w:val="000000" w:themeColor="text1"/>
          <w:sz w:val="24"/>
          <w:highlight w:val="none"/>
          <w14:textFill>
            <w14:solidFill>
              <w14:schemeClr w14:val="tx1"/>
            </w14:solidFill>
          </w14:textFill>
        </w:rPr>
      </w:pPr>
    </w:p>
    <w:p w14:paraId="661D889C">
      <w:pPr>
        <w:spacing w:line="360" w:lineRule="auto"/>
        <w:rPr>
          <w:rFonts w:hint="eastAsia"/>
          <w:color w:val="000000" w:themeColor="text1"/>
          <w:sz w:val="24"/>
          <w:highlight w:val="none"/>
          <w14:textFill>
            <w14:solidFill>
              <w14:schemeClr w14:val="tx1"/>
            </w14:solidFill>
          </w14:textFill>
        </w:rPr>
      </w:pPr>
    </w:p>
    <w:p w14:paraId="3696CBEB">
      <w:pPr>
        <w:spacing w:line="360" w:lineRule="auto"/>
        <w:rPr>
          <w:rFonts w:hint="eastAsia"/>
          <w:color w:val="000000" w:themeColor="text1"/>
          <w:sz w:val="24"/>
          <w:highlight w:val="none"/>
          <w14:textFill>
            <w14:solidFill>
              <w14:schemeClr w14:val="tx1"/>
            </w14:solidFill>
          </w14:textFill>
        </w:rPr>
      </w:pPr>
    </w:p>
    <w:p w14:paraId="5DA4DA3E">
      <w:pPr>
        <w:spacing w:line="360" w:lineRule="auto"/>
        <w:rPr>
          <w:rFonts w:hint="eastAsia"/>
          <w:color w:val="000000" w:themeColor="text1"/>
          <w:sz w:val="24"/>
          <w:highlight w:val="none"/>
          <w14:textFill>
            <w14:solidFill>
              <w14:schemeClr w14:val="tx1"/>
            </w14:solidFill>
          </w14:textFill>
        </w:rPr>
      </w:pPr>
    </w:p>
    <w:p w14:paraId="44A9A331">
      <w:pPr>
        <w:spacing w:line="360" w:lineRule="auto"/>
        <w:rPr>
          <w:rFonts w:hint="eastAsia"/>
          <w:color w:val="000000" w:themeColor="text1"/>
          <w:sz w:val="24"/>
          <w:highlight w:val="none"/>
          <w14:textFill>
            <w14:solidFill>
              <w14:schemeClr w14:val="tx1"/>
            </w14:solidFill>
          </w14:textFill>
        </w:rPr>
      </w:pPr>
    </w:p>
    <w:p w14:paraId="3FDF37B9">
      <w:pPr>
        <w:spacing w:line="360" w:lineRule="auto"/>
        <w:rPr>
          <w:rFonts w:hint="eastAsia"/>
          <w:color w:val="000000" w:themeColor="text1"/>
          <w:sz w:val="24"/>
          <w:highlight w:val="none"/>
          <w14:textFill>
            <w14:solidFill>
              <w14:schemeClr w14:val="tx1"/>
            </w14:solidFill>
          </w14:textFill>
        </w:rPr>
      </w:pPr>
    </w:p>
    <w:p w14:paraId="6FBF72A5">
      <w:pPr>
        <w:spacing w:line="360" w:lineRule="auto"/>
        <w:rPr>
          <w:rFonts w:hint="eastAsia"/>
          <w:color w:val="000000" w:themeColor="text1"/>
          <w:sz w:val="24"/>
          <w:highlight w:val="none"/>
          <w14:textFill>
            <w14:solidFill>
              <w14:schemeClr w14:val="tx1"/>
            </w14:solidFill>
          </w14:textFill>
        </w:rPr>
      </w:pPr>
    </w:p>
    <w:p w14:paraId="07457A5B">
      <w:pPr>
        <w:spacing w:line="360" w:lineRule="auto"/>
        <w:rPr>
          <w:rFonts w:hint="eastAsia"/>
          <w:color w:val="000000" w:themeColor="text1"/>
          <w:sz w:val="24"/>
          <w:highlight w:val="none"/>
          <w14:textFill>
            <w14:solidFill>
              <w14:schemeClr w14:val="tx1"/>
            </w14:solidFill>
          </w14:textFill>
        </w:rPr>
      </w:pPr>
    </w:p>
    <w:p w14:paraId="4FFCE2AE">
      <w:pPr>
        <w:spacing w:line="360" w:lineRule="auto"/>
        <w:rPr>
          <w:rFonts w:hint="eastAsia"/>
          <w:color w:val="000000" w:themeColor="text1"/>
          <w:sz w:val="24"/>
          <w:highlight w:val="none"/>
          <w14:textFill>
            <w14:solidFill>
              <w14:schemeClr w14:val="tx1"/>
            </w14:solidFill>
          </w14:textFill>
        </w:rPr>
      </w:pPr>
    </w:p>
    <w:p w14:paraId="686F7D41">
      <w:pPr>
        <w:spacing w:line="360" w:lineRule="auto"/>
        <w:rPr>
          <w:rFonts w:hint="eastAsia"/>
          <w:color w:val="000000" w:themeColor="text1"/>
          <w:sz w:val="24"/>
          <w:highlight w:val="none"/>
          <w14:textFill>
            <w14:solidFill>
              <w14:schemeClr w14:val="tx1"/>
            </w14:solidFill>
          </w14:textFill>
        </w:rPr>
      </w:pPr>
    </w:p>
    <w:p w14:paraId="03AEB1B6">
      <w:pPr>
        <w:spacing w:line="360" w:lineRule="auto"/>
        <w:rPr>
          <w:rFonts w:hint="eastAsia"/>
          <w:color w:val="000000" w:themeColor="text1"/>
          <w:sz w:val="24"/>
          <w:highlight w:val="none"/>
          <w14:textFill>
            <w14:solidFill>
              <w14:schemeClr w14:val="tx1"/>
            </w14:solidFill>
          </w14:textFill>
        </w:rPr>
      </w:pPr>
    </w:p>
    <w:p w14:paraId="0D868605">
      <w:pPr>
        <w:spacing w:line="360" w:lineRule="auto"/>
        <w:rPr>
          <w:rFonts w:hint="eastAsia"/>
          <w:color w:val="000000" w:themeColor="text1"/>
          <w:sz w:val="24"/>
          <w:highlight w:val="none"/>
          <w14:textFill>
            <w14:solidFill>
              <w14:schemeClr w14:val="tx1"/>
            </w14:solidFill>
          </w14:textFill>
        </w:rPr>
      </w:pPr>
    </w:p>
    <w:p w14:paraId="4F0953A9">
      <w:pPr>
        <w:spacing w:line="360" w:lineRule="auto"/>
        <w:rPr>
          <w:rFonts w:hint="eastAsia"/>
          <w:color w:val="000000" w:themeColor="text1"/>
          <w:sz w:val="24"/>
          <w:highlight w:val="none"/>
          <w14:textFill>
            <w14:solidFill>
              <w14:schemeClr w14:val="tx1"/>
            </w14:solidFill>
          </w14:textFill>
        </w:rPr>
      </w:pPr>
    </w:p>
    <w:p w14:paraId="0F8E6CEF">
      <w:pPr>
        <w:spacing w:line="360" w:lineRule="auto"/>
        <w:rPr>
          <w:rFonts w:hint="eastAsia"/>
          <w:color w:val="000000" w:themeColor="text1"/>
          <w:sz w:val="24"/>
          <w:highlight w:val="none"/>
          <w14:textFill>
            <w14:solidFill>
              <w14:schemeClr w14:val="tx1"/>
            </w14:solidFill>
          </w14:textFill>
        </w:rPr>
      </w:pPr>
    </w:p>
    <w:p w14:paraId="21D58094">
      <w:pPr>
        <w:spacing w:line="360" w:lineRule="auto"/>
        <w:rPr>
          <w:rFonts w:hint="eastAsia"/>
          <w:color w:val="000000" w:themeColor="text1"/>
          <w:sz w:val="24"/>
          <w:highlight w:val="none"/>
          <w14:textFill>
            <w14:solidFill>
              <w14:schemeClr w14:val="tx1"/>
            </w14:solidFill>
          </w14:textFill>
        </w:rPr>
      </w:pPr>
    </w:p>
    <w:p w14:paraId="799DDCD9">
      <w:pPr>
        <w:pStyle w:val="41"/>
        <w:keepNext w:val="0"/>
        <w:keepLines w:val="0"/>
        <w:widowControl/>
        <w:suppressLineNumbers w:val="0"/>
        <w:rPr>
          <w:rFonts w:ascii="宋体" w:hAnsi="宋体" w:eastAsia="宋体" w:cs="宋体"/>
          <w:sz w:val="24"/>
          <w:szCs w:val="24"/>
        </w:rPr>
      </w:pPr>
    </w:p>
    <w:p w14:paraId="4D4F66B0">
      <w:pPr>
        <w:pStyle w:val="41"/>
        <w:keepNext w:val="0"/>
        <w:keepLines w:val="0"/>
        <w:widowControl/>
        <w:suppressLineNumbers w:val="0"/>
        <w:jc w:val="center"/>
        <w:rPr>
          <w:rFonts w:ascii="宋体" w:hAnsi="宋体" w:eastAsia="宋体" w:cs="宋体"/>
          <w:sz w:val="32"/>
          <w:szCs w:val="32"/>
        </w:rPr>
      </w:pPr>
      <w:r>
        <w:rPr>
          <w:rFonts w:ascii="宋体" w:hAnsi="宋体" w:eastAsia="宋体" w:cs="宋体"/>
          <w:sz w:val="32"/>
          <w:szCs w:val="32"/>
        </w:rPr>
        <w:t>中标后落实垃圾处置单位承诺函</w:t>
      </w:r>
    </w:p>
    <w:p w14:paraId="5354524F">
      <w:pPr>
        <w:pStyle w:val="41"/>
        <w:keepNext w:val="0"/>
        <w:keepLines w:val="0"/>
        <w:widowControl/>
        <w:suppressLineNumbers w:val="0"/>
        <w:spacing w:line="360" w:lineRule="auto"/>
        <w:rPr>
          <w:rFonts w:hint="eastAsia"/>
          <w:lang w:val="en-US" w:eastAsia="zh-CN"/>
        </w:rPr>
      </w:pPr>
      <w:r>
        <w:t>致：</w:t>
      </w:r>
      <w:r>
        <w:rPr>
          <w:rFonts w:hint="eastAsia"/>
          <w:lang w:val="en-US" w:eastAsia="zh-CN"/>
        </w:rPr>
        <w:t xml:space="preserve">            </w:t>
      </w:r>
    </w:p>
    <w:p w14:paraId="3532D8C7">
      <w:pPr>
        <w:pStyle w:val="41"/>
        <w:keepNext w:val="0"/>
        <w:keepLines w:val="0"/>
        <w:widowControl/>
        <w:suppressLineNumbers w:val="0"/>
        <w:spacing w:line="360" w:lineRule="auto"/>
        <w:ind w:firstLine="480" w:firstLineChars="200"/>
      </w:pPr>
      <w:r>
        <w:t>本单位（供应商</w:t>
      </w:r>
      <w:r>
        <w:rPr>
          <w:rFonts w:hint="eastAsia"/>
          <w:lang w:eastAsia="zh-CN"/>
        </w:rPr>
        <w:t>）</w:t>
      </w:r>
      <w:r>
        <w:t>：</w:t>
      </w:r>
      <w:r>
        <w:rPr>
          <w:rFonts w:hint="eastAsia"/>
          <w:lang w:val="en-US" w:eastAsia="zh-CN"/>
        </w:rPr>
        <w:t xml:space="preserve">                              </w:t>
      </w:r>
      <w:r>
        <w:t>，统一社会信用代码：</w:t>
      </w:r>
      <w:r>
        <w:rPr>
          <w:rFonts w:hint="eastAsia"/>
          <w:lang w:val="en-US" w:eastAsia="zh-CN"/>
        </w:rPr>
        <w:t xml:space="preserve">               </w:t>
      </w:r>
      <w:r>
        <w:t>）作为____</w:t>
      </w:r>
      <w:r>
        <w:rPr>
          <w:rFonts w:hint="eastAsia"/>
          <w:u w:val="single"/>
          <w:lang w:val="en-US" w:eastAsia="zh-CN"/>
        </w:rPr>
        <w:t xml:space="preserve">                  </w:t>
      </w:r>
      <w:r>
        <w:t>项目投标供应商，郑重承诺</w:t>
      </w:r>
      <w:r>
        <w:rPr>
          <w:rFonts w:hint="eastAsia"/>
          <w:lang w:val="en-US" w:eastAsia="zh-CN"/>
        </w:rPr>
        <w:t>如下</w:t>
      </w:r>
      <w:r>
        <w:t>：</w:t>
      </w:r>
    </w:p>
    <w:p w14:paraId="4A850309">
      <w:pPr>
        <w:pStyle w:val="41"/>
        <w:keepNext w:val="0"/>
        <w:keepLines w:val="0"/>
        <w:widowControl/>
        <w:suppressLineNumbers w:val="0"/>
        <w:spacing w:line="360" w:lineRule="auto"/>
        <w:ind w:firstLine="480" w:firstLineChars="200"/>
      </w:pPr>
      <w:r>
        <w:t>如中标，我方将于中标通知书发出后 7 日内，与宝应县境内具备合法处置资质的建筑垃圾、生活垃圾处置企业签订有效处置合同，确保本项目垃圾全部合规处置，相关合同报送采购人备查。逾期未签订或处置单位资质不合规的，我方自愿</w:t>
      </w:r>
      <w:r>
        <w:rPr>
          <w:rFonts w:hint="eastAsia"/>
          <w:lang w:val="en-US" w:eastAsia="zh-CN"/>
        </w:rPr>
        <w:t>放弃中标资格</w:t>
      </w:r>
      <w:r>
        <w:t>。</w:t>
      </w:r>
    </w:p>
    <w:p w14:paraId="44993654">
      <w:pPr>
        <w:pStyle w:val="41"/>
        <w:keepNext w:val="0"/>
        <w:keepLines w:val="0"/>
        <w:widowControl/>
        <w:suppressLineNumbers w:val="0"/>
        <w:spacing w:line="360" w:lineRule="auto"/>
      </w:pPr>
      <w:r>
        <w:t xml:space="preserve">承诺单位（盖章）：____________ </w:t>
      </w:r>
    </w:p>
    <w:p w14:paraId="3E8F0964">
      <w:pPr>
        <w:pStyle w:val="41"/>
        <w:keepNext w:val="0"/>
        <w:keepLines w:val="0"/>
        <w:widowControl/>
        <w:suppressLineNumbers w:val="0"/>
        <w:spacing w:line="360" w:lineRule="auto"/>
      </w:pPr>
      <w:r>
        <w:t xml:space="preserve">法定代表人（签字或盖章）：________ </w:t>
      </w:r>
    </w:p>
    <w:p w14:paraId="58293D2E">
      <w:pPr>
        <w:pStyle w:val="41"/>
        <w:keepNext w:val="0"/>
        <w:keepLines w:val="0"/>
        <w:widowControl/>
        <w:suppressLineNumbers w:val="0"/>
        <w:spacing w:line="360" w:lineRule="auto"/>
      </w:pPr>
      <w:r>
        <w:t xml:space="preserve">联系电话：____________ </w:t>
      </w:r>
    </w:p>
    <w:p w14:paraId="464BBB41">
      <w:pPr>
        <w:pStyle w:val="41"/>
        <w:keepNext w:val="0"/>
        <w:keepLines w:val="0"/>
        <w:widowControl/>
        <w:suppressLineNumbers w:val="0"/>
        <w:spacing w:line="360" w:lineRule="auto"/>
      </w:pPr>
      <w:r>
        <w:t>日期：______年____月____日</w:t>
      </w:r>
    </w:p>
    <w:p w14:paraId="24272B45">
      <w:pPr>
        <w:spacing w:line="360" w:lineRule="auto"/>
        <w:rPr>
          <w:rFonts w:hint="eastAsia"/>
          <w:color w:val="000000" w:themeColor="text1"/>
          <w:sz w:val="24"/>
          <w:highlight w:val="none"/>
          <w14:textFill>
            <w14:solidFill>
              <w14:schemeClr w14:val="tx1"/>
            </w14:solidFill>
          </w14:textFill>
        </w:rPr>
      </w:pPr>
    </w:p>
    <w:sectPr>
      <w:headerReference r:id="rId7" w:type="default"/>
      <w:footerReference r:id="rId8" w:type="default"/>
      <w:pgSz w:w="11906" w:h="16838"/>
      <w:pgMar w:top="1440" w:right="1797" w:bottom="1440" w:left="1797" w:header="851" w:footer="992"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
    <w:altName w:val="Yu Gothic UI"/>
    <w:panose1 w:val="020B0503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Arial Unicode MS">
    <w:altName w:val="Arial"/>
    <w:panose1 w:val="020B0604020202020204"/>
    <w:charset w:val="00"/>
    <w:family w:val="auto"/>
    <w:pitch w:val="default"/>
    <w:sig w:usb0="00000000" w:usb1="00000000" w:usb2="00000000" w:usb3="00000000" w:csb0="00000000" w:csb1="00000000"/>
  </w:font>
  <w:font w:name="FZHTK--GBK1-0">
    <w:altName w:val="Yu Gothic UI"/>
    <w:panose1 w:val="020B0503020202020204"/>
    <w:charset w:val="00"/>
    <w:family w:val="auto"/>
    <w:pitch w:val="default"/>
    <w:sig w:usb0="00000000" w:usb1="00000000" w:usb2="00000000" w:usb3="00000000" w:csb0="00000000" w:csb1="00000000"/>
  </w:font>
  <w:font w:name="幼圆">
    <w:altName w:val="Yu Gothic UI"/>
    <w:panose1 w:val="02010509060101010101"/>
    <w:charset w:val="00"/>
    <w:family w:val="auto"/>
    <w:pitch w:val="default"/>
    <w:sig w:usb0="00000000" w:usb1="00000000" w:usb2="00000000" w:usb3="00000000" w:csb0="00000000" w:csb1="00000000"/>
  </w:font>
  <w:font w:name="宋体_GB2312">
    <w:altName w:val="宋体"/>
    <w:panose1 w:val="0201060003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仿宋_GBK">
    <w:panose1 w:val="03000509000000000000"/>
    <w:charset w:val="86"/>
    <w:family w:val="auto"/>
    <w:pitch w:val="default"/>
    <w:sig w:usb0="00000001" w:usb1="080E0000" w:usb2="00000000" w:usb3="00000000" w:csb0="00040000" w:csb1="00000000"/>
  </w:font>
  <w:font w:name="经典仿宋简">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44864D">
    <w:pPr>
      <w:pStyle w:val="29"/>
      <w:ind w:firstLine="4320" w:firstLineChars="2400"/>
      <w:rPr>
        <w:rFonts w:hint="default" w:eastAsia="宋体"/>
        <w:lang w:val="en-US" w:eastAsia="zh-CN"/>
      </w:rPr>
    </w:pPr>
    <w:r>
      <w:rPr>
        <w:rFonts w:hint="eastAsia"/>
        <w:lang w:val="en-US" w:eastAsia="zh-CN"/>
      </w:rPr>
      <w:t>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4A7C3">
    <w:pPr>
      <w:pStyle w:val="29"/>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1</w:t>
    </w:r>
    <w:r>
      <w:rPr>
        <w:rFonts w:ascii="宋体_GB2312" w:eastAsia="宋体_GB231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91435">
    <w:pPr>
      <w:pStyle w:val="29"/>
      <w:jc w:val="center"/>
      <w:rPr>
        <w:rFonts w:ascii="宋体_GB2312" w:eastAsia="宋体_GB2312"/>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52F235">
                          <w:pPr>
                            <w:pStyle w:val="29"/>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1</w:t>
                          </w:r>
                          <w:r>
                            <w:rPr>
                              <w:rFonts w:ascii="宋体_GB2312" w:eastAsia="宋体_GB231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A52F235">
                    <w:pPr>
                      <w:pStyle w:val="29"/>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1</w:t>
                    </w:r>
                    <w:r>
                      <w:rPr>
                        <w:rFonts w:ascii="宋体_GB2312" w:eastAsia="宋体_GB2312"/>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C1FB9">
    <w:pPr>
      <w:pStyle w:val="29"/>
      <w:jc w:val="center"/>
      <w:rPr>
        <w:rFonts w:ascii="宋体_GB2312" w:eastAsia="宋体_GB231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694D08">
                          <w:pPr>
                            <w:pStyle w:val="29"/>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67</w:t>
                          </w:r>
                          <w:r>
                            <w:rPr>
                              <w:rFonts w:ascii="宋体_GB2312" w:eastAsia="宋体_GB231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B694D08">
                    <w:pPr>
                      <w:pStyle w:val="29"/>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67</w:t>
                    </w:r>
                    <w:r>
                      <w:rPr>
                        <w:rFonts w:ascii="宋体_GB2312" w:eastAsia="宋体_GB2312"/>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AC7F7">
    <w:pPr>
      <w:pStyle w:val="31"/>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86B6C">
    <w:pPr>
      <w:pStyle w:val="31"/>
      <w:jc w:val="both"/>
      <w:rPr>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8909AC"/>
    <w:multiLevelType w:val="singleLevel"/>
    <w:tmpl w:val="B38909AC"/>
    <w:lvl w:ilvl="0" w:tentative="0">
      <w:start w:val="4"/>
      <w:numFmt w:val="chineseCounting"/>
      <w:suff w:val="nothing"/>
      <w:lvlText w:val="%1、"/>
      <w:lvlJc w:val="left"/>
      <w:rPr>
        <w:rFonts w:hint="eastAsia"/>
      </w:rPr>
    </w:lvl>
  </w:abstractNum>
  <w:abstractNum w:abstractNumId="1">
    <w:nsid w:val="C029138C"/>
    <w:multiLevelType w:val="singleLevel"/>
    <w:tmpl w:val="C029138C"/>
    <w:lvl w:ilvl="0" w:tentative="0">
      <w:start w:val="8"/>
      <w:numFmt w:val="chineseCounting"/>
      <w:suff w:val="nothing"/>
      <w:lvlText w:val="%1、"/>
      <w:lvlJc w:val="left"/>
      <w:rPr>
        <w:rFonts w:hint="eastAsia"/>
      </w:rPr>
    </w:lvl>
  </w:abstractNum>
  <w:abstractNum w:abstractNumId="2">
    <w:nsid w:val="CF092B84"/>
    <w:multiLevelType w:val="multilevel"/>
    <w:tmpl w:val="CF092B84"/>
    <w:lvl w:ilvl="0" w:tentative="0">
      <w:start w:val="1"/>
      <w:numFmt w:val="bullet"/>
      <w:pStyle w:val="279"/>
      <w:lvlText w:val=""/>
      <w:lvlJc w:val="left"/>
      <w:pPr>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FZHTK--GBK1-0" w:hAnsi="FZHTK--GBK1-0"/>
      </w:rPr>
    </w:lvl>
    <w:lvl w:ilvl="2" w:tentative="0">
      <w:start w:val="1"/>
      <w:numFmt w:val="bullet"/>
      <w:lvlText w:val=""/>
      <w:lvlJc w:val="left"/>
      <w:pPr>
        <w:tabs>
          <w:tab w:val="left" w:pos="1260"/>
        </w:tabs>
        <w:ind w:left="1260" w:hanging="420"/>
      </w:pPr>
      <w:rPr>
        <w:rFonts w:hint="default" w:ascii="FZHTK--GBK1-0" w:hAnsi="FZHTK--GBK1-0"/>
      </w:rPr>
    </w:lvl>
    <w:lvl w:ilvl="3" w:tentative="0">
      <w:start w:val="1"/>
      <w:numFmt w:val="bullet"/>
      <w:lvlText w:val=""/>
      <w:lvlJc w:val="left"/>
      <w:pPr>
        <w:tabs>
          <w:tab w:val="left" w:pos="1680"/>
        </w:tabs>
        <w:ind w:left="1680" w:hanging="420"/>
      </w:pPr>
      <w:rPr>
        <w:rFonts w:hint="default" w:ascii="FZHTK--GBK1-0" w:hAnsi="FZHTK--GBK1-0"/>
      </w:rPr>
    </w:lvl>
    <w:lvl w:ilvl="4" w:tentative="0">
      <w:start w:val="1"/>
      <w:numFmt w:val="bullet"/>
      <w:lvlText w:val=""/>
      <w:lvlJc w:val="left"/>
      <w:pPr>
        <w:tabs>
          <w:tab w:val="left" w:pos="2100"/>
        </w:tabs>
        <w:ind w:left="2100" w:hanging="420"/>
      </w:pPr>
      <w:rPr>
        <w:rFonts w:hint="default" w:ascii="FZHTK--GBK1-0" w:hAnsi="FZHTK--GBK1-0"/>
      </w:rPr>
    </w:lvl>
    <w:lvl w:ilvl="5" w:tentative="0">
      <w:start w:val="1"/>
      <w:numFmt w:val="bullet"/>
      <w:lvlText w:val=""/>
      <w:lvlJc w:val="left"/>
      <w:pPr>
        <w:tabs>
          <w:tab w:val="left" w:pos="2520"/>
        </w:tabs>
        <w:ind w:left="2520" w:hanging="420"/>
      </w:pPr>
      <w:rPr>
        <w:rFonts w:hint="default" w:ascii="FZHTK--GBK1-0" w:hAnsi="FZHTK--GBK1-0"/>
      </w:rPr>
    </w:lvl>
    <w:lvl w:ilvl="6" w:tentative="0">
      <w:start w:val="1"/>
      <w:numFmt w:val="bullet"/>
      <w:lvlText w:val=""/>
      <w:lvlJc w:val="left"/>
      <w:pPr>
        <w:tabs>
          <w:tab w:val="left" w:pos="2940"/>
        </w:tabs>
        <w:ind w:left="2940" w:hanging="420"/>
      </w:pPr>
      <w:rPr>
        <w:rFonts w:hint="default" w:ascii="FZHTK--GBK1-0" w:hAnsi="FZHTK--GBK1-0"/>
      </w:rPr>
    </w:lvl>
    <w:lvl w:ilvl="7" w:tentative="0">
      <w:start w:val="1"/>
      <w:numFmt w:val="bullet"/>
      <w:lvlText w:val=""/>
      <w:lvlJc w:val="left"/>
      <w:pPr>
        <w:tabs>
          <w:tab w:val="left" w:pos="3360"/>
        </w:tabs>
        <w:ind w:left="3360" w:hanging="420"/>
      </w:pPr>
      <w:rPr>
        <w:rFonts w:hint="default" w:ascii="FZHTK--GBK1-0" w:hAnsi="FZHTK--GBK1-0"/>
      </w:rPr>
    </w:lvl>
    <w:lvl w:ilvl="8" w:tentative="0">
      <w:start w:val="1"/>
      <w:numFmt w:val="bullet"/>
      <w:lvlText w:val=""/>
      <w:lvlJc w:val="left"/>
      <w:pPr>
        <w:tabs>
          <w:tab w:val="left" w:pos="3780"/>
        </w:tabs>
        <w:ind w:left="3780" w:hanging="420"/>
      </w:pPr>
      <w:rPr>
        <w:rFonts w:hint="default" w:ascii="FZHTK--GBK1-0" w:hAnsi="FZHTK--GBK1-0"/>
      </w:rPr>
    </w:lvl>
  </w:abstractNum>
  <w:abstractNum w:abstractNumId="3">
    <w:nsid w:val="CF718C03"/>
    <w:multiLevelType w:val="singleLevel"/>
    <w:tmpl w:val="CF718C03"/>
    <w:lvl w:ilvl="0" w:tentative="0">
      <w:start w:val="1"/>
      <w:numFmt w:val="bullet"/>
      <w:pStyle w:val="24"/>
      <w:lvlText w:val=""/>
      <w:lvlJc w:val="left"/>
      <w:pPr>
        <w:tabs>
          <w:tab w:val="left" w:pos="2040"/>
        </w:tabs>
        <w:ind w:left="2040" w:hanging="360"/>
      </w:pPr>
      <w:rPr>
        <w:rFonts w:hint="default" w:ascii="Wingdings" w:hAnsi="Wingdings"/>
      </w:rPr>
    </w:lvl>
  </w:abstractNum>
  <w:abstractNum w:abstractNumId="4">
    <w:nsid w:val="0053208E"/>
    <w:multiLevelType w:val="multilevel"/>
    <w:tmpl w:val="0053208E"/>
    <w:lvl w:ilvl="0" w:tentative="0">
      <w:start w:val="1"/>
      <w:numFmt w:val="japaneseCounting"/>
      <w:pStyle w:val="19"/>
      <w:lvlText w:val="第%1章"/>
      <w:lvlJc w:val="left"/>
      <w:pPr>
        <w:ind w:left="1800" w:hanging="1260"/>
      </w:pPr>
      <w:rPr>
        <w:rFonts w:hint="default"/>
      </w:rPr>
    </w:lvl>
    <w:lvl w:ilvl="1" w:tentative="0">
      <w:start w:val="1"/>
      <w:numFmt w:val="lowerLetter"/>
      <w:lvlText w:val="%2)"/>
      <w:lvlJc w:val="left"/>
      <w:pPr>
        <w:ind w:left="1380" w:hanging="420"/>
      </w:pPr>
    </w:lvl>
    <w:lvl w:ilvl="2" w:tentative="0">
      <w:start w:val="1"/>
      <w:numFmt w:val="lowerRoman"/>
      <w:lvlText w:val="%3."/>
      <w:lvlJc w:val="right"/>
      <w:pPr>
        <w:ind w:left="1800" w:hanging="420"/>
      </w:pPr>
    </w:lvl>
    <w:lvl w:ilvl="3" w:tentative="0">
      <w:start w:val="1"/>
      <w:numFmt w:val="decimal"/>
      <w:lvlText w:val="%4."/>
      <w:lvlJc w:val="left"/>
      <w:pPr>
        <w:ind w:left="2220" w:hanging="420"/>
      </w:pPr>
    </w:lvl>
    <w:lvl w:ilvl="4" w:tentative="0">
      <w:start w:val="1"/>
      <w:numFmt w:val="lowerLetter"/>
      <w:lvlText w:val="%5)"/>
      <w:lvlJc w:val="left"/>
      <w:pPr>
        <w:ind w:left="2640" w:hanging="420"/>
      </w:pPr>
    </w:lvl>
    <w:lvl w:ilvl="5" w:tentative="0">
      <w:start w:val="1"/>
      <w:numFmt w:val="lowerRoman"/>
      <w:lvlText w:val="%6."/>
      <w:lvlJc w:val="right"/>
      <w:pPr>
        <w:ind w:left="3060" w:hanging="420"/>
      </w:pPr>
    </w:lvl>
    <w:lvl w:ilvl="6" w:tentative="0">
      <w:start w:val="1"/>
      <w:numFmt w:val="decimal"/>
      <w:lvlText w:val="%7."/>
      <w:lvlJc w:val="left"/>
      <w:pPr>
        <w:ind w:left="3480" w:hanging="420"/>
      </w:pPr>
    </w:lvl>
    <w:lvl w:ilvl="7" w:tentative="0">
      <w:start w:val="1"/>
      <w:numFmt w:val="lowerLetter"/>
      <w:lvlText w:val="%8)"/>
      <w:lvlJc w:val="left"/>
      <w:pPr>
        <w:ind w:left="3900" w:hanging="420"/>
      </w:pPr>
    </w:lvl>
    <w:lvl w:ilvl="8" w:tentative="0">
      <w:start w:val="1"/>
      <w:numFmt w:val="lowerRoman"/>
      <w:lvlText w:val="%9."/>
      <w:lvlJc w:val="right"/>
      <w:pPr>
        <w:ind w:left="4320" w:hanging="420"/>
      </w:pPr>
    </w:lvl>
  </w:abstractNum>
  <w:abstractNum w:abstractNumId="5">
    <w:nsid w:val="25B654F3"/>
    <w:multiLevelType w:val="multilevel"/>
    <w:tmpl w:val="25B654F3"/>
    <w:lvl w:ilvl="0" w:tentative="0">
      <w:start w:val="3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72183CF9"/>
    <w:multiLevelType w:val="multilevel"/>
    <w:tmpl w:val="72183CF9"/>
    <w:lvl w:ilvl="0" w:tentative="0">
      <w:start w:val="10"/>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75177275"/>
    <w:multiLevelType w:val="singleLevel"/>
    <w:tmpl w:val="75177275"/>
    <w:lvl w:ilvl="0" w:tentative="0">
      <w:start w:val="5"/>
      <w:numFmt w:val="chineseCounting"/>
      <w:suff w:val="nothing"/>
      <w:lvlText w:val="%1、"/>
      <w:lvlJc w:val="left"/>
      <w:rPr>
        <w:rFonts w:hint="eastAsia"/>
      </w:rPr>
    </w:lvl>
  </w:abstractNum>
  <w:num w:numId="1">
    <w:abstractNumId w:val="4"/>
  </w:num>
  <w:num w:numId="2">
    <w:abstractNumId w:val="3"/>
  </w:num>
  <w:num w:numId="3">
    <w:abstractNumId w:val="2"/>
  </w:num>
  <w:num w:numId="4">
    <w:abstractNumId w:val="7"/>
  </w:num>
  <w:num w:numId="5">
    <w:abstractNumId w:val="5"/>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83500"/>
    <w:rsid w:val="00A371D7"/>
    <w:rsid w:val="00C01385"/>
    <w:rsid w:val="010F1DA1"/>
    <w:rsid w:val="012D2227"/>
    <w:rsid w:val="01401F5A"/>
    <w:rsid w:val="016C2D4F"/>
    <w:rsid w:val="023B6BC5"/>
    <w:rsid w:val="02783976"/>
    <w:rsid w:val="02A36C44"/>
    <w:rsid w:val="02D45050"/>
    <w:rsid w:val="02F474A0"/>
    <w:rsid w:val="03B94246"/>
    <w:rsid w:val="03C86237"/>
    <w:rsid w:val="04ED41A7"/>
    <w:rsid w:val="05445D91"/>
    <w:rsid w:val="05BE1FE7"/>
    <w:rsid w:val="05E97064"/>
    <w:rsid w:val="0664567E"/>
    <w:rsid w:val="070457D8"/>
    <w:rsid w:val="07D7140F"/>
    <w:rsid w:val="07F7703A"/>
    <w:rsid w:val="07F95559"/>
    <w:rsid w:val="08E12275"/>
    <w:rsid w:val="08E81855"/>
    <w:rsid w:val="09093579"/>
    <w:rsid w:val="091A7535"/>
    <w:rsid w:val="099A1967"/>
    <w:rsid w:val="0A073F5D"/>
    <w:rsid w:val="0A3C34DB"/>
    <w:rsid w:val="0A3E36F7"/>
    <w:rsid w:val="0A5E16A3"/>
    <w:rsid w:val="0A7E415C"/>
    <w:rsid w:val="0A8C4462"/>
    <w:rsid w:val="0AFF21E5"/>
    <w:rsid w:val="0BC92842"/>
    <w:rsid w:val="0C000C64"/>
    <w:rsid w:val="0C2661F0"/>
    <w:rsid w:val="0C5503BA"/>
    <w:rsid w:val="0D9A0C44"/>
    <w:rsid w:val="0DB37F58"/>
    <w:rsid w:val="0EB33357"/>
    <w:rsid w:val="0EF56A7A"/>
    <w:rsid w:val="0F2A424A"/>
    <w:rsid w:val="0F3912E5"/>
    <w:rsid w:val="0F39623B"/>
    <w:rsid w:val="10596B94"/>
    <w:rsid w:val="10A5627E"/>
    <w:rsid w:val="111C730B"/>
    <w:rsid w:val="11515ABE"/>
    <w:rsid w:val="1191235E"/>
    <w:rsid w:val="11D230A2"/>
    <w:rsid w:val="11D54078"/>
    <w:rsid w:val="12641821"/>
    <w:rsid w:val="126D2DCB"/>
    <w:rsid w:val="12EF1A32"/>
    <w:rsid w:val="136E2957"/>
    <w:rsid w:val="15170DCC"/>
    <w:rsid w:val="1544580C"/>
    <w:rsid w:val="15B21DF1"/>
    <w:rsid w:val="163A1216"/>
    <w:rsid w:val="163A7468"/>
    <w:rsid w:val="164E64A6"/>
    <w:rsid w:val="165A18B8"/>
    <w:rsid w:val="167209B0"/>
    <w:rsid w:val="189B3AC2"/>
    <w:rsid w:val="18B76CDE"/>
    <w:rsid w:val="18C63235"/>
    <w:rsid w:val="18C87A43"/>
    <w:rsid w:val="18F720F3"/>
    <w:rsid w:val="190F698A"/>
    <w:rsid w:val="191E4E1F"/>
    <w:rsid w:val="194505FE"/>
    <w:rsid w:val="1ABC48F0"/>
    <w:rsid w:val="1AC75042"/>
    <w:rsid w:val="1BAF6202"/>
    <w:rsid w:val="1C4E5A1B"/>
    <w:rsid w:val="1C6963B1"/>
    <w:rsid w:val="1CE75528"/>
    <w:rsid w:val="1D183933"/>
    <w:rsid w:val="1D666D95"/>
    <w:rsid w:val="1DCD0BC2"/>
    <w:rsid w:val="1DCD2970"/>
    <w:rsid w:val="1EFD1033"/>
    <w:rsid w:val="1F1D4473"/>
    <w:rsid w:val="1F332CA6"/>
    <w:rsid w:val="1F6115C2"/>
    <w:rsid w:val="1F6B0692"/>
    <w:rsid w:val="1F8654CC"/>
    <w:rsid w:val="1F9574BD"/>
    <w:rsid w:val="1FB02549"/>
    <w:rsid w:val="1FB931AC"/>
    <w:rsid w:val="1FB97650"/>
    <w:rsid w:val="204A02A8"/>
    <w:rsid w:val="20A21E92"/>
    <w:rsid w:val="21583EB2"/>
    <w:rsid w:val="221B063A"/>
    <w:rsid w:val="221E7668"/>
    <w:rsid w:val="221F7512"/>
    <w:rsid w:val="223C6316"/>
    <w:rsid w:val="22BA5BB9"/>
    <w:rsid w:val="231D6147"/>
    <w:rsid w:val="235B27CC"/>
    <w:rsid w:val="237E6ADE"/>
    <w:rsid w:val="23AD74CB"/>
    <w:rsid w:val="24650667"/>
    <w:rsid w:val="249935AC"/>
    <w:rsid w:val="24E54A43"/>
    <w:rsid w:val="24F76743"/>
    <w:rsid w:val="257539AC"/>
    <w:rsid w:val="257B0F03"/>
    <w:rsid w:val="258C1362"/>
    <w:rsid w:val="258E0C37"/>
    <w:rsid w:val="259A146C"/>
    <w:rsid w:val="25DE1DB5"/>
    <w:rsid w:val="261455E0"/>
    <w:rsid w:val="26243349"/>
    <w:rsid w:val="26D1527F"/>
    <w:rsid w:val="26DB60FD"/>
    <w:rsid w:val="27555798"/>
    <w:rsid w:val="27600B19"/>
    <w:rsid w:val="28133675"/>
    <w:rsid w:val="28164F13"/>
    <w:rsid w:val="283F6146"/>
    <w:rsid w:val="2852419D"/>
    <w:rsid w:val="28B430AA"/>
    <w:rsid w:val="294F2DD3"/>
    <w:rsid w:val="295403E9"/>
    <w:rsid w:val="298E18F7"/>
    <w:rsid w:val="29D808AC"/>
    <w:rsid w:val="2A0D0CC4"/>
    <w:rsid w:val="2A522B7B"/>
    <w:rsid w:val="2A585CB7"/>
    <w:rsid w:val="2A6401B8"/>
    <w:rsid w:val="2A81520E"/>
    <w:rsid w:val="2A834AE2"/>
    <w:rsid w:val="2ACF5F79"/>
    <w:rsid w:val="2B253DEB"/>
    <w:rsid w:val="2B391645"/>
    <w:rsid w:val="2B397896"/>
    <w:rsid w:val="2B7D59D5"/>
    <w:rsid w:val="2C161986"/>
    <w:rsid w:val="2C2422F5"/>
    <w:rsid w:val="2C6B1CD2"/>
    <w:rsid w:val="2CE35D0C"/>
    <w:rsid w:val="2CEF2903"/>
    <w:rsid w:val="2D937732"/>
    <w:rsid w:val="2DEA4E78"/>
    <w:rsid w:val="2E1A39AF"/>
    <w:rsid w:val="2E1D524D"/>
    <w:rsid w:val="2E2E2FB7"/>
    <w:rsid w:val="2E756E38"/>
    <w:rsid w:val="2E975000"/>
    <w:rsid w:val="2EDE49DD"/>
    <w:rsid w:val="2FFD5337"/>
    <w:rsid w:val="301F34FF"/>
    <w:rsid w:val="302A5A00"/>
    <w:rsid w:val="304F36B8"/>
    <w:rsid w:val="3082583C"/>
    <w:rsid w:val="3139239E"/>
    <w:rsid w:val="315C19AF"/>
    <w:rsid w:val="31853836"/>
    <w:rsid w:val="320D6D63"/>
    <w:rsid w:val="32140412"/>
    <w:rsid w:val="32943604"/>
    <w:rsid w:val="32981347"/>
    <w:rsid w:val="32D700C1"/>
    <w:rsid w:val="337C47C4"/>
    <w:rsid w:val="3381627F"/>
    <w:rsid w:val="33921D78"/>
    <w:rsid w:val="33A1247D"/>
    <w:rsid w:val="34026B44"/>
    <w:rsid w:val="345718C6"/>
    <w:rsid w:val="34BE739B"/>
    <w:rsid w:val="34FC3E0F"/>
    <w:rsid w:val="354C01C6"/>
    <w:rsid w:val="365B4B65"/>
    <w:rsid w:val="36B204FD"/>
    <w:rsid w:val="36EF34FF"/>
    <w:rsid w:val="37092813"/>
    <w:rsid w:val="37461371"/>
    <w:rsid w:val="37715970"/>
    <w:rsid w:val="382772FB"/>
    <w:rsid w:val="384D2BD3"/>
    <w:rsid w:val="38793073"/>
    <w:rsid w:val="38B8629F"/>
    <w:rsid w:val="38E95D44"/>
    <w:rsid w:val="399B34CA"/>
    <w:rsid w:val="39E76710"/>
    <w:rsid w:val="39F72DF7"/>
    <w:rsid w:val="3A1C460B"/>
    <w:rsid w:val="3AA54601"/>
    <w:rsid w:val="3AD62A0C"/>
    <w:rsid w:val="3B073BC8"/>
    <w:rsid w:val="3BB80364"/>
    <w:rsid w:val="3BE13D5E"/>
    <w:rsid w:val="3C2A47FA"/>
    <w:rsid w:val="3D477BF1"/>
    <w:rsid w:val="3D5D7415"/>
    <w:rsid w:val="3D6A2828"/>
    <w:rsid w:val="3E2717D1"/>
    <w:rsid w:val="3E6E73FF"/>
    <w:rsid w:val="3EA66B99"/>
    <w:rsid w:val="3EA90437"/>
    <w:rsid w:val="3EAE4F5B"/>
    <w:rsid w:val="3EBA4D58"/>
    <w:rsid w:val="3ED74FA5"/>
    <w:rsid w:val="3EF5367D"/>
    <w:rsid w:val="3F32042D"/>
    <w:rsid w:val="3F340D5A"/>
    <w:rsid w:val="3F422D66"/>
    <w:rsid w:val="3F780536"/>
    <w:rsid w:val="3FB86B84"/>
    <w:rsid w:val="400E0E9A"/>
    <w:rsid w:val="41171FD0"/>
    <w:rsid w:val="412344D1"/>
    <w:rsid w:val="413E755D"/>
    <w:rsid w:val="417411D1"/>
    <w:rsid w:val="41E16A83"/>
    <w:rsid w:val="428B4A24"/>
    <w:rsid w:val="42B07FE6"/>
    <w:rsid w:val="42F26DF6"/>
    <w:rsid w:val="43721740"/>
    <w:rsid w:val="44A408E4"/>
    <w:rsid w:val="45062140"/>
    <w:rsid w:val="4584231A"/>
    <w:rsid w:val="45DE30BD"/>
    <w:rsid w:val="466000AE"/>
    <w:rsid w:val="46DA1AD6"/>
    <w:rsid w:val="47170634"/>
    <w:rsid w:val="474451A1"/>
    <w:rsid w:val="47555600"/>
    <w:rsid w:val="47694C08"/>
    <w:rsid w:val="48474F49"/>
    <w:rsid w:val="486F26F2"/>
    <w:rsid w:val="48EE3617"/>
    <w:rsid w:val="492139EC"/>
    <w:rsid w:val="493D6E04"/>
    <w:rsid w:val="49DE368B"/>
    <w:rsid w:val="4A437992"/>
    <w:rsid w:val="4A7E6C1C"/>
    <w:rsid w:val="4AA46683"/>
    <w:rsid w:val="4B1F03FF"/>
    <w:rsid w:val="4B38501D"/>
    <w:rsid w:val="4BB275EA"/>
    <w:rsid w:val="4BB7233E"/>
    <w:rsid w:val="4C2E578A"/>
    <w:rsid w:val="4C6B0F8A"/>
    <w:rsid w:val="4D13189E"/>
    <w:rsid w:val="4D2634BB"/>
    <w:rsid w:val="4D461C73"/>
    <w:rsid w:val="4D467EC5"/>
    <w:rsid w:val="4D6D36A4"/>
    <w:rsid w:val="4D897DB2"/>
    <w:rsid w:val="4E524648"/>
    <w:rsid w:val="4EA36C51"/>
    <w:rsid w:val="4F624D5E"/>
    <w:rsid w:val="4F7B197C"/>
    <w:rsid w:val="50025BF9"/>
    <w:rsid w:val="50AF18DD"/>
    <w:rsid w:val="51051E45"/>
    <w:rsid w:val="512C5624"/>
    <w:rsid w:val="513F5357"/>
    <w:rsid w:val="519805C3"/>
    <w:rsid w:val="51A41469"/>
    <w:rsid w:val="51B00003"/>
    <w:rsid w:val="51DA0BDC"/>
    <w:rsid w:val="51F36142"/>
    <w:rsid w:val="52065E75"/>
    <w:rsid w:val="52291B63"/>
    <w:rsid w:val="52630BD1"/>
    <w:rsid w:val="52657B04"/>
    <w:rsid w:val="52B14033"/>
    <w:rsid w:val="52BB0A0D"/>
    <w:rsid w:val="52C13B4A"/>
    <w:rsid w:val="52D90E94"/>
    <w:rsid w:val="53B149AD"/>
    <w:rsid w:val="53E2021C"/>
    <w:rsid w:val="5415414D"/>
    <w:rsid w:val="54330A77"/>
    <w:rsid w:val="54505CCB"/>
    <w:rsid w:val="548412D3"/>
    <w:rsid w:val="54CC7B84"/>
    <w:rsid w:val="55BF0815"/>
    <w:rsid w:val="55C73B6D"/>
    <w:rsid w:val="57256D9D"/>
    <w:rsid w:val="5796764F"/>
    <w:rsid w:val="57CC0FC7"/>
    <w:rsid w:val="582C5F09"/>
    <w:rsid w:val="58360B36"/>
    <w:rsid w:val="5866141B"/>
    <w:rsid w:val="587753D7"/>
    <w:rsid w:val="58B06B3A"/>
    <w:rsid w:val="58D2260D"/>
    <w:rsid w:val="58ED38EB"/>
    <w:rsid w:val="590D5D3B"/>
    <w:rsid w:val="592505BA"/>
    <w:rsid w:val="595B0854"/>
    <w:rsid w:val="59C3464B"/>
    <w:rsid w:val="5A3B2434"/>
    <w:rsid w:val="5A625C12"/>
    <w:rsid w:val="5A90452E"/>
    <w:rsid w:val="5AB50438"/>
    <w:rsid w:val="5AB521E6"/>
    <w:rsid w:val="5BCC3C8B"/>
    <w:rsid w:val="5C9D1184"/>
    <w:rsid w:val="5CED73C8"/>
    <w:rsid w:val="5CEE5E83"/>
    <w:rsid w:val="5D066D29"/>
    <w:rsid w:val="5D245401"/>
    <w:rsid w:val="5D4E1590"/>
    <w:rsid w:val="5DA701B9"/>
    <w:rsid w:val="5E323B4E"/>
    <w:rsid w:val="5EF62D49"/>
    <w:rsid w:val="5F007987"/>
    <w:rsid w:val="5F0279C4"/>
    <w:rsid w:val="5F4D50E3"/>
    <w:rsid w:val="5F7F7267"/>
    <w:rsid w:val="5FE5531C"/>
    <w:rsid w:val="5FEF1CF6"/>
    <w:rsid w:val="604A1623"/>
    <w:rsid w:val="6065645C"/>
    <w:rsid w:val="60D62EB6"/>
    <w:rsid w:val="60F15F42"/>
    <w:rsid w:val="60FD3EE9"/>
    <w:rsid w:val="61077514"/>
    <w:rsid w:val="6115578D"/>
    <w:rsid w:val="61573FF7"/>
    <w:rsid w:val="61CD250B"/>
    <w:rsid w:val="61CE1DDF"/>
    <w:rsid w:val="61CE3B8D"/>
    <w:rsid w:val="61D15F43"/>
    <w:rsid w:val="61D82B35"/>
    <w:rsid w:val="624022F6"/>
    <w:rsid w:val="6252656D"/>
    <w:rsid w:val="62DF24F6"/>
    <w:rsid w:val="63952BB5"/>
    <w:rsid w:val="63972DD1"/>
    <w:rsid w:val="63A801A4"/>
    <w:rsid w:val="63C35974"/>
    <w:rsid w:val="64151F48"/>
    <w:rsid w:val="64487C27"/>
    <w:rsid w:val="647C7D51"/>
    <w:rsid w:val="648570CD"/>
    <w:rsid w:val="64DE058B"/>
    <w:rsid w:val="64DF4A2F"/>
    <w:rsid w:val="64E21E2A"/>
    <w:rsid w:val="66C13CC1"/>
    <w:rsid w:val="677F7E04"/>
    <w:rsid w:val="67D87514"/>
    <w:rsid w:val="682D3D04"/>
    <w:rsid w:val="68694610"/>
    <w:rsid w:val="68955405"/>
    <w:rsid w:val="68E04BE6"/>
    <w:rsid w:val="690C3919"/>
    <w:rsid w:val="694A2693"/>
    <w:rsid w:val="69540E1C"/>
    <w:rsid w:val="69A27DD9"/>
    <w:rsid w:val="6A132A85"/>
    <w:rsid w:val="6A1A0F4D"/>
    <w:rsid w:val="6B3C7DBA"/>
    <w:rsid w:val="6B76289B"/>
    <w:rsid w:val="6B923E7E"/>
    <w:rsid w:val="6CD72490"/>
    <w:rsid w:val="6CEC0610"/>
    <w:rsid w:val="6D2E49EA"/>
    <w:rsid w:val="6D3E250F"/>
    <w:rsid w:val="6D5E495F"/>
    <w:rsid w:val="6D905BD7"/>
    <w:rsid w:val="6D943EDD"/>
    <w:rsid w:val="6DCD7A02"/>
    <w:rsid w:val="6E70494A"/>
    <w:rsid w:val="6E8757F0"/>
    <w:rsid w:val="6EE175F6"/>
    <w:rsid w:val="6F593630"/>
    <w:rsid w:val="6F5E29F5"/>
    <w:rsid w:val="6F6D70DC"/>
    <w:rsid w:val="6F8D27D8"/>
    <w:rsid w:val="6FD131C7"/>
    <w:rsid w:val="70227EC6"/>
    <w:rsid w:val="70340EEA"/>
    <w:rsid w:val="70B14DA6"/>
    <w:rsid w:val="70C1323B"/>
    <w:rsid w:val="71025602"/>
    <w:rsid w:val="71285068"/>
    <w:rsid w:val="71333408"/>
    <w:rsid w:val="71902C0D"/>
    <w:rsid w:val="72001B41"/>
    <w:rsid w:val="723D2D95"/>
    <w:rsid w:val="724E4FA2"/>
    <w:rsid w:val="729F57FE"/>
    <w:rsid w:val="72FE4B71"/>
    <w:rsid w:val="744C7376"/>
    <w:rsid w:val="74634609"/>
    <w:rsid w:val="74DB6895"/>
    <w:rsid w:val="752C70F1"/>
    <w:rsid w:val="75956D6C"/>
    <w:rsid w:val="75D73501"/>
    <w:rsid w:val="75EA3234"/>
    <w:rsid w:val="762B1157"/>
    <w:rsid w:val="769211D6"/>
    <w:rsid w:val="769A6A08"/>
    <w:rsid w:val="76C45833"/>
    <w:rsid w:val="771F6F0D"/>
    <w:rsid w:val="7798281C"/>
    <w:rsid w:val="77B358A8"/>
    <w:rsid w:val="78212811"/>
    <w:rsid w:val="786372CE"/>
    <w:rsid w:val="79312F28"/>
    <w:rsid w:val="794E03FE"/>
    <w:rsid w:val="794F33AE"/>
    <w:rsid w:val="79C30024"/>
    <w:rsid w:val="79E955B1"/>
    <w:rsid w:val="7A5549F4"/>
    <w:rsid w:val="7A5E7D4D"/>
    <w:rsid w:val="7A617602"/>
    <w:rsid w:val="7A9E639B"/>
    <w:rsid w:val="7AA02113"/>
    <w:rsid w:val="7B821819"/>
    <w:rsid w:val="7BE91898"/>
    <w:rsid w:val="7C662EE9"/>
    <w:rsid w:val="7C6D4277"/>
    <w:rsid w:val="7CB023B6"/>
    <w:rsid w:val="7DA243F4"/>
    <w:rsid w:val="7DFD162B"/>
    <w:rsid w:val="7E402F0C"/>
    <w:rsid w:val="7E4436FD"/>
    <w:rsid w:val="7E503F66"/>
    <w:rsid w:val="7E694F12"/>
    <w:rsid w:val="7E775881"/>
    <w:rsid w:val="7E837D82"/>
    <w:rsid w:val="7EB50157"/>
    <w:rsid w:val="7F331417"/>
    <w:rsid w:val="7F6676D4"/>
    <w:rsid w:val="7FB56661"/>
    <w:rsid w:val="7FCB5E84"/>
    <w:rsid w:val="7FDD34C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 w:semiHidden="0" w:name="heading 3"/>
    <w:lsdException w:qFormat="1" w:unhideWhenUsed="0" w:uiPriority="0" w:semiHidden="0" w:name="heading 4"/>
    <w:lsdException w:qFormat="1" w:unhideWhenUsed="0"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qFormat="1"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rPr>
  </w:style>
  <w:style w:type="paragraph" w:styleId="2">
    <w:name w:val="heading 1"/>
    <w:basedOn w:val="1"/>
    <w:next w:val="1"/>
    <w:link w:val="209"/>
    <w:qFormat/>
    <w:uiPriority w:val="0"/>
    <w:pPr>
      <w:keepNext/>
      <w:keepLines/>
      <w:spacing w:before="340" w:after="330" w:line="578" w:lineRule="auto"/>
      <w:outlineLvl w:val="0"/>
    </w:pPr>
    <w:rPr>
      <w:b/>
      <w:bCs/>
      <w:sz w:val="44"/>
      <w:szCs w:val="44"/>
    </w:rPr>
  </w:style>
  <w:style w:type="paragraph" w:styleId="3">
    <w:name w:val="heading 2"/>
    <w:basedOn w:val="1"/>
    <w:next w:val="4"/>
    <w:link w:val="223"/>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231"/>
    <w:qFormat/>
    <w:uiPriority w:val="9"/>
    <w:pPr>
      <w:keepNext/>
      <w:keepLines/>
      <w:spacing w:before="260" w:after="260" w:line="416" w:lineRule="auto"/>
      <w:outlineLvl w:val="2"/>
    </w:pPr>
    <w:rPr>
      <w:b/>
      <w:bCs/>
      <w:sz w:val="32"/>
      <w:szCs w:val="32"/>
    </w:rPr>
  </w:style>
  <w:style w:type="paragraph" w:styleId="6">
    <w:name w:val="heading 4"/>
    <w:basedOn w:val="1"/>
    <w:next w:val="1"/>
    <w:link w:val="214"/>
    <w:qFormat/>
    <w:uiPriority w:val="0"/>
    <w:pPr>
      <w:spacing w:before="280" w:after="290" w:line="377" w:lineRule="auto"/>
      <w:outlineLvl w:val="3"/>
    </w:pPr>
    <w:rPr>
      <w:rFonts w:ascii="Arial" w:hAnsi="Arial" w:eastAsia="黑体"/>
      <w:b/>
      <w:bCs/>
      <w:sz w:val="28"/>
      <w:szCs w:val="28"/>
    </w:rPr>
  </w:style>
  <w:style w:type="paragraph" w:styleId="7">
    <w:name w:val="heading 5"/>
    <w:basedOn w:val="6"/>
    <w:next w:val="1"/>
    <w:link w:val="232"/>
    <w:qFormat/>
    <w:uiPriority w:val="9"/>
    <w:pPr>
      <w:keepNext/>
      <w:keepLines/>
      <w:spacing w:before="280" w:after="290" w:line="376" w:lineRule="auto"/>
      <w:outlineLvl w:val="4"/>
    </w:pPr>
    <w:rPr>
      <w:sz w:val="28"/>
      <w:szCs w:val="28"/>
    </w:rPr>
  </w:style>
  <w:style w:type="paragraph" w:styleId="8">
    <w:name w:val="heading 6"/>
    <w:basedOn w:val="1"/>
    <w:next w:val="1"/>
    <w:link w:val="6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4"/>
    <w:unhideWhenUsed/>
    <w:qFormat/>
    <w:uiPriority w:val="9"/>
    <w:pPr>
      <w:keepNext/>
      <w:keepLines/>
      <w:spacing w:before="320" w:after="200"/>
      <w:outlineLvl w:val="8"/>
    </w:pPr>
    <w:rPr>
      <w:rFonts w:ascii="Arial" w:hAnsi="Arial" w:eastAsia="Arial" w:cs="Arial"/>
      <w:i/>
      <w:iCs/>
      <w:sz w:val="21"/>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210"/>
    <w:unhideWhenUsed/>
    <w:qFormat/>
    <w:uiPriority w:val="0"/>
    <w:pPr>
      <w:ind w:firstLine="42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qFormat/>
    <w:uiPriority w:val="35"/>
    <w:pPr>
      <w:spacing w:after="109"/>
      <w:jc w:val="center"/>
    </w:pPr>
    <w:rPr>
      <w:rFonts w:ascii="宋体" w:hAnsi="宋体"/>
      <w:b/>
      <w:sz w:val="24"/>
      <w:szCs w:val="28"/>
    </w:rPr>
  </w:style>
  <w:style w:type="paragraph" w:styleId="14">
    <w:name w:val="Document Map"/>
    <w:basedOn w:val="1"/>
    <w:link w:val="202"/>
    <w:qFormat/>
    <w:uiPriority w:val="0"/>
    <w:rPr>
      <w:rFonts w:ascii="宋体"/>
      <w:sz w:val="18"/>
      <w:szCs w:val="18"/>
    </w:rPr>
  </w:style>
  <w:style w:type="paragraph" w:styleId="15">
    <w:name w:val="annotation text"/>
    <w:basedOn w:val="1"/>
    <w:link w:val="204"/>
    <w:qFormat/>
    <w:uiPriority w:val="0"/>
    <w:pPr>
      <w:jc w:val="left"/>
    </w:pPr>
  </w:style>
  <w:style w:type="paragraph" w:styleId="16">
    <w:name w:val="Body Text"/>
    <w:basedOn w:val="1"/>
    <w:next w:val="1"/>
    <w:link w:val="211"/>
    <w:qFormat/>
    <w:uiPriority w:val="0"/>
    <w:rPr>
      <w:rFonts w:ascii="楷体_GB2312" w:hAnsi="Arial" w:eastAsia="楷体_GB2312"/>
      <w:sz w:val="28"/>
      <w:szCs w:val="28"/>
    </w:rPr>
  </w:style>
  <w:style w:type="paragraph" w:styleId="17">
    <w:name w:val="Body Text Indent"/>
    <w:basedOn w:val="1"/>
    <w:link w:val="203"/>
    <w:qFormat/>
    <w:uiPriority w:val="99"/>
    <w:pPr>
      <w:spacing w:after="120"/>
      <w:ind w:left="420"/>
    </w:pPr>
  </w:style>
  <w:style w:type="paragraph" w:styleId="18">
    <w:name w:val="Block Text"/>
    <w:basedOn w:val="1"/>
    <w:unhideWhenUsed/>
    <w:qFormat/>
    <w:uiPriority w:val="99"/>
    <w:pPr>
      <w:spacing w:after="120"/>
      <w:ind w:left="1440" w:right="1440"/>
    </w:pPr>
  </w:style>
  <w:style w:type="paragraph" w:styleId="19">
    <w:name w:val="List Bullet 2"/>
    <w:basedOn w:val="1"/>
    <w:qFormat/>
    <w:uiPriority w:val="0"/>
    <w:pPr>
      <w:numPr>
        <w:ilvl w:val="0"/>
        <w:numId w:val="1"/>
      </w:numPr>
      <w:tabs>
        <w:tab w:val="left" w:pos="780"/>
      </w:tabs>
    </w:pPr>
    <w:rPr>
      <w:szCs w:val="24"/>
    </w:rPr>
  </w:style>
  <w:style w:type="paragraph" w:styleId="20">
    <w:name w:val="index 4"/>
    <w:basedOn w:val="1"/>
    <w:next w:val="1"/>
    <w:unhideWhenUsed/>
    <w:qFormat/>
    <w:uiPriority w:val="0"/>
    <w:pPr>
      <w:ind w:left="600"/>
    </w:pPr>
    <w:rPr>
      <w:rFonts w:ascii="Calibri" w:hAnsi="Calibri" w:eastAsia="Calibri" w:cs="宋体"/>
      <w:sz w:val="20"/>
      <w:szCs w:val="20"/>
      <w:lang w:val="zh-CN"/>
    </w:rPr>
  </w:style>
  <w:style w:type="paragraph" w:styleId="21">
    <w:name w:val="toc 5"/>
    <w:basedOn w:val="1"/>
    <w:next w:val="1"/>
    <w:unhideWhenUsed/>
    <w:qFormat/>
    <w:uiPriority w:val="39"/>
    <w:pPr>
      <w:spacing w:after="57"/>
      <w:ind w:left="1134" w:right="0" w:firstLine="0"/>
    </w:pPr>
  </w:style>
  <w:style w:type="paragraph" w:styleId="22">
    <w:name w:val="toc 3"/>
    <w:basedOn w:val="1"/>
    <w:next w:val="1"/>
    <w:unhideWhenUsed/>
    <w:qFormat/>
    <w:uiPriority w:val="39"/>
    <w:pPr>
      <w:spacing w:after="57"/>
      <w:ind w:left="567" w:right="0" w:firstLine="0"/>
    </w:pPr>
  </w:style>
  <w:style w:type="paragraph" w:styleId="23">
    <w:name w:val="Plain Text"/>
    <w:basedOn w:val="1"/>
    <w:link w:val="208"/>
    <w:qFormat/>
    <w:uiPriority w:val="0"/>
    <w:rPr>
      <w:rFonts w:ascii="宋体" w:hAnsi="Courier New"/>
      <w:sz w:val="20"/>
      <w:szCs w:val="21"/>
    </w:rPr>
  </w:style>
  <w:style w:type="paragraph" w:styleId="24">
    <w:name w:val="List Bullet 5"/>
    <w:basedOn w:val="1"/>
    <w:semiHidden/>
    <w:unhideWhenUsed/>
    <w:qFormat/>
    <w:uiPriority w:val="99"/>
    <w:pPr>
      <w:numPr>
        <w:ilvl w:val="0"/>
        <w:numId w:val="2"/>
      </w:numPr>
    </w:pPr>
  </w:style>
  <w:style w:type="paragraph" w:styleId="25">
    <w:name w:val="toc 8"/>
    <w:basedOn w:val="1"/>
    <w:next w:val="1"/>
    <w:unhideWhenUsed/>
    <w:qFormat/>
    <w:uiPriority w:val="39"/>
    <w:pPr>
      <w:spacing w:after="57"/>
      <w:ind w:left="1984" w:right="0" w:firstLine="0"/>
    </w:pPr>
  </w:style>
  <w:style w:type="paragraph" w:styleId="26">
    <w:name w:val="Date"/>
    <w:basedOn w:val="1"/>
    <w:next w:val="1"/>
    <w:link w:val="227"/>
    <w:qFormat/>
    <w:uiPriority w:val="0"/>
    <w:pPr>
      <w:ind w:left="100"/>
    </w:pPr>
  </w:style>
  <w:style w:type="paragraph" w:styleId="27">
    <w:name w:val="endnote text"/>
    <w:basedOn w:val="1"/>
    <w:link w:val="200"/>
    <w:semiHidden/>
    <w:unhideWhenUsed/>
    <w:qFormat/>
    <w:uiPriority w:val="99"/>
    <w:pPr>
      <w:spacing w:after="0" w:line="240" w:lineRule="auto"/>
    </w:pPr>
    <w:rPr>
      <w:sz w:val="20"/>
    </w:rPr>
  </w:style>
  <w:style w:type="paragraph" w:styleId="28">
    <w:name w:val="Balloon Text"/>
    <w:basedOn w:val="1"/>
    <w:link w:val="207"/>
    <w:unhideWhenUsed/>
    <w:qFormat/>
    <w:uiPriority w:val="0"/>
    <w:rPr>
      <w:sz w:val="18"/>
      <w:szCs w:val="18"/>
    </w:rPr>
  </w:style>
  <w:style w:type="paragraph" w:styleId="29">
    <w:name w:val="footer"/>
    <w:basedOn w:val="1"/>
    <w:link w:val="206"/>
    <w:unhideWhenUsed/>
    <w:qFormat/>
    <w:uiPriority w:val="0"/>
    <w:pPr>
      <w:tabs>
        <w:tab w:val="center" w:pos="4153"/>
        <w:tab w:val="right" w:pos="8306"/>
      </w:tabs>
      <w:jc w:val="left"/>
    </w:pPr>
    <w:rPr>
      <w:sz w:val="18"/>
      <w:szCs w:val="18"/>
    </w:rPr>
  </w:style>
  <w:style w:type="paragraph" w:styleId="30">
    <w:name w:val="envelope return"/>
    <w:basedOn w:val="1"/>
    <w:qFormat/>
    <w:uiPriority w:val="0"/>
    <w:rPr>
      <w:rFonts w:ascii="Arial" w:hAnsi="Arial"/>
    </w:rPr>
  </w:style>
  <w:style w:type="paragraph" w:styleId="31">
    <w:name w:val="header"/>
    <w:basedOn w:val="1"/>
    <w:link w:val="205"/>
    <w:unhideWhenUsed/>
    <w:qFormat/>
    <w:uiPriority w:val="0"/>
    <w:pPr>
      <w:pBdr>
        <w:bottom w:val="single" w:color="auto" w:sz="6" w:space="1"/>
      </w:pBdr>
      <w:tabs>
        <w:tab w:val="center" w:pos="4153"/>
        <w:tab w:val="right" w:pos="8306"/>
      </w:tabs>
      <w:jc w:val="center"/>
    </w:pPr>
    <w:rPr>
      <w:sz w:val="18"/>
      <w:szCs w:val="18"/>
    </w:rPr>
  </w:style>
  <w:style w:type="paragraph" w:styleId="32">
    <w:name w:val="toc 1"/>
    <w:basedOn w:val="1"/>
    <w:next w:val="1"/>
    <w:unhideWhenUsed/>
    <w:qFormat/>
    <w:uiPriority w:val="39"/>
  </w:style>
  <w:style w:type="paragraph" w:styleId="33">
    <w:name w:val="toc 4"/>
    <w:basedOn w:val="1"/>
    <w:next w:val="1"/>
    <w:unhideWhenUsed/>
    <w:qFormat/>
    <w:uiPriority w:val="39"/>
    <w:pPr>
      <w:spacing w:after="57"/>
      <w:ind w:left="850" w:right="0" w:firstLine="0"/>
    </w:pPr>
  </w:style>
  <w:style w:type="paragraph" w:styleId="34">
    <w:name w:val="Subtitle"/>
    <w:basedOn w:val="1"/>
    <w:next w:val="1"/>
    <w:link w:val="66"/>
    <w:qFormat/>
    <w:uiPriority w:val="11"/>
    <w:pPr>
      <w:spacing w:before="200" w:after="200"/>
    </w:pPr>
    <w:rPr>
      <w:sz w:val="24"/>
      <w:szCs w:val="24"/>
    </w:rPr>
  </w:style>
  <w:style w:type="paragraph" w:styleId="35">
    <w:name w:val="List"/>
    <w:basedOn w:val="1"/>
    <w:unhideWhenUsed/>
    <w:qFormat/>
    <w:uiPriority w:val="0"/>
    <w:pPr>
      <w:ind w:left="200" w:hanging="200"/>
    </w:pPr>
    <w:rPr>
      <w:rFonts w:asciiTheme="minorHAnsi" w:hAnsiTheme="minorHAnsi" w:eastAsiaTheme="minorEastAsia" w:cstheme="minorBidi"/>
    </w:rPr>
  </w:style>
  <w:style w:type="paragraph" w:styleId="36">
    <w:name w:val="footnote text"/>
    <w:basedOn w:val="1"/>
    <w:link w:val="199"/>
    <w:semiHidden/>
    <w:unhideWhenUsed/>
    <w:qFormat/>
    <w:uiPriority w:val="99"/>
    <w:pPr>
      <w:spacing w:after="40" w:line="240" w:lineRule="auto"/>
    </w:pPr>
    <w:rPr>
      <w:sz w:val="18"/>
    </w:rPr>
  </w:style>
  <w:style w:type="paragraph" w:styleId="37">
    <w:name w:val="toc 6"/>
    <w:basedOn w:val="1"/>
    <w:next w:val="1"/>
    <w:unhideWhenUsed/>
    <w:qFormat/>
    <w:uiPriority w:val="39"/>
    <w:pPr>
      <w:spacing w:after="57"/>
      <w:ind w:left="1417" w:right="0" w:firstLine="0"/>
    </w:pPr>
  </w:style>
  <w:style w:type="paragraph" w:styleId="38">
    <w:name w:val="table of figures"/>
    <w:basedOn w:val="1"/>
    <w:next w:val="1"/>
    <w:unhideWhenUsed/>
    <w:qFormat/>
    <w:uiPriority w:val="99"/>
    <w:pPr>
      <w:spacing w:after="0" w:afterAutospacing="0"/>
    </w:pPr>
  </w:style>
  <w:style w:type="paragraph" w:styleId="39">
    <w:name w:val="toc 2"/>
    <w:basedOn w:val="1"/>
    <w:next w:val="1"/>
    <w:unhideWhenUsed/>
    <w:qFormat/>
    <w:uiPriority w:val="39"/>
    <w:pPr>
      <w:ind w:left="420"/>
    </w:pPr>
  </w:style>
  <w:style w:type="paragraph" w:styleId="40">
    <w:name w:val="toc 9"/>
    <w:basedOn w:val="1"/>
    <w:next w:val="1"/>
    <w:unhideWhenUsed/>
    <w:qFormat/>
    <w:uiPriority w:val="39"/>
    <w:pPr>
      <w:spacing w:after="57"/>
      <w:ind w:left="2268" w:right="0" w:firstLine="0"/>
    </w:pPr>
  </w:style>
  <w:style w:type="paragraph" w:styleId="41">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2">
    <w:name w:val="Title"/>
    <w:basedOn w:val="1"/>
    <w:next w:val="1"/>
    <w:link w:val="65"/>
    <w:qFormat/>
    <w:uiPriority w:val="10"/>
    <w:pPr>
      <w:spacing w:before="300" w:after="200"/>
      <w:contextualSpacing/>
    </w:pPr>
    <w:rPr>
      <w:sz w:val="48"/>
      <w:szCs w:val="48"/>
    </w:rPr>
  </w:style>
  <w:style w:type="paragraph" w:styleId="43">
    <w:name w:val="annotation subject"/>
    <w:basedOn w:val="15"/>
    <w:next w:val="15"/>
    <w:link w:val="212"/>
    <w:qFormat/>
    <w:uiPriority w:val="0"/>
    <w:rPr>
      <w:b/>
      <w:bCs/>
    </w:rPr>
  </w:style>
  <w:style w:type="paragraph" w:styleId="44">
    <w:name w:val="Body Text First Indent"/>
    <w:basedOn w:val="16"/>
    <w:link w:val="246"/>
    <w:qFormat/>
    <w:uiPriority w:val="0"/>
    <w:pPr>
      <w:spacing w:after="120"/>
      <w:ind w:firstLine="420"/>
    </w:pPr>
    <w:rPr>
      <w:rFonts w:ascii="Times New Roman" w:hAnsi="Times New Roman" w:eastAsia="宋体"/>
      <w:sz w:val="21"/>
      <w:szCs w:val="22"/>
    </w:rPr>
  </w:style>
  <w:style w:type="paragraph" w:styleId="45">
    <w:name w:val="Body Text First Indent 2"/>
    <w:basedOn w:val="17"/>
    <w:link w:val="229"/>
    <w:semiHidden/>
    <w:unhideWhenUsed/>
    <w:qFormat/>
    <w:uiPriority w:val="99"/>
    <w:pPr>
      <w:ind w:firstLine="420"/>
    </w:pPr>
    <w:rPr>
      <w:rFonts w:asciiTheme="minorHAnsi" w:hAnsiTheme="minorHAnsi" w:eastAsiaTheme="minorEastAsia" w:cstheme="minorBidi"/>
    </w:rPr>
  </w:style>
  <w:style w:type="table" w:styleId="47">
    <w:name w:val="Table Grid"/>
    <w:basedOn w:val="4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9">
    <w:name w:val="Strong"/>
    <w:qFormat/>
    <w:uiPriority w:val="0"/>
    <w:rPr>
      <w:b/>
      <w:bCs/>
    </w:rPr>
  </w:style>
  <w:style w:type="character" w:styleId="50">
    <w:name w:val="endnote reference"/>
    <w:basedOn w:val="48"/>
    <w:semiHidden/>
    <w:unhideWhenUsed/>
    <w:qFormat/>
    <w:uiPriority w:val="99"/>
    <w:rPr>
      <w:vertAlign w:val="superscript"/>
    </w:rPr>
  </w:style>
  <w:style w:type="character" w:styleId="51">
    <w:name w:val="FollowedHyperlink"/>
    <w:basedOn w:val="48"/>
    <w:semiHidden/>
    <w:unhideWhenUsed/>
    <w:qFormat/>
    <w:uiPriority w:val="99"/>
    <w:rPr>
      <w:color w:val="800080"/>
      <w:u w:val="single"/>
    </w:rPr>
  </w:style>
  <w:style w:type="character" w:styleId="52">
    <w:name w:val="Emphasis"/>
    <w:qFormat/>
    <w:uiPriority w:val="0"/>
    <w:rPr>
      <w:i/>
    </w:rPr>
  </w:style>
  <w:style w:type="character" w:styleId="53">
    <w:name w:val="Hyperlink"/>
    <w:unhideWhenUsed/>
    <w:qFormat/>
    <w:uiPriority w:val="99"/>
    <w:rPr>
      <w:color w:val="0000FF"/>
      <w:u w:val="single"/>
    </w:rPr>
  </w:style>
  <w:style w:type="character" w:styleId="54">
    <w:name w:val="annotation reference"/>
    <w:qFormat/>
    <w:uiPriority w:val="0"/>
    <w:rPr>
      <w:sz w:val="21"/>
      <w:szCs w:val="21"/>
    </w:rPr>
  </w:style>
  <w:style w:type="character" w:styleId="55">
    <w:name w:val="footnote reference"/>
    <w:basedOn w:val="48"/>
    <w:unhideWhenUsed/>
    <w:qFormat/>
    <w:uiPriority w:val="99"/>
    <w:rPr>
      <w:vertAlign w:val="superscript"/>
    </w:rPr>
  </w:style>
  <w:style w:type="character" w:customStyle="1" w:styleId="56">
    <w:name w:val="Heading 1 Char"/>
    <w:basedOn w:val="48"/>
    <w:qFormat/>
    <w:uiPriority w:val="9"/>
    <w:rPr>
      <w:rFonts w:ascii="Arial" w:hAnsi="Arial" w:eastAsia="Arial" w:cs="Arial"/>
      <w:sz w:val="40"/>
      <w:szCs w:val="40"/>
    </w:rPr>
  </w:style>
  <w:style w:type="character" w:customStyle="1" w:styleId="57">
    <w:name w:val="Heading 2 Char"/>
    <w:basedOn w:val="48"/>
    <w:qFormat/>
    <w:uiPriority w:val="9"/>
    <w:rPr>
      <w:rFonts w:ascii="Arial" w:hAnsi="Arial" w:eastAsia="Arial" w:cs="Arial"/>
      <w:sz w:val="34"/>
    </w:rPr>
  </w:style>
  <w:style w:type="character" w:customStyle="1" w:styleId="58">
    <w:name w:val="Heading 3 Char"/>
    <w:basedOn w:val="48"/>
    <w:qFormat/>
    <w:uiPriority w:val="9"/>
    <w:rPr>
      <w:rFonts w:ascii="Arial" w:hAnsi="Arial" w:eastAsia="Arial" w:cs="Arial"/>
      <w:sz w:val="30"/>
      <w:szCs w:val="30"/>
    </w:rPr>
  </w:style>
  <w:style w:type="character" w:customStyle="1" w:styleId="59">
    <w:name w:val="Heading 4 Char"/>
    <w:basedOn w:val="48"/>
    <w:qFormat/>
    <w:uiPriority w:val="9"/>
    <w:rPr>
      <w:rFonts w:ascii="Arial" w:hAnsi="Arial" w:eastAsia="Arial" w:cs="Arial"/>
      <w:b/>
      <w:bCs/>
      <w:sz w:val="26"/>
      <w:szCs w:val="26"/>
    </w:rPr>
  </w:style>
  <w:style w:type="character" w:customStyle="1" w:styleId="60">
    <w:name w:val="Heading 5 Char"/>
    <w:basedOn w:val="48"/>
    <w:qFormat/>
    <w:uiPriority w:val="9"/>
    <w:rPr>
      <w:rFonts w:ascii="Arial" w:hAnsi="Arial" w:eastAsia="Arial" w:cs="Arial"/>
      <w:b/>
      <w:bCs/>
      <w:sz w:val="24"/>
      <w:szCs w:val="24"/>
    </w:rPr>
  </w:style>
  <w:style w:type="character" w:customStyle="1" w:styleId="61">
    <w:name w:val="Heading 6 Char"/>
    <w:basedOn w:val="48"/>
    <w:link w:val="8"/>
    <w:qFormat/>
    <w:uiPriority w:val="9"/>
    <w:rPr>
      <w:rFonts w:ascii="Arial" w:hAnsi="Arial" w:eastAsia="Arial" w:cs="Arial"/>
      <w:b/>
      <w:bCs/>
      <w:sz w:val="22"/>
      <w:szCs w:val="22"/>
    </w:rPr>
  </w:style>
  <w:style w:type="character" w:customStyle="1" w:styleId="62">
    <w:name w:val="Heading 7 Char"/>
    <w:basedOn w:val="48"/>
    <w:link w:val="9"/>
    <w:qFormat/>
    <w:uiPriority w:val="9"/>
    <w:rPr>
      <w:rFonts w:ascii="Arial" w:hAnsi="Arial" w:eastAsia="Arial" w:cs="Arial"/>
      <w:b/>
      <w:bCs/>
      <w:i/>
      <w:iCs/>
      <w:sz w:val="22"/>
      <w:szCs w:val="22"/>
    </w:rPr>
  </w:style>
  <w:style w:type="character" w:customStyle="1" w:styleId="63">
    <w:name w:val="Heading 8 Char"/>
    <w:basedOn w:val="48"/>
    <w:link w:val="10"/>
    <w:qFormat/>
    <w:uiPriority w:val="9"/>
    <w:rPr>
      <w:rFonts w:ascii="Arial" w:hAnsi="Arial" w:eastAsia="Arial" w:cs="Arial"/>
      <w:i/>
      <w:iCs/>
      <w:sz w:val="22"/>
      <w:szCs w:val="22"/>
    </w:rPr>
  </w:style>
  <w:style w:type="character" w:customStyle="1" w:styleId="64">
    <w:name w:val="Heading 9 Char"/>
    <w:basedOn w:val="48"/>
    <w:link w:val="11"/>
    <w:qFormat/>
    <w:uiPriority w:val="9"/>
    <w:rPr>
      <w:rFonts w:ascii="Arial" w:hAnsi="Arial" w:eastAsia="Arial" w:cs="Arial"/>
      <w:i/>
      <w:iCs/>
      <w:sz w:val="21"/>
      <w:szCs w:val="21"/>
    </w:rPr>
  </w:style>
  <w:style w:type="character" w:customStyle="1" w:styleId="65">
    <w:name w:val="Title Char"/>
    <w:basedOn w:val="48"/>
    <w:link w:val="42"/>
    <w:qFormat/>
    <w:uiPriority w:val="10"/>
    <w:rPr>
      <w:sz w:val="48"/>
      <w:szCs w:val="48"/>
    </w:rPr>
  </w:style>
  <w:style w:type="character" w:customStyle="1" w:styleId="66">
    <w:name w:val="Subtitle Char"/>
    <w:basedOn w:val="48"/>
    <w:link w:val="34"/>
    <w:qFormat/>
    <w:uiPriority w:val="11"/>
    <w:rPr>
      <w:sz w:val="24"/>
      <w:szCs w:val="24"/>
    </w:rPr>
  </w:style>
  <w:style w:type="paragraph" w:styleId="67">
    <w:name w:val="Quote"/>
    <w:basedOn w:val="1"/>
    <w:next w:val="1"/>
    <w:link w:val="68"/>
    <w:qFormat/>
    <w:uiPriority w:val="29"/>
    <w:pPr>
      <w:ind w:left="720" w:right="720"/>
    </w:pPr>
    <w:rPr>
      <w:i/>
    </w:rPr>
  </w:style>
  <w:style w:type="character" w:customStyle="1" w:styleId="68">
    <w:name w:val="Quote Char"/>
    <w:link w:val="67"/>
    <w:qFormat/>
    <w:uiPriority w:val="29"/>
    <w:rPr>
      <w:i/>
    </w:rPr>
  </w:style>
  <w:style w:type="paragraph" w:styleId="69">
    <w:name w:val="Intense Quote"/>
    <w:basedOn w:val="1"/>
    <w:next w:val="1"/>
    <w:link w:val="7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0">
    <w:name w:val="Intense Quote Char"/>
    <w:link w:val="69"/>
    <w:qFormat/>
    <w:uiPriority w:val="30"/>
    <w:rPr>
      <w:i/>
    </w:rPr>
  </w:style>
  <w:style w:type="character" w:customStyle="1" w:styleId="71">
    <w:name w:val="Header Char"/>
    <w:basedOn w:val="48"/>
    <w:qFormat/>
    <w:uiPriority w:val="99"/>
  </w:style>
  <w:style w:type="character" w:customStyle="1" w:styleId="72">
    <w:name w:val="Footer Char"/>
    <w:basedOn w:val="48"/>
    <w:qFormat/>
    <w:uiPriority w:val="99"/>
  </w:style>
  <w:style w:type="character" w:customStyle="1" w:styleId="73">
    <w:name w:val="Caption Char"/>
    <w:qFormat/>
    <w:uiPriority w:val="99"/>
  </w:style>
  <w:style w:type="table" w:customStyle="1" w:styleId="74">
    <w:name w:val="Table Grid Light"/>
    <w:basedOn w:val="4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5">
    <w:name w:val="Plain Table 1"/>
    <w:basedOn w:val="4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6">
    <w:name w:val="Plain Table 2"/>
    <w:basedOn w:val="4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7">
    <w:name w:val="Plain Table 3"/>
    <w:basedOn w:val="4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Plain Table 4"/>
    <w:basedOn w:val="4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5"/>
    <w:basedOn w:val="4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Grid Table 1 Light"/>
    <w:basedOn w:val="4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1">
    <w:name w:val="Grid Table 1 Light - Accent 1"/>
    <w:basedOn w:val="4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2">
    <w:name w:val="Grid Table 1 Light - Accent 2"/>
    <w:basedOn w:val="4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3">
    <w:name w:val="Grid Table 1 Light - Accent 3"/>
    <w:basedOn w:val="4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4">
    <w:name w:val="Grid Table 1 Light - Accent 4"/>
    <w:basedOn w:val="4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5">
    <w:name w:val="Grid Table 1 Light - Accent 5"/>
    <w:basedOn w:val="4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6">
    <w:name w:val="Grid Table 1 Light - Accent 6"/>
    <w:basedOn w:val="4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7">
    <w:name w:val="Grid Table 2"/>
    <w:basedOn w:val="4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2 - Accent 1"/>
    <w:basedOn w:val="4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2 - Accent 2"/>
    <w:basedOn w:val="4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2 - Accent 3"/>
    <w:basedOn w:val="4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2 - Accent 4"/>
    <w:basedOn w:val="4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2 - Accent 5"/>
    <w:basedOn w:val="4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2 - Accent 6"/>
    <w:basedOn w:val="4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3"/>
    <w:basedOn w:val="4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3 - Accent 1"/>
    <w:basedOn w:val="4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3 - Accent 2"/>
    <w:basedOn w:val="4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3 - Accent 3"/>
    <w:basedOn w:val="4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3 - Accent 4"/>
    <w:basedOn w:val="4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3 - Accent 5"/>
    <w:basedOn w:val="4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3 - Accent 6"/>
    <w:basedOn w:val="4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4"/>
    <w:basedOn w:val="4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4 - Accent 1"/>
    <w:basedOn w:val="46"/>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3">
    <w:name w:val="Grid Table 4 - Accent 2"/>
    <w:basedOn w:val="46"/>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4 - Accent 3"/>
    <w:basedOn w:val="46"/>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4 - Accent 4"/>
    <w:basedOn w:val="46"/>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4 - Accent 5"/>
    <w:basedOn w:val="46"/>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4 - Accent 6"/>
    <w:basedOn w:val="4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Grid Table 5 Dark"/>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9">
    <w:name w:val="Grid Table 5 Dark- Accent 1"/>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0">
    <w:name w:val="Grid Table 5 Dark - Accent 2"/>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1">
    <w:name w:val="Grid Table 5 Dark - Accent 3"/>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2">
    <w:name w:val="Grid Table 5 Dark- Accent 4"/>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3">
    <w:name w:val="Grid Table 5 Dark - Accent 5"/>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4">
    <w:name w:val="Grid Table 5 Dark - Accent 6"/>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5">
    <w:name w:val="Grid Table 6 Colorful"/>
    <w:basedOn w:val="4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6 Colorful - Accent 1"/>
    <w:basedOn w:val="46"/>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6 Colorful - Accent 2"/>
    <w:basedOn w:val="4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6 Colorful - Accent 3"/>
    <w:basedOn w:val="46"/>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9">
    <w:name w:val="Grid Table 6 Colorful - Accent 4"/>
    <w:basedOn w:val="4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6 Colorful - Accent 5"/>
    <w:basedOn w:val="46"/>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6 Colorful - Accent 6"/>
    <w:basedOn w:val="4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2">
    <w:name w:val="Grid Table 7 Colorful"/>
    <w:basedOn w:val="4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7 Colorful - Accent 1"/>
    <w:basedOn w:val="46"/>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7 Colorful - Accent 2"/>
    <w:basedOn w:val="46"/>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7 Colorful - Accent 3"/>
    <w:basedOn w:val="46"/>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6">
    <w:name w:val="Grid Table 7 Colorful - Accent 4"/>
    <w:basedOn w:val="46"/>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7 Colorful - Accent 5"/>
    <w:basedOn w:val="46"/>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7 Colorful - Accent 6"/>
    <w:basedOn w:val="4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9">
    <w:name w:val="List Table 1 Light"/>
    <w:basedOn w:val="4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0">
    <w:name w:val="List Table 1 Light - Accent 1"/>
    <w:basedOn w:val="46"/>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1">
    <w:name w:val="List Table 1 Light - Accent 2"/>
    <w:basedOn w:val="46"/>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2">
    <w:name w:val="List Table 1 Light - Accent 3"/>
    <w:basedOn w:val="46"/>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3">
    <w:name w:val="List Table 1 Light - Accent 4"/>
    <w:basedOn w:val="46"/>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4">
    <w:name w:val="List Table 1 Light - Accent 5"/>
    <w:basedOn w:val="46"/>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5">
    <w:name w:val="List Table 1 Light - Accent 6"/>
    <w:basedOn w:val="4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6">
    <w:name w:val="List Table 2"/>
    <w:basedOn w:val="4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2 - Accent 1"/>
    <w:basedOn w:val="46"/>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2 - Accent 2"/>
    <w:basedOn w:val="46"/>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2 - Accent 3"/>
    <w:basedOn w:val="46"/>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2 - Accent 4"/>
    <w:basedOn w:val="46"/>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2 - Accent 5"/>
    <w:basedOn w:val="46"/>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2 - Accent 6"/>
    <w:basedOn w:val="4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3"/>
    <w:basedOn w:val="4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4">
    <w:name w:val="List Table 3 - Accent 1"/>
    <w:basedOn w:val="46"/>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5">
    <w:name w:val="List Table 3 - Accent 2"/>
    <w:basedOn w:val="4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6">
    <w:name w:val="List Table 3 - Accent 3"/>
    <w:basedOn w:val="46"/>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7">
    <w:name w:val="List Table 3 - Accent 4"/>
    <w:basedOn w:val="4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8">
    <w:name w:val="List Table 3 - Accent 5"/>
    <w:basedOn w:val="46"/>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9">
    <w:name w:val="List Table 3 - Accent 6"/>
    <w:basedOn w:val="4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0">
    <w:name w:val="List Table 4"/>
    <w:basedOn w:val="4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1">
    <w:name w:val="List Table 4 - Accent 1"/>
    <w:basedOn w:val="46"/>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2">
    <w:name w:val="List Table 4 - Accent 2"/>
    <w:basedOn w:val="46"/>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3">
    <w:name w:val="List Table 4 - Accent 3"/>
    <w:basedOn w:val="46"/>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4">
    <w:name w:val="List Table 4 - Accent 4"/>
    <w:basedOn w:val="46"/>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5">
    <w:name w:val="List Table 4 - Accent 5"/>
    <w:basedOn w:val="46"/>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6">
    <w:name w:val="List Table 4 - Accent 6"/>
    <w:basedOn w:val="4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7">
    <w:name w:val="List Table 5 Dark"/>
    <w:basedOn w:val="4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8">
    <w:name w:val="List Table 5 Dark - Accent 1"/>
    <w:basedOn w:val="46"/>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9">
    <w:name w:val="List Table 5 Dark - Accent 2"/>
    <w:basedOn w:val="46"/>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0">
    <w:name w:val="List Table 5 Dark - Accent 3"/>
    <w:basedOn w:val="46"/>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1">
    <w:name w:val="List Table 5 Dark - Accent 4"/>
    <w:basedOn w:val="46"/>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2">
    <w:name w:val="List Table 5 Dark - Accent 5"/>
    <w:basedOn w:val="46"/>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3">
    <w:name w:val="List Table 5 Dark - Accent 6"/>
    <w:basedOn w:val="4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4">
    <w:name w:val="List Table 6 Colorful"/>
    <w:basedOn w:val="4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5">
    <w:name w:val="List Table 6 Colorful - Accent 1"/>
    <w:basedOn w:val="46"/>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6 Colorful - Accent 2"/>
    <w:basedOn w:val="46"/>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6 Colorful - Accent 3"/>
    <w:basedOn w:val="46"/>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6 Colorful - Accent 4"/>
    <w:basedOn w:val="46"/>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6 Colorful - Accent 5"/>
    <w:basedOn w:val="46"/>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6 Colorful - Accent 6"/>
    <w:basedOn w:val="4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List Table 7 Colorful"/>
    <w:basedOn w:val="4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2">
    <w:name w:val="List Table 7 Colorful - Accent 1"/>
    <w:basedOn w:val="46"/>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7 Colorful - Accent 2"/>
    <w:basedOn w:val="46"/>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7 Colorful - Accent 3"/>
    <w:basedOn w:val="46"/>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7 Colorful - Accent 4"/>
    <w:basedOn w:val="46"/>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7 Colorful - Accent 5"/>
    <w:basedOn w:val="46"/>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7 Colorful - Accent 6"/>
    <w:basedOn w:val="4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Lined - Accent"/>
    <w:basedOn w:val="4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Lined - Accent 1"/>
    <w:basedOn w:val="46"/>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Lined - Accent 2"/>
    <w:basedOn w:val="46"/>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Lined - Accent 3"/>
    <w:basedOn w:val="46"/>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Lined - Accent 4"/>
    <w:basedOn w:val="46"/>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Lined - Accent 5"/>
    <w:basedOn w:val="46"/>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Lined - Accent 6"/>
    <w:basedOn w:val="4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amp; Lined - Accent"/>
    <w:basedOn w:val="4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Bordered &amp; Lined - Accent 1"/>
    <w:basedOn w:val="46"/>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Bordered &amp; Lined - Accent 2"/>
    <w:basedOn w:val="46"/>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Bordered &amp; Lined - Accent 3"/>
    <w:basedOn w:val="46"/>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Bordered &amp; Lined - Accent 4"/>
    <w:basedOn w:val="46"/>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Bordered &amp; Lined - Accent 5"/>
    <w:basedOn w:val="46"/>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Bordered &amp; Lined - Accent 6"/>
    <w:basedOn w:val="4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w:basedOn w:val="4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3">
    <w:name w:val="Bordered - Accent 1"/>
    <w:basedOn w:val="4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4">
    <w:name w:val="Bordered - Accent 2"/>
    <w:basedOn w:val="4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5">
    <w:name w:val="Bordered - Accent 3"/>
    <w:basedOn w:val="4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6">
    <w:name w:val="Bordered - Accent 4"/>
    <w:basedOn w:val="4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7">
    <w:name w:val="Bordered - Accent 5"/>
    <w:basedOn w:val="4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8">
    <w:name w:val="Bordered - Accent 6"/>
    <w:basedOn w:val="4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9">
    <w:name w:val="Footnote Text Char"/>
    <w:link w:val="36"/>
    <w:qFormat/>
    <w:uiPriority w:val="99"/>
    <w:rPr>
      <w:sz w:val="18"/>
    </w:rPr>
  </w:style>
  <w:style w:type="character" w:customStyle="1" w:styleId="200">
    <w:name w:val="Endnote Text Char"/>
    <w:link w:val="27"/>
    <w:qFormat/>
    <w:uiPriority w:val="99"/>
    <w:rPr>
      <w:sz w:val="20"/>
    </w:rPr>
  </w:style>
  <w:style w:type="paragraph" w:customStyle="1" w:styleId="201">
    <w:name w:val="TOC Heading"/>
    <w:unhideWhenUsed/>
    <w:qFormat/>
    <w:uiPriority w:val="39"/>
    <w:rPr>
      <w:rFonts w:hint="default" w:ascii="Times New Roman" w:hAnsi="Times New Roman" w:eastAsia="宋体" w:cs="Times New Roman"/>
    </w:rPr>
  </w:style>
  <w:style w:type="character" w:customStyle="1" w:styleId="202">
    <w:name w:val="文档结构图 Char"/>
    <w:link w:val="14"/>
    <w:qFormat/>
    <w:uiPriority w:val="0"/>
    <w:rPr>
      <w:rFonts w:ascii="宋体"/>
      <w:sz w:val="18"/>
      <w:szCs w:val="18"/>
    </w:rPr>
  </w:style>
  <w:style w:type="character" w:customStyle="1" w:styleId="203">
    <w:name w:val="正文文本缩进 Char"/>
    <w:link w:val="17"/>
    <w:qFormat/>
    <w:uiPriority w:val="99"/>
    <w:rPr>
      <w:sz w:val="21"/>
      <w:szCs w:val="22"/>
      <w:lang w:bidi="ar-SA"/>
    </w:rPr>
  </w:style>
  <w:style w:type="character" w:customStyle="1" w:styleId="204">
    <w:name w:val="批注文字 Char"/>
    <w:link w:val="15"/>
    <w:qFormat/>
    <w:uiPriority w:val="0"/>
    <w:rPr>
      <w:sz w:val="21"/>
      <w:szCs w:val="22"/>
    </w:rPr>
  </w:style>
  <w:style w:type="character" w:customStyle="1" w:styleId="205">
    <w:name w:val="页眉 Char"/>
    <w:link w:val="31"/>
    <w:qFormat/>
    <w:uiPriority w:val="0"/>
    <w:rPr>
      <w:sz w:val="18"/>
      <w:szCs w:val="18"/>
      <w:lang w:bidi="ar-SA"/>
    </w:rPr>
  </w:style>
  <w:style w:type="character" w:customStyle="1" w:styleId="206">
    <w:name w:val="页脚 Char"/>
    <w:link w:val="29"/>
    <w:qFormat/>
    <w:uiPriority w:val="0"/>
    <w:rPr>
      <w:sz w:val="18"/>
      <w:szCs w:val="18"/>
      <w:lang w:bidi="ar-SA"/>
    </w:rPr>
  </w:style>
  <w:style w:type="character" w:customStyle="1" w:styleId="207">
    <w:name w:val="批注框文本 Char"/>
    <w:link w:val="28"/>
    <w:semiHidden/>
    <w:qFormat/>
    <w:uiPriority w:val="0"/>
    <w:rPr>
      <w:sz w:val="18"/>
      <w:szCs w:val="18"/>
      <w:lang w:bidi="ar-SA"/>
    </w:rPr>
  </w:style>
  <w:style w:type="character" w:customStyle="1" w:styleId="208">
    <w:name w:val="纯文本 Char"/>
    <w:link w:val="23"/>
    <w:qFormat/>
    <w:uiPriority w:val="99"/>
    <w:rPr>
      <w:rFonts w:ascii="宋体" w:hAnsi="Courier New" w:eastAsia="宋体"/>
      <w:szCs w:val="21"/>
      <w:lang w:bidi="ar-SA"/>
    </w:rPr>
  </w:style>
  <w:style w:type="character" w:customStyle="1" w:styleId="209">
    <w:name w:val="标题 1 Char"/>
    <w:link w:val="2"/>
    <w:qFormat/>
    <w:uiPriority w:val="0"/>
    <w:rPr>
      <w:rFonts w:eastAsia="宋体"/>
      <w:b/>
      <w:bCs/>
      <w:sz w:val="44"/>
      <w:szCs w:val="44"/>
      <w:lang w:bidi="ar-SA"/>
    </w:rPr>
  </w:style>
  <w:style w:type="character" w:customStyle="1" w:styleId="210">
    <w:name w:val="正文缩进 Char"/>
    <w:link w:val="4"/>
    <w:qFormat/>
    <w:uiPriority w:val="0"/>
    <w:rPr>
      <w:rFonts w:eastAsia="宋体"/>
      <w:sz w:val="21"/>
      <w:szCs w:val="22"/>
      <w:lang w:val="en-US" w:eastAsia="zh-CN" w:bidi="ar-SA"/>
    </w:rPr>
  </w:style>
  <w:style w:type="character" w:customStyle="1" w:styleId="211">
    <w:name w:val="正文文本 Char"/>
    <w:link w:val="16"/>
    <w:qFormat/>
    <w:uiPriority w:val="0"/>
    <w:rPr>
      <w:rFonts w:ascii="楷体_GB2312" w:hAnsi="Arial" w:eastAsia="楷体_GB2312"/>
      <w:sz w:val="28"/>
      <w:szCs w:val="28"/>
      <w:lang w:bidi="ar-SA"/>
    </w:rPr>
  </w:style>
  <w:style w:type="character" w:customStyle="1" w:styleId="212">
    <w:name w:val="批注主题 Char"/>
    <w:link w:val="43"/>
    <w:qFormat/>
    <w:uiPriority w:val="0"/>
    <w:rPr>
      <w:b/>
      <w:bCs/>
      <w:sz w:val="21"/>
      <w:szCs w:val="22"/>
    </w:rPr>
  </w:style>
  <w:style w:type="character" w:customStyle="1" w:styleId="213">
    <w:name w:val="style41"/>
    <w:qFormat/>
    <w:uiPriority w:val="0"/>
    <w:rPr>
      <w:color w:val="0B50A4"/>
    </w:rPr>
  </w:style>
  <w:style w:type="character" w:customStyle="1" w:styleId="214">
    <w:name w:val="标题 4 Char"/>
    <w:link w:val="6"/>
    <w:qFormat/>
    <w:uiPriority w:val="0"/>
    <w:rPr>
      <w:rFonts w:ascii="Arial" w:hAnsi="Arial" w:eastAsia="黑体"/>
      <w:b/>
      <w:bCs/>
      <w:sz w:val="28"/>
      <w:szCs w:val="28"/>
      <w:lang w:bidi="ar-SA"/>
    </w:rPr>
  </w:style>
  <w:style w:type="character" w:customStyle="1" w:styleId="215">
    <w:name w:val="列出段落 Char"/>
    <w:link w:val="216"/>
    <w:qFormat/>
    <w:uiPriority w:val="34"/>
    <w:rPr>
      <w:sz w:val="24"/>
      <w:szCs w:val="24"/>
      <w:lang w:eastAsia="en-US" w:bidi="en-US"/>
    </w:rPr>
  </w:style>
  <w:style w:type="paragraph" w:customStyle="1" w:styleId="216">
    <w:name w:val="列出段落1"/>
    <w:basedOn w:val="1"/>
    <w:link w:val="215"/>
    <w:qFormat/>
    <w:uiPriority w:val="0"/>
    <w:pPr>
      <w:widowControl/>
      <w:ind w:left="720"/>
      <w:contextualSpacing/>
      <w:jc w:val="left"/>
    </w:pPr>
    <w:rPr>
      <w:sz w:val="24"/>
      <w:szCs w:val="24"/>
      <w:lang w:eastAsia="en-US" w:bidi="en-US"/>
    </w:rPr>
  </w:style>
  <w:style w:type="paragraph" w:customStyle="1" w:styleId="217">
    <w:name w:val="p0"/>
    <w:basedOn w:val="1"/>
    <w:qFormat/>
    <w:uiPriority w:val="0"/>
    <w:pPr>
      <w:widowControl/>
    </w:pPr>
    <w:rPr>
      <w:szCs w:val="21"/>
    </w:rPr>
  </w:style>
  <w:style w:type="paragraph" w:customStyle="1" w:styleId="218">
    <w:name w:val="正文空2格  1."/>
    <w:basedOn w:val="1"/>
    <w:qFormat/>
    <w:uiPriority w:val="0"/>
    <w:pPr>
      <w:ind w:firstLine="480"/>
    </w:pPr>
    <w:rPr>
      <w:rFonts w:cs="宋体"/>
      <w:sz w:val="28"/>
      <w:szCs w:val="20"/>
    </w:rPr>
  </w:style>
  <w:style w:type="paragraph" w:customStyle="1" w:styleId="219">
    <w:name w:val="段"/>
    <w:qFormat/>
    <w:uiPriority w:val="0"/>
    <w:pPr>
      <w:ind w:firstLine="200"/>
      <w:jc w:val="both"/>
    </w:pPr>
    <w:rPr>
      <w:rFonts w:hint="default" w:ascii="宋体" w:hAnsi="Times New Roman" w:eastAsia="宋体" w:cs="Times New Roman"/>
      <w:sz w:val="21"/>
    </w:rPr>
  </w:style>
  <w:style w:type="paragraph" w:customStyle="1" w:styleId="220">
    <w:name w:val="普通正文"/>
    <w:basedOn w:val="1"/>
    <w:qFormat/>
    <w:uiPriority w:val="0"/>
    <w:pPr>
      <w:spacing w:before="120" w:after="120" w:line="360" w:lineRule="auto"/>
      <w:ind w:firstLine="480"/>
      <w:jc w:val="left"/>
    </w:pPr>
    <w:rPr>
      <w:rFonts w:ascii="Arial" w:hAnsi="Arial"/>
      <w:sz w:val="24"/>
      <w:szCs w:val="24"/>
    </w:rPr>
  </w:style>
  <w:style w:type="paragraph" w:customStyle="1" w:styleId="221">
    <w:name w:val="Char"/>
    <w:basedOn w:val="1"/>
    <w:qFormat/>
    <w:uiPriority w:val="0"/>
    <w:pPr>
      <w:tabs>
        <w:tab w:val="left" w:pos="360"/>
      </w:tabs>
      <w:ind w:firstLine="200"/>
    </w:pPr>
    <w:rPr>
      <w:sz w:val="28"/>
      <w:szCs w:val="30"/>
    </w:rPr>
  </w:style>
  <w:style w:type="paragraph" w:styleId="222">
    <w:name w:val="List Paragraph"/>
    <w:basedOn w:val="1"/>
    <w:qFormat/>
    <w:uiPriority w:val="34"/>
    <w:pPr>
      <w:ind w:firstLine="420"/>
    </w:pPr>
    <w:rPr>
      <w:szCs w:val="21"/>
    </w:rPr>
  </w:style>
  <w:style w:type="character" w:customStyle="1" w:styleId="223">
    <w:name w:val="标题 2 Char"/>
    <w:basedOn w:val="48"/>
    <w:link w:val="3"/>
    <w:qFormat/>
    <w:uiPriority w:val="0"/>
    <w:rPr>
      <w:rFonts w:asciiTheme="majorHAnsi" w:hAnsiTheme="majorHAnsi" w:eastAsiaTheme="majorEastAsia" w:cstheme="majorBidi"/>
      <w:b/>
      <w:bCs/>
      <w:sz w:val="32"/>
      <w:szCs w:val="32"/>
    </w:rPr>
  </w:style>
  <w:style w:type="character" w:customStyle="1" w:styleId="224">
    <w:name w:val="qowt-font2"/>
    <w:basedOn w:val="48"/>
    <w:qFormat/>
    <w:uiPriority w:val="0"/>
  </w:style>
  <w:style w:type="paragraph" w:customStyle="1" w:styleId="225">
    <w:name w:val="qowt-stl-正文"/>
    <w:basedOn w:val="1"/>
    <w:qFormat/>
    <w:uiPriority w:val="0"/>
    <w:pPr>
      <w:widowControl/>
      <w:spacing w:before="100" w:beforeAutospacing="1" w:after="100" w:afterAutospacing="1"/>
      <w:jc w:val="left"/>
    </w:pPr>
    <w:rPr>
      <w:rFonts w:ascii="宋体" w:hAnsi="宋体" w:cs="宋体"/>
      <w:sz w:val="24"/>
      <w:szCs w:val="24"/>
    </w:rPr>
  </w:style>
  <w:style w:type="character" w:customStyle="1" w:styleId="226">
    <w:name w:val="纯文本 Char1"/>
    <w:qFormat/>
    <w:uiPriority w:val="99"/>
    <w:rPr>
      <w:rFonts w:ascii="宋体" w:hAnsi="Courier New"/>
    </w:rPr>
  </w:style>
  <w:style w:type="character" w:customStyle="1" w:styleId="227">
    <w:name w:val="日期 Char"/>
    <w:basedOn w:val="48"/>
    <w:link w:val="26"/>
    <w:qFormat/>
    <w:uiPriority w:val="0"/>
    <w:rPr>
      <w:sz w:val="21"/>
      <w:szCs w:val="22"/>
    </w:rPr>
  </w:style>
  <w:style w:type="character" w:customStyle="1" w:styleId="228">
    <w:name w:val="NormalCharacter"/>
    <w:semiHidden/>
    <w:qFormat/>
    <w:uiPriority w:val="0"/>
    <w:rPr>
      <w:rFonts w:ascii="Calibri" w:hAnsi="Calibri" w:eastAsia="宋体" w:cs="Times New Roman"/>
      <w:sz w:val="21"/>
      <w:szCs w:val="22"/>
      <w:lang w:val="en-US" w:eastAsia="zh-CN" w:bidi="ar-SA"/>
    </w:rPr>
  </w:style>
  <w:style w:type="character" w:customStyle="1" w:styleId="229">
    <w:name w:val="正文首行缩进 2 Char"/>
    <w:basedOn w:val="203"/>
    <w:link w:val="45"/>
    <w:semiHidden/>
    <w:qFormat/>
    <w:uiPriority w:val="99"/>
    <w:rPr>
      <w:rFonts w:asciiTheme="minorHAnsi" w:hAnsiTheme="minorHAnsi" w:eastAsiaTheme="minorEastAsia" w:cstheme="minorBidi"/>
      <w:sz w:val="21"/>
      <w:szCs w:val="22"/>
      <w:lang w:bidi="ar-SA"/>
    </w:rPr>
  </w:style>
  <w:style w:type="paragraph" w:styleId="230">
    <w:name w:val="No Spacing"/>
    <w:qFormat/>
    <w:uiPriority w:val="1"/>
    <w:pPr>
      <w:widowControl w:val="0"/>
      <w:jc w:val="both"/>
    </w:pPr>
    <w:rPr>
      <w:rFonts w:hint="default" w:asciiTheme="minorHAnsi" w:hAnsiTheme="minorHAnsi" w:eastAsiaTheme="minorEastAsia" w:cstheme="minorBidi"/>
      <w:sz w:val="21"/>
      <w:szCs w:val="22"/>
    </w:rPr>
  </w:style>
  <w:style w:type="character" w:customStyle="1" w:styleId="231">
    <w:name w:val="标题 3 Char"/>
    <w:basedOn w:val="48"/>
    <w:link w:val="5"/>
    <w:qFormat/>
    <w:uiPriority w:val="9"/>
    <w:rPr>
      <w:b/>
      <w:bCs/>
      <w:sz w:val="32"/>
      <w:szCs w:val="32"/>
    </w:rPr>
  </w:style>
  <w:style w:type="character" w:customStyle="1" w:styleId="232">
    <w:name w:val="标题 5 Char"/>
    <w:basedOn w:val="48"/>
    <w:link w:val="7"/>
    <w:qFormat/>
    <w:uiPriority w:val="9"/>
    <w:rPr>
      <w:b/>
      <w:bCs/>
      <w:sz w:val="28"/>
      <w:szCs w:val="28"/>
    </w:rPr>
  </w:style>
  <w:style w:type="paragraph" w:customStyle="1" w:styleId="233">
    <w:name w:val="表格文字"/>
    <w:basedOn w:val="1"/>
    <w:qFormat/>
    <w:uiPriority w:val="0"/>
    <w:pPr>
      <w:jc w:val="left"/>
    </w:pPr>
    <w:rPr>
      <w:bCs/>
      <w:spacing w:val="10"/>
      <w:szCs w:val="20"/>
    </w:rPr>
  </w:style>
  <w:style w:type="paragraph" w:customStyle="1" w:styleId="234">
    <w:name w:val="正文111"/>
    <w:qFormat/>
    <w:uiPriority w:val="0"/>
    <w:pPr>
      <w:widowControl w:val="0"/>
      <w:jc w:val="both"/>
    </w:pPr>
    <w:rPr>
      <w:rFonts w:hint="default" w:ascii="Times New Roman" w:hAnsi="Times New Roman" w:eastAsia="宋体" w:cs="Times New Roman"/>
      <w:sz w:val="21"/>
      <w:szCs w:val="24"/>
    </w:rPr>
  </w:style>
  <w:style w:type="paragraph" w:customStyle="1" w:styleId="235">
    <w:name w:val="投标文件正文"/>
    <w:basedOn w:val="1"/>
    <w:qFormat/>
    <w:uiPriority w:val="0"/>
    <w:pPr>
      <w:spacing w:line="440" w:lineRule="exact"/>
      <w:ind w:firstLine="560"/>
    </w:pPr>
    <w:rPr>
      <w:rFonts w:ascii="仿宋_GB2312" w:hAnsi="Calibri" w:eastAsia="仿宋_GB2312"/>
      <w:bCs/>
      <w:sz w:val="28"/>
      <w:szCs w:val="28"/>
    </w:rPr>
  </w:style>
  <w:style w:type="paragraph" w:customStyle="1" w:styleId="236">
    <w:name w:val="Body text|1"/>
    <w:basedOn w:val="1"/>
    <w:qFormat/>
    <w:uiPriority w:val="0"/>
    <w:pPr>
      <w:spacing w:line="331" w:lineRule="auto"/>
    </w:pPr>
    <w:rPr>
      <w:rFonts w:ascii="宋体" w:hAnsi="宋体" w:cs="宋体"/>
      <w:sz w:val="20"/>
      <w:szCs w:val="20"/>
      <w:lang w:val="zh-TW" w:eastAsia="zh-TW" w:bidi="zh-TW"/>
    </w:rPr>
  </w:style>
  <w:style w:type="table" w:customStyle="1" w:styleId="237">
    <w:name w:val="Table Normal"/>
    <w:semiHidden/>
    <w:qFormat/>
    <w:uiPriority w:val="0"/>
    <w:rPr>
      <w:rFonts w:asciiTheme="minorHAnsi" w:hAnsiTheme="minorHAnsi" w:eastAsiaTheme="minorEastAsia" w:cstheme="minorBidi"/>
      <w:sz w:val="21"/>
      <w:szCs w:val="22"/>
    </w:rPr>
    <w:tblPr>
      <w:tblCellMar>
        <w:top w:w="0" w:type="dxa"/>
        <w:left w:w="108" w:type="dxa"/>
        <w:bottom w:w="0" w:type="dxa"/>
        <w:right w:w="0" w:type="dxa"/>
      </w:tblCellMar>
    </w:tblPr>
  </w:style>
  <w:style w:type="paragraph" w:customStyle="1" w:styleId="238">
    <w:name w:val="无列表1"/>
    <w:semiHidden/>
    <w:qFormat/>
    <w:uiPriority w:val="0"/>
    <w:rPr>
      <w:rFonts w:hint="default" w:asciiTheme="minorHAnsi" w:hAnsiTheme="minorHAnsi" w:eastAsiaTheme="minorEastAsia" w:cstheme="minorBidi"/>
      <w:sz w:val="21"/>
      <w:szCs w:val="22"/>
    </w:rPr>
  </w:style>
  <w:style w:type="paragraph" w:customStyle="1" w:styleId="239">
    <w:name w:val="正文1"/>
    <w:basedOn w:val="240"/>
    <w:link w:val="244"/>
    <w:qFormat/>
    <w:uiPriority w:val="0"/>
    <w:pPr>
      <w:spacing w:line="360" w:lineRule="auto"/>
      <w:ind w:firstLine="480"/>
    </w:pPr>
    <w:rPr>
      <w:rFonts w:hint="default" w:ascii="宋体" w:hAnsi="宋体" w:eastAsia="宋体" w:cs="Times New Roman"/>
      <w:sz w:val="24"/>
    </w:rPr>
  </w:style>
  <w:style w:type="paragraph" w:customStyle="1" w:styleId="240">
    <w:name w:val="正文11"/>
    <w:next w:val="24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41">
    <w:name w:val="正文首行缩进 21"/>
    <w:basedOn w:val="242"/>
    <w:next w:val="243"/>
    <w:qFormat/>
    <w:uiPriority w:val="0"/>
    <w:pPr>
      <w:spacing w:after="0" w:line="360" w:lineRule="auto"/>
      <w:ind w:left="0" w:firstLine="420"/>
    </w:pPr>
    <w:rPr>
      <w:rFonts w:ascii="宋体" w:hAnsi="宋体" w:eastAsia="宋体"/>
      <w:sz w:val="20"/>
      <w:szCs w:val="20"/>
    </w:rPr>
  </w:style>
  <w:style w:type="paragraph" w:customStyle="1" w:styleId="242">
    <w:name w:val="正文文本缩进1"/>
    <w:basedOn w:val="240"/>
    <w:next w:val="1"/>
    <w:qFormat/>
    <w:uiPriority w:val="0"/>
    <w:pPr>
      <w:spacing w:after="120"/>
      <w:ind w:left="420"/>
    </w:pPr>
    <w:rPr>
      <w:rFonts w:ascii="Times New Roman" w:hAnsi="Times New Roman" w:eastAsia="宋体"/>
    </w:rPr>
  </w:style>
  <w:style w:type="paragraph" w:customStyle="1" w:styleId="243">
    <w:name w:val="正文缩进1"/>
    <w:basedOn w:val="1"/>
    <w:qFormat/>
    <w:uiPriority w:val="0"/>
    <w:pPr>
      <w:ind w:firstLine="420"/>
    </w:pPr>
  </w:style>
  <w:style w:type="character" w:customStyle="1" w:styleId="244">
    <w:name w:val="正文 Char"/>
    <w:link w:val="239"/>
    <w:qFormat/>
    <w:uiPriority w:val="0"/>
    <w:rPr>
      <w:rFonts w:ascii="宋体" w:hAnsi="宋体"/>
      <w:sz w:val="24"/>
    </w:rPr>
  </w:style>
  <w:style w:type="paragraph" w:customStyle="1" w:styleId="245">
    <w:name w:val="样式 首行缩进:  0 字符"/>
    <w:basedOn w:val="1"/>
    <w:qFormat/>
    <w:uiPriority w:val="0"/>
    <w:pPr>
      <w:spacing w:line="360" w:lineRule="auto"/>
      <w:ind w:firstLine="200"/>
    </w:pPr>
    <w:rPr>
      <w:rFonts w:ascii="Arial" w:hAnsi="Arial" w:cs="宋体"/>
      <w:sz w:val="24"/>
      <w:szCs w:val="20"/>
    </w:rPr>
  </w:style>
  <w:style w:type="character" w:customStyle="1" w:styleId="246">
    <w:name w:val="正文首行缩进 Char"/>
    <w:basedOn w:val="211"/>
    <w:link w:val="44"/>
    <w:qFormat/>
    <w:uiPriority w:val="0"/>
    <w:rPr>
      <w:rFonts w:ascii="楷体_GB2312" w:hAnsi="Arial" w:eastAsia="楷体_GB2312"/>
      <w:sz w:val="21"/>
      <w:szCs w:val="22"/>
      <w:lang w:bidi="ar-SA"/>
    </w:rPr>
  </w:style>
  <w:style w:type="paragraph" w:customStyle="1" w:styleId="247">
    <w:name w:val="font5"/>
    <w:basedOn w:val="1"/>
    <w:qFormat/>
    <w:uiPriority w:val="0"/>
    <w:pPr>
      <w:widowControl/>
      <w:spacing w:before="100" w:beforeAutospacing="1" w:after="100" w:afterAutospacing="1"/>
      <w:jc w:val="left"/>
    </w:pPr>
    <w:rPr>
      <w:rFonts w:ascii="宋体" w:hAnsi="宋体" w:cs="宋体"/>
      <w:sz w:val="20"/>
      <w:szCs w:val="20"/>
    </w:rPr>
  </w:style>
  <w:style w:type="paragraph" w:customStyle="1" w:styleId="248">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49">
    <w:name w:val="xl116"/>
    <w:basedOn w:val="1"/>
    <w:qFormat/>
    <w:uiPriority w:val="0"/>
    <w:pPr>
      <w:widowControl/>
      <w:spacing w:before="100" w:beforeAutospacing="1" w:after="100" w:afterAutospacing="1"/>
      <w:jc w:val="center"/>
    </w:pPr>
    <w:rPr>
      <w:rFonts w:ascii="等线" w:hAnsi="等线" w:eastAsia="等线" w:cs="宋体"/>
      <w:color w:val="000000"/>
      <w:sz w:val="24"/>
      <w:szCs w:val="24"/>
    </w:rPr>
  </w:style>
  <w:style w:type="paragraph" w:customStyle="1" w:styleId="250">
    <w:name w:val="xl117"/>
    <w:basedOn w:val="1"/>
    <w:qFormat/>
    <w:uiPriority w:val="0"/>
    <w:pPr>
      <w:widowControl/>
      <w:spacing w:before="100" w:beforeAutospacing="1" w:after="100" w:afterAutospacing="1"/>
      <w:jc w:val="left"/>
    </w:pPr>
    <w:rPr>
      <w:rFonts w:ascii="等线" w:hAnsi="等线" w:eastAsia="等线" w:cs="宋体"/>
      <w:color w:val="000000"/>
      <w:sz w:val="24"/>
      <w:szCs w:val="24"/>
    </w:rPr>
  </w:style>
  <w:style w:type="paragraph" w:customStyle="1" w:styleId="251">
    <w:name w:val="xl118"/>
    <w:basedOn w:val="1"/>
    <w:qFormat/>
    <w:uiPriority w:val="0"/>
    <w:pPr>
      <w:widowControl/>
      <w:spacing w:before="100" w:beforeAutospacing="1" w:after="100" w:afterAutospacing="1"/>
      <w:jc w:val="center"/>
    </w:pPr>
    <w:rPr>
      <w:rFonts w:ascii="等线" w:hAnsi="等线" w:eastAsia="等线" w:cs="宋体"/>
      <w:color w:val="000000"/>
      <w:sz w:val="24"/>
      <w:szCs w:val="24"/>
    </w:rPr>
  </w:style>
  <w:style w:type="paragraph" w:customStyle="1" w:styleId="252">
    <w:name w:val="xl119"/>
    <w:basedOn w:val="1"/>
    <w:qFormat/>
    <w:uiPriority w:val="0"/>
    <w:pPr>
      <w:widowControl/>
      <w:spacing w:before="100" w:beforeAutospacing="1" w:after="100" w:afterAutospacing="1"/>
      <w:jc w:val="center"/>
    </w:pPr>
    <w:rPr>
      <w:rFonts w:ascii="等线" w:hAnsi="等线" w:eastAsia="等线" w:cs="宋体"/>
      <w:color w:val="000000"/>
      <w:sz w:val="24"/>
      <w:szCs w:val="24"/>
    </w:rPr>
  </w:style>
  <w:style w:type="paragraph" w:customStyle="1" w:styleId="253">
    <w:name w:val="xl120"/>
    <w:basedOn w:val="1"/>
    <w:qFormat/>
    <w:uiPriority w:val="0"/>
    <w:pPr>
      <w:widowControl/>
      <w:spacing w:before="100" w:beforeAutospacing="1" w:after="100" w:afterAutospacing="1"/>
      <w:jc w:val="left"/>
    </w:pPr>
    <w:rPr>
      <w:rFonts w:ascii="等线" w:hAnsi="等线" w:eastAsia="等线" w:cs="宋体"/>
      <w:color w:val="000000"/>
      <w:sz w:val="20"/>
      <w:szCs w:val="20"/>
    </w:rPr>
  </w:style>
  <w:style w:type="paragraph" w:customStyle="1" w:styleId="254">
    <w:name w:val="xl121"/>
    <w:basedOn w:val="1"/>
    <w:qFormat/>
    <w:uiPriority w:val="0"/>
    <w:pPr>
      <w:widowControl/>
      <w:spacing w:before="100" w:beforeAutospacing="1" w:after="100" w:afterAutospacing="1"/>
      <w:jc w:val="left"/>
    </w:pPr>
    <w:rPr>
      <w:rFonts w:ascii="等线" w:hAnsi="等线" w:eastAsia="等线" w:cs="宋体"/>
      <w:color w:val="000000"/>
      <w:sz w:val="24"/>
      <w:szCs w:val="24"/>
    </w:rPr>
  </w:style>
  <w:style w:type="paragraph" w:customStyle="1" w:styleId="255">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256">
    <w:name w:val="xl123"/>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257">
    <w:name w:val="xl124"/>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258">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259">
    <w:name w:val="xl126"/>
    <w:basedOn w:val="1"/>
    <w:qFormat/>
    <w:uiPriority w:val="0"/>
    <w:pPr>
      <w:widowControl/>
      <w:spacing w:before="100" w:beforeAutospacing="1" w:after="100" w:afterAutospacing="1"/>
      <w:jc w:val="left"/>
    </w:pPr>
    <w:rPr>
      <w:rFonts w:ascii="等线" w:hAnsi="等线" w:eastAsia="等线" w:cs="宋体"/>
      <w:b/>
      <w:bCs/>
      <w:color w:val="000000"/>
      <w:sz w:val="24"/>
      <w:szCs w:val="24"/>
    </w:rPr>
  </w:style>
  <w:style w:type="paragraph" w:customStyle="1" w:styleId="260">
    <w:name w:val="xl127"/>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261">
    <w:name w:val="xl128"/>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262">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0"/>
      <w:szCs w:val="20"/>
    </w:rPr>
  </w:style>
  <w:style w:type="paragraph" w:customStyle="1" w:styleId="263">
    <w:name w:val="xl1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264">
    <w:name w:val="xl131"/>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265">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266">
    <w:name w:val="xl133"/>
    <w:basedOn w:val="1"/>
    <w:qFormat/>
    <w:uiPriority w:val="0"/>
    <w:pPr>
      <w:widowControl/>
      <w:pBdr>
        <w:top w:val="single" w:color="auto" w:sz="4" w:space="0"/>
        <w:left w:val="single" w:color="auto" w:sz="8" w:space="0"/>
        <w:right w:val="single" w:color="auto" w:sz="4" w:space="0"/>
      </w:pBdr>
      <w:spacing w:before="100" w:beforeAutospacing="1" w:after="100" w:afterAutospacing="1"/>
      <w:jc w:val="center"/>
    </w:pPr>
    <w:rPr>
      <w:rFonts w:ascii="宋体" w:hAnsi="宋体" w:cs="宋体"/>
      <w:sz w:val="20"/>
      <w:szCs w:val="20"/>
    </w:rPr>
  </w:style>
  <w:style w:type="paragraph" w:customStyle="1" w:styleId="267">
    <w:name w:val="xl134"/>
    <w:basedOn w:val="1"/>
    <w:qFormat/>
    <w:uiPriority w:val="0"/>
    <w:pPr>
      <w:widowControl/>
      <w:pBdr>
        <w:left w:val="single" w:color="auto" w:sz="8" w:space="0"/>
        <w:right w:val="single" w:color="auto" w:sz="4" w:space="0"/>
      </w:pBdr>
      <w:spacing w:before="100" w:beforeAutospacing="1" w:after="100" w:afterAutospacing="1"/>
      <w:jc w:val="center"/>
    </w:pPr>
    <w:rPr>
      <w:rFonts w:ascii="宋体" w:hAnsi="宋体" w:cs="宋体"/>
      <w:sz w:val="20"/>
      <w:szCs w:val="20"/>
    </w:rPr>
  </w:style>
  <w:style w:type="paragraph" w:customStyle="1" w:styleId="268">
    <w:name w:val="xl135"/>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269">
    <w:name w:val="xl13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color w:val="000000"/>
      <w:sz w:val="20"/>
      <w:szCs w:val="20"/>
    </w:rPr>
  </w:style>
  <w:style w:type="paragraph" w:customStyle="1" w:styleId="270">
    <w:name w:val="xl13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271">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rPr>
  </w:style>
  <w:style w:type="paragraph" w:customStyle="1" w:styleId="272">
    <w:name w:val="方案正文"/>
    <w:basedOn w:val="4"/>
    <w:qFormat/>
    <w:uiPriority w:val="0"/>
    <w:pPr>
      <w:spacing w:line="360" w:lineRule="auto"/>
      <w:ind w:firstLine="200"/>
    </w:pPr>
    <w:rPr>
      <w:rFonts w:ascii="宋体" w:hAnsi="宋体" w:cs="宋体"/>
      <w:sz w:val="24"/>
      <w:szCs w:val="24"/>
    </w:rPr>
  </w:style>
  <w:style w:type="paragraph" w:customStyle="1" w:styleId="273">
    <w:name w:val="文本块1"/>
    <w:basedOn w:val="1"/>
    <w:next w:val="1"/>
    <w:qFormat/>
    <w:uiPriority w:val="0"/>
    <w:pPr>
      <w:spacing w:line="360" w:lineRule="auto"/>
      <w:ind w:left="420" w:right="33" w:firstLine="420"/>
      <w:jc w:val="left"/>
    </w:pPr>
    <w:rPr>
      <w:rFonts w:ascii="宋体" w:hAnsi="宋体" w:cs="宋体"/>
      <w:szCs w:val="20"/>
    </w:rPr>
  </w:style>
  <w:style w:type="paragraph" w:customStyle="1" w:styleId="274">
    <w:name w:val="标题 31"/>
    <w:basedOn w:val="1"/>
    <w:next w:val="1"/>
    <w:qFormat/>
    <w:uiPriority w:val="0"/>
    <w:pPr>
      <w:keepNext/>
      <w:keepLines/>
      <w:spacing w:before="260" w:after="260" w:line="416" w:lineRule="auto"/>
      <w:outlineLvl w:val="2"/>
    </w:pPr>
    <w:rPr>
      <w:b/>
      <w:bCs/>
      <w:sz w:val="32"/>
      <w:szCs w:val="32"/>
    </w:rPr>
  </w:style>
  <w:style w:type="paragraph" w:customStyle="1" w:styleId="275">
    <w:name w:val="table_1stline"/>
    <w:basedOn w:val="1"/>
    <w:qFormat/>
    <w:uiPriority w:val="0"/>
    <w:pPr>
      <w:widowControl/>
      <w:spacing w:before="120" w:line="360" w:lineRule="auto"/>
      <w:jc w:val="left"/>
    </w:pPr>
    <w:rPr>
      <w:rFonts w:eastAsia="MS Mincho" w:asciiTheme="minorHAnsi" w:hAnsiTheme="minorHAnsi" w:cstheme="minorBidi"/>
      <w:bCs/>
      <w:sz w:val="20"/>
      <w:szCs w:val="20"/>
      <w:lang w:val="de-DE" w:eastAsia="de-DE"/>
    </w:rPr>
  </w:style>
  <w:style w:type="paragraph" w:customStyle="1" w:styleId="276">
    <w:name w:val="Default"/>
    <w:qFormat/>
    <w:uiPriority w:val="0"/>
    <w:pPr>
      <w:widowControl w:val="0"/>
      <w:spacing w:line="360" w:lineRule="auto"/>
      <w:jc w:val="center"/>
    </w:pPr>
    <w:rPr>
      <w:rFonts w:hint="default" w:ascii="...." w:hAnsi="Times New Roman" w:eastAsia="...." w:cs="...."/>
      <w:color w:val="000000"/>
      <w:sz w:val="24"/>
      <w:szCs w:val="24"/>
    </w:rPr>
  </w:style>
  <w:style w:type="paragraph" w:customStyle="1" w:styleId="277">
    <w:name w:val="列表段落1"/>
    <w:basedOn w:val="1"/>
    <w:qFormat/>
    <w:uiPriority w:val="34"/>
    <w:pPr>
      <w:spacing w:line="360" w:lineRule="auto"/>
      <w:ind w:firstLine="420"/>
      <w:jc w:val="center"/>
    </w:pPr>
    <w:rPr>
      <w:rFonts w:eastAsiaTheme="minorEastAsia" w:cstheme="minorBidi"/>
      <w:szCs w:val="24"/>
    </w:rPr>
  </w:style>
  <w:style w:type="paragraph" w:customStyle="1" w:styleId="278">
    <w:name w:val="LC主要特点"/>
    <w:basedOn w:val="1"/>
    <w:qFormat/>
    <w:uiPriority w:val="0"/>
    <w:pPr>
      <w:spacing w:line="360" w:lineRule="auto"/>
      <w:jc w:val="center"/>
    </w:pPr>
    <w:rPr>
      <w:rFonts w:ascii="Arial Unicode MS" w:hAnsi="Arial Unicode MS" w:eastAsia="Arial Unicode MS" w:cstheme="minorBidi"/>
      <w:b/>
      <w:szCs w:val="24"/>
    </w:rPr>
  </w:style>
  <w:style w:type="paragraph" w:customStyle="1" w:styleId="279">
    <w:name w:val="LC 文字内容 带符号编码"/>
    <w:next w:val="1"/>
    <w:qFormat/>
    <w:uiPriority w:val="0"/>
    <w:pPr>
      <w:numPr>
        <w:ilvl w:val="0"/>
        <w:numId w:val="3"/>
      </w:numPr>
      <w:ind w:left="840"/>
      <w:jc w:val="both"/>
    </w:pPr>
    <w:rPr>
      <w:rFonts w:hint="default" w:ascii="Arial Unicode MS" w:hAnsi="Arial Unicode MS" w:eastAsia="Arial Unicode MS" w:cs="Times New Roman"/>
      <w:sz w:val="21"/>
    </w:rPr>
  </w:style>
  <w:style w:type="paragraph" w:customStyle="1" w:styleId="280">
    <w:name w:val="LC表"/>
    <w:qFormat/>
    <w:uiPriority w:val="0"/>
    <w:pPr>
      <w:jc w:val="center"/>
    </w:pPr>
    <w:rPr>
      <w:rFonts w:hint="default" w:ascii="Arial Unicode MS" w:hAnsi="Arial Unicode MS" w:eastAsia="Arial Unicode MS" w:cstheme="minorBidi"/>
      <w:sz w:val="18"/>
      <w:szCs w:val="22"/>
    </w:rPr>
  </w:style>
  <w:style w:type="paragraph" w:customStyle="1" w:styleId="281">
    <w:name w:val="标题 41"/>
    <w:basedOn w:val="1"/>
    <w:next w:val="243"/>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82">
    <w:name w:val="正文_0_0"/>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283">
    <w:name w:val="Char1"/>
    <w:basedOn w:val="1"/>
    <w:qFormat/>
    <w:uiPriority w:val="0"/>
    <w:pPr>
      <w:tabs>
        <w:tab w:val="left" w:pos="360"/>
      </w:tabs>
      <w:ind w:firstLine="200"/>
    </w:pPr>
    <w:rPr>
      <w:sz w:val="28"/>
      <w:szCs w:val="30"/>
    </w:rPr>
  </w:style>
  <w:style w:type="paragraph" w:customStyle="1" w:styleId="284">
    <w:name w:val="标题 21"/>
    <w:basedOn w:val="1"/>
    <w:next w:val="1"/>
    <w:qFormat/>
    <w:uiPriority w:val="0"/>
    <w:pPr>
      <w:keepNext/>
      <w:keepLines/>
      <w:spacing w:before="260" w:after="260" w:line="416" w:lineRule="auto"/>
      <w:jc w:val="center"/>
      <w:outlineLvl w:val="1"/>
    </w:pPr>
    <w:rPr>
      <w:rFonts w:ascii="Arial" w:hAnsi="Arial" w:eastAsia="幼圆" w:cs="Times New Roman"/>
      <w:b/>
      <w:bCs/>
      <w:sz w:val="44"/>
      <w:szCs w:val="44"/>
      <w:lang w:val="en-US" w:eastAsia="en-US"/>
    </w:rPr>
  </w:style>
  <w:style w:type="paragraph" w:customStyle="1" w:styleId="285">
    <w:name w:val="标题 11"/>
    <w:basedOn w:val="1"/>
    <w:next w:val="1"/>
    <w:qFormat/>
    <w:uiPriority w:val="99"/>
    <w:pPr>
      <w:keepNext/>
      <w:outlineLvl w:val="0"/>
    </w:pPr>
    <w:rPr>
      <w:rFonts w:ascii="楷体_GB2312" w:hAnsi="Times New Roman" w:eastAsia="楷体_GB2312"/>
      <w:sz w:val="28"/>
      <w:szCs w:val="20"/>
    </w:rPr>
  </w:style>
  <w:style w:type="paragraph" w:customStyle="1" w:styleId="286">
    <w:name w:val="纯文本111"/>
    <w:basedOn w:val="1"/>
    <w:qFormat/>
    <w:uiPriority w:val="99"/>
    <w:rPr>
      <w:rFonts w:ascii="宋体" w:hAnsi="Courier New"/>
      <w:szCs w:val="20"/>
    </w:rPr>
  </w:style>
  <w:style w:type="paragraph" w:customStyle="1" w:styleId="287">
    <w:name w:val="纯文本1"/>
    <w:basedOn w:val="1"/>
    <w:qFormat/>
    <w:uiPriority w:val="0"/>
    <w:rPr>
      <w:rFonts w:ascii="宋体" w:hAnsi="Courier New" w:eastAsia="楷体_GB2312"/>
      <w:sz w:val="28"/>
      <w:szCs w:val="21"/>
    </w:rPr>
  </w:style>
  <w:style w:type="paragraph" w:customStyle="1" w:styleId="288">
    <w:name w:val="页脚1"/>
    <w:basedOn w:val="1"/>
    <w:unhideWhenUsed/>
    <w:qFormat/>
    <w:uiPriority w:val="0"/>
    <w:pPr>
      <w:tabs>
        <w:tab w:val="center" w:pos="4153"/>
        <w:tab w:val="right" w:pos="8306"/>
      </w:tabs>
      <w:jc w:val="left"/>
    </w:pPr>
    <w:rPr>
      <w:sz w:val="18"/>
    </w:rPr>
  </w:style>
  <w:style w:type="paragraph" w:customStyle="1" w:styleId="289">
    <w:name w:val="纯文本11"/>
    <w:basedOn w:val="1"/>
    <w:qFormat/>
    <w:uiPriority w:val="0"/>
    <w:rPr>
      <w:rFonts w:hint="eastAsia" w:ascii="宋体" w:hAnsi="Courier New"/>
      <w:szCs w:val="20"/>
    </w:rPr>
  </w:style>
  <w:style w:type="paragraph" w:customStyle="1" w:styleId="290">
    <w:name w:val="Other|1"/>
    <w:basedOn w:val="1"/>
    <w:qFormat/>
    <w:uiPriority w:val="0"/>
    <w:pPr>
      <w:jc w:val="center"/>
    </w:pPr>
    <w:rPr>
      <w:rFonts w:cs="宋体"/>
      <w:sz w:val="20"/>
      <w:szCs w:val="20"/>
      <w:lang w:val="zh-TW" w:eastAsia="zh-TW" w:bidi="zh-TW"/>
    </w:rPr>
  </w:style>
  <w:style w:type="paragraph" w:customStyle="1" w:styleId="291">
    <w:name w:val="样式1"/>
    <w:basedOn w:val="7"/>
    <w:qFormat/>
    <w:uiPriority w:val="0"/>
    <w:pPr>
      <w:keepLines w:val="0"/>
    </w:pPr>
  </w:style>
  <w:style w:type="paragraph" w:customStyle="1" w:styleId="292">
    <w:name w:val="W正文"/>
    <w:basedOn w:val="1"/>
    <w:qFormat/>
    <w:uiPriority w:val="0"/>
    <w:rPr>
      <w:rFonts w:eastAsiaTheme="minorEastAsi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47</Pages>
  <Words>28184</Words>
  <Characters>30297</Characters>
  <TotalTime>6</TotalTime>
  <ScaleCrop>false</ScaleCrop>
  <LinksUpToDate>false</LinksUpToDate>
  <CharactersWithSpaces>32354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2024-11-18T05:56:00Z</dcterms:created>
  <dc:creator>Administrator</dc:creator>
  <cp:lastModifiedBy>小  可 爱。 么么 哒</cp:lastModifiedBy>
  <cp:lastPrinted>2026-10-30T03:57:00Z</cp:lastPrinted>
  <dcterms:modified xsi:type="dcterms:W3CDTF">2026-10-30T07:03:12Z</dcterms:modified>
  <cp:revision>726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F14CF7143B3448E2B2A071A6D6418EBE_13</vt:lpwstr>
  </property>
  <property fmtid="{D5CDD505-2E9C-101B-9397-08002B2CF9AE}" pid="4" name="KSOTemplateDocerSaveRecord">
    <vt:lpwstr>eyJoZGlkIjoiOTg2OTI5MDY3YWQyMTk4MmE2YmQ3MjBhNzE2MDQ4YzQiLCJ1c2VySWQiOiIzNjk3MjM4OTcifQ==</vt:lpwstr>
  </property>
</Properties>
</file>