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jc w:val="center"/>
        <w:spacing w:line="360" w:lineRule="auto"/>
        <w:rPr>
          <w:rFonts w:hint="eastAsia" w:ascii="宋体" w:hAnsi="宋体" w:cs="宋体"/>
          <w:b/>
          <w:bCs/>
          <w:sz w:val="48"/>
          <w:szCs w:val="48"/>
        </w:rPr>
      </w:pPr>
      <w:r/>
      <w:bookmarkStart w:id="0" w:name="_Hlk74841385"/>
      <w:r/>
      <w:bookmarkStart w:id="1" w:name="_Hlk77778371"/>
      <w:r>
        <w:rPr>
          <w:rFonts w:hint="eastAsia" w:ascii="宋体" w:hAnsi="宋体" w:cs="宋体"/>
          <w:b/>
          <w:bCs/>
          <w:sz w:val="48"/>
          <w:szCs w:val="48"/>
        </w:rPr>
        <w:t xml:space="preserve">南京工业职业技术大学</w:t>
      </w:r>
      <w:r/>
    </w:p>
    <w:p>
      <w:pPr>
        <w:pStyle w:val="1100"/>
        <w:jc w:val="center"/>
        <w:spacing w:line="360" w:lineRule="auto"/>
        <w:rPr>
          <w:rFonts w:hint="eastAsia" w:ascii="宋体" w:hAnsi="宋体" w:cs="宋体"/>
          <w:sz w:val="20"/>
          <w:szCs w:val="21"/>
        </w:rPr>
      </w:pPr>
      <w:r>
        <w:rPr>
          <w:rFonts w:hint="eastAsia" w:ascii="宋体" w:hAnsi="宋体" w:cs="宋体"/>
          <w:b/>
          <w:bCs/>
          <w:sz w:val="48"/>
          <w:szCs w:val="48"/>
        </w:rPr>
        <w:t xml:space="preserve">微波通信综合实验平台</w: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1055"/>
        <w:ind w:left="12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1055"/>
        <w:ind w:left="126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2261870</wp:posOffset>
                </wp:positionH>
                <wp:positionV relativeFrom="paragraph">
                  <wp:posOffset>-1757680</wp:posOffset>
                </wp:positionV>
                <wp:extent cx="1692910" cy="2101850"/>
                <wp:effectExtent l="0" t="0" r="2540" b="12700"/>
                <wp:wrapSquare wrapText="bothSides"/>
                <wp:docPr id="8"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我的插图-1"/>
                        <pic:cNvPicPr>
                          <a:picLocks noChangeAspect="1"/>
                        </pic:cNvPicPr>
                        <pic:nvPr/>
                      </pic:nvPicPr>
                      <pic:blipFill>
                        <a:blip r:embed="rId18"/>
                        <a:stretch/>
                      </pic:blipFill>
                      <pic:spPr bwMode="auto">
                        <a:xfrm>
                          <a:off x="0" y="0"/>
                          <a:ext cx="1692910" cy="2101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78.1pt;mso-position-horizontal:absolute;mso-position-vertical-relative:text;margin-top:-138.4pt;mso-position-vertical:absolute;width:133.3pt;height:165.5pt;mso-wrap-distance-left:9.0pt;mso-wrap-distance-top:0.0pt;mso-wrap-distance-right:9.0pt;mso-wrap-distance-bottom:0.0pt;" stroked="f">
                <v:path textboxrect="0,0,0,0"/>
                <w10:wrap type="square"/>
                <v:imagedata r:id="rId18" o:title=""/>
              </v:shape>
            </w:pict>
          </mc:Fallback>
        </mc:AlternateContent>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采  购  文  件</w:t>
      </w:r>
      <w:r/>
    </w:p>
    <w:p>
      <w:pPr>
        <w:jc w:val="center"/>
        <w:spacing w:line="360" w:lineRule="auto"/>
        <w:widowControl/>
        <w:rPr>
          <w:rFonts w:hint="eastAsia" w:ascii="宋体" w:hAnsi="宋体" w:eastAsia="宋体" w:cs="宋体"/>
          <w:b/>
          <w:sz w:val="40"/>
          <w:szCs w:val="40"/>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JSZC-320000-SNZX-G2026-0165</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t xml:space="preserve">  </w:t>
      </w:r>
      <w:r/>
    </w:p>
    <w:p>
      <w:pPr>
        <w:pStyle w:val="1055"/>
        <w:ind w:left="1260"/>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ind w:firstLine="1928"/>
        <w:spacing w:line="360" w:lineRule="auto"/>
        <w:widowControl/>
        <w:rPr>
          <w:rFonts w:hint="eastAsia"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采购代理机构：南京苏宁工程咨询有限公司</w:t>
      </w:r>
      <w:r/>
    </w:p>
    <w:p>
      <w:pPr>
        <w:ind w:firstLine="1928"/>
        <w:spacing w:line="360" w:lineRule="auto"/>
        <w:shd w:val="clear" w:color="auto" w:fill="ffffff"/>
        <w:widowControl/>
        <w:rPr>
          <w:rFonts w:hint="eastAsia" w:ascii="宋体" w:hAnsi="宋体" w:cs="宋体"/>
          <w:b/>
          <w:sz w:val="36"/>
          <w:szCs w:val="36"/>
        </w:rPr>
      </w:pPr>
      <w:r>
        <w:rPr>
          <w:rFonts w:hint="eastAsia" w:ascii="宋体" w:hAnsi="宋体" w:cs="宋体"/>
          <w:b/>
          <w:sz w:val="32"/>
          <w:szCs w:val="32"/>
        </w:rPr>
        <w:t xml:space="preserve">发放日期：2026年10月</w:t>
      </w:r>
      <w:r>
        <w:rPr>
          <w:rFonts w:hint="eastAsia" w:ascii="宋体" w:hAnsi="宋体" w:cs="宋体"/>
          <w:b/>
          <w:sz w:val="36"/>
          <w:szCs w:val="36"/>
        </w:rPr>
        <w:br w:type="page" w:clear="all"/>
      </w:r>
      <w:r/>
    </w:p>
    <w:p>
      <w:pPr>
        <w:pStyle w:val="1203"/>
        <w:jc w:val="center"/>
        <w:spacing w:line="360" w:lineRule="auto"/>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1066"/>
        <w:spacing w:line="360" w:lineRule="auto"/>
        <w:tabs>
          <w:tab w:val="right" w:pos="8299" w:leader="dot"/>
        </w:tabs>
        <w:rPr>
          <w:rFonts w:hint="eastAsia" w:ascii="宋体" w:hAnsi="宋体" w:cs="宋体"/>
          <w:sz w:val="28"/>
          <w:szCs w:val="36"/>
        </w:rPr>
      </w:pPr>
      <w:r>
        <w:rPr>
          <w:rFonts w:hint="eastAsia" w:ascii="宋体" w:hAnsi="宋体" w:cs="宋体"/>
          <w:sz w:val="40"/>
          <w:szCs w:val="40"/>
        </w:rPr>
        <w:fldChar w:fldCharType="begin"/>
      </w:r>
      <w:r>
        <w:rPr>
          <w:rFonts w:hint="eastAsia" w:ascii="宋体" w:hAnsi="宋体" w:cs="宋体"/>
          <w:sz w:val="40"/>
          <w:szCs w:val="40"/>
        </w:rPr>
        <w:instrText xml:space="preserve">TOC \o "1-1" \h \u </w:instrText>
      </w:r>
      <w:r>
        <w:rPr>
          <w:rFonts w:hint="eastAsia" w:ascii="宋体" w:hAnsi="宋体" w:cs="宋体"/>
          <w:sz w:val="40"/>
          <w:szCs w:val="40"/>
        </w:rPr>
        <w:fldChar w:fldCharType="separate"/>
      </w:r>
      <w:r>
        <w:fldChar w:fldCharType="begin"/>
      </w:r>
      <w:r>
        <w:instrText xml:space="preserve"> HYPERLINK \l "_Toc30685" </w:instrText>
      </w:r>
      <w:r>
        <w:fldChar w:fldCharType="separate"/>
      </w:r>
      <w:r>
        <w:rPr>
          <w:rFonts w:hint="eastAsia" w:ascii="宋体" w:hAnsi="宋体" w:cs="宋体"/>
          <w:sz w:val="28"/>
          <w:szCs w:val="28"/>
        </w:rPr>
        <w:t xml:space="preserve">第一章 </w:t>
      </w:r>
      <w:r>
        <w:rPr>
          <w:rFonts w:hint="eastAsia" w:ascii="宋体" w:hAnsi="宋体" w:cs="宋体"/>
          <w:sz w:val="28"/>
          <w:szCs w:val="36"/>
        </w:rPr>
        <w:t xml:space="preserve">采购公告</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_Toc30685 \h </w:instrText>
      </w:r>
      <w:r>
        <w:rPr>
          <w:rFonts w:hint="eastAsia" w:ascii="宋体" w:hAnsi="宋体" w:cs="宋体"/>
          <w:sz w:val="28"/>
          <w:szCs w:val="36"/>
        </w:rPr>
        <w:fldChar w:fldCharType="separate"/>
      </w:r>
      <w:r>
        <w:rPr>
          <w:rFonts w:hint="eastAsia" w:ascii="宋体" w:hAnsi="宋体" w:cs="宋体"/>
          <w:sz w:val="28"/>
          <w:szCs w:val="36"/>
        </w:rPr>
        <w:t xml:space="preserve">3</w:t>
      </w:r>
      <w:r>
        <w:rPr>
          <w:rFonts w:hint="eastAsia" w:ascii="宋体" w:hAnsi="宋体" w:cs="宋体"/>
          <w:sz w:val="28"/>
          <w:szCs w:val="36"/>
        </w:rPr>
        <w:fldChar w:fldCharType="end"/>
      </w:r>
      <w:r>
        <w:rPr>
          <w:rFonts w:hint="eastAsia" w:ascii="宋体" w:hAnsi="宋体" w:cs="宋体"/>
          <w:sz w:val="28"/>
          <w:szCs w:val="36"/>
        </w:rPr>
        <w:fldChar w:fldCharType="end"/>
      </w:r>
      <w:r/>
    </w:p>
    <w:p>
      <w:pPr>
        <w:pStyle w:val="1066"/>
        <w:spacing w:line="360" w:lineRule="auto"/>
        <w:tabs>
          <w:tab w:val="right" w:pos="8299" w:leader="dot"/>
        </w:tabs>
        <w:rPr>
          <w:rFonts w:hint="eastAsia" w:ascii="宋体" w:hAnsi="宋体" w:cs="宋体"/>
          <w:sz w:val="28"/>
          <w:szCs w:val="36"/>
        </w:rPr>
      </w:pPr>
      <w:r>
        <w:fldChar w:fldCharType="begin"/>
      </w:r>
      <w:r>
        <w:instrText xml:space="preserve"> HYPERLINK \l "_Toc26745" </w:instrText>
      </w:r>
      <w:r>
        <w:fldChar w:fldCharType="separate"/>
      </w:r>
      <w:r>
        <w:rPr>
          <w:rFonts w:hint="eastAsia" w:ascii="宋体" w:hAnsi="宋体" w:cs="宋体"/>
          <w:sz w:val="28"/>
          <w:szCs w:val="36"/>
        </w:rPr>
        <w:t xml:space="preserve">第二章 供应商须知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_Toc26745 \h </w:instrText>
      </w:r>
      <w:r>
        <w:rPr>
          <w:rFonts w:hint="eastAsia" w:ascii="宋体" w:hAnsi="宋体" w:cs="宋体"/>
          <w:sz w:val="28"/>
          <w:szCs w:val="36"/>
        </w:rPr>
        <w:fldChar w:fldCharType="separate"/>
      </w:r>
      <w:r>
        <w:rPr>
          <w:rFonts w:hint="eastAsia" w:ascii="宋体" w:hAnsi="宋体" w:cs="宋体"/>
          <w:sz w:val="28"/>
          <w:szCs w:val="36"/>
        </w:rPr>
        <w:t xml:space="preserve">7</w:t>
      </w:r>
      <w:r>
        <w:rPr>
          <w:rFonts w:hint="eastAsia" w:ascii="宋体" w:hAnsi="宋体" w:cs="宋体"/>
          <w:sz w:val="28"/>
          <w:szCs w:val="36"/>
        </w:rPr>
        <w:fldChar w:fldCharType="end"/>
      </w:r>
      <w:r>
        <w:rPr>
          <w:rFonts w:hint="eastAsia" w:ascii="宋体" w:hAnsi="宋体" w:cs="宋体"/>
          <w:sz w:val="28"/>
          <w:szCs w:val="36"/>
        </w:rPr>
        <w:fldChar w:fldCharType="end"/>
      </w:r>
      <w:r/>
    </w:p>
    <w:p>
      <w:pPr>
        <w:pStyle w:val="1066"/>
        <w:spacing w:line="360" w:lineRule="auto"/>
        <w:tabs>
          <w:tab w:val="right" w:pos="8299" w:leader="dot"/>
        </w:tabs>
        <w:rPr>
          <w:rFonts w:hint="eastAsia" w:ascii="宋体" w:hAnsi="宋体" w:cs="宋体"/>
          <w:sz w:val="28"/>
          <w:szCs w:val="36"/>
        </w:rPr>
      </w:pPr>
      <w:r>
        <w:fldChar w:fldCharType="begin"/>
      </w:r>
      <w:r>
        <w:instrText xml:space="preserve"> HYPERLINK \l "_Toc28285" </w:instrText>
      </w:r>
      <w:r>
        <w:fldChar w:fldCharType="separate"/>
      </w:r>
      <w:r>
        <w:rPr>
          <w:rFonts w:hint="eastAsia" w:ascii="宋体" w:hAnsi="宋体" w:cs="宋体"/>
          <w:sz w:val="28"/>
          <w:szCs w:val="36"/>
        </w:rPr>
        <w:t xml:space="preserve">第三章 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_Toc28285 \h </w:instrText>
      </w:r>
      <w:r>
        <w:rPr>
          <w:rFonts w:hint="eastAsia" w:ascii="宋体" w:hAnsi="宋体" w:cs="宋体"/>
          <w:sz w:val="28"/>
          <w:szCs w:val="36"/>
        </w:rPr>
        <w:fldChar w:fldCharType="separate"/>
      </w:r>
      <w:r>
        <w:rPr>
          <w:rFonts w:hint="eastAsia" w:ascii="宋体" w:hAnsi="宋体" w:cs="宋体"/>
          <w:sz w:val="28"/>
          <w:szCs w:val="36"/>
        </w:rPr>
        <w:t xml:space="preserve">20</w:t>
      </w:r>
      <w:r>
        <w:rPr>
          <w:rFonts w:hint="eastAsia" w:ascii="宋体" w:hAnsi="宋体" w:cs="宋体"/>
          <w:sz w:val="28"/>
          <w:szCs w:val="36"/>
        </w:rPr>
        <w:fldChar w:fldCharType="end"/>
      </w:r>
      <w:r>
        <w:rPr>
          <w:rFonts w:hint="eastAsia" w:ascii="宋体" w:hAnsi="宋体" w:cs="宋体"/>
          <w:sz w:val="28"/>
          <w:szCs w:val="36"/>
        </w:rPr>
        <w:fldChar w:fldCharType="end"/>
      </w:r>
      <w:r/>
    </w:p>
    <w:p>
      <w:pPr>
        <w:pStyle w:val="1066"/>
        <w:spacing w:line="360" w:lineRule="auto"/>
        <w:tabs>
          <w:tab w:val="right" w:pos="8299" w:leader="dot"/>
        </w:tabs>
        <w:rPr>
          <w:rFonts w:hint="eastAsia" w:ascii="宋体" w:hAnsi="宋体" w:cs="宋体"/>
          <w:sz w:val="28"/>
          <w:szCs w:val="36"/>
        </w:rPr>
      </w:pPr>
      <w:r>
        <w:fldChar w:fldCharType="begin"/>
      </w:r>
      <w:r>
        <w:instrText xml:space="preserve"> HYPERLINK \l "_Toc6871" </w:instrText>
      </w:r>
      <w:r>
        <w:fldChar w:fldCharType="separate"/>
      </w:r>
      <w:r>
        <w:rPr>
          <w:rFonts w:hint="eastAsia" w:ascii="宋体" w:hAnsi="宋体" w:cs="宋体"/>
          <w:sz w:val="28"/>
          <w:szCs w:val="36"/>
        </w:rPr>
        <w:t xml:space="preserve">第四章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_Toc6871 \h </w:instrText>
      </w:r>
      <w:r>
        <w:rPr>
          <w:rFonts w:hint="eastAsia" w:ascii="宋体" w:hAnsi="宋体" w:cs="宋体"/>
          <w:sz w:val="28"/>
          <w:szCs w:val="36"/>
        </w:rPr>
        <w:fldChar w:fldCharType="separate"/>
      </w:r>
      <w:r>
        <w:rPr>
          <w:rFonts w:hint="eastAsia" w:ascii="宋体" w:hAnsi="宋体" w:cs="宋体"/>
          <w:sz w:val="28"/>
          <w:szCs w:val="36"/>
        </w:rPr>
        <w:t xml:space="preserve">26</w:t>
      </w:r>
      <w:r>
        <w:rPr>
          <w:rFonts w:hint="eastAsia" w:ascii="宋体" w:hAnsi="宋体" w:cs="宋体"/>
          <w:sz w:val="28"/>
          <w:szCs w:val="36"/>
        </w:rPr>
        <w:fldChar w:fldCharType="end"/>
      </w:r>
      <w:r>
        <w:rPr>
          <w:rFonts w:hint="eastAsia" w:ascii="宋体" w:hAnsi="宋体" w:cs="宋体"/>
          <w:sz w:val="28"/>
          <w:szCs w:val="36"/>
        </w:rPr>
        <w:fldChar w:fldCharType="end"/>
      </w:r>
      <w:r/>
    </w:p>
    <w:p>
      <w:pPr>
        <w:pStyle w:val="1066"/>
        <w:spacing w:line="360" w:lineRule="auto"/>
        <w:tabs>
          <w:tab w:val="right" w:pos="8299" w:leader="dot"/>
        </w:tabs>
        <w:rPr>
          <w:rFonts w:hint="eastAsia" w:ascii="宋体" w:hAnsi="宋体" w:cs="宋体"/>
          <w:sz w:val="28"/>
          <w:szCs w:val="36"/>
        </w:rPr>
      </w:pPr>
      <w:r>
        <w:fldChar w:fldCharType="begin"/>
      </w:r>
      <w:r>
        <w:instrText xml:space="preserve"> HYPERLINK \l "_Toc18631" </w:instrText>
      </w:r>
      <w:r>
        <w:fldChar w:fldCharType="separate"/>
      </w:r>
      <w:r>
        <w:rPr>
          <w:rFonts w:hint="eastAsia" w:ascii="宋体" w:hAnsi="宋体" w:cs="宋体"/>
          <w:sz w:val="28"/>
          <w:szCs w:val="36"/>
        </w:rPr>
        <w:t xml:space="preserve">第五章 合同主要条款及格式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_Toc18631 \h </w:instrText>
      </w:r>
      <w:r>
        <w:rPr>
          <w:rFonts w:hint="eastAsia" w:ascii="宋体" w:hAnsi="宋体" w:cs="宋体"/>
          <w:sz w:val="28"/>
          <w:szCs w:val="36"/>
        </w:rPr>
        <w:fldChar w:fldCharType="separate"/>
      </w:r>
      <w:r>
        <w:rPr>
          <w:rFonts w:hint="eastAsia" w:ascii="宋体" w:hAnsi="宋体" w:cs="宋体"/>
          <w:sz w:val="28"/>
          <w:szCs w:val="36"/>
        </w:rPr>
        <w:t xml:space="preserve">34</w:t>
      </w:r>
      <w:r>
        <w:rPr>
          <w:rFonts w:hint="eastAsia" w:ascii="宋体" w:hAnsi="宋体" w:cs="宋体"/>
          <w:sz w:val="28"/>
          <w:szCs w:val="36"/>
        </w:rPr>
        <w:fldChar w:fldCharType="end"/>
      </w:r>
      <w:r>
        <w:rPr>
          <w:rFonts w:hint="eastAsia" w:ascii="宋体" w:hAnsi="宋体" w:cs="宋体"/>
          <w:sz w:val="28"/>
          <w:szCs w:val="36"/>
        </w:rPr>
        <w:fldChar w:fldCharType="end"/>
      </w:r>
      <w:r/>
    </w:p>
    <w:p>
      <w:pPr>
        <w:pStyle w:val="1066"/>
        <w:spacing w:line="360" w:lineRule="auto"/>
        <w:tabs>
          <w:tab w:val="right" w:pos="8299" w:leader="dot"/>
        </w:tabs>
        <w:rPr>
          <w:rFonts w:hint="eastAsia" w:ascii="宋体" w:hAnsi="宋体" w:cs="宋体"/>
          <w:sz w:val="28"/>
          <w:szCs w:val="36"/>
        </w:rPr>
      </w:pPr>
      <w:r>
        <w:fldChar w:fldCharType="begin"/>
      </w:r>
      <w:r>
        <w:instrText xml:space="preserve"> HYPERLINK \l "_Toc7019" </w:instrText>
      </w:r>
      <w:r>
        <w:fldChar w:fldCharType="separate"/>
      </w:r>
      <w:r>
        <w:rPr>
          <w:rFonts w:hint="eastAsia" w:ascii="宋体" w:hAnsi="宋体" w:cs="宋体"/>
          <w:sz w:val="28"/>
          <w:szCs w:val="36"/>
        </w:rPr>
        <w:t xml:space="preserve">第六章 投标文件格式及附件</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_Toc7019 \h </w:instrText>
      </w:r>
      <w:r>
        <w:rPr>
          <w:rFonts w:hint="eastAsia" w:ascii="宋体" w:hAnsi="宋体" w:cs="宋体"/>
          <w:sz w:val="28"/>
          <w:szCs w:val="36"/>
        </w:rPr>
        <w:fldChar w:fldCharType="separate"/>
      </w:r>
      <w:r>
        <w:rPr>
          <w:rFonts w:hint="eastAsia" w:ascii="宋体" w:hAnsi="宋体" w:cs="宋体"/>
          <w:sz w:val="28"/>
          <w:szCs w:val="36"/>
        </w:rPr>
        <w:t xml:space="preserve">40</w:t>
      </w:r>
      <w:r>
        <w:rPr>
          <w:rFonts w:hint="eastAsia" w:ascii="宋体" w:hAnsi="宋体" w:cs="宋体"/>
          <w:sz w:val="28"/>
          <w:szCs w:val="36"/>
        </w:rPr>
        <w:fldChar w:fldCharType="end"/>
      </w:r>
      <w:r>
        <w:rPr>
          <w:rFonts w:hint="eastAsia" w:ascii="宋体" w:hAnsi="宋体" w:cs="宋体"/>
          <w:sz w:val="28"/>
          <w:szCs w:val="36"/>
        </w:rPr>
        <w:fldChar w:fldCharType="end"/>
      </w:r>
      <w:r/>
    </w:p>
    <w:p>
      <w:pPr>
        <w:spacing w:line="360" w:lineRule="auto"/>
        <w:rPr>
          <w:rFonts w:hint="eastAsia" w:ascii="宋体" w:hAnsi="宋体" w:cs="宋体"/>
          <w:sz w:val="72"/>
          <w:szCs w:val="72"/>
        </w:rPr>
      </w:pPr>
      <w:r>
        <w:rPr>
          <w:rFonts w:hint="eastAsia" w:ascii="宋体" w:hAnsi="宋体" w:cs="宋体"/>
          <w:sz w:val="28"/>
          <w:szCs w:val="40"/>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1033"/>
        <w:spacing w:line="360" w:lineRule="auto"/>
        <w:rPr>
          <w:rFonts w:hint="eastAsia" w:ascii="宋体" w:hAnsi="宋体" w:cs="宋体"/>
          <w:szCs w:val="21"/>
        </w:rPr>
        <w:sectPr>
          <w:headerReference w:type="default" r:id="rId9"/>
          <w:headerReference w:type="first" r:id="rId10"/>
          <w:footerReference w:type="default" r:id="rId12"/>
          <w:footerReference w:type="first" r:id="rId13"/>
          <w:footnotePr/>
          <w:endnotePr/>
          <w:type w:val="nextPage"/>
          <w:pgSz w:w="11905" w:h="16838" w:orient="portrait"/>
          <w:pgMar w:top="1440" w:right="1080" w:bottom="1440" w:left="1080" w:header="850" w:footer="992" w:gutter="0"/>
          <w:cols w:num="1" w:sep="0" w:space="0" w:equalWidth="1"/>
          <w:docGrid w:linePitch="360"/>
          <w:titlePg/>
        </w:sectPr>
      </w:pPr>
      <w:r/>
      <w:bookmarkStart w:id="2" w:name="_Toc481057143"/>
      <w:r/>
      <w:r/>
    </w:p>
    <w:p>
      <w:pPr>
        <w:pStyle w:val="1033"/>
        <w:numPr>
          <w:ilvl w:val="0"/>
          <w:numId w:val="0"/>
        </w:numPr>
        <w:spacing w:before="0" w:after="0" w:line="240" w:lineRule="auto"/>
        <w:rPr>
          <w:rFonts w:hint="eastAsia"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6"/>
      <w:r/>
      <w:bookmarkStart w:id="6" w:name="OLE_LINK5"/>
      <w:r/>
      <w:bookmarkStart w:id="7" w:name="OLE_LINK7"/>
      <w:r/>
      <w:bookmarkStart w:id="8" w:name="OLE_LINK1"/>
      <w:r/>
      <w:bookmarkStart w:id="9" w:name="_Hlk74842529"/>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hint="eastAsia"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微波通信综合实验平台</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hint="eastAsia" w:ascii="宋体" w:hAnsi="宋体" w:cs="宋体"/>
          <w:szCs w:val="21"/>
          <w:highlight w:val="yellow"/>
          <w:u w:val="single"/>
        </w:rPr>
        <w:t xml:space="preserve">2026年</w:t>
      </w:r>
      <w:r>
        <w:rPr>
          <w:rFonts w:hint="eastAsia" w:ascii="宋体" w:hAnsi="宋体" w:cs="宋体"/>
          <w:szCs w:val="21"/>
          <w:highlight w:val="yellow"/>
          <w:u w:val="single"/>
          <w:lang w:val="en-US" w:eastAsia="zh-CN"/>
        </w:rPr>
        <w:t xml:space="preserve">11</w:t>
      </w:r>
      <w:r>
        <w:rPr>
          <w:rFonts w:hint="eastAsia" w:ascii="宋体" w:hAnsi="宋体" w:cs="宋体"/>
          <w:szCs w:val="21"/>
          <w:highlight w:val="yellow"/>
          <w:u w:val="single"/>
        </w:rPr>
        <w:t xml:space="preserve">月</w:t>
      </w:r>
      <w:r>
        <w:rPr>
          <w:rFonts w:hint="eastAsia" w:ascii="宋体" w:hAnsi="宋体" w:cs="宋体"/>
          <w:szCs w:val="21"/>
          <w:highlight w:val="yellow"/>
          <w:u w:val="single"/>
          <w:lang w:val="en-US" w:eastAsia="zh-CN"/>
        </w:rPr>
        <w:t xml:space="preserve">5</w:t>
      </w:r>
      <w:r>
        <w:rPr>
          <w:rFonts w:hint="eastAsia" w:ascii="宋体" w:hAnsi="宋体" w:cs="宋体"/>
          <w:szCs w:val="21"/>
          <w:highlight w:val="yellow"/>
          <w:u w:val="single"/>
        </w:rPr>
        <w:t xml:space="preserve">日9点</w:t>
      </w:r>
      <w:r>
        <w:rPr>
          <w:rFonts w:hint="eastAsia" w:ascii="宋体" w:hAnsi="宋体" w:cs="宋体"/>
          <w:szCs w:val="21"/>
          <w:highlight w:val="yellow"/>
          <w:u w:val="single"/>
          <w:lang w:val="en-US" w:eastAsia="zh-CN"/>
        </w:rPr>
        <w:t xml:space="preserve">0</w:t>
      </w:r>
      <w:r>
        <w:rPr>
          <w:rFonts w:hint="eastAsia" w:ascii="宋体" w:hAnsi="宋体" w:cs="宋体"/>
          <w:szCs w:val="21"/>
          <w:highlight w:val="yellow"/>
          <w:u w:val="single"/>
        </w:rPr>
        <w:t xml:space="preserve">0分</w:t>
      </w:r>
      <w:r>
        <w:rPr>
          <w:rFonts w:hint="eastAsia" w:ascii="宋体" w:hAnsi="宋体" w:cs="宋体"/>
          <w:spacing w:val="8"/>
          <w:szCs w:val="21"/>
        </w:rPr>
        <w:t xml:space="preserve">（北京时间）前递交投标文件。</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 w:val="21"/>
          <w:szCs w:val="21"/>
          <w:lang w:eastAsia="zh-CN"/>
        </w:rPr>
      </w:pPr>
      <w:r>
        <w:rPr>
          <w:rFonts w:hint="eastAsia" w:ascii="宋体" w:hAnsi="宋体" w:eastAsia="宋体" w:cs="宋体"/>
          <w:spacing w:val="8"/>
          <w:sz w:val="21"/>
          <w:szCs w:val="21"/>
        </w:rPr>
        <w:t xml:space="preserve">1.1项目编号：</w:t>
      </w:r>
      <w:r>
        <w:rPr>
          <w:rFonts w:hint="eastAsia" w:ascii="宋体" w:hAnsi="宋体" w:eastAsia="宋体" w:cs="宋体"/>
          <w:spacing w:val="8"/>
          <w:sz w:val="21"/>
          <w:szCs w:val="21"/>
          <w:lang w:eastAsia="zh-CN"/>
        </w:rPr>
        <w:t xml:space="preserve">JSZC-320000-SNZX-G2026-0165</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1.2项目名称：微波通信综合实验平台</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1.3预算金额：人民币106万元</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1.4最高限价：人民币106万元，投标报价超过最高限价的为无效投标。</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1.5采购需求：南京工业职业技术大学为满足教学实验需要，需采购1套</w:t>
      </w:r>
      <w:r>
        <w:rPr>
          <w:rFonts w:hint="eastAsia" w:ascii="宋体" w:hAnsi="宋体" w:eastAsia="宋体" w:cs="宋体"/>
          <w:bCs/>
          <w:spacing w:val="8"/>
          <w:sz w:val="21"/>
          <w:szCs w:val="21"/>
        </w:rPr>
        <w:t xml:space="preserve">微波通信综合实验平台</w:t>
      </w:r>
      <w:r>
        <w:rPr>
          <w:rFonts w:hint="eastAsia" w:ascii="宋体" w:hAnsi="宋体" w:eastAsia="宋体" w:cs="宋体"/>
          <w:spacing w:val="8"/>
          <w:sz w:val="21"/>
          <w:szCs w:val="21"/>
        </w:rPr>
        <w:t xml:space="preserve">；具体内容详见采购文件 第四章 采购需求。</w:t>
      </w:r>
      <w:r/>
    </w:p>
    <w:p>
      <w:pPr>
        <w:pStyle w:val="1058"/>
        <w:ind w:firstLine="452"/>
        <w:spacing w:line="360" w:lineRule="auto"/>
        <w:rPr>
          <w:rFonts w:hint="eastAsia" w:ascii="宋体" w:hAnsi="宋体" w:eastAsia="宋体" w:cs="宋体"/>
          <w:spacing w:val="8"/>
          <w:sz w:val="21"/>
          <w:szCs w:val="21"/>
        </w:rPr>
      </w:pPr>
      <w:r>
        <w:rPr>
          <w:rFonts w:hint="eastAsia" w:ascii="宋体" w:hAnsi="宋体" w:eastAsia="宋体" w:cs="宋体"/>
          <w:spacing w:val="8"/>
          <w:sz w:val="21"/>
          <w:szCs w:val="21"/>
        </w:rPr>
        <w:t xml:space="preserve">1.6合同履行期限：合同签订生效后，30个日历日内全部设备、材料运抵现场，并安装、调试结束，验收合格，交付采购方使用。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1.8本项目</w:t>
      </w:r>
      <w:r>
        <w:rPr>
          <w:rFonts w:hint="eastAsia" w:ascii="宋体" w:hAnsi="宋体" w:eastAsia="宋体" w:cs="宋体"/>
          <w:b/>
          <w:bCs/>
          <w:spacing w:val="8"/>
          <w:sz w:val="21"/>
          <w:szCs w:val="21"/>
        </w:rPr>
        <w:t xml:space="preserve">非专门</w:t>
      </w:r>
      <w:r>
        <w:rPr>
          <w:rFonts w:hint="eastAsia" w:ascii="宋体" w:hAnsi="宋体" w:eastAsia="宋体" w:cs="宋体"/>
          <w:spacing w:val="8"/>
          <w:sz w:val="21"/>
          <w:szCs w:val="21"/>
        </w:rPr>
        <w:t xml:space="preserve">面向中小企业采购。</w:t>
      </w:r>
      <w:r/>
    </w:p>
    <w:p>
      <w:pPr>
        <w:ind w:firstLine="452"/>
        <w:spacing w:line="360" w:lineRule="auto"/>
        <w:shd w:val="clear" w:color="auto" w:fill="ffffff"/>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1.9本项目</w:t>
      </w:r>
      <w:r>
        <w:rPr>
          <w:rFonts w:hint="eastAsia" w:ascii="宋体" w:hAnsi="宋体" w:eastAsia="宋体" w:cs="宋体"/>
          <w:b/>
          <w:bCs/>
          <w:spacing w:val="8"/>
          <w:sz w:val="21"/>
          <w:szCs w:val="21"/>
        </w:rPr>
        <w:t xml:space="preserve">不接受</w:t>
      </w:r>
      <w:r>
        <w:rPr>
          <w:rFonts w:hint="eastAsia" w:ascii="宋体" w:hAnsi="宋体" w:eastAsia="宋体" w:cs="宋体"/>
          <w:spacing w:val="8"/>
          <w:sz w:val="21"/>
          <w:szCs w:val="21"/>
        </w:rPr>
        <w:t xml:space="preserve">进口产品。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 w:val="21"/>
          <w:szCs w:val="21"/>
          <w14:textFill>
            <w14:solidFill>
              <w14:schemeClr w14:val="bg1"/>
            </w14:solidFill>
          </w14:textFill>
        </w:rPr>
      </w:pPr>
      <w:r>
        <w:rPr>
          <w:rFonts w:hint="eastAsia" w:ascii="宋体" w:hAnsi="宋体" w:eastAsia="宋体" w:cs="宋体"/>
          <w:spacing w:val="8"/>
          <w:sz w:val="21"/>
          <w:szCs w:val="21"/>
        </w:rPr>
        <w:t xml:space="preserve">1.10本项目</w:t>
      </w:r>
      <w:r>
        <w:rPr>
          <w:rFonts w:hint="eastAsia" w:ascii="宋体" w:hAnsi="宋体" w:eastAsia="宋体" w:cs="宋体"/>
          <w:b/>
          <w:bCs/>
          <w:spacing w:val="8"/>
          <w:sz w:val="21"/>
          <w:szCs w:val="21"/>
        </w:rPr>
        <w:t xml:space="preserve">不接受</w:t>
      </w:r>
      <w:r>
        <w:rPr>
          <w:rFonts w:hint="eastAsia" w:ascii="宋体" w:hAnsi="宋体" w:eastAsia="宋体" w:cs="宋体"/>
          <w:spacing w:val="8"/>
          <w:sz w:val="21"/>
          <w:szCs w:val="21"/>
        </w:rPr>
        <w:t xml:space="preserve">联合体投标。</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 w:val="21"/>
          <w:szCs w:val="21"/>
        </w:rPr>
      </w:pPr>
      <w:r>
        <w:rPr>
          <w:rFonts w:hint="eastAsia" w:ascii="宋体" w:hAnsi="宋体" w:eastAsia="宋体" w:cs="宋体"/>
          <w:b/>
          <w:bCs/>
          <w:spacing w:val="8"/>
          <w:sz w:val="21"/>
          <w:szCs w:val="21"/>
        </w:rPr>
        <w:t xml:space="preserve">2.1满足《中华人民共和国政府采购法》第二十二条规定；</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（1）具有独立承担民事责任的能力</w:t>
      </w:r>
      <w:r>
        <w:rPr>
          <w:rFonts w:hint="eastAsia" w:ascii="宋体" w:hAnsi="宋体" w:eastAsia="宋体" w:cs="宋体"/>
          <w:b/>
          <w:sz w:val="21"/>
          <w:szCs w:val="21"/>
        </w:rPr>
        <w:t xml:space="preserve">（提供法人或者其他组织的营业执照；供应商为自然人的提供其身份证）；</w:t>
      </w:r>
      <w:r>
        <w:rPr>
          <w:rFonts w:hint="eastAsia" w:ascii="宋体" w:hAnsi="宋体" w:eastAsia="宋体" w:cs="宋体"/>
          <w:bCs/>
          <w:sz w:val="21"/>
          <w:szCs w:val="21"/>
        </w:rPr>
        <w:t xml:space="preserve"> </w:t>
      </w:r>
      <w:r/>
    </w:p>
    <w:p>
      <w:pPr>
        <w:ind w:firstLine="424"/>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（2）具有良好的商业信誉和健全的财务会计制度</w:t>
      </w:r>
      <w:r>
        <w:rPr>
          <w:rFonts w:hint="eastAsia" w:ascii="宋体" w:hAnsi="宋体" w:eastAsia="宋体" w:cs="宋体"/>
          <w:b/>
          <w:sz w:val="21"/>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（3）具有履行合同所必需的设备和专业技术能力</w:t>
      </w:r>
      <w:r>
        <w:rPr>
          <w:rFonts w:hint="eastAsia" w:ascii="宋体" w:hAnsi="宋体" w:eastAsia="宋体" w:cs="宋体"/>
          <w:b/>
          <w:sz w:val="21"/>
          <w:szCs w:val="21"/>
        </w:rPr>
        <w:t xml:space="preserve">（供应商根据履行采购项目合同需要，提供履行合同所必需的设备和专业技术能力的证明材料或承诺书加盖公章）</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（4）有依法缴纳税收和社会保障资金的良好记录</w:t>
      </w:r>
      <w:r>
        <w:rPr>
          <w:rFonts w:hint="eastAsia" w:ascii="宋体" w:hAnsi="宋体" w:eastAsia="宋体" w:cs="宋体"/>
          <w:b/>
          <w:sz w:val="21"/>
          <w:szCs w:val="21"/>
        </w:rPr>
        <w:t xml:space="preserve">（提供自投标截止时间前六个月内任意一个月份：①提供缴纳税收的凭证；②提供缴纳社会保险的凭据，依法享受免缴、缓缴的，提供证明材料）</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（5）参加政府采购活动前三年内，在经营活动中没有重大违法记录</w:t>
      </w:r>
      <w:r>
        <w:rPr>
          <w:rFonts w:hint="eastAsia" w:ascii="宋体" w:hAnsi="宋体" w:eastAsia="宋体" w:cs="宋体"/>
          <w:b/>
          <w:sz w:val="21"/>
          <w:szCs w:val="21"/>
        </w:rPr>
        <w:t xml:space="preserve">（提供承诺书加盖公章）</w:t>
      </w:r>
      <w:r>
        <w:rPr>
          <w:rFonts w:hint="eastAsia" w:ascii="宋体" w:hAnsi="宋体" w:eastAsia="宋体" w:cs="宋体"/>
          <w:bCs/>
          <w:sz w:val="21"/>
          <w:szCs w:val="21"/>
        </w:rPr>
        <w:t xml:space="preserve">；</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（6）法律、行政法规规定的其他条件：无。</w:t>
      </w:r>
      <w:r/>
    </w:p>
    <w:p>
      <w:pPr>
        <w:ind w:firstLine="454"/>
        <w:spacing w:line="360" w:lineRule="auto"/>
        <w:shd w:val="clear" w:color="auto" w:fill="ffffff" w:themeFill="background1"/>
        <w:widowControl/>
        <w:rPr>
          <w:rFonts w:hint="eastAsia" w:ascii="宋体" w:hAnsi="宋体" w:eastAsia="宋体" w:cs="宋体"/>
          <w:b/>
          <w:bCs/>
          <w:spacing w:val="8"/>
          <w:sz w:val="21"/>
          <w:szCs w:val="21"/>
        </w:rPr>
      </w:pPr>
      <w:r>
        <w:rPr>
          <w:rFonts w:hint="eastAsia" w:ascii="宋体" w:hAnsi="宋体" w:eastAsia="宋体" w:cs="宋体"/>
          <w:b/>
          <w:bCs/>
          <w:spacing w:val="8"/>
          <w:sz w:val="21"/>
          <w:szCs w:val="21"/>
        </w:rPr>
        <w:t xml:space="preserve">2.2落实政府采购政策需满足的资格要求：无。</w:t>
      </w:r>
      <w:r/>
    </w:p>
    <w:p>
      <w:pPr>
        <w:ind w:firstLine="454"/>
        <w:spacing w:line="360" w:lineRule="auto"/>
        <w:rPr>
          <w:rFonts w:hint="eastAsia" w:ascii="宋体" w:hAnsi="宋体" w:eastAsia="宋体" w:cs="宋体"/>
          <w:b/>
          <w:spacing w:val="8"/>
          <w:sz w:val="21"/>
          <w:szCs w:val="21"/>
          <w:highlight w:val="yellow"/>
        </w:rPr>
      </w:pPr>
      <w:r>
        <w:rPr>
          <w:rFonts w:hint="eastAsia" w:ascii="宋体" w:hAnsi="宋体" w:eastAsia="宋体" w:cs="宋体"/>
          <w:b/>
          <w:spacing w:val="8"/>
          <w:sz w:val="21"/>
          <w:szCs w:val="21"/>
        </w:rPr>
        <w:t xml:space="preserve">2.3采购人根据采购项目的特殊要求规定的特定条件，并提供符合特殊要求的证明材料或者情况说明：无。</w:t>
      </w:r>
      <w:r/>
    </w:p>
    <w:p>
      <w:pPr>
        <w:ind w:firstLine="454"/>
        <w:spacing w:line="360" w:lineRule="auto"/>
        <w:rPr>
          <w:rFonts w:hint="eastAsia" w:ascii="宋体" w:hAnsi="宋体" w:eastAsia="宋体" w:cs="宋体"/>
          <w:bCs/>
          <w:sz w:val="21"/>
          <w:szCs w:val="21"/>
        </w:rPr>
      </w:pPr>
      <w:r>
        <w:rPr>
          <w:rFonts w:hint="eastAsia" w:ascii="宋体" w:hAnsi="宋体" w:eastAsia="宋体" w:cs="宋体"/>
          <w:b/>
          <w:spacing w:val="8"/>
          <w:sz w:val="21"/>
          <w:szCs w:val="21"/>
        </w:rPr>
        <w:t xml:space="preserve">2.4第2.1（5）条所称重大违法记录，</w:t>
      </w:r>
      <w:r>
        <w:rPr>
          <w:rFonts w:hint="eastAsia" w:ascii="宋体" w:hAnsi="宋体" w:eastAsia="宋体" w:cs="宋体"/>
          <w:bCs/>
          <w:sz w:val="21"/>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三、获取招标文件</w:t>
      </w:r>
      <w:r/>
    </w:p>
    <w:p>
      <w:pPr>
        <w:ind w:firstLine="420"/>
        <w:spacing w:line="360" w:lineRule="auto"/>
        <w:shd w:val="clear" w:color="auto" w:fill="ffffff" w:themeFill="background1"/>
        <w:widowControl/>
        <w:rPr>
          <w:rFonts w:hint="eastAsia" w:ascii="宋体" w:hAnsi="宋体" w:eastAsia="宋体" w:cs="宋体"/>
          <w:bCs/>
          <w:sz w:val="21"/>
          <w:szCs w:val="21"/>
        </w:rPr>
      </w:pPr>
      <w:r>
        <w:rPr>
          <w:rFonts w:hint="eastAsia" w:ascii="宋体" w:hAnsi="宋体" w:eastAsia="宋体" w:cs="宋体"/>
          <w:bCs/>
          <w:sz w:val="21"/>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 w:val="21"/>
          <w:szCs w:val="21"/>
        </w:rPr>
      </w:pPr>
      <w:r>
        <w:rPr>
          <w:rFonts w:hint="eastAsia" w:ascii="宋体" w:hAnsi="宋体" w:eastAsia="宋体" w:cs="宋体"/>
          <w:bCs/>
          <w:sz w:val="21"/>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 w:val="21"/>
          <w:szCs w:val="21"/>
          <w:shd w:val="clear" w:color="auto" w:fill="ffffff"/>
        </w:rPr>
      </w:pPr>
      <w:r>
        <w:rPr>
          <w:rFonts w:hint="eastAsia" w:ascii="宋体" w:hAnsi="宋体" w:eastAsia="宋体" w:cs="宋体"/>
          <w:bCs/>
          <w:sz w:val="21"/>
          <w:szCs w:val="21"/>
        </w:rPr>
        <w:t xml:space="preserve">3.3方式：</w:t>
      </w:r>
      <w:r>
        <w:rPr>
          <w:rFonts w:hint="eastAsia" w:ascii="宋体" w:hAnsi="宋体" w:eastAsia="宋体" w:cs="宋体"/>
          <w:sz w:val="21"/>
          <w:szCs w:val="21"/>
        </w:rPr>
        <w:t xml:space="preserve">采用网上注册登记方式</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w:t>
      </w:r>
      <w:r>
        <w:rPr>
          <w:rFonts w:hint="eastAsia" w:ascii="宋体" w:hAnsi="宋体" w:eastAsia="宋体" w:cs="宋体"/>
          <w:spacing w:val="8"/>
          <w:sz w:val="21"/>
          <w:szCs w:val="21"/>
        </w:rPr>
        <w:t xml:space="preserve">售价：0.00元</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四、提交投标文件截止时间、开标时间和地点</w:t>
      </w:r>
      <w:r/>
    </w:p>
    <w:p>
      <w:pPr>
        <w:ind w:firstLine="370"/>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4.1</w:t>
      </w:r>
      <w:r>
        <w:rPr>
          <w:rFonts w:hint="eastAsia" w:ascii="宋体" w:hAnsi="宋体" w:eastAsia="宋体" w:cs="宋体"/>
          <w:spacing w:val="15"/>
          <w:sz w:val="21"/>
          <w:szCs w:val="21"/>
          <w:shd w:val="clear" w:color="auto" w:fill="ffffff"/>
        </w:rPr>
        <w:t xml:space="preserve">提交投标文件截止时间、开标时间：</w:t>
      </w:r>
      <w:r>
        <w:rPr>
          <w:rFonts w:hint="eastAsia" w:ascii="宋体" w:hAnsi="宋体" w:eastAsia="宋体" w:cs="宋体"/>
          <w:b/>
          <w:bCs/>
          <w:sz w:val="21"/>
          <w:szCs w:val="21"/>
          <w:highlight w:val="yellow"/>
        </w:rPr>
        <w:t xml:space="preserve">2026</w:t>
      </w:r>
      <w:r>
        <w:rPr>
          <w:rFonts w:hint="eastAsia" w:ascii="宋体" w:hAnsi="宋体" w:eastAsia="宋体" w:cs="宋体"/>
          <w:b/>
          <w:bCs/>
          <w:spacing w:val="8"/>
          <w:sz w:val="21"/>
          <w:szCs w:val="21"/>
          <w:highlight w:val="yellow"/>
        </w:rPr>
        <w:t xml:space="preserve">年1</w:t>
      </w:r>
      <w:r>
        <w:rPr>
          <w:rFonts w:hint="eastAsia" w:ascii="宋体" w:hAnsi="宋体" w:eastAsia="宋体" w:cs="宋体"/>
          <w:b/>
          <w:bCs/>
          <w:spacing w:val="8"/>
          <w:sz w:val="21"/>
          <w:szCs w:val="21"/>
          <w:highlight w:val="yellow"/>
          <w:lang w:val="en-US" w:eastAsia="zh-CN"/>
        </w:rPr>
        <w:t xml:space="preserve">1</w:t>
      </w:r>
      <w:r>
        <w:rPr>
          <w:rFonts w:hint="eastAsia" w:ascii="宋体" w:hAnsi="宋体" w:eastAsia="宋体" w:cs="宋体"/>
          <w:b/>
          <w:bCs/>
          <w:spacing w:val="8"/>
          <w:sz w:val="21"/>
          <w:szCs w:val="21"/>
          <w:highlight w:val="yellow"/>
        </w:rPr>
        <w:t xml:space="preserve">月</w:t>
      </w:r>
      <w:r>
        <w:rPr>
          <w:rFonts w:hint="eastAsia" w:ascii="宋体" w:hAnsi="宋体" w:eastAsia="宋体" w:cs="宋体"/>
          <w:b/>
          <w:bCs/>
          <w:spacing w:val="8"/>
          <w:sz w:val="21"/>
          <w:szCs w:val="21"/>
          <w:highlight w:val="yellow"/>
          <w:lang w:val="en-US" w:eastAsia="zh-CN"/>
        </w:rPr>
        <w:t xml:space="preserve">5</w:t>
      </w:r>
      <w:r>
        <w:rPr>
          <w:rFonts w:hint="eastAsia" w:ascii="宋体" w:hAnsi="宋体" w:eastAsia="宋体" w:cs="宋体"/>
          <w:b/>
          <w:bCs/>
          <w:spacing w:val="8"/>
          <w:sz w:val="21"/>
          <w:szCs w:val="21"/>
          <w:highlight w:val="yellow"/>
        </w:rPr>
        <w:t xml:space="preserve">日</w:t>
      </w:r>
      <w:r>
        <w:rPr>
          <w:rFonts w:hint="eastAsia" w:ascii="宋体" w:hAnsi="宋体" w:eastAsia="宋体" w:cs="宋体"/>
          <w:b/>
          <w:bCs/>
          <w:sz w:val="21"/>
          <w:szCs w:val="21"/>
          <w:highlight w:val="yellow"/>
        </w:rPr>
        <w:t xml:space="preserve">9</w:t>
      </w:r>
      <w:r>
        <w:rPr>
          <w:rFonts w:hint="eastAsia" w:ascii="宋体" w:hAnsi="宋体" w:eastAsia="宋体" w:cs="宋体"/>
          <w:b/>
          <w:bCs/>
          <w:spacing w:val="8"/>
          <w:sz w:val="21"/>
          <w:szCs w:val="21"/>
          <w:highlight w:val="yellow"/>
        </w:rPr>
        <w:t xml:space="preserve">点</w:t>
      </w:r>
      <w:r>
        <w:rPr>
          <w:rFonts w:hint="eastAsia" w:ascii="宋体" w:hAnsi="宋体" w:eastAsia="宋体" w:cs="宋体"/>
          <w:b/>
          <w:bCs/>
          <w:sz w:val="21"/>
          <w:szCs w:val="21"/>
          <w:highlight w:val="yellow"/>
          <w:lang w:val="en-US" w:eastAsia="zh-CN"/>
        </w:rPr>
        <w:t xml:space="preserve">00</w:t>
      </w:r>
      <w:r>
        <w:rPr>
          <w:rFonts w:hint="eastAsia" w:ascii="宋体" w:hAnsi="宋体" w:eastAsia="宋体" w:cs="宋体"/>
          <w:b/>
          <w:bCs/>
          <w:spacing w:val="8"/>
          <w:sz w:val="21"/>
          <w:szCs w:val="21"/>
          <w:highlight w:val="yellow"/>
        </w:rPr>
        <w:t xml:space="preserve">分</w:t>
      </w:r>
      <w:r>
        <w:rPr>
          <w:rFonts w:hint="eastAsia" w:ascii="宋体" w:hAnsi="宋体" w:eastAsia="宋体" w:cs="宋体"/>
          <w:spacing w:val="8"/>
          <w:sz w:val="21"/>
          <w:szCs w:val="21"/>
        </w:rPr>
        <w:t xml:space="preserve">（北京时间）</w:t>
      </w:r>
      <w:r/>
    </w:p>
    <w:p>
      <w:pPr>
        <w:pStyle w:val="1074"/>
        <w:ind w:firstLine="375"/>
        <w:spacing w:before="0" w:beforeAutospacing="0" w:after="0" w:afterAutospacing="0"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4.2地点：江苏省政府采购管理交易系统（苏采云）（以下简称“苏采云”）（网址：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"http://jszfcg.jsczt.cn/）" </w:instrText>
      </w:r>
      <w:r>
        <w:rPr>
          <w:rFonts w:hint="eastAsia" w:ascii="宋体" w:hAnsi="宋体" w:eastAsia="宋体" w:cs="宋体"/>
          <w:sz w:val="21"/>
          <w:szCs w:val="21"/>
        </w:rPr>
        <w:fldChar w:fldCharType="separate"/>
      </w:r>
      <w:r>
        <w:rPr>
          <w:rFonts w:hint="eastAsia" w:ascii="宋体" w:hAnsi="宋体" w:eastAsia="宋体" w:cs="宋体"/>
          <w:spacing w:val="15"/>
          <w:sz w:val="21"/>
          <w:szCs w:val="21"/>
          <w:shd w:val="clear" w:color="auto" w:fill="ffffff"/>
        </w:rPr>
        <w:t xml:space="preserve">https：//jszfcg.jsczt.cn）</w:t>
      </w:r>
      <w:r>
        <w:rPr>
          <w:rFonts w:hint="eastAsia" w:ascii="宋体" w:hAnsi="宋体" w:eastAsia="宋体" w:cs="宋体"/>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自本公告发布之日起5个工作日。</w:t>
      </w:r>
      <w:r/>
    </w:p>
    <w:p>
      <w:pPr>
        <w:spacing w:line="360" w:lineRule="auto"/>
        <w:shd w:val="clear" w:color="auto" w:fill="ffffff" w:themeFill="background1"/>
        <w:widowControl/>
        <w:rPr>
          <w:rFonts w:hint="eastAsia" w:ascii="宋体" w:hAnsi="宋体" w:eastAsia="宋体" w:cs="宋体"/>
          <w:b/>
          <w:spacing w:val="8"/>
          <w:sz w:val="21"/>
          <w:szCs w:val="21"/>
        </w:rPr>
        <w:outlineLvl w:val="1"/>
      </w:pPr>
      <w:r>
        <w:rPr>
          <w:rFonts w:hint="eastAsia" w:ascii="宋体" w:hAnsi="宋体" w:eastAsia="宋体" w:cs="宋体"/>
          <w:b/>
          <w:spacing w:val="8"/>
          <w:sz w:val="21"/>
          <w:szCs w:val="21"/>
        </w:rPr>
        <w:t xml:space="preserve">六、其他补充事宜</w:t>
      </w:r>
      <w:r/>
    </w:p>
    <w:p>
      <w:pPr>
        <w:ind w:firstLine="424"/>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6.1本项目在</w:t>
      </w:r>
      <w:r>
        <w:rPr>
          <w:rFonts w:hint="eastAsia" w:ascii="宋体" w:hAnsi="宋体" w:eastAsia="宋体" w:cs="宋体"/>
          <w:b/>
          <w:sz w:val="21"/>
          <w:szCs w:val="21"/>
          <w:u w:val="single"/>
        </w:rPr>
        <w:t xml:space="preserve">江苏政府采购网、中国政府采购网</w:t>
      </w:r>
      <w:r>
        <w:rPr>
          <w:rFonts w:hint="eastAsia" w:ascii="宋体" w:hAnsi="宋体" w:eastAsia="宋体" w:cs="宋体"/>
          <w:bCs/>
          <w:sz w:val="21"/>
          <w:szCs w:val="21"/>
          <w:lang w:val="zh-CN"/>
        </w:rPr>
        <w:t xml:space="preserve">发布公告；</w:t>
      </w:r>
      <w:r>
        <w:rPr>
          <w:rFonts w:hint="eastAsia" w:ascii="宋体" w:hAnsi="宋体" w:eastAsia="宋体" w:cs="宋体"/>
          <w:sz w:val="21"/>
          <w:szCs w:val="21"/>
        </w:rPr>
        <w:t xml:space="preserve">若有关本次采购存在变动或修改，敬请各供应商及时关注</w:t>
      </w:r>
      <w:r>
        <w:rPr>
          <w:rFonts w:hint="eastAsia" w:ascii="宋体" w:hAnsi="宋体" w:eastAsia="宋体" w:cs="宋体"/>
          <w:bCs/>
          <w:sz w:val="21"/>
          <w:szCs w:val="21"/>
          <w:lang w:val="zh-CN"/>
        </w:rPr>
        <w:t xml:space="preserve">。</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6.2勘察现场或答疑地点：</w:t>
      </w:r>
      <w:r>
        <w:rPr>
          <w:rFonts w:hint="eastAsia" w:ascii="宋体" w:hAnsi="宋体" w:eastAsia="宋体" w:cs="宋体"/>
          <w:color w:val="000000"/>
          <w:sz w:val="21"/>
          <w:szCs w:val="21"/>
        </w:rPr>
        <w:t xml:space="preserve">本项目不组织集体踏勘，各供应商可自行踏勘。供应商应认真踏勘项目现场，熟悉周围环境，了解一切可能影响供货、投标报价的因素，且供应商应对自行获得的资料、信息的正确性负全部责任，因此所需费用自行承担。一旦供应商中标，中标人不得以不完全了解现场为由，而提出额外的赔偿、补偿、增加费用和延长合同履行期限等要求，对此采购人可不予采纳</w:t>
      </w:r>
      <w:r>
        <w:rPr>
          <w:rFonts w:hint="eastAsia" w:ascii="宋体" w:hAnsi="宋体" w:eastAsia="宋体" w:cs="宋体"/>
          <w:spacing w:val="15"/>
          <w:sz w:val="21"/>
          <w:szCs w:val="21"/>
          <w:shd w:val="clear" w:color="auto" w:fill="ffffff"/>
        </w:rPr>
        <w:t xml:space="preserve">。</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6.3获取招标文件方式补充：本项目采用网上注册登记方式。</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①潜在供应商访问电子招标响应交易平台的网络地址和方法：</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②潜在供应商访问“苏采云”系统的网络地址和方法：“苏采云”系统的网址：http：//jszfcg.jsczt.cn/。</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③“CA数字证书”的获取：</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1"/>
          <w:szCs w:val="21"/>
        </w:rPr>
      </w:pPr>
      <w:r>
        <w:rPr>
          <w:rFonts w:hint="eastAsia" w:ascii="宋体" w:hAnsi="宋体" w:eastAsia="宋体" w:cs="宋体"/>
          <w:b/>
          <w:spacing w:val="8"/>
          <w:sz w:val="21"/>
          <w:szCs w:val="21"/>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7.1采购人信息</w:t>
      </w:r>
      <w:r/>
    </w:p>
    <w:p>
      <w:pPr>
        <w:ind w:firstLine="452"/>
        <w:jc w:val="left"/>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名称：南京工业职业技术大学 </w:t>
      </w:r>
      <w:r/>
    </w:p>
    <w:p>
      <w:pPr>
        <w:ind w:firstLine="452"/>
        <w:jc w:val="left"/>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地址：南京市栖霞区仙林大学城羊山北路1号</w:t>
      </w:r>
      <w:r/>
    </w:p>
    <w:p>
      <w:pPr>
        <w:ind w:firstLine="452"/>
        <w:jc w:val="left"/>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rPr>
        <w:t xml:space="preserve">联系人：纪老师</w:t>
      </w:r>
      <w:r/>
    </w:p>
    <w:p>
      <w:pPr>
        <w:ind w:firstLine="452"/>
        <w:jc w:val="left"/>
        <w:spacing w:line="360" w:lineRule="auto"/>
        <w:widowControl/>
        <w:rPr>
          <w:rFonts w:hint="eastAsia" w:ascii="宋体" w:hAnsi="宋体" w:eastAsia="宋体" w:cs="宋体"/>
          <w:spacing w:val="8"/>
          <w:sz w:val="21"/>
          <w:szCs w:val="21"/>
        </w:rPr>
      </w:pPr>
      <w:r>
        <w:rPr>
          <w:rFonts w:hint="eastAsia" w:ascii="宋体" w:hAnsi="宋体" w:eastAsia="宋体" w:cs="宋体"/>
          <w:spacing w:val="8"/>
          <w:sz w:val="21"/>
          <w:szCs w:val="21"/>
          <w:lang w:val="zh-CN"/>
        </w:rPr>
        <w:t xml:space="preserve">联系电话：025-85864066</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7.2采购代理机构信息</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名 称：南京苏宁工程咨询有限公司</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地　址：南京市中山路99号1212室</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联系方式：聂丽丽 025-84205129</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7.3项目联系方式</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项目联系人：聂丽丽</w:t>
      </w:r>
      <w:r/>
    </w:p>
    <w:p>
      <w:pPr>
        <w:ind w:firstLine="42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电　话：025-84205129</w:t>
      </w:r>
      <w:bookmarkEnd w:id="4"/>
      <w:r/>
      <w:bookmarkEnd w:id="9"/>
      <w:r/>
      <w:bookmarkEnd w:id="13"/>
      <w:r/>
      <w:r/>
    </w:p>
    <w:p>
      <w:pPr>
        <w:jc w:val="left"/>
        <w:spacing w:line="360" w:lineRule="auto"/>
        <w:widowControl/>
        <w:rPr>
          <w:rFonts w:hint="eastAsia" w:ascii="宋体" w:hAnsi="宋体" w:cs="宋体"/>
          <w:szCs w:val="21"/>
        </w:rPr>
      </w:pPr>
      <w:r>
        <w:rPr>
          <w:rFonts w:hint="eastAsia" w:ascii="宋体" w:hAnsi="宋体" w:cs="宋体"/>
          <w:szCs w:val="21"/>
        </w:rPr>
        <w:br w:type="page" w:clear="all"/>
      </w:r>
      <w:r/>
    </w:p>
    <w:p>
      <w:pPr>
        <w:pStyle w:val="1033"/>
        <w:numPr>
          <w:ilvl w:val="0"/>
          <w:numId w:val="0"/>
        </w:numPr>
        <w:spacing w:before="0" w:after="0" w:line="240" w:lineRule="auto"/>
        <w:rPr>
          <w:rFonts w:hint="eastAsia" w:ascii="宋体" w:hAnsi="宋体" w:cs="宋体"/>
          <w:sz w:val="28"/>
          <w:szCs w:val="40"/>
        </w:rPr>
      </w:pPr>
      <w:r/>
      <w:bookmarkStart w:id="14" w:name="_Toc26745"/>
      <w:r>
        <w:rPr>
          <w:rFonts w:hint="eastAsia" w:ascii="宋体" w:hAnsi="宋体" w:cs="宋体"/>
          <w:sz w:val="28"/>
          <w:szCs w:val="40"/>
        </w:rPr>
        <w:t xml:space="preserve">第二章</w:t>
      </w:r>
      <w:bookmarkStart w:id="15" w:name="_Toc452625218"/>
      <w:r>
        <w:rPr>
          <w:rFonts w:hint="eastAsia" w:ascii="宋体" w:hAnsi="宋体" w:cs="宋体"/>
          <w:sz w:val="28"/>
          <w:szCs w:val="40"/>
        </w:rPr>
        <w:t xml:space="preserve">  供应商须知</w:t>
      </w:r>
      <w:bookmarkEnd w:id="14"/>
      <w:r/>
      <w:bookmarkEnd w:id="15"/>
      <w:r/>
      <w:r/>
    </w:p>
    <w:p>
      <w:pPr>
        <w:ind w:firstLine="424"/>
        <w:spacing w:line="360" w:lineRule="auto"/>
        <w:shd w:val="clear" w:color="auto" w:fill="ffffff"/>
        <w:widowControl/>
        <w:rPr>
          <w:rFonts w:hint="eastAsia" w:ascii="宋体" w:hAnsi="宋体" w:cs="宋体"/>
          <w:szCs w:val="21"/>
        </w:rPr>
      </w:pPr>
      <w:r/>
      <w:bookmarkStart w:id="16" w:name="_Toc481057145"/>
      <w:r/>
      <w:bookmarkStart w:id="17" w:name="_Toc25340"/>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2.2“供应商（投标人）”是指参加投标竞争，并符合招标文件规定资格条件的法人、其他组织或者自然人。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供应商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7、联合体投标（本项目不接受）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（3）供应商资格资信证明文件：</w:t>
      </w:r>
      <w:r/>
    </w:p>
    <w:p>
      <w:pPr>
        <w:pStyle w:val="1188"/>
        <w:numPr>
          <w:ilvl w:val="1"/>
          <w:numId w:val="0"/>
        </w:numPr>
        <w:ind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1）第一章采购公告中 2.1《中华人民共和国政府采购法》规定的资格条件证明文件；</w:t>
      </w:r>
      <w:r/>
    </w:p>
    <w:p>
      <w:pPr>
        <w:pStyle w:val="1188"/>
        <w:numPr>
          <w:ilvl w:val="1"/>
          <w:numId w:val="0"/>
        </w:numPr>
        <w:ind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2）第一章采购公告中 2.2</w:t>
      </w:r>
      <w:r>
        <w:rPr>
          <w:rFonts w:hint="eastAsia" w:ascii="宋体" w:hAnsi="宋体" w:cs="宋体"/>
          <w:spacing w:val="8"/>
          <w:szCs w:val="21"/>
        </w:rPr>
        <w:t xml:space="preserve">落实政府采购政策需满足的资格要求（如有要求）；</w:t>
      </w:r>
      <w:r/>
    </w:p>
    <w:p>
      <w:pPr>
        <w:pStyle w:val="1188"/>
        <w:numPr>
          <w:ilvl w:val="1"/>
          <w:numId w:val="0"/>
        </w:numPr>
        <w:ind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3）第一章采购公告中 2.3 采购人根据采购项目的特殊要求规定的特定条件证明文件</w:t>
      </w:r>
      <w:r>
        <w:rPr>
          <w:rFonts w:hint="eastAsia" w:ascii="宋体" w:hAnsi="宋体" w:cs="宋体"/>
          <w:spacing w:val="8"/>
          <w:szCs w:val="21"/>
        </w:rPr>
        <w:t xml:space="preserve">（如有要求）</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hint="eastAsia"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16.2 招标代理服务费：</w:t>
      </w:r>
      <w:r>
        <w:rPr>
          <w:rFonts w:hint="eastAsia" w:ascii="宋体" w:hAnsi="宋体" w:cs="宋体"/>
          <w:szCs w:val="21"/>
        </w:rPr>
        <w:t xml:space="preserve">本次招标，每分包中标人参照《招标代理服务费管理暂行办法》（国家发展计划委员会计价格〔2002〕1980号）代理 </w:t>
      </w:r>
      <w:r>
        <w:rPr>
          <w:rFonts w:hint="eastAsia" w:ascii="宋体" w:hAnsi="宋体" w:cs="宋体"/>
          <w:szCs w:val="21"/>
          <w:u w:val="single"/>
        </w:rPr>
        <w:t xml:space="preserve"> 货物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17.1供应商应当按照《操作手册》规定，在采购公告规定的投标截止时间前制作并上传电子投标文件。招标代理机构拒绝接收提交投标文件截止时间后上传的任何电子投标文件。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18.1供应商应当按照《操作手册》规定，在“苏采云”系统规定的时间内对投标文件进行解密。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18.2供应商应充分考虑网络环境、网络带宽等因素可能对投标产生的影响，如因供应商自身原因造成的电子投标文件解密不成功的，做无效投标处理。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19.1供应商在投标截止时间前，可以对所递交的投标文件进行补充、修改或者撤回，并书面通知采购人或者采购代理机构。补充、修改的内容应当按照招标文件要求签署、盖章后，作为投标文件的组成部分。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19.2 投标截止时间之后，投标文件不得撤回；如撤回，投标保证金不予退还（如有）。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21.1代理机构在采购公告中规定的时间和地点组织公开开标。供应商按照《操作手册》规定参加开标活动，并在“苏采云”系统规定的时间内对投标文件进行解密。“苏采云”系统公布各供应商名称和投标价格。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rPr>
      </w:pPr>
      <w:r>
        <w:rPr>
          <w:rFonts w:hint="eastAsia" w:ascii="宋体" w:hAnsi="宋体" w:cs="宋体"/>
        </w:rPr>
        <w:t xml:space="preserve">21.2 供应商在开标过程中涉及到的投标文件解密、开标结果确认等工作，应按照《操作手册》规定执行。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21.3供应商不足3家的，不得开标。</w:t>
      </w:r>
      <w:r/>
    </w:p>
    <w:p>
      <w:pPr>
        <w:ind w:firstLine="420"/>
        <w:spacing w:line="360" w:lineRule="auto"/>
        <w:rPr>
          <w:rFonts w:hint="eastAsia" w:ascii="宋体" w:hAnsi="宋体" w:cs="宋体"/>
        </w:rPr>
      </w:pPr>
      <w:r>
        <w:rPr>
          <w:rFonts w:hint="eastAsia" w:ascii="宋体" w:hAnsi="宋体" w:cs="宋体"/>
        </w:rPr>
        <w:t xml:space="preserve">21.4供应商如果对开标过程和开标结果有疑义，应当根据《操作手册》规定提出，“苏采云”系统中《开标记录表》公布后5分钟内未提出的，视同认可开标结果。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（二）要求供应商对投标文件有关事项作出澄清或者说明；</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 评标程序</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22.2.1投标文件的资格性检查。</w:t>
      </w:r>
      <w:r>
        <w:rPr>
          <w:rFonts w:hint="eastAsia" w:ascii="宋体" w:hAnsi="宋体" w:cs="宋体"/>
          <w:szCs w:val="21"/>
        </w:rPr>
        <w:t xml:space="preserve">公开招标采购项目开标结束后，采购人或者采购代理机构应当依法对供应商的资格进行审查。合格供应商不足3家的，不得评标。</w:t>
      </w:r>
      <w:r/>
    </w:p>
    <w:p>
      <w:pPr>
        <w:pStyle w:val="107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22.2.1.1投标文件有下列情况之一的，在资格审查时按照无效投标处理：</w:t>
      </w:r>
      <w:r/>
    </w:p>
    <w:p>
      <w:pPr>
        <w:pStyle w:val="1078"/>
        <w:jc w:val="both"/>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（1）不具备招标文件中规定的资格条件的；</w:t>
      </w:r>
      <w:r/>
    </w:p>
    <w:p>
      <w:pPr>
        <w:pStyle w:val="1078"/>
        <w:jc w:val="both"/>
        <w:spacing w:line="360" w:lineRule="auto"/>
        <w:rPr>
          <w:rFonts w:eastAsia="宋体"/>
          <w:b w:val="0"/>
          <w:bCs w:val="0"/>
        </w:rPr>
      </w:pPr>
      <w:r>
        <w:rPr>
          <w:rFonts w:hint="eastAsia" w:ascii="宋体" w:hAnsi="宋体" w:eastAsia="宋体" w:cs="宋体"/>
          <w:b w:val="0"/>
          <w:bCs w:val="0"/>
          <w:sz w:val="21"/>
          <w:szCs w:val="21"/>
        </w:rPr>
        <w:t xml:space="preserve">（2）供应商被“信用中国”网站（www.creditchina.gov.cn）、“中国政府采购网”（www.ccgp.gov.cn）列入失信被执行人、重大税收违法失信主体、政府采购严重违法失信行为记录名单的。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22.2.2投标文件的符合性审查。评标委员会对通过资格性检查的供应商的投标文件进行符合性审查，以确定其是否满足招标文件的实质性要求。投标文件有下列情况之一的，在符合性检查时按照无效投标处理：</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（1）同一供应商提交两个（含两个）以上不同的投标报价的；</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（2）投标文件未按照招标文件要求加盖电子公章的；</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（4）投标文件含有采购人不能接受的附加条件的；</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（6）不同供应商的投标文件由同一单位或者个人编制；</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（7）不同供应商委托同一单位或者个人办理投标事宜；</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（8）不同供应商的投标文件载明的项目管理成员为同一人；</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（9）不同供应商的投标文件异常一致或者投标报价呈规律性差异；</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（10）属于投标邀请中拒绝参加本次采购活动供应商的；</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（11）启动异常低价审查程序后，且供应商不能在规定的回复时间内通过“苏采云”系统作出必要的说明证明其报价合理性的；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（12）现行法律、法规、规章和招标文件规定的其他无效情形。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22.2.2.2未通过资格审查或符合性审查的供应商，代理机构将通过“苏采云”系统告知其具体原因，评标结束后不再接受有关询问。</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（1）符合专业条件的供应商或者对招标文件作实质性响应的供应商不足三家的；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（3）供应商的报价均超过了采购预算，采购人不能支付的；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22.2.3.1评标期间，评标委员会对投标文件中含义不明确、同类问题表述不一致或者有明显文字和计算错误的内容，有权要求供应商作出必要的澄清、说明或者补正。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供应商的澄清、说明或者补正不得超出投标文件的范围或者改变投标文件的实质性内容。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评标委员会并非对每个供应商都做澄清要求。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22.2.3.2需要供应商进行澄清、说明和补正的，评标委员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22.2.3.3接到评标委员会澄清、说明和补正要求的，供应商如未按规定作出澄清、说明和补正，其风险由供应商自行承担。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22.2.3.5供应商在开、评标全过程中应保持通讯畅通，及时登录苏采云系统查阅、答复相关信息，并安排专人与代理机构及评标委员会联系。</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22.2.3.6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
          <w:bCs/>
        </w:rPr>
      </w:pPr>
      <w:r>
        <w:rPr>
          <w:rFonts w:hint="eastAsia" w:ascii="宋体" w:hAnsi="宋体" w:cs="宋体"/>
          <w:b/>
          <w:bCs/>
          <w:szCs w:val="21"/>
        </w:rPr>
        <w:t xml:space="preserve">22.2.5</w:t>
      </w:r>
      <w:r>
        <w:rPr>
          <w:rFonts w:hint="eastAsia" w:ascii="宋体" w:hAnsi="宋体" w:cs="宋体"/>
          <w:b/>
          <w:bCs/>
        </w:rPr>
        <w:t xml:space="preserve">相同品牌产品的投标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22.3评标方法和标准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供应商为中标候选人的评标方法。采用最低评标价法评标时，除了算术修正和落实政府采购政策需进行的价格扣除外，不对供应商的投标价格进行任何调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22.3.3综合评分法，是指投标文件满足招标文件全部实质性要求，且按照评审因素的量化指标评审得分最高的供应商为中标候选人的评标方法。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评标时，评标委员会各成员应当独立对每个供应商的投标文件进行评价，并汇总每个供应商的得分。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（1）投标报价低于全部通过符合性审查供应商投标报价平均值65%的，即投标报价&lt;全部通过符合性审查供应商投标报价平均值×65%；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（2）投标报价低于通过符合性审查的次低报价供应商投标报价65%的，即投标报价&lt;通过符合性审查的次低报价供应商投标报价×65%；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（3）投标报价低于本项目最高限价65%的，即投标报价&lt;本项目最高限价×65%；</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（4）评标委员会基于专业判断，认为供应商报价过低，有可能影响产品质量或者不能诚信履约的其他情形。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异常低价投标审查的启动原因、审查意见和审查结果应当在评标报告中记录，并随供应商提供的相关书面说明及证明材料，以及评标委员会有关互联网浏览、查询历史一并归档。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23.1采用最低评标价法的，评标结果按投标报价由低到高顺序排列。投标报价相同的并列。投标文件满足招标文件全部实质性要求且投标报价最低的供应商为排名第一的中标候选人。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23.4中标通知书对采购人和中标人具有同等法律效力。中标通知书发出后，采购人不得违法改变中标结果，中标人无正当理由不得放弃中标。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w:t>
      </w:r>
      <w:r>
        <w:rPr>
          <w:rFonts w:hint="eastAsia" w:ascii="宋体" w:hAnsi="宋体" w:cs="宋体"/>
          <w:bCs/>
          <w:szCs w:val="21"/>
        </w:rPr>
        <w:t xml:space="preserve">代理机构和评标委员会对未中标的</w:t>
      </w:r>
      <w:r>
        <w:rPr>
          <w:rFonts w:hint="eastAsia" w:cs="宋体"/>
          <w:bCs/>
          <w:szCs w:val="21"/>
        </w:rPr>
        <w:t xml:space="preserve">投标人</w:t>
      </w:r>
      <w:r>
        <w:rPr>
          <w:rFonts w:hint="eastAsia" w:ascii="宋体" w:hAnsi="宋体" w:cs="宋体"/>
          <w:bCs/>
          <w:szCs w:val="21"/>
        </w:rPr>
        <w:t xml:space="preserve">不作未中标原因的解释。</w:t>
      </w:r>
      <w:r>
        <w:rPr>
          <w:rFonts w:hint="eastAsia" w:ascii="宋体" w:hAnsi="宋体" w:cs="宋体"/>
          <w:szCs w:val="21"/>
        </w:rPr>
        <w:t xml:space="preserve">所有投标文件不论中标与否，均不退回。</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凡是与审查、澄清、评价和比较投标的有关资料等，均不向供应商及与评标无关的其他人员透露。</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rPr>
      </w:pPr>
      <w:r>
        <w:rPr>
          <w:rFonts w:hint="eastAsia" w:ascii="宋体" w:hAnsi="宋体" w:cs="宋体"/>
          <w:szCs w:val="21"/>
        </w:rPr>
        <w:t xml:space="preserve">27.5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27.6采购代理机构在收到供应商的书面质疑后将及时组织调查核实，在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作出答复，并以书面或在网站公告形式通知质疑供应商和其他有关供应商，答复的内容不涉及商业秘密。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360" w:lineRule="auto"/>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360" w:lineRule="auto"/>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360" w:lineRule="auto"/>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360" w:lineRule="auto"/>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360" w:lineRule="auto"/>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spacing w:line="360" w:lineRule="auto"/>
        <w:rPr>
          <w:rFonts w:hint="eastAsia" w:ascii="宋体" w:hAnsi="宋体" w:cs="宋体"/>
        </w:rPr>
      </w:pPr>
      <w:r>
        <w:rPr>
          <w:rFonts w:hint="eastAsia" w:ascii="宋体" w:hAnsi="宋体" w:cs="宋体"/>
        </w:rPr>
        <w:br w:type="page" w:clear="all"/>
      </w:r>
      <w:bookmarkEnd w:id="16"/>
      <w:r/>
      <w:bookmarkEnd w:id="17"/>
      <w:r/>
      <w:r/>
    </w:p>
    <w:p>
      <w:pPr>
        <w:pStyle w:val="1033"/>
        <w:numPr>
          <w:ilvl w:val="0"/>
          <w:numId w:val="0"/>
        </w:numPr>
        <w:spacing w:line="360" w:lineRule="auto"/>
        <w:rPr>
          <w:rFonts w:hint="eastAsia" w:ascii="宋体" w:hAnsi="宋体" w:cs="宋体"/>
          <w:sz w:val="28"/>
          <w:szCs w:val="40"/>
        </w:rPr>
      </w:pPr>
      <w:r/>
      <w:bookmarkStart w:id="18" w:name="_Toc28285"/>
      <w:r>
        <w:rPr>
          <w:rFonts w:hint="eastAsia" w:ascii="宋体" w:hAnsi="宋体" w:cs="宋体"/>
          <w:sz w:val="28"/>
          <w:szCs w:val="40"/>
        </w:rPr>
        <w:t xml:space="preserve">第三章  评标标准</w:t>
      </w:r>
      <w:bookmarkEnd w:id="18"/>
      <w:r/>
      <w:r/>
    </w:p>
    <w:p>
      <w:pPr>
        <w:ind w:firstLine="420"/>
        <w:spacing w:line="360" w:lineRule="auto"/>
        <w:tabs>
          <w:tab w:val="left" w:pos="960" w:leader="none"/>
        </w:tabs>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ascii="宋体" w:hAnsi="宋体" w:cs="宋体"/>
          <w:b/>
          <w:bCs/>
        </w:rPr>
        <w:t xml:space="preserve">技术响应情况得分</w:t>
      </w:r>
      <w:r>
        <w:rPr>
          <w:rFonts w:hint="eastAsia" w:ascii="宋体" w:hAnsi="宋体" w:cs="宋体"/>
          <w:bCs/>
        </w:rPr>
        <w:t xml:space="preserve">高低</w:t>
      </w:r>
      <w:r>
        <w:rPr>
          <w:rFonts w:hint="eastAsia" w:ascii="宋体" w:hAnsi="宋体" w:cs="宋体"/>
        </w:rPr>
        <w:t xml:space="preserve">顺序排列，技术响应情况得分也相等的，由评标委员会投票决定。</w:t>
      </w:r>
      <w:r/>
    </w:p>
    <w:tbl>
      <w:tblPr>
        <w:tblStyle w:val="1043"/>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739"/>
        <w:gridCol w:w="6265"/>
        <w:gridCol w:w="756"/>
      </w:tblGrid>
      <w:tr>
        <w:trPr>
          <w:jc w:val="center"/>
          <w:trHeight w:val="20"/>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7"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价格分采用低价优先法计算，即满足采购文件要求且经评审报价最低的供应商的报价为评审基准价，其价格分为满分 35 分，其它供应商的价格分统一按照以下公式计算：</w:t>
            </w:r>
            <w:r/>
          </w:p>
          <w:p>
            <w:pPr>
              <w:spacing w:line="360" w:lineRule="auto"/>
              <w:rPr>
                <w:rFonts w:hint="eastAsia" w:ascii="宋体" w:hAnsi="宋体" w:cs="宋体"/>
                <w:szCs w:val="21"/>
              </w:rPr>
            </w:pPr>
            <w:r>
              <w:rPr>
                <w:rFonts w:hint="eastAsia" w:ascii="宋体" w:hAnsi="宋体" w:cs="宋体"/>
                <w:szCs w:val="21"/>
              </w:rPr>
              <w:t xml:space="preserve">报价得分=(评审基准价/该供应商的报价）× 35分。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35</w:t>
            </w:r>
            <w:r/>
          </w:p>
        </w:tc>
      </w:tr>
      <w:tr>
        <w:trPr>
          <w:jc w:val="center"/>
          <w:trHeight w:val="1745"/>
        </w:trPr>
        <w:tc>
          <w:tcPr>
            <w:tcBorders>
              <w:left w:val="single" w:color="auto" w:sz="4" w:space="0"/>
              <w:right w:val="single" w:color="auto" w:sz="4" w:space="0"/>
            </w:tcBorders>
            <w:tcW w:w="3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b/>
                <w:bCs/>
                <w:szCs w:val="21"/>
              </w:rPr>
            </w:pPr>
            <w:r>
              <w:rPr>
                <w:rFonts w:hint="eastAsia" w:ascii="宋体" w:hAnsi="宋体" w:cs="宋体"/>
                <w:szCs w:val="21"/>
              </w:rPr>
              <w:t xml:space="preserve">供应商对采购文件“第四章采购需求中</w:t>
            </w:r>
            <w:r>
              <w:rPr>
                <w:rFonts w:hint="eastAsia" w:ascii="宋体" w:hAnsi="宋体" w:cs="宋体"/>
                <w:color w:val="000000" w:themeColor="text1"/>
                <w:szCs w:val="21"/>
                <w14:textFill>
                  <w14:solidFill>
                    <w14:schemeClr w14:val="tx1"/>
                  </w14:solidFill>
                </w14:textFill>
              </w:rPr>
              <w:t xml:space="preserve">二、技术指标及要求</w:t>
            </w:r>
            <w:r>
              <w:rPr>
                <w:rFonts w:hint="eastAsia" w:ascii="宋体" w:hAnsi="宋体" w:cs="宋体"/>
                <w:szCs w:val="21"/>
              </w:rPr>
              <w:t xml:space="preserve">”的响应程度：全部响应的得25分，采购文件中标注“★”的内容为实质性要求，有一项不符合的，作无效投标处理。带“▲”条款为重要技术参数指标，如带“▲”条款存在负偏离的，负偏离1项扣</w:t>
            </w:r>
            <w:r>
              <w:rPr>
                <w:rFonts w:hint="eastAsia" w:ascii="宋体" w:hAnsi="宋体" w:cs="宋体"/>
                <w:szCs w:val="21"/>
                <w:highlight w:val="red"/>
                <w:lang w:val="en-US" w:eastAsia="zh-CN"/>
              </w:rPr>
              <w:t xml:space="preserve">1.75</w:t>
            </w:r>
            <w:r>
              <w:rPr>
                <w:rFonts w:hint="eastAsia" w:ascii="宋体" w:hAnsi="宋体" w:cs="宋体"/>
                <w:szCs w:val="21"/>
              </w:rPr>
              <w:t xml:space="preserve">分，其他技术参数，负偏离1项扣</w:t>
            </w:r>
            <w:r>
              <w:rPr>
                <w:rFonts w:hint="eastAsia" w:ascii="宋体" w:hAnsi="宋体" w:cs="宋体"/>
                <w:szCs w:val="21"/>
                <w:highlight w:val="red"/>
                <w:lang w:val="en-US" w:eastAsia="zh-CN"/>
              </w:rPr>
              <w:t xml:space="preserve">0.5</w:t>
            </w:r>
            <w:r>
              <w:rPr>
                <w:rFonts w:hint="eastAsia" w:ascii="宋体" w:hAnsi="宋体" w:cs="宋体"/>
                <w:szCs w:val="21"/>
              </w:rPr>
              <w:t xml:space="preserve">分，扣完为止。</w:t>
            </w:r>
            <w:r/>
          </w:p>
          <w:p>
            <w:pPr>
              <w:spacing w:line="360" w:lineRule="auto"/>
              <w:rPr>
                <w:rFonts w:hint="eastAsia" w:ascii="宋体" w:hAnsi="宋体" w:cs="宋体"/>
                <w:szCs w:val="21"/>
              </w:rPr>
            </w:pPr>
            <w:r>
              <w:rPr>
                <w:rFonts w:hint="eastAsia" w:ascii="宋体" w:hAnsi="宋体" w:cs="宋体"/>
                <w:b/>
                <w:bCs/>
                <w:szCs w:val="21"/>
              </w:rPr>
              <w:t xml:space="preserve">（“★”和“▲”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如文件中要求提供证明材料，建议采用页码、箭头、标红、下划线或页码等进行明显标注，方便评委查看。</w:t>
            </w:r>
            <w:r>
              <w:rPr>
                <w:rFonts w:hint="eastAsia" w:ascii="宋体" w:hAnsi="宋体" w:cs="宋体"/>
                <w:b/>
                <w:bCs/>
                <w:szCs w:val="21"/>
              </w:rPr>
              <w:t xml:space="preserve">）</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25</w:t>
            </w:r>
            <w:r/>
          </w:p>
        </w:tc>
      </w:tr>
      <w:tr>
        <w:trPr>
          <w:jc w:val="center"/>
          <w:trHeight w:val="1602"/>
        </w:trPr>
        <w:tc>
          <w:tcPr>
            <w:tcBorders>
              <w:left w:val="single" w:color="auto" w:sz="4" w:space="0"/>
              <w:right w:val="single" w:color="auto" w:sz="4" w:space="0"/>
            </w:tcBorders>
            <w:tcW w:w="3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投标供应商自2023年01月01日以来（以合同签订日期为准），具有类似项目业绩的（合同至少应当包含核心产品），每提供一个有效业绩得2分，最高得6分。</w:t>
            </w:r>
            <w:r/>
          </w:p>
          <w:p>
            <w:pPr>
              <w:spacing w:line="360" w:lineRule="auto"/>
              <w:rPr>
                <w:rFonts w:hint="eastAsia" w:ascii="宋体" w:hAnsi="宋体" w:cs="宋体"/>
                <w:szCs w:val="21"/>
              </w:rPr>
            </w:pPr>
            <w:r>
              <w:rPr>
                <w:rFonts w:hint="eastAsia" w:ascii="宋体" w:hAnsi="宋体" w:cs="宋体"/>
                <w:b/>
                <w:bCs/>
                <w:szCs w:val="21"/>
              </w:rPr>
              <w:t xml:space="preserve">(投标文件中需提供合同原件扫描件加盖电子公章，否则不得分。如合同中的设备名称与所投产品不一致，需提供设备具有相应功能的证明材料，否则不得分。证明材料如产品彩页或说明书或检测报告等有效证明材料原件扫描件加盖电子公章，承诺类证明材料不予认可）</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r>
      <w:tr>
        <w:trPr>
          <w:jc w:val="center"/>
          <w:trHeight w:val="1058"/>
        </w:trPr>
        <w:tc>
          <w:tcPr>
            <w:tcBorders>
              <w:left w:val="single" w:color="auto" w:sz="4" w:space="0"/>
              <w:right w:val="single" w:color="auto" w:sz="4" w:space="0"/>
            </w:tcBorders>
            <w:tcW w:w="388" w:type="pct"/>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915" w:type="pct"/>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4.1实施方案</w:t>
            </w:r>
            <w:r/>
          </w:p>
          <w:p>
            <w:pPr>
              <w:spacing w:line="360" w:lineRule="auto"/>
              <w:rPr>
                <w:rFonts w:hint="eastAsia" w:ascii="宋体" w:hAnsi="宋体" w:cs="宋体"/>
                <w:szCs w:val="21"/>
              </w:rPr>
            </w:pPr>
            <w:r>
              <w:rPr>
                <w:rFonts w:hint="eastAsia" w:ascii="宋体" w:hAnsi="宋体" w:cs="宋体"/>
                <w:szCs w:val="21"/>
              </w:rPr>
              <w:t xml:space="preserve">供应商应根据招标文件要求提供项目实施方案，方案包含以下内容：</w:t>
            </w:r>
            <w:r/>
          </w:p>
          <w:p>
            <w:pPr>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spacing w:line="360" w:lineRule="auto"/>
              <w:rPr>
                <w:rFonts w:hint="eastAsia" w:ascii="宋体" w:hAnsi="宋体" w:cs="宋体"/>
                <w:szCs w:val="21"/>
              </w:rPr>
            </w:pPr>
            <w:r>
              <w:rPr>
                <w:rFonts w:hint="eastAsia" w:ascii="宋体" w:hAnsi="宋体" w:cs="宋体"/>
                <w:szCs w:val="21"/>
              </w:rPr>
              <w:t xml:space="preserve">评分规则：</w:t>
            </w:r>
            <w:r/>
          </w:p>
          <w:p>
            <w:pPr>
              <w:spacing w:line="360" w:lineRule="auto"/>
              <w:rPr>
                <w:rFonts w:hint="eastAsia" w:ascii="宋体" w:hAnsi="宋体" w:cs="宋体"/>
                <w:szCs w:val="21"/>
              </w:rPr>
            </w:pPr>
            <w:r>
              <w:rPr>
                <w:rFonts w:hint="eastAsia" w:ascii="宋体" w:hAnsi="宋体" w:cs="宋体"/>
                <w:szCs w:val="21"/>
              </w:rPr>
              <w:t xml:space="preserve">上述五项内容均完整提供，且每项内容均具体、可操作，得7分；</w:t>
            </w:r>
            <w:r/>
          </w:p>
          <w:p>
            <w:pPr>
              <w:spacing w:line="360" w:lineRule="auto"/>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60" w:lineRule="auto"/>
              <w:rPr>
                <w:rFonts w:hint="eastAsia" w:ascii="宋体" w:hAnsi="宋体" w:cs="宋体"/>
                <w:szCs w:val="21"/>
              </w:rPr>
            </w:pPr>
            <w:r>
              <w:rPr>
                <w:rFonts w:hint="eastAsia" w:ascii="宋体" w:hAnsi="宋体" w:cs="宋体"/>
                <w:szCs w:val="21"/>
              </w:rPr>
              <w:t xml:space="preserve">缺少上述任两项及以上内容，或所有内容均严重缺失、明显不合理，得1分；</w:t>
            </w:r>
            <w:r/>
          </w:p>
          <w:p>
            <w:pPr>
              <w:spacing w:line="360" w:lineRule="auto"/>
              <w:rPr>
                <w:rFonts w:hint="eastAsia" w:ascii="宋体" w:hAnsi="宋体" w:cs="宋体"/>
                <w:szCs w:val="21"/>
              </w:rPr>
            </w:pPr>
            <w:r>
              <w:rPr>
                <w:rFonts w:hint="eastAsia" w:ascii="宋体" w:hAnsi="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88"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4.2 验收配合方案</w:t>
            </w:r>
            <w:r/>
          </w:p>
          <w:p>
            <w:pPr>
              <w:spacing w:line="360" w:lineRule="auto"/>
              <w:rPr>
                <w:rFonts w:hint="eastAsia" w:ascii="宋体" w:hAnsi="宋体" w:cs="宋体"/>
                <w:szCs w:val="21"/>
              </w:rPr>
            </w:pPr>
            <w:r>
              <w:rPr>
                <w:rFonts w:hint="eastAsia" w:ascii="宋体" w:hAnsi="宋体" w:cs="宋体"/>
                <w:szCs w:val="21"/>
              </w:rPr>
              <w:t xml:space="preserve">供应商应根据招标文件要求提供项目验收方案，方案包含以下内容：</w:t>
            </w:r>
            <w:r/>
          </w:p>
          <w:p>
            <w:pPr>
              <w:spacing w:line="360" w:lineRule="auto"/>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spacing w:line="360" w:lineRule="auto"/>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spacing w:line="360" w:lineRule="auto"/>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spacing w:line="360" w:lineRule="auto"/>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spacing w:line="360" w:lineRule="auto"/>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spacing w:line="360" w:lineRule="auto"/>
              <w:rPr>
                <w:rFonts w:hint="eastAsia" w:ascii="宋体" w:hAnsi="宋体" w:cs="宋体"/>
                <w:szCs w:val="21"/>
              </w:rPr>
            </w:pPr>
            <w:r>
              <w:rPr>
                <w:rFonts w:hint="eastAsia" w:ascii="宋体" w:hAnsi="宋体" w:cs="宋体"/>
                <w:szCs w:val="21"/>
              </w:rPr>
              <w:t xml:space="preserve">评分规则：</w:t>
            </w:r>
            <w:r/>
          </w:p>
          <w:p>
            <w:pPr>
              <w:spacing w:line="360" w:lineRule="auto"/>
              <w:rPr>
                <w:rFonts w:hint="eastAsia" w:ascii="宋体" w:hAnsi="宋体" w:cs="宋体"/>
                <w:szCs w:val="21"/>
              </w:rPr>
            </w:pPr>
            <w:r>
              <w:rPr>
                <w:rFonts w:hint="eastAsia" w:ascii="宋体" w:hAnsi="宋体" w:cs="宋体"/>
                <w:szCs w:val="21"/>
              </w:rPr>
              <w:t xml:space="preserve">上述五项内容均完整提供，且每项内容具体、可操作，得7分；</w:t>
            </w:r>
            <w:r/>
          </w:p>
          <w:p>
            <w:pPr>
              <w:spacing w:line="360" w:lineRule="auto"/>
              <w:rPr>
                <w:rFonts w:hint="eastAsia" w:ascii="宋体" w:hAnsi="宋体" w:cs="宋体"/>
                <w:szCs w:val="21"/>
              </w:rPr>
            </w:pPr>
            <w:r>
              <w:rPr>
                <w:rFonts w:hint="eastAsia" w:ascii="宋体" w:hAnsi="宋体" w:cs="宋体"/>
                <w:szCs w:val="21"/>
              </w:rPr>
              <w:t xml:space="preserve">缺少上述任一项内容，或某项内容过于笼统，得4分；</w:t>
            </w:r>
            <w:r/>
          </w:p>
          <w:p>
            <w:pPr>
              <w:spacing w:line="360" w:lineRule="auto"/>
              <w:rPr>
                <w:rFonts w:hint="eastAsia" w:ascii="宋体" w:hAnsi="宋体" w:cs="宋体"/>
                <w:szCs w:val="21"/>
              </w:rPr>
            </w:pPr>
            <w:r>
              <w:rPr>
                <w:rFonts w:hint="eastAsia" w:ascii="宋体" w:hAnsi="宋体" w:cs="宋体"/>
                <w:szCs w:val="21"/>
              </w:rPr>
              <w:t xml:space="preserve">缺少上述任两项及以上内容，或所有内容均明显不合理，得1分；</w:t>
            </w:r>
            <w:r/>
          </w:p>
          <w:p>
            <w:pPr>
              <w:spacing w:line="360" w:lineRule="auto"/>
              <w:rPr>
                <w:rFonts w:hint="eastAsia" w:ascii="宋体" w:hAnsi="宋体" w:cs="宋体"/>
                <w:szCs w:val="21"/>
              </w:rPr>
            </w:pPr>
            <w:r>
              <w:rPr>
                <w:rFonts w:hint="eastAsia" w:ascii="宋体" w:hAnsi="宋体" w:cs="宋体"/>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4.3 售后服务承诺方案</w:t>
            </w:r>
            <w:r/>
          </w:p>
          <w:p>
            <w:pPr>
              <w:spacing w:line="360" w:lineRule="auto"/>
              <w:rPr>
                <w:rFonts w:hint="eastAsia" w:ascii="宋体" w:hAnsi="宋体" w:cs="宋体"/>
                <w:szCs w:val="21"/>
              </w:rPr>
            </w:pPr>
            <w:r>
              <w:rPr>
                <w:rFonts w:hint="eastAsia" w:ascii="宋体" w:hAnsi="宋体" w:cs="宋体"/>
                <w:szCs w:val="21"/>
              </w:rPr>
              <w:t xml:space="preserve">供应商应根据招标文件要求提供售后服务承诺方案，方案包含以下内容：</w:t>
            </w:r>
            <w:r/>
          </w:p>
          <w:p>
            <w:pPr>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spacing w:line="360" w:lineRule="auto"/>
              <w:rPr>
                <w:rFonts w:hint="eastAsia" w:ascii="宋体" w:hAnsi="宋体" w:cs="宋体"/>
                <w:szCs w:val="21"/>
              </w:rPr>
            </w:pPr>
            <w:r>
              <w:rPr>
                <w:rFonts w:hint="eastAsia" w:ascii="宋体" w:hAnsi="宋体" w:cs="宋体"/>
                <w:szCs w:val="21"/>
              </w:rPr>
              <w:t xml:space="preserve">评分规则：</w:t>
            </w:r>
            <w:r/>
          </w:p>
          <w:p>
            <w:pPr>
              <w:spacing w:line="360" w:lineRule="auto"/>
              <w:rPr>
                <w:rFonts w:hint="eastAsia" w:ascii="宋体" w:hAnsi="宋体" w:cs="宋体"/>
                <w:szCs w:val="21"/>
              </w:rPr>
            </w:pPr>
            <w:r>
              <w:rPr>
                <w:rFonts w:hint="eastAsia" w:ascii="宋体" w:hAnsi="宋体" w:cs="宋体"/>
                <w:szCs w:val="21"/>
              </w:rPr>
              <w:t xml:space="preserve">上述七项内容均完整提供，且每项内容具体、可量化，得7分；</w:t>
            </w:r>
            <w:r/>
          </w:p>
          <w:p>
            <w:pPr>
              <w:spacing w:line="360" w:lineRule="auto"/>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60" w:lineRule="auto"/>
              <w:rPr>
                <w:rFonts w:hint="eastAsia" w:ascii="宋体" w:hAnsi="宋体" w:cs="宋体"/>
                <w:szCs w:val="21"/>
              </w:rPr>
            </w:pPr>
            <w:r>
              <w:rPr>
                <w:rFonts w:hint="eastAsia" w:ascii="宋体" w:hAnsi="宋体" w:cs="宋体"/>
                <w:szCs w:val="21"/>
              </w:rPr>
              <w:t xml:space="preserve">缺少上述任意两项及以上内容，或所有内容均明显不完整、不具可操作性，得1分；</w:t>
            </w:r>
            <w:r/>
          </w:p>
          <w:p>
            <w:pPr>
              <w:spacing w:line="360" w:lineRule="auto"/>
              <w:rPr>
                <w:rFonts w:hint="eastAsia" w:ascii="宋体" w:hAnsi="宋体" w:cs="宋体"/>
                <w:szCs w:val="21"/>
              </w:rPr>
            </w:pPr>
            <w:r>
              <w:rPr>
                <w:rFonts w:hint="eastAsia" w:ascii="宋体" w:hAnsi="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88"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right w:val="single" w:color="auto" w:sz="4" w:space="0"/>
            </w:tcBorders>
            <w:tcW w:w="3297"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4.4 培训方案</w:t>
            </w:r>
            <w:r/>
          </w:p>
          <w:p>
            <w:pPr>
              <w:spacing w:line="360" w:lineRule="auto"/>
              <w:rPr>
                <w:rFonts w:hint="eastAsia" w:ascii="宋体" w:hAnsi="宋体" w:cs="宋体"/>
                <w:szCs w:val="21"/>
              </w:rPr>
            </w:pPr>
            <w:r>
              <w:rPr>
                <w:rFonts w:hint="eastAsia" w:ascii="宋体" w:hAnsi="宋体" w:cs="宋体"/>
                <w:szCs w:val="21"/>
              </w:rPr>
              <w:t xml:space="preserve">供应商应根据招标文件要求提供培训方案，方案包含以下内容：</w:t>
            </w:r>
            <w:r/>
          </w:p>
          <w:p>
            <w:pPr>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spacing w:line="360" w:lineRule="auto"/>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spacing w:line="360" w:lineRule="auto"/>
              <w:rPr>
                <w:rFonts w:hint="eastAsia" w:ascii="宋体" w:hAnsi="宋体" w:cs="宋体"/>
                <w:szCs w:val="21"/>
              </w:rPr>
            </w:pPr>
            <w:r>
              <w:rPr>
                <w:rFonts w:hint="eastAsia" w:ascii="宋体" w:hAnsi="宋体" w:cs="宋体"/>
                <w:szCs w:val="21"/>
              </w:rPr>
              <w:t xml:space="preserve">评分规则：</w:t>
            </w:r>
            <w:r/>
          </w:p>
          <w:p>
            <w:pPr>
              <w:spacing w:line="360" w:lineRule="auto"/>
              <w:rPr>
                <w:rFonts w:hint="eastAsia" w:ascii="宋体" w:hAnsi="宋体" w:cs="宋体"/>
                <w:szCs w:val="21"/>
              </w:rPr>
            </w:pPr>
            <w:r>
              <w:rPr>
                <w:rFonts w:hint="eastAsia" w:ascii="宋体" w:hAnsi="宋体" w:cs="宋体"/>
                <w:szCs w:val="21"/>
              </w:rPr>
              <w:t xml:space="preserve">上述六项内容均完整提供，且每项内容具体、可量化，得7分；</w:t>
            </w:r>
            <w:r/>
          </w:p>
          <w:p>
            <w:pPr>
              <w:spacing w:line="360" w:lineRule="auto"/>
              <w:rPr>
                <w:rFonts w:hint="eastAsia" w:ascii="宋体" w:hAnsi="宋体" w:cs="宋体"/>
                <w:szCs w:val="21"/>
              </w:rPr>
            </w:pPr>
            <w:r>
              <w:rPr>
                <w:rFonts w:hint="eastAsia" w:ascii="宋体" w:hAnsi="宋体" w:cs="宋体"/>
                <w:szCs w:val="21"/>
              </w:rPr>
              <w:t xml:space="preserve">缺少上述任意一项内容，或某项内容过于笼统，得4分；</w:t>
            </w:r>
            <w:r/>
          </w:p>
          <w:p>
            <w:pPr>
              <w:spacing w:line="360" w:lineRule="auto"/>
              <w:rPr>
                <w:rFonts w:hint="eastAsia" w:ascii="宋体" w:hAnsi="宋体" w:cs="宋体"/>
                <w:szCs w:val="21"/>
              </w:rPr>
            </w:pPr>
            <w:r>
              <w:rPr>
                <w:rFonts w:hint="eastAsia" w:ascii="宋体" w:hAnsi="宋体" w:cs="宋体"/>
                <w:szCs w:val="21"/>
              </w:rPr>
              <w:t xml:space="preserve">缺少上述任意两项及以上内容，或所有内容均明显不完整、不具操作性，得1分；</w:t>
            </w:r>
            <w:r/>
          </w:p>
          <w:p>
            <w:pPr>
              <w:spacing w:line="360" w:lineRule="auto"/>
              <w:rPr>
                <w:rFonts w:hint="eastAsia" w:ascii="宋体" w:hAnsi="宋体" w:cs="宋体"/>
                <w:szCs w:val="21"/>
              </w:rPr>
            </w:pPr>
            <w:r>
              <w:rPr>
                <w:rFonts w:hint="eastAsia" w:ascii="宋体" w:hAnsi="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915" w:type="pct"/>
            <w:vAlign w:val="center"/>
            <w:textDirection w:val="lrTb"/>
            <w:noWrap w:val="false"/>
          </w:tcPr>
          <w:p>
            <w:pPr>
              <w:jc w:val="center"/>
              <w:spacing w:line="360" w:lineRule="auto"/>
              <w:rPr>
                <w:rFonts w:hint="eastAsia" w:ascii="宋体" w:hAnsi="宋体" w:cs="宋体"/>
                <w:szCs w:val="21"/>
              </w:rPr>
            </w:pPr>
            <w:r>
              <w:rPr>
                <w:rFonts w:ascii="宋体" w:hAnsi="宋体" w:cs="宋体"/>
                <w:color w:val="000000"/>
              </w:rPr>
              <w:t xml:space="preserve">视频演示</w:t>
            </w:r>
            <w:r/>
          </w:p>
        </w:tc>
        <w:tc>
          <w:tcPr>
            <w:tcBorders>
              <w:top w:val="single" w:color="auto" w:sz="4" w:space="0"/>
              <w:left w:val="single" w:color="auto" w:sz="4" w:space="0"/>
              <w:right w:val="single" w:color="auto" w:sz="4" w:space="0"/>
            </w:tcBorders>
            <w:tcW w:w="3297" w:type="pct"/>
            <w:vAlign w:val="center"/>
            <w:textDirection w:val="lrTb"/>
            <w:noWrap w:val="false"/>
          </w:tcPr>
          <w:p>
            <w:pPr>
              <w:jc w:val="left"/>
              <w:spacing w:line="360" w:lineRule="auto"/>
              <w:rPr>
                <w:rFonts w:hint="eastAsia" w:ascii="宋体" w:hAnsi="宋体" w:cs="宋体"/>
                <w:color w:val="000000"/>
              </w:rPr>
            </w:pPr>
            <w:r>
              <w:rPr>
                <w:rFonts w:hint="eastAsia" w:ascii="宋体" w:hAnsi="宋体" w:cs="宋体"/>
                <w:color w:val="000000"/>
              </w:rPr>
              <w:t xml:space="preserve">依据供应商提交的视频演示内容进行打分，视频文件大小、格式、</w:t>
            </w:r>
            <w:r>
              <w:rPr>
                <w:rFonts w:hint="eastAsia" w:ascii="宋体" w:hAnsi="宋体" w:cs="宋体"/>
                <w:b/>
                <w:bCs/>
                <w:color w:val="000000"/>
              </w:rPr>
              <w:t xml:space="preserve">上传方式等相关要求详见苏采云系统</w:t>
            </w:r>
            <w:r>
              <w:rPr>
                <w:rFonts w:hint="eastAsia" w:ascii="宋体" w:hAnsi="宋体" w:cs="宋体"/>
                <w:b/>
                <w:bCs/>
                <w:color w:val="000000"/>
                <w:lang w:val="en-US" w:eastAsia="zh-CN"/>
              </w:rPr>
              <w:t xml:space="preserve">或电话咨询代理机构</w:t>
            </w:r>
            <w:r>
              <w:rPr>
                <w:rFonts w:hint="eastAsia" w:ascii="宋体" w:hAnsi="宋体" w:cs="宋体"/>
                <w:color w:val="000000"/>
              </w:rPr>
              <w:t xml:space="preserve">；视频总时长不得超过 5 分钟；提交的演示视频应为成熟产品实物实景实时操作实拍，</w:t>
            </w:r>
            <w:r>
              <w:rPr>
                <w:rFonts w:hint="eastAsia" w:ascii="宋体" w:hAnsi="宋体" w:cs="宋体"/>
                <w:b/>
                <w:bCs/>
                <w:color w:val="000000"/>
              </w:rPr>
              <w:t xml:space="preserve">供应商须严格按照演示评分要点顺序逐项演示并同步配套解说</w:t>
            </w:r>
            <w:r>
              <w:rPr>
                <w:rFonts w:hint="eastAsia" w:ascii="宋体" w:hAnsi="宋体" w:cs="宋体"/>
                <w:color w:val="000000"/>
              </w:rPr>
              <w:t xml:space="preserve">。</w:t>
            </w:r>
            <w:r/>
          </w:p>
          <w:p>
            <w:pPr>
              <w:jc w:val="left"/>
              <w:spacing w:line="360" w:lineRule="auto"/>
            </w:pPr>
            <w:r>
              <w:rPr>
                <w:rFonts w:ascii="宋体" w:hAnsi="宋体" w:cs="宋体"/>
                <w:color w:val="000000"/>
              </w:rPr>
              <w:t xml:space="preserve">演示内容如下：</w:t>
            </w:r>
            <w:r/>
          </w:p>
          <w:p>
            <w:pPr>
              <w:jc w:val="left"/>
              <w:spacing w:line="360" w:lineRule="auto"/>
            </w:pPr>
            <w:r>
              <w:rPr>
                <w:rFonts w:ascii="宋体" w:hAnsi="宋体" w:cs="宋体"/>
                <w:color w:val="000000"/>
              </w:rPr>
              <w:t xml:space="preserve">1、5G微波通信系统（收发）：收发系统电路采用两块整体全开放无腔体沉金微带电路设计，通过开关控制连接系统单元电路；便于学生了解系统电路设计过程</w:t>
            </w:r>
            <w:r>
              <w:rPr>
                <w:rFonts w:hint="eastAsia" w:ascii="宋体" w:hAnsi="宋体" w:cs="宋体"/>
                <w:color w:val="000000"/>
              </w:rPr>
              <w:t xml:space="preserve">；（完全满足得2分，不演示或不完全满足或演示不完整的不得分）</w:t>
            </w:r>
            <w:r>
              <w:rPr>
                <w:rFonts w:ascii="宋体" w:hAnsi="宋体" w:cs="宋体"/>
                <w:color w:val="000000"/>
              </w:rPr>
              <w:t xml:space="preserve"> </w:t>
            </w:r>
            <w:r/>
          </w:p>
          <w:p>
            <w:pPr>
              <w:jc w:val="left"/>
              <w:spacing w:line="360" w:lineRule="auto"/>
            </w:pPr>
            <w:r>
              <w:rPr>
                <w:rFonts w:ascii="宋体" w:hAnsi="宋体" w:cs="宋体"/>
                <w:color w:val="000000"/>
              </w:rPr>
              <w:t xml:space="preserve">2、电波暗室天线方向图测试仿真系统：鼠标操控第一视角进入电波暗室，电波暗室里配置角锥形吸波材料、天线伺服、照明灯、供电插座等；</w:t>
            </w:r>
            <w:r>
              <w:rPr>
                <w:rFonts w:hint="eastAsia" w:ascii="宋体" w:hAnsi="宋体" w:cs="宋体"/>
                <w:color w:val="000000"/>
              </w:rPr>
              <w:t xml:space="preserve">（完全满足得2分，不演示或不完全满足或演示不完整的不得分）</w:t>
            </w:r>
            <w:r/>
          </w:p>
          <w:p>
            <w:pPr>
              <w:jc w:val="left"/>
              <w:spacing w:line="360" w:lineRule="auto"/>
              <w:rPr>
                <w:rFonts w:hint="eastAsia" w:ascii="宋体" w:hAnsi="宋体" w:cs="宋体"/>
                <w:szCs w:val="21"/>
              </w:rPr>
            </w:pPr>
            <w:r>
              <w:rPr>
                <w:rFonts w:ascii="宋体" w:hAnsi="宋体" w:cs="宋体"/>
                <w:color w:val="000000"/>
              </w:rPr>
              <w:t xml:space="preserve">3、电波暗室天线方向图测试仿真系统：鼠标操控第一视角进入天线测试控制室，控制室配置射频宽带信号源、接收机、天线柜，天线柜内放置：喇叭天线、全向天线、八木天线、抛物面天线等；</w:t>
            </w:r>
            <w:r>
              <w:rPr>
                <w:rFonts w:hint="eastAsia" w:ascii="宋体" w:hAnsi="宋体" w:cs="宋体"/>
                <w:color w:val="000000"/>
              </w:rPr>
              <w:t xml:space="preserve">（完全满足得2分，不演示或不完全满足或演示不完整的不得分）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60" w:lineRule="auto"/>
              <w:tabs>
                <w:tab w:val="center" w:pos="251" w:leader="none"/>
                <w:tab w:val="left" w:pos="365" w:leader="none"/>
              </w:tabs>
              <w:rPr>
                <w:rFonts w:hint="eastAsia" w:ascii="宋体" w:hAnsi="宋体" w:cs="宋体"/>
                <w:szCs w:val="21"/>
              </w:rPr>
            </w:pPr>
            <w:r>
              <w:rPr>
                <w:rFonts w:hint="eastAsia" w:ascii="宋体" w:hAnsi="宋体" w:cs="宋体"/>
                <w:szCs w:val="21"/>
              </w:rPr>
              <w:t xml:space="preserve">6</w:t>
            </w:r>
            <w:r/>
          </w:p>
        </w:tc>
      </w:tr>
      <w:tr>
        <w:trPr>
          <w:jc w:val="center"/>
          <w:trHeight w:val="724"/>
        </w:trPr>
        <w:tc>
          <w:tcPr>
            <w:tcBorders>
              <w:left w:val="single" w:color="auto" w:sz="4" w:space="0"/>
              <w:right w:val="single" w:color="auto" w:sz="4" w:space="0"/>
            </w:tcBorders>
            <w:tcW w:w="38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gridSpan w:val="2"/>
            <w:tcBorders>
              <w:left w:val="single" w:color="auto" w:sz="4" w:space="0"/>
              <w:right w:val="single" w:color="auto" w:sz="4" w:space="0"/>
            </w:tcBorders>
            <w:tcW w:w="421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hint="eastAsia" w:ascii="宋体" w:hAnsi="宋体" w:cs="宋体"/>
        </w:rPr>
      </w:pPr>
      <w:r>
        <w:rPr>
          <w:rFonts w:hint="eastAsia" w:ascii="宋体" w:hAnsi="宋体" w:cs="宋体"/>
        </w:rPr>
      </w:r>
      <w:r/>
    </w:p>
    <w:p>
      <w:pPr>
        <w:ind w:firstLine="422"/>
        <w:spacing w:line="360" w:lineRule="auto"/>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r>
      <w:r/>
    </w:p>
    <w:p>
      <w:pPr>
        <w:jc w:val="left"/>
        <w:spacing w:line="360" w:lineRule="auto"/>
        <w:widowControl/>
        <w:rPr>
          <w:rFonts w:hint="eastAsia" w:ascii="宋体" w:hAnsi="宋体" w:cs="宋体"/>
          <w:b/>
          <w:sz w:val="22"/>
          <w:szCs w:val="28"/>
        </w:rPr>
      </w:pPr>
      <w:r>
        <w:rPr>
          <w:rFonts w:hint="eastAsia" w:ascii="宋体" w:hAnsi="宋体" w:cs="宋体"/>
          <w:b/>
          <w:sz w:val="22"/>
          <w:szCs w:val="28"/>
        </w:rPr>
        <w:br w:type="page" w:clear="all"/>
      </w:r>
      <w:r/>
    </w:p>
    <w:p>
      <w:pPr>
        <w:pStyle w:val="1033"/>
        <w:numPr>
          <w:ilvl w:val="0"/>
          <w:numId w:val="0"/>
        </w:numPr>
        <w:spacing w:line="360" w:lineRule="auto"/>
        <w:rPr>
          <w:rFonts w:hint="eastAsia" w:ascii="宋体" w:hAnsi="宋体" w:cs="宋体"/>
          <w:sz w:val="28"/>
          <w:szCs w:val="40"/>
          <w:highlight w:val="green"/>
        </w:rPr>
      </w:pPr>
      <w:r/>
      <w:bookmarkStart w:id="19" w:name="_Toc6871"/>
      <w:r>
        <w:rPr>
          <w:rFonts w:hint="eastAsia" w:ascii="宋体" w:hAnsi="宋体" w:cs="宋体"/>
          <w:sz w:val="28"/>
          <w:szCs w:val="40"/>
        </w:rPr>
        <w:t xml:space="preserve">第四章  采购需求</w:t>
      </w:r>
      <w:bookmarkEnd w:id="19"/>
      <w:r/>
      <w:r/>
    </w:p>
    <w:p>
      <w:pPr>
        <w:ind w:firstLine="422"/>
        <w:spacing w:line="360" w:lineRule="auto"/>
        <w:rPr>
          <w:rFonts w:hint="eastAsia"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18449"/>
      <w:r/>
      <w:bookmarkStart w:id="26" w:name="_Toc4968"/>
      <w:r/>
      <w:r/>
    </w:p>
    <w:p>
      <w:pPr>
        <w:pStyle w:val="1103"/>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南京工业职业技术大学为满足教学实验需要，需采购如下设备</w:t>
      </w:r>
      <w:bookmarkEnd w:id="23"/>
      <w:r/>
      <w:bookmarkEnd w:id="24"/>
      <w:r/>
      <w:r/>
    </w:p>
    <w:tbl>
      <w:tblPr>
        <w:tblStyle w:val="10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3459"/>
        <w:gridCol w:w="1243"/>
        <w:gridCol w:w="1704"/>
        <w:gridCol w:w="1704"/>
      </w:tblGrid>
      <w:tr>
        <w:trPr>
          <w:jc w:val="center"/>
          <w:trHeight w:val="90"/>
        </w:trPr>
        <w:tc>
          <w:tcPr>
            <w:tcW w:w="808" w:type="dxa"/>
            <w:vAlign w:val="center"/>
            <w:textDirection w:val="lrTb"/>
            <w:noWrap w:val="false"/>
          </w:tcPr>
          <w:p>
            <w:pPr>
              <w:pStyle w:val="1103"/>
              <w:ind w:firstLine="0"/>
              <w:jc w:val="center"/>
              <w:spacing w:line="360" w:lineRule="auto"/>
              <w:rPr>
                <w:rFonts w:hint="eastAsia" w:ascii="宋体" w:hAnsi="宋体" w:cs="宋体"/>
                <w:b/>
                <w:bCs/>
                <w:szCs w:val="21"/>
              </w:rPr>
            </w:pPr>
            <w:r/>
            <w:bookmarkStart w:id="27" w:name="OLE_LINK12"/>
            <w:r>
              <w:rPr>
                <w:rFonts w:hint="eastAsia" w:ascii="宋体" w:hAnsi="宋体" w:cs="宋体"/>
                <w:b/>
                <w:bCs/>
                <w:szCs w:val="21"/>
              </w:rPr>
              <w:t xml:space="preserve">序号</w:t>
            </w:r>
            <w:r/>
          </w:p>
        </w:tc>
        <w:tc>
          <w:tcPr>
            <w:tcW w:w="3459" w:type="dxa"/>
            <w:vAlign w:val="center"/>
            <w:textDirection w:val="lrTb"/>
            <w:noWrap w:val="false"/>
          </w:tcPr>
          <w:p>
            <w:pPr>
              <w:pStyle w:val="1103"/>
              <w:ind w:firstLine="0"/>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1103"/>
              <w:ind w:firstLine="0"/>
              <w:jc w:val="center"/>
              <w:spacing w:line="360" w:lineRule="auto"/>
              <w:rPr>
                <w:rFonts w:hint="eastAsia"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1103"/>
              <w:ind w:firstLine="0"/>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1103"/>
              <w:ind w:firstLine="0"/>
              <w:jc w:val="center"/>
              <w:spacing w:line="360" w:lineRule="auto"/>
              <w:rPr>
                <w:rFonts w:hint="eastAsia" w:ascii="宋体" w:hAnsi="宋体" w:cs="宋体"/>
                <w:b/>
                <w:bCs/>
                <w:szCs w:val="21"/>
              </w:rPr>
            </w:pPr>
            <w:r>
              <w:rPr>
                <w:rFonts w:hint="eastAsia" w:ascii="宋体" w:hAnsi="宋体" w:cs="宋体"/>
                <w:b/>
                <w:bCs/>
                <w:szCs w:val="21"/>
              </w:rPr>
              <w:t xml:space="preserve">备注</w:t>
            </w:r>
            <w:r/>
          </w:p>
        </w:tc>
      </w:tr>
      <w:tr>
        <w:trPr>
          <w:jc w:val="center"/>
        </w:trPr>
        <w:tc>
          <w:tcPr>
            <w:tcW w:w="808" w:type="dxa"/>
            <w:vAlign w:val="center"/>
            <w:textDirection w:val="lrTb"/>
            <w:noWrap w:val="false"/>
          </w:tcPr>
          <w:p>
            <w:pPr>
              <w:jc w:val="center"/>
            </w:pPr>
            <w:r>
              <w:rPr>
                <w:rFonts w:ascii="宋体" w:hAnsi="宋体" w:cs="宋体"/>
                <w:color w:val="000000"/>
              </w:rPr>
              <w:t xml:space="preserve">1</w:t>
            </w:r>
            <w:r/>
          </w:p>
        </w:tc>
        <w:tc>
          <w:tcPr>
            <w:tcW w:w="3459" w:type="dxa"/>
            <w:vAlign w:val="center"/>
            <w:textDirection w:val="lrTb"/>
            <w:noWrap w:val="false"/>
          </w:tcPr>
          <w:p>
            <w:pPr>
              <w:jc w:val="center"/>
              <w:spacing w:line="273" w:lineRule="exact"/>
            </w:pPr>
            <w:r>
              <w:rPr>
                <w:rFonts w:ascii="宋体" w:hAnsi="宋体" w:cs="宋体"/>
                <w:color w:val="000000"/>
              </w:rPr>
              <w:t xml:space="preserve">5G微波通信系统（发射）</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台</w:t>
            </w:r>
            <w:r/>
          </w:p>
        </w:tc>
        <w:tc>
          <w:tcPr>
            <w:tcW w:w="1704" w:type="dxa"/>
            <w:vAlign w:val="center"/>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2</w:t>
            </w:r>
            <w:r/>
          </w:p>
        </w:tc>
        <w:tc>
          <w:tcPr>
            <w:tcW w:w="3459" w:type="dxa"/>
            <w:vAlign w:val="center"/>
            <w:textDirection w:val="lrTb"/>
            <w:noWrap w:val="false"/>
          </w:tcPr>
          <w:p>
            <w:pPr>
              <w:jc w:val="center"/>
              <w:spacing w:line="273" w:lineRule="exact"/>
            </w:pPr>
            <w:r>
              <w:rPr>
                <w:rFonts w:ascii="宋体" w:hAnsi="宋体" w:cs="宋体"/>
                <w:color w:val="000000"/>
              </w:rPr>
              <w:t xml:space="preserve">5G微波通信系统（接收）</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台</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3</w:t>
            </w:r>
            <w:r/>
          </w:p>
        </w:tc>
        <w:tc>
          <w:tcPr>
            <w:tcW w:w="3459" w:type="dxa"/>
            <w:vAlign w:val="center"/>
            <w:textDirection w:val="lrTb"/>
            <w:noWrap w:val="false"/>
          </w:tcPr>
          <w:p>
            <w:pPr>
              <w:jc w:val="center"/>
              <w:spacing w:line="273" w:lineRule="exact"/>
            </w:pPr>
            <w:r>
              <w:rPr>
                <w:rFonts w:ascii="宋体" w:hAnsi="宋体" w:cs="宋体"/>
                <w:color w:val="000000"/>
              </w:rPr>
              <w:t xml:space="preserve">微波技术综合仪器测试平台</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808" w:type="dxa"/>
            <w:vAlign w:val="center"/>
            <w:textDirection w:val="lrTb"/>
            <w:noWrap w:val="false"/>
          </w:tcPr>
          <w:p>
            <w:pPr>
              <w:jc w:val="center"/>
            </w:pPr>
            <w:r>
              <w:rPr>
                <w:rFonts w:ascii="宋体" w:hAnsi="宋体" w:cs="宋体"/>
                <w:color w:val="000000"/>
              </w:rPr>
              <w:t xml:space="preserve">4</w:t>
            </w:r>
            <w:r/>
          </w:p>
        </w:tc>
        <w:tc>
          <w:tcPr>
            <w:tcW w:w="3459" w:type="dxa"/>
            <w:vAlign w:val="center"/>
            <w:textDirection w:val="lrTb"/>
            <w:noWrap w:val="false"/>
          </w:tcPr>
          <w:p>
            <w:pPr>
              <w:jc w:val="center"/>
              <w:spacing w:line="273" w:lineRule="exact"/>
            </w:pPr>
            <w:r>
              <w:rPr>
                <w:rFonts w:ascii="宋体" w:hAnsi="宋体" w:cs="宋体"/>
                <w:color w:val="000000"/>
              </w:rPr>
              <w:t xml:space="preserve">天线测试系统实训模组</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台</w:t>
            </w:r>
            <w:r/>
          </w:p>
        </w:tc>
        <w:tc>
          <w:tcPr>
            <w:tcW w:w="1704" w:type="dxa"/>
            <w:textDirection w:val="lrTb"/>
            <w:noWrap w:val="false"/>
          </w:tcPr>
          <w:p>
            <w:pPr>
              <w:pStyle w:val="1103"/>
              <w:ind w:firstLine="0"/>
              <w:jc w:val="center"/>
              <w:spacing w:line="360" w:lineRule="auto"/>
              <w:rPr>
                <w:rFonts w:hint="eastAsia" w:ascii="宋体" w:hAnsi="宋体" w:cs="宋体"/>
                <w:szCs w:val="21"/>
              </w:rPr>
            </w:pPr>
            <w:r>
              <w:rPr>
                <w:rFonts w:hint="eastAsia" w:ascii="宋体" w:hAnsi="宋体" w:cs="宋体"/>
                <w:szCs w:val="21"/>
              </w:rPr>
              <w:t xml:space="preserve">核心产品</w:t>
            </w:r>
            <w:r/>
          </w:p>
        </w:tc>
      </w:tr>
      <w:tr>
        <w:trPr>
          <w:jc w:val="center"/>
        </w:trPr>
        <w:tc>
          <w:tcPr>
            <w:tcW w:w="808" w:type="dxa"/>
            <w:vAlign w:val="center"/>
            <w:textDirection w:val="lrTb"/>
            <w:noWrap w:val="false"/>
          </w:tcPr>
          <w:p>
            <w:pPr>
              <w:jc w:val="center"/>
            </w:pPr>
            <w:r>
              <w:rPr>
                <w:rFonts w:ascii="宋体" w:hAnsi="宋体" w:cs="宋体"/>
                <w:color w:val="000000"/>
              </w:rPr>
              <w:t xml:space="preserve">5</w:t>
            </w:r>
            <w:r/>
          </w:p>
        </w:tc>
        <w:tc>
          <w:tcPr>
            <w:tcW w:w="3459" w:type="dxa"/>
            <w:vAlign w:val="center"/>
            <w:textDirection w:val="lrTb"/>
            <w:noWrap w:val="false"/>
          </w:tcPr>
          <w:p>
            <w:pPr>
              <w:jc w:val="center"/>
              <w:spacing w:line="273" w:lineRule="exact"/>
            </w:pPr>
            <w:r>
              <w:rPr>
                <w:rFonts w:ascii="宋体" w:hAnsi="宋体" w:cs="宋体"/>
                <w:color w:val="000000"/>
              </w:rPr>
              <w:t xml:space="preserve">微波（收发）天线伺服转动装置</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808" w:type="dxa"/>
            <w:vAlign w:val="center"/>
            <w:textDirection w:val="lrTb"/>
            <w:noWrap w:val="false"/>
          </w:tcPr>
          <w:p>
            <w:pPr>
              <w:jc w:val="center"/>
            </w:pPr>
            <w:r>
              <w:rPr>
                <w:rFonts w:ascii="宋体" w:hAnsi="宋体" w:cs="宋体"/>
                <w:color w:val="000000"/>
              </w:rPr>
              <w:t xml:space="preserve">6</w:t>
            </w:r>
            <w:r/>
          </w:p>
        </w:tc>
        <w:tc>
          <w:tcPr>
            <w:tcW w:w="3459" w:type="dxa"/>
            <w:vAlign w:val="center"/>
            <w:textDirection w:val="lrTb"/>
            <w:noWrap w:val="false"/>
          </w:tcPr>
          <w:p>
            <w:pPr>
              <w:jc w:val="center"/>
              <w:spacing w:line="273" w:lineRule="exact"/>
            </w:pPr>
            <w:r>
              <w:rPr>
                <w:rFonts w:ascii="宋体" w:hAnsi="宋体" w:cs="宋体"/>
                <w:color w:val="000000"/>
              </w:rPr>
              <w:t xml:space="preserve">天线（收发）测试套件</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7</w:t>
            </w:r>
            <w:r/>
          </w:p>
        </w:tc>
        <w:tc>
          <w:tcPr>
            <w:tcW w:w="3459" w:type="dxa"/>
            <w:vAlign w:val="center"/>
            <w:textDirection w:val="lrTb"/>
            <w:noWrap w:val="false"/>
          </w:tcPr>
          <w:p>
            <w:pPr>
              <w:jc w:val="center"/>
              <w:spacing w:line="273" w:lineRule="exact"/>
            </w:pPr>
            <w:r>
              <w:rPr>
                <w:rFonts w:ascii="宋体" w:hAnsi="宋体" w:cs="宋体"/>
                <w:color w:val="000000"/>
              </w:rPr>
              <w:t xml:space="preserve">收发测试线缆</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8</w:t>
            </w:r>
            <w:r/>
          </w:p>
        </w:tc>
        <w:tc>
          <w:tcPr>
            <w:tcW w:w="3459" w:type="dxa"/>
            <w:vAlign w:val="center"/>
            <w:textDirection w:val="lrTb"/>
            <w:noWrap w:val="false"/>
          </w:tcPr>
          <w:p>
            <w:pPr>
              <w:jc w:val="center"/>
              <w:spacing w:line="273" w:lineRule="exact"/>
            </w:pPr>
            <w:r>
              <w:rPr>
                <w:rFonts w:ascii="宋体" w:hAnsi="宋体" w:cs="宋体"/>
                <w:color w:val="000000"/>
              </w:rPr>
              <w:t xml:space="preserve">电磁场电磁波实训模组</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台</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9</w:t>
            </w:r>
            <w:r/>
          </w:p>
        </w:tc>
        <w:tc>
          <w:tcPr>
            <w:tcW w:w="3459" w:type="dxa"/>
            <w:vAlign w:val="center"/>
            <w:textDirection w:val="lrTb"/>
            <w:noWrap w:val="false"/>
          </w:tcPr>
          <w:p>
            <w:pPr>
              <w:jc w:val="center"/>
              <w:spacing w:line="273" w:lineRule="exact"/>
            </w:pPr>
            <w:r>
              <w:rPr>
                <w:rFonts w:ascii="宋体" w:hAnsi="宋体" w:cs="宋体"/>
                <w:color w:val="000000"/>
              </w:rPr>
              <w:t xml:space="preserve">数显双导轨测量平台</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10</w:t>
            </w:r>
            <w:r/>
          </w:p>
        </w:tc>
        <w:tc>
          <w:tcPr>
            <w:tcW w:w="3459" w:type="dxa"/>
            <w:vAlign w:val="center"/>
            <w:textDirection w:val="lrTb"/>
            <w:noWrap w:val="false"/>
          </w:tcPr>
          <w:p>
            <w:pPr>
              <w:jc w:val="center"/>
              <w:spacing w:line="273" w:lineRule="exact"/>
            </w:pPr>
            <w:r>
              <w:rPr>
                <w:rFonts w:ascii="宋体" w:hAnsi="宋体" w:cs="宋体"/>
                <w:color w:val="000000"/>
              </w:rPr>
              <w:t xml:space="preserve">电磁场电磁波配件箱</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台</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11</w:t>
            </w:r>
            <w:r/>
          </w:p>
        </w:tc>
        <w:tc>
          <w:tcPr>
            <w:tcW w:w="3459" w:type="dxa"/>
            <w:vAlign w:val="center"/>
            <w:textDirection w:val="lrTb"/>
            <w:noWrap w:val="false"/>
          </w:tcPr>
          <w:p>
            <w:pPr>
              <w:jc w:val="center"/>
              <w:spacing w:line="273" w:lineRule="exact"/>
            </w:pPr>
            <w:r>
              <w:rPr>
                <w:rFonts w:ascii="宋体" w:hAnsi="宋体" w:cs="宋体"/>
              </w:rPr>
              <w:t xml:space="preserve">电磁波特性仿真软件</w:t>
            </w:r>
            <w:r/>
          </w:p>
        </w:tc>
        <w:tc>
          <w:tcPr>
            <w:tcW w:w="1243" w:type="dxa"/>
            <w:vAlign w:val="center"/>
            <w:textDirection w:val="lrTb"/>
            <w:noWrap w:val="false"/>
          </w:tcPr>
          <w:p>
            <w:pPr>
              <w:jc w:val="center"/>
            </w:pPr>
            <w:r>
              <w:rPr>
                <w:rFonts w:ascii="宋体" w:hAnsi="宋体" w:cs="宋体"/>
                <w:color w:val="000000"/>
                <w:sz w:val="18"/>
              </w:rPr>
              <w:t xml:space="preserve">10</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12</w:t>
            </w:r>
            <w:r/>
          </w:p>
        </w:tc>
        <w:tc>
          <w:tcPr>
            <w:tcW w:w="3459" w:type="dxa"/>
            <w:vAlign w:val="center"/>
            <w:textDirection w:val="lrTb"/>
            <w:noWrap w:val="false"/>
          </w:tcPr>
          <w:p>
            <w:pPr>
              <w:jc w:val="center"/>
              <w:spacing w:line="273" w:lineRule="exact"/>
            </w:pPr>
            <w:r>
              <w:rPr>
                <w:rFonts w:hint="eastAsia" w:ascii="宋体" w:hAnsi="宋体" w:cs="宋体"/>
                <w:szCs w:val="21"/>
              </w:rPr>
              <w:t xml:space="preserve">电磁波与场示教仿真软件</w:t>
            </w:r>
            <w:r/>
          </w:p>
        </w:tc>
        <w:tc>
          <w:tcPr>
            <w:tcW w:w="1243" w:type="dxa"/>
            <w:vAlign w:val="center"/>
            <w:textDirection w:val="lrTb"/>
            <w:noWrap w:val="false"/>
          </w:tcPr>
          <w:p>
            <w:pPr>
              <w:jc w:val="center"/>
            </w:pPr>
            <w:r>
              <w:rPr>
                <w:rFonts w:ascii="宋体" w:hAnsi="宋体" w:cs="宋体"/>
                <w:color w:val="000000"/>
                <w:sz w:val="18"/>
              </w:rPr>
              <w:t xml:space="preserve">1</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r>
        <w:trPr>
          <w:jc w:val="center"/>
        </w:trPr>
        <w:tc>
          <w:tcPr>
            <w:tcW w:w="808" w:type="dxa"/>
            <w:vAlign w:val="center"/>
            <w:textDirection w:val="lrTb"/>
            <w:noWrap w:val="false"/>
          </w:tcPr>
          <w:p>
            <w:pPr>
              <w:jc w:val="center"/>
            </w:pPr>
            <w:r>
              <w:rPr>
                <w:rFonts w:ascii="宋体" w:hAnsi="宋体" w:cs="宋体"/>
                <w:color w:val="000000"/>
              </w:rPr>
              <w:t xml:space="preserve">13</w:t>
            </w:r>
            <w:r/>
          </w:p>
        </w:tc>
        <w:tc>
          <w:tcPr>
            <w:tcW w:w="3459" w:type="dxa"/>
            <w:vAlign w:val="center"/>
            <w:textDirection w:val="lrTb"/>
            <w:noWrap w:val="false"/>
          </w:tcPr>
          <w:p>
            <w:pPr>
              <w:jc w:val="center"/>
              <w:spacing w:line="273" w:lineRule="exact"/>
            </w:pPr>
            <w:r>
              <w:rPr>
                <w:rFonts w:ascii="宋体" w:hAnsi="宋体" w:cs="宋体"/>
                <w:color w:val="000000"/>
              </w:rPr>
              <w:t xml:space="preserve">电波暗室天线方向图测试仿真系统</w:t>
            </w:r>
            <w:r/>
          </w:p>
        </w:tc>
        <w:tc>
          <w:tcPr>
            <w:tcW w:w="1243" w:type="dxa"/>
            <w:vAlign w:val="center"/>
            <w:textDirection w:val="lrTb"/>
            <w:noWrap w:val="false"/>
          </w:tcPr>
          <w:p>
            <w:pPr>
              <w:jc w:val="center"/>
            </w:pPr>
            <w:r>
              <w:rPr>
                <w:rFonts w:ascii="宋体" w:hAnsi="宋体" w:cs="宋体"/>
                <w:color w:val="000000"/>
                <w:sz w:val="18"/>
              </w:rPr>
              <w:t xml:space="preserve">1</w:t>
            </w:r>
            <w:r/>
          </w:p>
        </w:tc>
        <w:tc>
          <w:tcPr>
            <w:tcW w:w="1704" w:type="dxa"/>
            <w:vAlign w:val="center"/>
            <w:textDirection w:val="lrTb"/>
            <w:noWrap w:val="false"/>
          </w:tcPr>
          <w:p>
            <w:pPr>
              <w:jc w:val="center"/>
            </w:pPr>
            <w:r>
              <w:rPr>
                <w:rFonts w:ascii="宋体" w:hAnsi="宋体" w:cs="宋体"/>
                <w:color w:val="000000"/>
              </w:rPr>
              <w:t xml:space="preserve">套</w:t>
            </w:r>
            <w:r/>
          </w:p>
        </w:tc>
        <w:tc>
          <w:tcPr>
            <w:tcW w:w="1704" w:type="dxa"/>
            <w:textDirection w:val="lrTb"/>
            <w:noWrap w:val="false"/>
          </w:tcPr>
          <w:p>
            <w:pPr>
              <w:pStyle w:val="1103"/>
              <w:ind w:firstLine="0"/>
              <w:jc w:val="center"/>
              <w:spacing w:line="360" w:lineRule="auto"/>
              <w:rPr>
                <w:rFonts w:hint="eastAsia" w:ascii="宋体" w:hAnsi="宋体" w:cs="宋体"/>
                <w:szCs w:val="21"/>
                <w:highlight w:val="yellow"/>
              </w:rPr>
            </w:pPr>
            <w:r>
              <w:rPr>
                <w:rFonts w:hint="eastAsia" w:ascii="宋体" w:hAnsi="宋体" w:cs="宋体"/>
                <w:szCs w:val="21"/>
                <w:highlight w:val="yellow"/>
              </w:rPr>
            </w:r>
            <w:r/>
          </w:p>
        </w:tc>
      </w:tr>
    </w:tbl>
    <w:p>
      <w:pPr>
        <w:pStyle w:val="1316"/>
        <w:numPr>
          <w:ilvl w:val="0"/>
          <w:numId w:val="0"/>
        </w:numPr>
        <w:ind w:firstLine="422"/>
        <w:jc w:val="both"/>
        <w:spacing w:after="0" w:line="360" w:lineRule="auto"/>
        <w:rPr>
          <w:rFonts w:hint="eastAsia" w:ascii="宋体" w:hAnsi="宋体" w:cs="宋体"/>
          <w:sz w:val="21"/>
          <w:szCs w:val="21"/>
        </w:rPr>
        <w:outlineLvl w:val="9"/>
      </w:pPr>
      <w:r>
        <w:rPr>
          <w:rFonts w:hint="eastAsia" w:ascii="宋体" w:hAnsi="宋体" w:cs="宋体"/>
          <w:sz w:val="21"/>
          <w:szCs w:val="21"/>
        </w:rPr>
      </w:r>
      <w:bookmarkEnd w:id="25"/>
      <w:r/>
      <w:bookmarkEnd w:id="26"/>
      <w:r/>
      <w:bookmarkEnd w:id="27"/>
      <w:r/>
      <w:r/>
    </w:p>
    <w:p>
      <w:pPr>
        <w:pStyle w:val="1316"/>
        <w:numPr>
          <w:ilvl w:val="0"/>
          <w:numId w:val="0"/>
        </w:numPr>
        <w:ind w:firstLine="422"/>
        <w:jc w:val="both"/>
        <w:spacing w:after="0" w:line="360" w:lineRule="auto"/>
        <w:rPr>
          <w:rFonts w:hint="eastAsia" w:ascii="宋体" w:hAnsi="宋体" w:cs="宋体"/>
          <w:sz w:val="21"/>
          <w:szCs w:val="21"/>
        </w:rPr>
        <w:outlineLvl w:val="9"/>
      </w:pPr>
      <w:r/>
      <w:bookmarkStart w:id="28" w:name="_Toc29315"/>
      <w:r/>
      <w:bookmarkStart w:id="29" w:name="_Toc2652"/>
      <w:r/>
      <w:bookmarkStart w:id="30" w:name="_Toc9991"/>
      <w:r>
        <w:rPr>
          <w:rFonts w:hint="eastAsia" w:ascii="宋体" w:hAnsi="宋体" w:cs="宋体"/>
          <w:sz w:val="21"/>
          <w:szCs w:val="21"/>
        </w:rPr>
        <w:t xml:space="preserve">二、技术指标及要求</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（一）5G微波通信系统（发射）</w:t>
      </w:r>
      <w:r/>
    </w:p>
    <w:p>
      <w:pPr>
        <w:ind w:firstLine="420"/>
        <w:jc w:val="left"/>
        <w:spacing w:line="360" w:lineRule="auto"/>
        <w:rPr>
          <w:rFonts w:hint="eastAsia" w:ascii="宋体" w:hAnsi="宋体" w:cs="宋体"/>
          <w:szCs w:val="21"/>
        </w:rPr>
      </w:pPr>
      <w:r>
        <w:rPr>
          <w:rFonts w:hint="eastAsia" w:ascii="宋体" w:hAnsi="宋体" w:cs="宋体"/>
          <w:szCs w:val="21"/>
        </w:rPr>
        <w:t xml:space="preserve">1.功能要求及指标：发射系统电路采用整体全开放无腔体沉金微带电路设计，通过开关控制连接系统单元电路；便于学生了解系统电路设计过程；</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DDS 数字频率合成器： 工作频率范围：35MHz-4400MHz，可调步进频率：≤100KHz；频率稳定度：≥25PPM； 输出功率范围：≥3dBm；显示：LED 液晶显示屏；显示频率及步进调节范围；支持二次开发；开发接口：JTAG；</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数控步进衰减器：工作频段：0.1-5GHz；步进范围：0-35dB；衰减步进：≤1dB； 插损：≤2dB；阻抗：50Ω； 支持外接MCU控制板；</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中频滤波器：中心频率： 70MHz或140MHz，工作带宽：±2~10MHz；插入损耗： ≤-1dB；带外抑制：±70MHz处：≥30dB；</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支持在空天场景中和卫星地面发射站的链接，实现系统传输卫星影音的应用；</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（二）5G微波通信系统（接收）</w:t>
      </w:r>
      <w:r/>
    </w:p>
    <w:p>
      <w:pPr>
        <w:ind w:firstLine="420"/>
        <w:jc w:val="left"/>
        <w:spacing w:line="360" w:lineRule="auto"/>
        <w:rPr>
          <w:rFonts w:hint="eastAsia" w:ascii="宋体" w:hAnsi="宋体" w:cs="宋体"/>
          <w:szCs w:val="21"/>
        </w:rPr>
      </w:pPr>
      <w:r>
        <w:rPr>
          <w:rFonts w:hint="eastAsia" w:ascii="宋体" w:hAnsi="宋体" w:cs="宋体"/>
          <w:szCs w:val="21"/>
        </w:rPr>
        <w:t xml:space="preserve">1.接收系统电路采用整体全开放无腔体沉金微带电路设计，通过开关控制连接系统单元电路；便于学生了解系统电路设计过程；</w:t>
      </w:r>
      <w:r/>
    </w:p>
    <w:p>
      <w:pPr>
        <w:ind w:firstLine="420"/>
        <w:jc w:val="left"/>
        <w:spacing w:line="360" w:lineRule="auto"/>
        <w:rPr>
          <w:rFonts w:hint="eastAsia" w:ascii="宋体" w:hAnsi="宋体" w:cs="宋体"/>
          <w:szCs w:val="21"/>
        </w:rPr>
      </w:pPr>
      <w:r>
        <w:rPr>
          <w:rFonts w:hint="eastAsia" w:ascii="宋体" w:hAnsi="宋体" w:cs="宋体"/>
          <w:szCs w:val="21"/>
        </w:rPr>
        <w:t xml:space="preserve">2.DDS本振频合器：工作频率范围：35MHz-4400MHz； 步进频率：≤100KHz；频率稳定度：≥25PPM；输出功率：≥3dBm；显示：LED 液晶显示屏；显示频率及步进调节范围；</w:t>
      </w:r>
      <w:r/>
    </w:p>
    <w:p>
      <w:pPr>
        <w:ind w:firstLine="420"/>
        <w:jc w:val="left"/>
        <w:spacing w:line="360" w:lineRule="auto"/>
        <w:rPr>
          <w:rFonts w:hint="eastAsia" w:ascii="宋体" w:hAnsi="宋体" w:cs="宋体"/>
          <w:szCs w:val="21"/>
        </w:rPr>
      </w:pPr>
      <w:r>
        <w:rPr>
          <w:rFonts w:hint="eastAsia" w:ascii="宋体" w:hAnsi="宋体" w:cs="宋体"/>
          <w:szCs w:val="21"/>
        </w:rPr>
        <w:t xml:space="preserve">3.数字解调器：解调方式：64QAM或QPSK；解调输出具有液晶显示图像，语音输出，亮度可调，音量可调；</w:t>
      </w:r>
      <w:r/>
    </w:p>
    <w:p>
      <w:pPr>
        <w:ind w:firstLine="420"/>
        <w:jc w:val="left"/>
        <w:spacing w:line="360" w:lineRule="auto"/>
        <w:rPr>
          <w:rFonts w:hint="eastAsia" w:ascii="宋体" w:hAnsi="宋体" w:cs="宋体"/>
          <w:szCs w:val="21"/>
        </w:rPr>
      </w:pPr>
      <w:r>
        <w:rPr>
          <w:rFonts w:hint="eastAsia" w:ascii="宋体" w:hAnsi="宋体" w:cs="宋体"/>
          <w:szCs w:val="21"/>
        </w:rPr>
        <w:t xml:space="preserve">4.支持远程登入虚实仿真平台进行操作实验；支持在空天场景中和卫星地面接收站的链接，实现系统传输卫星影音的还原；</w:t>
      </w:r>
      <w:r/>
    </w:p>
    <w:p>
      <w:pPr>
        <w:ind w:firstLine="420"/>
        <w:jc w:val="left"/>
        <w:spacing w:line="360" w:lineRule="auto"/>
        <w:rPr>
          <w:rFonts w:hint="eastAsia" w:ascii="宋体" w:hAnsi="宋体" w:cs="宋体"/>
          <w:szCs w:val="21"/>
        </w:rPr>
      </w:pPr>
      <w:r>
        <w:rPr>
          <w:rFonts w:hint="eastAsia" w:ascii="宋体" w:hAnsi="宋体" w:cs="宋体"/>
          <w:szCs w:val="21"/>
        </w:rPr>
        <w:t xml:space="preserve">5.</w:t>
      </w:r>
      <w:r>
        <w:rPr>
          <w:rFonts w:hint="eastAsia"/>
        </w:rPr>
        <w:t xml:space="preserve">需完成实验项目：微波滤波器（高通、低通、带通、带阻）；微波调制与解调测试；微波上下变频测试；微波收发锁相信号源的测试；中频AGC放大器的测试；微波放大器测量；微带传输线的特性测试；甚高频70MHz/140MHz通信实验；视音频信号的传输测试及系统传输实验；远程微波系统视频传输、数字调制解调器、程控衰减器、本振频合器参数配置、功率放大器、混频器、低噪声放大器、收发射频信号参数配置、收发系统故障设置排查、仪表使用等实验；</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（三）微波技术综合仪器测试平台</w:t>
      </w:r>
      <w:r/>
    </w:p>
    <w:p>
      <w:pPr>
        <w:ind w:firstLine="420"/>
        <w:jc w:val="left"/>
        <w:spacing w:line="360" w:lineRule="auto"/>
        <w:rPr>
          <w:rFonts w:hint="eastAsia" w:ascii="宋体" w:hAnsi="宋体" w:cs="宋体"/>
          <w:szCs w:val="21"/>
        </w:rPr>
      </w:pPr>
      <w:r>
        <w:rPr>
          <w:rFonts w:hint="eastAsia" w:ascii="宋体" w:hAnsi="宋体" w:cs="宋体"/>
          <w:szCs w:val="21"/>
        </w:rPr>
        <w:t xml:space="preserve">▲1.功能要求及指标</w:t>
      </w:r>
      <w:r>
        <w:rPr>
          <w:rFonts w:hint="eastAsia" w:ascii="宋体" w:hAnsi="宋体" w:cs="宋体"/>
          <w:szCs w:val="21"/>
          <w:lang w:eastAsia="zh-CN"/>
        </w:rPr>
        <w:t xml:space="preserve">：</w:t>
      </w:r>
      <w:r>
        <w:rPr>
          <w:rFonts w:hint="eastAsia" w:ascii="宋体" w:hAnsi="宋体" w:cs="宋体"/>
          <w:szCs w:val="21"/>
        </w:rPr>
        <w:t xml:space="preserve">整机需具备仪器测试平台+实验功能模组分离式设计；无需拆解整机即可快速更换不同功能模组或故障模组，降低维护难度及故障停机时间，同时方便系统迭代升级；平台显示部分需采用≥15寸液晶显示，留有不少于2路USB接口可连接文件拷贝安装、不少于1路LAN网口、不少于1路HDMI接口支持与投影设备连接演示教学；</w:t>
      </w:r>
      <w:r>
        <w:rPr>
          <w:rFonts w:hint="eastAsia" w:ascii="宋体" w:hAnsi="宋体" w:cs="宋体"/>
          <w:b/>
          <w:bCs/>
          <w:szCs w:val="21"/>
        </w:rPr>
        <w:t xml:space="preserve">（提供产品分离式设计功能图片或公开发行的产品彩页或产品说明书或第三方检测机构的检测报告或其他能够佐证该项技术功能的证明材料）</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整机一体化整体规格尺寸：长×宽×高≤（400MM×350MM×250MM），便于实验桌面摆放管理；</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具有频谱测试分析：频率35MHz—6.0GHz，动态35M—3G，大于80dB，3G—6.0GHz，&gt;60dB，具备扫频，点频信号源输出功能；频谱测试：频率50MHz—6GHz，动态+20dBm—-90dBm；射频功率计模块：定频动态范围：+20dBm—-80dBm，输入阻抗50欧姆，具备dBm，mv，mw转换功能；</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lang w:val="en-US" w:eastAsia="zh-CN"/>
        </w:rPr>
        <w:t xml:space="preserve">4.</w:t>
      </w:r>
      <w:r>
        <w:rPr>
          <w:rFonts w:hint="eastAsia" w:ascii="宋体" w:hAnsi="宋体" w:cs="宋体"/>
          <w:b/>
          <w:bCs/>
          <w:szCs w:val="21"/>
        </w:rPr>
        <w:t xml:space="preserve">具有矢量网络测试分析：频率范围：≥7GHz</w:t>
      </w:r>
      <w:r>
        <w:rPr>
          <w:rFonts w:hint="eastAsia" w:ascii="宋体" w:hAnsi="宋体" w:cs="宋体"/>
          <w:szCs w:val="21"/>
        </w:rPr>
        <w:t xml:space="preserve">；动态范围：≥90dB至3GHz；≥50dB至7GHz；测量类型：S21,S12,S11,S22；输出功率：-40dBm至0dBm；可完成史密斯圆图测量，开路，短路，匹配校准；</w:t>
      </w:r>
      <w:r>
        <w:rPr>
          <w:rFonts w:hint="eastAsia" w:ascii="宋体" w:hAnsi="宋体" w:cs="宋体"/>
          <w:b/>
          <w:bCs/>
          <w:szCs w:val="21"/>
        </w:rPr>
        <w:t xml:space="preserve">（提供产品功能图片或公开发行的产品彩页或产品说明书或第三方检测机构的检测报告或其他能够佐证该项技术功能的证明材料）</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支持在空天场景中对卫星电波的侦测解析；</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（四）天线测试系统实训模组</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1.总体要求：每套天线测量实训系统需集成发射与接收单元一体，实现设备间的信号传输与数据交换；设备具有可灵活维护管理、可更换新模组的功能，模组可分离，具备即插即用，保证课堂教学质量</w:t>
      </w:r>
      <w:r>
        <w:rPr>
          <w:rFonts w:hint="eastAsia" w:ascii="宋体" w:hAnsi="宋体" w:cs="宋体"/>
          <w:szCs w:val="21"/>
          <w:lang w:eastAsia="zh-CN"/>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实验工作频率范围：50MHz-21GHz；步进频率≤10Hz；功率不少于7种档位调节；需满足不同频段测试要求；输出功率电平调节范围：0-31dB，步进：≤0.5dB；</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绘制软件具有频段选择、直坐标系与极坐标系方向图绘制；自动 3dB 波瓣宽度计算、自动前后比计算，系统测试支持最少4个MARK标注功能，支持绘制图形保存等基本功能；</w:t>
      </w:r>
      <w:r>
        <w:rPr>
          <w:rFonts w:hint="eastAsia" w:ascii="宋体" w:hAnsi="宋体" w:cs="宋体"/>
          <w:b/>
          <w:bCs/>
          <w:szCs w:val="21"/>
        </w:rPr>
        <w:t xml:space="preserve">（提供产品功能图片或公开发行的产品彩页或产品说明书或第三方检测机构的检测报告或其他能够佐证该项技术功能的证明材料）</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整机性能参数要求：收发机工作频率范围：50MHz-21GHz，</w:t>
      </w:r>
      <w:r>
        <w:rPr>
          <w:rFonts w:hint="eastAsia"/>
        </w:rPr>
        <w:t xml:space="preserve">上位机设置</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支持在空天场景中对地面站卫星信号进行捕获分析、状态锁定；</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（五）微波（收发）天线伺服转动装置</w:t>
      </w:r>
      <w:r/>
    </w:p>
    <w:p>
      <w:pPr>
        <w:ind w:firstLine="420"/>
        <w:jc w:val="left"/>
        <w:spacing w:line="360" w:lineRule="auto"/>
        <w:rPr>
          <w:rFonts w:hint="eastAsia" w:ascii="宋体" w:hAnsi="宋体" w:cs="宋体"/>
          <w:szCs w:val="21"/>
        </w:rPr>
      </w:pPr>
      <w:r>
        <w:rPr>
          <w:rFonts w:hint="eastAsia" w:ascii="宋体" w:hAnsi="宋体" w:cs="宋体"/>
          <w:szCs w:val="21"/>
        </w:rPr>
        <w:t xml:space="preserve">1.功能要求及指标：装置具有水平极化、俯仰极化、轴比极化功能；受控转台具有防止馈线转动绕圈功能；</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上位机软件界面触摸调控设置含：转台转速、方位归零、方位速度、起始角度、终止角度等基本功能；上位机方向图软件具有≥4组marker数据定位功能，用于对角度及功率数值单独测量，同时可添加删除。上位机控制需含水平控制、俯仰控制、轴比控制、扇扫、指定角度范围扫频、转台一键自动归零等基本功能；俯仰角度：不小于± 25 °，可测量天线垂直面接收辐射特性；</w:t>
      </w:r>
      <w:r/>
    </w:p>
    <w:p>
      <w:pPr>
        <w:ind w:firstLine="420"/>
        <w:jc w:val="left"/>
        <w:spacing w:line="360" w:lineRule="auto"/>
        <w:rPr>
          <w:rFonts w:hint="eastAsia" w:ascii="宋体" w:hAnsi="宋体" w:cs="宋体"/>
          <w:szCs w:val="21"/>
        </w:rPr>
      </w:pPr>
      <w:r/>
      <w:bookmarkStart w:id="38" w:name="_GoBack"/>
      <w:r>
        <w:rPr>
          <w:rFonts w:hint="eastAsia" w:ascii="宋体" w:hAnsi="宋体" w:cs="宋体"/>
          <w:szCs w:val="21"/>
          <w:lang w:val="en-US" w:eastAsia="zh-CN"/>
        </w:rPr>
        <w:t xml:space="preserve">3.</w:t>
      </w:r>
      <w:r>
        <w:rPr>
          <w:rFonts w:hint="eastAsia" w:ascii="宋体" w:hAnsi="宋体" w:cs="宋体"/>
          <w:szCs w:val="21"/>
        </w:rPr>
        <w:t xml:space="preserve">转速设置范围：0.0 - 8.0 °/s；</w:t>
      </w:r>
      <w:bookmarkEnd w:id="38"/>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轴比转台旋转角度范围：0-360°，</w:t>
      </w:r>
      <w:r>
        <w:rPr>
          <w:rFonts w:hint="eastAsia" w:cstheme="minorBidi"/>
        </w:rPr>
        <w:t xml:space="preserve">接口：BNC接口或航插接口；</w:t>
      </w:r>
      <w:r>
        <w:rPr>
          <w:rFonts w:hint="eastAsia" w:ascii="宋体" w:hAnsi="宋体" w:cs="宋体"/>
          <w:szCs w:val="21"/>
        </w:rPr>
        <w:t xml:space="preserve">输入接口阻抗：50Ω；实现天线轴比测试等实验；</w:t>
      </w:r>
      <w:r>
        <w:rPr>
          <w:rFonts w:hint="eastAsia" w:ascii="宋体" w:hAnsi="宋体" w:cs="宋体"/>
          <w:b/>
          <w:bCs/>
          <w:szCs w:val="21"/>
        </w:rPr>
        <w:t xml:space="preserve">（提供产品功能图片或公开发行的产品彩页或产品说明书或第三方检测机构的检测报告或其他能够佐证该项技术功能的证明材料）</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支持在空天场景对卫星下行天线水平、俯仰、自动对星、指定角度控制；</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（六）天线（收发）测试套件</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1.天线类型包含（对数周期天线、八木天线、抛物面天线、全向天线、圆极化天线）</w:t>
      </w:r>
      <w:r>
        <w:rPr>
          <w:rFonts w:ascii="宋体" w:hAnsi="宋体" w:cs="宋体"/>
          <w:b/>
          <w:bCs/>
          <w:szCs w:val="21"/>
        </w:rPr>
        <w:t xml:space="preserve">工作频率范围：2400-2483MHz</w:t>
      </w:r>
      <w:r>
        <w:rPr>
          <w:rFonts w:hint="eastAsia" w:ascii="宋体" w:hAnsi="宋体" w:cs="宋体"/>
          <w:b/>
          <w:bCs/>
          <w:szCs w:val="21"/>
        </w:rPr>
        <w:t xml:space="preserve">；1.2喇叭天线</w:t>
      </w:r>
      <w:r>
        <w:rPr>
          <w:rFonts w:ascii="宋体" w:hAnsi="宋体" w:cs="宋体"/>
          <w:b/>
          <w:bCs/>
          <w:szCs w:val="21"/>
        </w:rPr>
        <w:t xml:space="preserve">工作频率：8-1</w:t>
      </w:r>
      <w:r>
        <w:rPr>
          <w:rFonts w:hint="eastAsia" w:ascii="宋体" w:hAnsi="宋体" w:cs="宋体"/>
          <w:b/>
          <w:bCs/>
          <w:szCs w:val="21"/>
        </w:rPr>
        <w:t xml:space="preserve">2</w:t>
      </w:r>
      <w:r>
        <w:rPr>
          <w:rFonts w:ascii="宋体" w:hAnsi="宋体" w:cs="宋体"/>
          <w:b/>
          <w:bCs/>
          <w:szCs w:val="21"/>
        </w:rPr>
        <w:t xml:space="preserve">GHz；</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szCs w:val="21"/>
          <w:lang w:val="en-US" w:eastAsia="zh-CN"/>
        </w:rPr>
        <w:t xml:space="preserve">2.</w:t>
      </w:r>
      <w:r>
        <w:rPr>
          <w:rFonts w:hint="eastAsia" w:ascii="宋体" w:hAnsi="宋体" w:cs="宋体"/>
          <w:szCs w:val="21"/>
        </w:rPr>
        <w:t xml:space="preserve">每套组件至少包含测试连接线缆（SMA公-SMA公连接线2根）、射频转接头（N公-SMA母头1只、N母-SMA母头1只）、</w:t>
      </w:r>
      <w:r>
        <w:rPr>
          <w:rFonts w:hint="eastAsia" w:cstheme="minorBidi"/>
        </w:rPr>
        <w:t xml:space="preserve">BNC接口连接线或</w:t>
      </w:r>
      <w:r>
        <w:rPr>
          <w:rFonts w:asciiTheme="minorHAnsi" w:hAnsiTheme="minorHAnsi" w:eastAsiaTheme="minorEastAsia" w:cstheme="minorBidi"/>
        </w:rPr>
        <w:t xml:space="preserve">航芯接口</w:t>
      </w:r>
      <w:r>
        <w:rPr>
          <w:rFonts w:hint="eastAsia" w:ascii="宋体" w:hAnsi="宋体" w:cs="宋体"/>
          <w:szCs w:val="21"/>
        </w:rPr>
        <w:t xml:space="preserve">连接线每套2根，SMA端（开路、短路、匹配）校准件1套；</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（七）收发测试线缆</w:t>
      </w:r>
      <w:r/>
    </w:p>
    <w:p>
      <w:pPr>
        <w:ind w:firstLine="420"/>
        <w:jc w:val="left"/>
        <w:spacing w:line="360" w:lineRule="auto"/>
        <w:shd w:val="clear" w:color="auto" w:fill="ffffff"/>
        <w:widowControl/>
        <w:rPr>
          <w:rFonts w:hint="eastAsia" w:ascii="宋体" w:hAnsi="宋体" w:cs="宋体"/>
          <w:b/>
          <w:bCs/>
          <w:color w:val="000000"/>
          <w:szCs w:val="21"/>
        </w:rPr>
      </w:pPr>
      <w:r>
        <w:rPr>
          <w:rFonts w:hint="eastAsia" w:ascii="宋体" w:hAnsi="宋体" w:cs="宋体"/>
          <w:szCs w:val="21"/>
        </w:rPr>
        <w:t xml:space="preserve">1.工作频率：DC-18GHz；线缆衰减：≤0.5dB/m；阻抗：50Ω；SW</w:t>
      </w:r>
      <w:r>
        <w:rPr>
          <w:rFonts w:hint="eastAsia" w:ascii="宋体" w:hAnsi="宋体" w:cs="宋体"/>
          <w:color w:val="000000"/>
          <w:szCs w:val="21"/>
        </w:rPr>
        <w:t xml:space="preserve">R：≤1.2；</w:t>
      </w:r>
      <w:r/>
    </w:p>
    <w:p>
      <w:pPr>
        <w:ind w:firstLine="422"/>
        <w:jc w:val="left"/>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（八）电磁场电磁波实训模组</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1.主控系统：至少含主控模块、电磁波模块、辐射特性模块、天线极化模块、场强测试模块、天线测试模块、信号分析模块、频谱测试模块、教学视频模块、虚拟仿真等实验模块功能，使学生一目了然便捷实验操作测试；</w:t>
      </w:r>
      <w:r/>
    </w:p>
    <w:p>
      <w:pPr>
        <w:ind w:firstLine="420"/>
        <w:jc w:val="left"/>
        <w:spacing w:line="360" w:lineRule="auto"/>
        <w:rPr>
          <w:rFonts w:hint="eastAsia" w:ascii="宋体" w:hAnsi="宋体" w:cs="宋体"/>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要求具有电磁波单元：将采集的实时数据形成时谐电磁场、波长、周期、电磁场方向、波速、波数、相互关系等图标说明和图示化显示以及公式关系；</w:t>
      </w:r>
      <w:r/>
    </w:p>
    <w:p>
      <w:pPr>
        <w:ind w:firstLine="420"/>
        <w:jc w:val="left"/>
        <w:spacing w:line="360" w:lineRule="auto"/>
        <w:rPr>
          <w:rFonts w:hint="eastAsia" w:ascii="宋体" w:hAnsi="宋体" w:cs="宋体"/>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要求具有天线测试单元：改变天线极化，接收电波传输信号采集进行数字化处理；同时具备两种天线方向图测试方式(功率测试法、电压测试法）；测试内容包含天线增益、方向性、方向图、主瓣、副瓣、波瓣宽度、H 面、 E 面、前后比等，测试数据在界面上绘制并图示化显示方向图等知识点；</w:t>
      </w:r>
      <w:r/>
    </w:p>
    <w:p>
      <w:pPr>
        <w:ind w:firstLine="420"/>
        <w:jc w:val="left"/>
        <w:spacing w:line="360" w:lineRule="auto"/>
        <w:rPr>
          <w:rFonts w:hint="eastAsia" w:ascii="宋体" w:hAnsi="宋体" w:eastAsia="宋体" w:cs="宋体"/>
          <w:szCs w:val="21"/>
          <w:lang w:eastAsia="zh-CN"/>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天线极化单元：具有矢量、电场强度矢量E、磁场强度矢量H、实验步骤、实验内容、极化方式、频率显示等图形图标知识点功能</w:t>
      </w:r>
      <w:r>
        <w:rPr>
          <w:rFonts w:hint="eastAsia" w:ascii="宋体" w:hAnsi="宋体" w:cs="宋体"/>
          <w:color w:val="000000"/>
          <w:szCs w:val="21"/>
          <w:lang w:eastAsia="zh-CN"/>
        </w:rPr>
        <w:t xml:space="preserve">；</w:t>
      </w:r>
      <w:r/>
    </w:p>
    <w:p>
      <w:pPr>
        <w:ind w:firstLine="420"/>
        <w:jc w:val="left"/>
        <w:spacing w:line="360" w:lineRule="auto"/>
        <w:shd w:val="clear" w:color="auto" w:fill="ffffff"/>
        <w:widowControl/>
        <w:rPr>
          <w:rFonts w:hint="eastAsia" w:ascii="宋体" w:hAnsi="宋体" w:cs="宋体"/>
          <w:b/>
          <w:bCs/>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发射机工作频率范围：超宽带50M-21GHz频率范围输出,频率步进≤10Hz，5档位功率数字调节，支持双通道输出，支持点频，线性调频，调频等多制式信号输出；</w:t>
      </w:r>
      <w:r>
        <w:rPr>
          <w:rFonts w:hint="eastAsia" w:ascii="宋体" w:hAnsi="宋体" w:cs="宋体"/>
          <w:b/>
          <w:bCs/>
          <w:color w:val="000000"/>
          <w:szCs w:val="21"/>
        </w:rPr>
        <w:t xml:space="preserve">（提供产品功能图片或</w:t>
      </w:r>
      <w:r>
        <w:rPr>
          <w:rFonts w:hint="eastAsia" w:ascii="宋体" w:hAnsi="宋体" w:cs="宋体"/>
          <w:b/>
          <w:bCs/>
          <w:szCs w:val="21"/>
        </w:rPr>
        <w:t xml:space="preserve">公开发行的产品彩页或产品说明书或第三方检测机构的检测报告或其他能够佐证该项技术功能的证明材料</w:t>
      </w:r>
      <w:r>
        <w:rPr>
          <w:rFonts w:hint="eastAsia" w:ascii="宋体" w:hAnsi="宋体" w:cs="宋体"/>
          <w:color w:val="000000"/>
          <w:szCs w:val="21"/>
        </w:rPr>
        <w:t xml:space="preserve">）</w:t>
      </w:r>
      <w:r/>
    </w:p>
    <w:p>
      <w:pPr>
        <w:ind w:firstLine="422"/>
        <w:jc w:val="left"/>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（九）数显双导轨测量平台</w:t>
      </w:r>
      <w:r/>
    </w:p>
    <w:p>
      <w:pPr>
        <w:ind w:firstLine="420"/>
        <w:jc w:val="left"/>
        <w:spacing w:line="360" w:lineRule="auto"/>
        <w:rPr>
          <w:rFonts w:hint="eastAsia" w:ascii="宋体" w:hAnsi="宋体" w:cs="宋体"/>
          <w:b/>
          <w:bCs/>
          <w:color w:val="000000"/>
          <w:szCs w:val="21"/>
        </w:rPr>
      </w:pPr>
      <w:r>
        <w:rPr>
          <w:rFonts w:hint="eastAsia" w:ascii="宋体" w:hAnsi="宋体" w:cs="宋体"/>
          <w:color w:val="000000"/>
          <w:szCs w:val="21"/>
        </w:rPr>
        <w:t xml:space="preserve">1.</w:t>
      </w:r>
      <w:r>
        <w:rPr>
          <w:rFonts w:hint="eastAsia" w:cstheme="minorBidi"/>
        </w:rPr>
        <w:t xml:space="preserve">轨道具备双向手动调节回调、双向移动距离LCD液晶显示，精度：≤0.01mm，同步跟踪测量位移距离；水平转动角度采用数字读取角度值；</w:t>
      </w:r>
      <w:r>
        <w:rPr>
          <w:rFonts w:hint="eastAsia" w:ascii="宋体" w:hAnsi="宋体" w:cs="宋体"/>
          <w:color w:val="000000"/>
          <w:szCs w:val="21"/>
        </w:rPr>
        <w:t xml:space="preserve">天线测量转动平台：具有水平、垂直、俯仰、轴比极化方式；</w:t>
      </w:r>
      <w:r/>
    </w:p>
    <w:p>
      <w:pPr>
        <w:ind w:firstLine="422"/>
        <w:jc w:val="left"/>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（十）电磁场电磁波配件箱</w:t>
      </w:r>
      <w:r/>
    </w:p>
    <w:p>
      <w:pPr>
        <w:ind w:firstLine="420"/>
        <w:jc w:val="left"/>
        <w:spacing w:line="360" w:lineRule="auto"/>
        <w:rPr>
          <w:rFonts w:hint="eastAsia" w:ascii="宋体" w:hAnsi="宋体" w:cs="宋体"/>
          <w:b/>
          <w:bCs/>
          <w:color w:val="000000"/>
          <w:szCs w:val="21"/>
        </w:rPr>
      </w:pPr>
      <w:r>
        <w:rPr>
          <w:rFonts w:hint="eastAsia" w:ascii="宋体" w:hAnsi="宋体" w:cs="宋体"/>
          <w:color w:val="000000"/>
          <w:szCs w:val="21"/>
        </w:rPr>
        <w:t xml:space="preserve">1.配套信号、电源等线缆，满足系统功能运行要求；配套各类天线，测试支架，连接器等，满足各项试验开展要求；</w:t>
      </w:r>
      <w:r/>
    </w:p>
    <w:p>
      <w:pPr>
        <w:ind w:firstLine="422"/>
        <w:jc w:val="left"/>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（十一）电磁波特性仿真软件</w:t>
      </w:r>
      <w:r/>
    </w:p>
    <w:p>
      <w:pPr>
        <w:ind w:firstLine="420"/>
        <w:jc w:val="left"/>
        <w:spacing w:line="360" w:lineRule="auto"/>
        <w:shd w:val="clear" w:color="auto" w:fill="ffffff"/>
        <w:widowControl/>
        <w:rPr>
          <w:rFonts w:hint="eastAsia" w:ascii="宋体" w:hAnsi="宋体" w:cs="宋体"/>
          <w:b/>
          <w:bCs/>
          <w:color w:val="000000"/>
          <w:szCs w:val="21"/>
        </w:rPr>
      </w:pPr>
      <w:r>
        <w:rPr>
          <w:rFonts w:hint="eastAsia" w:ascii="宋体" w:hAnsi="宋体" w:cs="宋体"/>
          <w:color w:val="000000"/>
          <w:szCs w:val="21"/>
        </w:rPr>
        <w:t xml:space="preserve">1.可产生水平极化波，垂直极化波，圆极化（左旋，右旋）极化波。频率，幅度，传输介质等参数均可设置；模拟电磁波在空间及其他介质内的传播特性：反射，驻波，干涉等特性；并且所有场景支持在服务端可控制开关,且可实时刷新；终端可自由选择开启的场景，并能实现一键式切换；可完成：线极化波传输虚拟仿真实验、圆极化波传输虚拟仿真实验、电磁波不同介质内传输特性的仿真实验、电磁波驻波特性仿真实验；</w:t>
      </w:r>
      <w:r/>
    </w:p>
    <w:p>
      <w:pPr>
        <w:ind w:firstLine="422"/>
        <w:jc w:val="left"/>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（十二）电磁波与场示教仿真软件</w:t>
      </w:r>
      <w:r/>
    </w:p>
    <w:p>
      <w:pPr>
        <w:ind w:firstLine="420"/>
        <w:jc w:val="left"/>
        <w:spacing w:line="360" w:lineRule="auto"/>
        <w:rPr>
          <w:rFonts w:hint="eastAsia" w:ascii="宋体" w:hAnsi="宋体" w:eastAsia="宋体" w:cs="宋体"/>
          <w:szCs w:val="21"/>
          <w:lang w:eastAsia="zh-CN"/>
        </w:rPr>
      </w:pPr>
      <w:r>
        <w:rPr>
          <w:rFonts w:hint="eastAsia" w:ascii="宋体" w:hAnsi="宋体" w:cs="宋体"/>
          <w:color w:val="000000"/>
          <w:szCs w:val="21"/>
        </w:rPr>
        <w:t xml:space="preserve">1.需具有可对实验进行原生态虚拟化复刻，可视化展示电磁波极化、驻波、反射等传播规律，直观展现电磁波在传输线内部的传播特性，传输线结构具有可视化展示。支持远程登录或本地端登录使用，完成在线参数配置、在线测试，具有实验数据、测试曲线保存及电子报告上传；需不少于30个虚拟设备在线实验操作</w:t>
      </w:r>
      <w:r>
        <w:rPr>
          <w:rFonts w:hint="eastAsia" w:ascii="宋体" w:hAnsi="宋体" w:cs="宋体"/>
          <w:color w:val="000000"/>
          <w:szCs w:val="21"/>
          <w:lang w:eastAsia="zh-CN"/>
        </w:rPr>
        <w:t xml:space="preserve">；</w:t>
      </w:r>
      <w:r/>
    </w:p>
    <w:p>
      <w:pPr>
        <w:ind w:firstLine="420"/>
        <w:jc w:val="left"/>
        <w:spacing w:line="360" w:lineRule="auto"/>
        <w:shd w:val="clear" w:color="auto" w:fill="ffffff"/>
        <w:widowControl/>
        <w:rPr>
          <w:rFonts w:hint="eastAsia" w:ascii="宋体" w:hAnsi="宋体" w:eastAsia="宋体" w:cs="宋体"/>
          <w:b/>
          <w:bCs/>
          <w:color w:val="000000"/>
          <w:szCs w:val="21"/>
          <w:lang w:eastAsia="zh-CN"/>
        </w:rPr>
      </w:pPr>
      <w:r>
        <w:rPr>
          <w:rFonts w:hint="eastAsia" w:ascii="宋体" w:hAnsi="宋体" w:cs="宋体"/>
          <w:color w:val="000000"/>
          <w:szCs w:val="21"/>
        </w:rPr>
        <w:t xml:space="preserve">2.软件可支撑实验教学内容包含：位移电流测试、电波极化分析、半波振子天线设计、电磁感应定律验证、传输线电波传输特性测试、电磁波反射特性测试、（开路、短路、匹配）三种电磁波驻波特性测试，覆盖电磁场与电磁波核心教学实验项目</w:t>
      </w:r>
      <w:r>
        <w:rPr>
          <w:rFonts w:hint="eastAsia" w:ascii="宋体" w:hAnsi="宋体" w:cs="宋体"/>
          <w:color w:val="000000"/>
          <w:szCs w:val="21"/>
          <w:lang w:eastAsia="zh-CN"/>
        </w:rPr>
        <w:t xml:space="preserve">；</w:t>
      </w:r>
      <w:r/>
    </w:p>
    <w:p>
      <w:pPr>
        <w:ind w:firstLine="422"/>
        <w:jc w:val="left"/>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（十三）电波暗室天线方向图测试仿真系统</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1.基于UNITY 3D平台及3D虚拟仿真技术，具有形象直观的电磁波暗室测试环境，进入电磁波暗室测试环境搭建：暗室供电、电磁波极化选择（E面、H面）、天线选取、天线收发架设、收发装置调节、仪表</w:t>
      </w:r>
      <w:r>
        <w:rPr>
          <w:rFonts w:hint="eastAsia" w:ascii="宋体" w:hAnsi="宋体" w:cs="宋体"/>
          <w:color w:val="000000"/>
          <w:szCs w:val="21"/>
        </w:rPr>
        <w:t xml:space="preserve">信号源设置、暗室门开关、电波传播可视、天线方向图测试、电波传播可视化同步显示、天线接收频谱测试等操作实验环节。具有实验登录、实验操作、实验考核、成绩打分、成绩提交等多项功能。考核学生对于：电磁波传输，干涉特性，天线结构，电磁波极化，频谱测试，S、C、X波段多种天线方向图测试等多个知识点的掌握。实验考核系统须包括对每个实验步骤操作的具体评分，应当包括但不限于以下内容：实验室环境的搭建、被测天线的选取、线缆的连接、信号源及频谱仪的规范操作，多种天线方向图的生成、实验结束后关闭电源及拆卸电缆的步骤等进行分项评分；</w:t>
      </w:r>
      <w:r/>
    </w:p>
    <w:p>
      <w:pPr>
        <w:ind w:firstLine="420"/>
        <w:jc w:val="left"/>
        <w:spacing w:line="360" w:lineRule="auto"/>
        <w:shd w:val="clear" w:color="auto" w:fill="ffffff"/>
        <w:widowControl/>
        <w:rPr>
          <w:rFonts w:hint="eastAsia" w:ascii="宋体" w:hAnsi="宋体" w:cs="宋体"/>
          <w:b/>
          <w:bCs/>
          <w:color w:val="000000"/>
          <w:szCs w:val="21"/>
        </w:rPr>
      </w:pPr>
      <w:r>
        <w:rPr>
          <w:rFonts w:hint="eastAsia" w:ascii="宋体" w:hAnsi="宋体" w:cs="宋体"/>
          <w:color w:val="000000"/>
          <w:szCs w:val="21"/>
        </w:rPr>
        <w:t xml:space="preserve">2.需支撑电波暗室天线系列虚拟仿真教学实验，涵盖：电磁波测试环境认知与演示、电磁波传播特性虚拟仿真、X波段喇叭天线方向图测试、全向半波振子天线设计虚拟仿真、八木振子天线设计虚拟仿真、电磁波极化特性虚拟仿真、全向天线方向图测试、电磁波接收频谱测试与数据分析、八木天线方向图性能测试，同时支持实验仪表参数配置与接收频谱实时显示分析。</w:t>
      </w:r>
      <w:r/>
    </w:p>
    <w:p>
      <w:pPr>
        <w:ind w:firstLine="422"/>
        <w:jc w:val="left"/>
        <w:spacing w:line="360" w:lineRule="auto"/>
        <w:shd w:val="clear" w:color="auto" w:fill="ffffff"/>
        <w:widowControl/>
        <w:rPr>
          <w:rFonts w:hint="eastAsia" w:ascii="宋体" w:hAnsi="宋体" w:cs="宋体"/>
          <w:b/>
          <w:bCs/>
          <w:i/>
          <w:iCs/>
          <w:szCs w:val="21"/>
          <w:u w:val="single"/>
        </w:rPr>
      </w:pP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如文件中要求提供证明材料，建议采用页码、箭头、标红、下划线或页码等进行明显标注，方便评委查看。</w:t>
      </w:r>
      <w:bookmarkEnd w:id="28"/>
      <w:r/>
      <w:bookmarkEnd w:id="29"/>
      <w:r/>
      <w:bookmarkEnd w:id="30"/>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1316"/>
        <w:numPr>
          <w:ilvl w:val="0"/>
          <w:numId w:val="0"/>
        </w:numPr>
        <w:ind w:firstLine="422"/>
        <w:jc w:val="both"/>
        <w:spacing w:after="0" w:line="360" w:lineRule="auto"/>
        <w:rPr>
          <w:rFonts w:hint="eastAsia"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spacing w:line="360" w:lineRule="auto"/>
        <w:rPr>
          <w:rFonts w:hint="eastAsia" w:ascii="宋体" w:hAnsi="宋体" w:cs="宋体"/>
          <w:b/>
          <w:bCs/>
          <w:szCs w:val="21"/>
        </w:rPr>
      </w:pPr>
      <w:r/>
      <w:bookmarkStart w:id="31" w:name="OLE_LINK40"/>
      <w:r>
        <w:rPr>
          <w:rFonts w:hint="eastAsia" w:ascii="宋体" w:hAnsi="宋体" w:cs="宋体"/>
          <w:szCs w:val="21"/>
        </w:rPr>
        <w:t xml:space="preserve">★1、为推进校企合作共建实验实训室，中标人承诺中标后为学校提供配套投入，具体投入内容在签订合同前与学校按相关制度协商确定。</w:t>
      </w:r>
      <w:r>
        <w:rPr>
          <w:rFonts w:hint="eastAsia" w:ascii="宋体" w:hAnsi="宋体" w:cs="宋体"/>
          <w:b/>
          <w:bCs/>
          <w:spacing w:val="8"/>
          <w:szCs w:val="21"/>
        </w:rPr>
        <w:t xml:space="preserve">（提供承诺书并加盖公章；未提供承诺书或承诺书内容表述不清，存在评审歧义的，视为无效投标）</w:t>
      </w:r>
      <w:r/>
    </w:p>
    <w:p>
      <w:pPr>
        <w:ind w:firstLine="420"/>
        <w:spacing w:line="360" w:lineRule="auto"/>
        <w:rPr>
          <w:rFonts w:hint="eastAsia" w:ascii="宋体" w:hAnsi="宋体" w:cs="宋体"/>
          <w:szCs w:val="21"/>
          <w:lang w:val="zh-CN"/>
        </w:rPr>
      </w:pPr>
      <w:r>
        <w:rPr>
          <w:rFonts w:hint="eastAsia" w:ascii="宋体" w:hAnsi="宋体" w:cs="宋体"/>
          <w:szCs w:val="21"/>
        </w:rPr>
        <w:t xml:space="preserve">★2、免费质保</w:t>
      </w:r>
      <w:r>
        <w:rPr>
          <w:rFonts w:hint="eastAsia" w:ascii="宋体" w:hAnsi="宋体" w:cs="宋体"/>
          <w:szCs w:val="21"/>
          <w:lang w:val="zh-CN"/>
        </w:rPr>
        <w:t xml:space="preserve">期：</w:t>
      </w:r>
      <w:r>
        <w:rPr>
          <w:rFonts w:hint="eastAsia" w:ascii="宋体" w:hAnsi="宋体" w:cs="宋体"/>
          <w:szCs w:val="21"/>
        </w:rPr>
        <w:t xml:space="preserve">质保期3年，自验收合格之日起开始计算。</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技术培训：为采购方进行人员</w:t>
      </w:r>
      <w:r>
        <w:rPr>
          <w:rFonts w:hint="eastAsia" w:ascii="宋体" w:hAnsi="宋体" w:cs="宋体"/>
          <w:szCs w:val="21"/>
        </w:rPr>
        <w:t xml:space="preserve">线下</w:t>
      </w:r>
      <w:r>
        <w:rPr>
          <w:rFonts w:hint="eastAsia" w:ascii="宋体" w:hAnsi="宋体" w:cs="宋体"/>
          <w:szCs w:val="21"/>
          <w:lang w:val="zh-CN"/>
        </w:rPr>
        <w:t xml:space="preserve">培训，提供每年不少于</w:t>
      </w:r>
      <w:r>
        <w:rPr>
          <w:rFonts w:hint="eastAsia" w:ascii="宋体" w:hAnsi="宋体" w:cs="宋体"/>
          <w:szCs w:val="21"/>
        </w:rPr>
        <w:t xml:space="preserve">4</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4</w:t>
      </w:r>
      <w:r>
        <w:rPr>
          <w:rFonts w:hint="eastAsia" w:ascii="宋体" w:hAnsi="宋体" w:cs="宋体"/>
          <w:szCs w:val="21"/>
          <w:lang w:val="zh-CN"/>
        </w:rPr>
        <w:t xml:space="preserve">人。</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售后技术服务要求：</w:t>
      </w:r>
      <w:bookmarkEnd w:id="31"/>
      <w:r>
        <w:rPr>
          <w:rFonts w:hint="eastAsia" w:ascii="宋体" w:hAnsi="宋体" w:cs="宋体"/>
          <w:szCs w:val="21"/>
          <w:lang w:val="zh-CN"/>
        </w:rPr>
        <w:t xml:space="preserve">接到故障通知后</w:t>
      </w:r>
      <w:r>
        <w:rPr>
          <w:rFonts w:hint="eastAsia" w:ascii="宋体" w:hAnsi="宋体" w:cs="宋体"/>
          <w:szCs w:val="21"/>
        </w:rPr>
        <w:t xml:space="preserve">12</w:t>
      </w:r>
      <w:r>
        <w:rPr>
          <w:rFonts w:hint="eastAsia" w:ascii="宋体" w:hAnsi="宋体" w:cs="宋体"/>
          <w:szCs w:val="21"/>
          <w:lang w:val="zh-CN"/>
        </w:rPr>
        <w:t xml:space="preserve">小时内作出答复，一般问题</w:t>
      </w:r>
      <w:r>
        <w:rPr>
          <w:rFonts w:hint="eastAsia" w:ascii="宋体" w:hAnsi="宋体" w:cs="宋体"/>
          <w:szCs w:val="21"/>
        </w:rPr>
        <w:t xml:space="preserve">36</w:t>
      </w:r>
      <w:r>
        <w:rPr>
          <w:rFonts w:hint="eastAsia" w:ascii="宋体" w:hAnsi="宋体" w:cs="宋体"/>
          <w:szCs w:val="21"/>
          <w:lang w:val="zh-CN"/>
        </w:rPr>
        <w:t xml:space="preserve">小时之内解决；若采购方有需求，</w:t>
      </w:r>
      <w:r>
        <w:rPr>
          <w:rFonts w:hint="eastAsia" w:ascii="宋体" w:hAnsi="宋体" w:cs="宋体"/>
          <w:szCs w:val="21"/>
        </w:rPr>
        <w:t xml:space="preserve">12</w:t>
      </w:r>
      <w:r>
        <w:rPr>
          <w:rFonts w:hint="eastAsia" w:ascii="宋体" w:hAnsi="宋体" w:cs="宋体"/>
          <w:szCs w:val="21"/>
          <w:lang w:val="zh-CN"/>
        </w:rPr>
        <w:t xml:space="preserve">小时内到达现场解决；若遇重大问题在</w:t>
      </w:r>
      <w:r>
        <w:rPr>
          <w:rFonts w:hint="eastAsia" w:ascii="宋体" w:hAnsi="宋体" w:cs="宋体"/>
          <w:szCs w:val="21"/>
        </w:rPr>
        <w:t xml:space="preserve">7</w:t>
      </w:r>
      <w:r>
        <w:rPr>
          <w:rFonts w:hint="eastAsia" w:ascii="宋体" w:hAnsi="宋体" w:cs="宋体"/>
          <w:szCs w:val="21"/>
          <w:lang w:val="zh-CN"/>
        </w:rPr>
        <w:t xml:space="preserve">天内解决。</w:t>
      </w:r>
      <w:r/>
    </w:p>
    <w:p>
      <w:pPr>
        <w:pStyle w:val="1055"/>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1055"/>
        <w:ind w:left="0"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cs="宋体"/>
          <w:szCs w:val="21"/>
          <w:lang w:val="zh-CN"/>
        </w:rPr>
      </w:pPr>
      <w:r/>
      <w:bookmarkStart w:id="32" w:name="OLE_LINK9"/>
      <w:r>
        <w:rPr>
          <w:rFonts w:hint="eastAsia" w:ascii="宋体" w:hAnsi="宋体" w:cs="宋体"/>
          <w:szCs w:val="21"/>
        </w:rPr>
        <w:t xml:space="preserve">1、</w:t>
      </w:r>
      <w:r>
        <w:rPr>
          <w:rFonts w:hint="eastAsia" w:ascii="宋体" w:hAnsi="宋体" w:cs="宋体"/>
          <w:szCs w:val="21"/>
          <w:lang w:val="zh-CN"/>
        </w:rPr>
        <w:t xml:space="preserve">按照国家现行行业规范标准进行安装，符合国家或行业质量检验评定标准，没有行业标准的产品，供应商应提供相关制造商标准。</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设备安装调试：设备到货后，卖方在接到通知的</w:t>
      </w:r>
      <w:r>
        <w:rPr>
          <w:rFonts w:hint="eastAsia" w:ascii="宋体" w:hAnsi="宋体" w:cs="宋体"/>
          <w:szCs w:val="21"/>
        </w:rPr>
        <w:t xml:space="preserve">3</w:t>
      </w:r>
      <w:r>
        <w:rPr>
          <w:rFonts w:hint="eastAsia" w:ascii="宋体" w:hAnsi="宋体" w:cs="宋体"/>
          <w:szCs w:val="21"/>
          <w:lang w:val="zh-CN"/>
        </w:rPr>
        <w:t xml:space="preserve">个工作日内派人前往负责该设备的安装、调试和操作培训，直至达到各项验收指标合格。</w:t>
      </w:r>
      <w:bookmarkEnd w:id="32"/>
      <w:r/>
      <w:r/>
    </w:p>
    <w:p>
      <w:pPr>
        <w:pStyle w:val="1055"/>
        <w:ind w:left="0" w:firstLine="420"/>
        <w:spacing w:line="360" w:lineRule="auto"/>
        <w:rPr>
          <w:rFonts w:hint="eastAsia" w:ascii="宋体" w:hAnsi="宋体" w:cs="宋体"/>
          <w:szCs w:val="21"/>
        </w:rPr>
      </w:pPr>
      <w:r>
        <w:rPr>
          <w:rFonts w:hint="eastAsia" w:ascii="宋体" w:hAnsi="宋体" w:cs="宋体"/>
          <w:szCs w:val="21"/>
        </w:rPr>
        <w:t xml:space="preserve">3、验收要求：供应商提供符合招标文件要求的设备设施，并完成安装调试，试运行至少1个月，试运行过程中出现问题随时解决处理，试运行正常一个月后出运行报告，试运行合格后组织部门验收，再提请实验室处验收。</w:t>
      </w:r>
      <w:r/>
    </w:p>
    <w:p>
      <w:pPr>
        <w:pStyle w:val="1058"/>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pStyle w:val="1058"/>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1、交货期：合同签订生效后，</w:t>
      </w:r>
      <w:r>
        <w:rPr>
          <w:rFonts w:hint="eastAsia" w:ascii="宋体" w:hAnsi="宋体" w:cs="宋体"/>
          <w:szCs w:val="21"/>
        </w:rPr>
        <w:t xml:space="preserve">30个日历日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2、交货方式：</w:t>
      </w:r>
      <w:r>
        <w:rPr>
          <w:rFonts w:hint="eastAsia" w:ascii="宋体" w:hAnsi="宋体" w:cs="宋体"/>
          <w:szCs w:val="21"/>
        </w:rPr>
        <w:t xml:space="preserve">供应商</w:t>
      </w:r>
      <w:r>
        <w:rPr>
          <w:rFonts w:hint="eastAsia" w:ascii="宋体" w:hAnsi="宋体" w:cs="宋体"/>
          <w:szCs w:val="21"/>
          <w:lang w:val="zh-CN"/>
        </w:rPr>
        <w:t xml:space="preserve">在采购</w:t>
      </w:r>
      <w:r>
        <w:rPr>
          <w:rFonts w:hint="eastAsia" w:ascii="宋体" w:hAnsi="宋体" w:cs="宋体"/>
          <w:szCs w:val="21"/>
        </w:rPr>
        <w:t xml:space="preserve">人</w:t>
      </w:r>
      <w:r>
        <w:rPr>
          <w:rFonts w:hint="eastAsia" w:ascii="宋体" w:hAnsi="宋体" w:cs="宋体"/>
          <w:szCs w:val="21"/>
          <w:lang w:val="zh-CN"/>
        </w:rPr>
        <w:t xml:space="preserve">指定地点交货，并完成安装、调试。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3、交货地点：南京工业职业技术大学指定地点。</w:t>
      </w:r>
      <w:r/>
    </w:p>
    <w:p>
      <w:pPr>
        <w:pStyle w:val="1055"/>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1055"/>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1、供应商须保证本次投标产品系优质材料和先进工艺制成新出厂的产品，且完全与投标文件所述相符。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szCs w:val="21"/>
        </w:rPr>
      </w:pPr>
      <w:r>
        <w:rPr>
          <w:rFonts w:hint="eastAsia" w:ascii="宋体" w:hAnsi="宋体" w:cs="宋体"/>
          <w:szCs w:val="21"/>
        </w:rPr>
        <w:t xml:space="preserve">3、供应商应根据招标文件要求提供项目实施方案，方案包含以下内容：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szCs w:val="21"/>
        </w:rPr>
      </w:pPr>
      <w:r>
        <w:rPr>
          <w:rFonts w:hint="eastAsia" w:ascii="宋体" w:hAnsi="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szCs w:val="21"/>
        </w:rPr>
      </w:pPr>
      <w:r>
        <w:rPr>
          <w:rFonts w:hint="eastAsia" w:ascii="宋体" w:hAnsi="宋体" w:cs="宋体"/>
          <w:szCs w:val="21"/>
        </w:rPr>
        <w:t xml:space="preserve">③ 进度控制措施：需包含进度跟踪方式、报告周期、异常情况处理流程；</w:t>
      </w:r>
      <w:r/>
    </w:p>
    <w:p>
      <w:pPr>
        <w:ind w:firstLine="420"/>
        <w:spacing w:line="360" w:lineRule="auto"/>
        <w:rPr>
          <w:rFonts w:hint="eastAsia" w:ascii="宋体" w:hAnsi="宋体" w:cs="宋体"/>
          <w:szCs w:val="21"/>
        </w:rPr>
      </w:pPr>
      <w:r>
        <w:rPr>
          <w:rFonts w:hint="eastAsia" w:ascii="宋体" w:hAnsi="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cs="宋体"/>
          <w:szCs w:val="21"/>
        </w:rPr>
      </w:pPr>
      <w:r>
        <w:rPr>
          <w:rFonts w:hint="eastAsia" w:ascii="宋体" w:hAnsi="宋体" w:cs="宋体"/>
          <w:szCs w:val="21"/>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szCs w:val="21"/>
        </w:rPr>
        <w:t xml:space="preserve">4、供应商应根据招标文件要求提供项目验收配合方案（本项目履约验收由采购人依法组织实施，供应商须配合采购人完成全部验收工作），方案包含以下内容：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验收配合流程：明确设备安装完成后，供应商配合采购人从提请验收至完成最终验收签字的全部工作步骤，可附流程图或步骤说明；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 验收指标配合响应：针对本项目各项技术指标，列明供应商配合采购人开展核验、测试的工作方式，可配套提供供应商准备的检查核对样表；</w:t>
      </w:r>
      <w:r/>
    </w:p>
    <w:p>
      <w:pPr>
        <w:ind w:firstLine="420"/>
        <w:spacing w:line="360" w:lineRule="auto"/>
        <w:rPr>
          <w:rFonts w:hint="eastAsia" w:ascii="宋体" w:hAnsi="宋体" w:cs="宋体"/>
          <w:szCs w:val="21"/>
        </w:rPr>
      </w:pPr>
      <w:r>
        <w:rPr>
          <w:rFonts w:hint="eastAsia" w:ascii="宋体" w:hAnsi="宋体" w:cs="宋体"/>
          <w:szCs w:val="21"/>
        </w:rPr>
        <w:t xml:space="preserve">③ 验收资料提交清单：列明验收环节供应商需向采购人提交的全部资料名称，明确资料的来源、编制及提供责任；</w:t>
      </w:r>
      <w:r/>
    </w:p>
    <w:p>
      <w:pPr>
        <w:ind w:firstLine="420"/>
        <w:spacing w:line="360" w:lineRule="auto"/>
        <w:rPr>
          <w:rFonts w:hint="eastAsia" w:ascii="宋体" w:hAnsi="宋体" w:cs="宋体"/>
          <w:szCs w:val="21"/>
        </w:rPr>
      </w:pPr>
      <w:r>
        <w:rPr>
          <w:rFonts w:hint="eastAsia" w:ascii="宋体" w:hAnsi="宋体" w:cs="宋体"/>
          <w:szCs w:val="21"/>
        </w:rPr>
        <w:t xml:space="preserve">④ 供应商验收配合人员安排：明确本项目负责验收配合工作人员的姓名、职务、相关项目经验，提供人员配置表；</w:t>
      </w:r>
      <w:r/>
    </w:p>
    <w:p>
      <w:pPr>
        <w:ind w:firstLine="420"/>
        <w:spacing w:line="360" w:lineRule="auto"/>
        <w:rPr>
          <w:rFonts w:hint="eastAsia" w:ascii="宋体" w:hAnsi="宋体" w:cs="宋体"/>
          <w:szCs w:val="21"/>
        </w:rPr>
      </w:pPr>
      <w:r>
        <w:rPr>
          <w:rFonts w:hint="eastAsia" w:ascii="宋体" w:hAnsi="宋体" w:cs="宋体"/>
          <w:szCs w:val="21"/>
        </w:rPr>
        <w:t xml:space="preserve">⑤ 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cs="宋体"/>
          <w:szCs w:val="21"/>
        </w:rPr>
      </w:pPr>
      <w:r>
        <w:rPr>
          <w:rFonts w:hint="eastAsia" w:ascii="宋体" w:hAnsi="宋体" w:cs="宋体"/>
          <w:szCs w:val="21"/>
        </w:rPr>
        <w:t xml:space="preserve">5、供应商应根据招标文件要求提供售后服务承诺方案，方案包含以下内容：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szCs w:val="21"/>
        </w:rPr>
      </w:pPr>
      <w:r>
        <w:rPr>
          <w:rFonts w:hint="eastAsia" w:ascii="宋体" w:hAnsi="宋体" w:cs="宋体"/>
          <w:szCs w:val="21"/>
        </w:rPr>
        <w:t xml:space="preserve">② 售后服务人员配置：需明确售后服务团队的人员数量、资质、分工及联系方式；</w:t>
      </w:r>
      <w:r/>
    </w:p>
    <w:p>
      <w:pPr>
        <w:ind w:firstLine="420"/>
        <w:spacing w:line="360" w:lineRule="auto"/>
        <w:rPr>
          <w:rFonts w:hint="eastAsia" w:ascii="宋体" w:hAnsi="宋体" w:cs="宋体"/>
          <w:szCs w:val="21"/>
        </w:rPr>
      </w:pPr>
      <w:r>
        <w:rPr>
          <w:rFonts w:hint="eastAsia" w:ascii="宋体" w:hAnsi="宋体" w:cs="宋体"/>
          <w:szCs w:val="21"/>
        </w:rPr>
        <w:t xml:space="preserve">③ 质保期内服务内容：需明确质保期内免费提供的服务项目；</w:t>
      </w:r>
      <w:r/>
    </w:p>
    <w:p>
      <w:pPr>
        <w:ind w:firstLine="420"/>
        <w:spacing w:line="360" w:lineRule="auto"/>
        <w:rPr>
          <w:rFonts w:hint="eastAsia" w:ascii="宋体" w:hAnsi="宋体" w:cs="宋体"/>
          <w:szCs w:val="21"/>
        </w:rPr>
      </w:pPr>
      <w:r>
        <w:rPr>
          <w:rFonts w:hint="eastAsia" w:ascii="宋体" w:hAnsi="宋体" w:cs="宋体"/>
          <w:szCs w:val="21"/>
        </w:rPr>
        <w:t xml:space="preserve">④ 质保期后服务方案：需明确质保期满后的服务提供方式；</w:t>
      </w:r>
      <w:r/>
    </w:p>
    <w:p>
      <w:pPr>
        <w:ind w:firstLine="420"/>
        <w:spacing w:line="360" w:lineRule="auto"/>
        <w:rPr>
          <w:rFonts w:hint="eastAsia" w:ascii="宋体" w:hAnsi="宋体" w:cs="宋体"/>
          <w:szCs w:val="21"/>
        </w:rPr>
      </w:pPr>
      <w:r>
        <w:rPr>
          <w:rFonts w:hint="eastAsia" w:ascii="宋体" w:hAnsi="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cs="宋体"/>
          <w:szCs w:val="21"/>
        </w:rPr>
      </w:pPr>
      <w:r>
        <w:rPr>
          <w:rFonts w:hint="eastAsia" w:ascii="宋体" w:hAnsi="宋体" w:cs="宋体"/>
          <w:szCs w:val="21"/>
        </w:rPr>
        <w:t xml:space="preserve">⑥ 维修服务明细：需明确维修项目的收费标准或折扣率；</w:t>
      </w:r>
      <w:r/>
    </w:p>
    <w:p>
      <w:pPr>
        <w:ind w:firstLine="420"/>
        <w:spacing w:line="360" w:lineRule="auto"/>
        <w:rPr>
          <w:rFonts w:hint="eastAsia" w:ascii="宋体" w:hAnsi="宋体" w:cs="宋体"/>
          <w:szCs w:val="21"/>
        </w:rPr>
      </w:pPr>
      <w:r>
        <w:rPr>
          <w:rFonts w:hint="eastAsia" w:ascii="宋体" w:hAnsi="宋体" w:cs="宋体"/>
          <w:szCs w:val="21"/>
        </w:rPr>
        <w:t xml:space="preserve">⑦ 技术指导方案：需说明对采购方人员的培训计划以及日常技术支持的渠道。</w:t>
      </w:r>
      <w:r/>
    </w:p>
    <w:p>
      <w:pPr>
        <w:ind w:firstLine="420"/>
        <w:spacing w:line="360" w:lineRule="auto"/>
        <w:rPr>
          <w:rFonts w:hint="eastAsia" w:ascii="宋体" w:hAnsi="宋体" w:cs="宋体"/>
          <w:szCs w:val="21"/>
        </w:rPr>
      </w:pPr>
      <w:r>
        <w:rPr>
          <w:rFonts w:hint="eastAsia" w:ascii="宋体" w:hAnsi="宋体" w:cs="宋体"/>
          <w:szCs w:val="21"/>
        </w:rPr>
        <w:t xml:space="preserve">6、供应商应根据招标文件要求提供培训方案，方案包含以下内容：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 培训对象：需明确接受培训的人员类别及预计人数；</w:t>
      </w:r>
      <w:r/>
    </w:p>
    <w:p>
      <w:pPr>
        <w:ind w:firstLine="420"/>
        <w:spacing w:line="360" w:lineRule="auto"/>
        <w:rPr>
          <w:rFonts w:hint="eastAsia" w:ascii="宋体" w:hAnsi="宋体" w:cs="宋体"/>
          <w:szCs w:val="21"/>
        </w:rPr>
      </w:pPr>
      <w:r>
        <w:rPr>
          <w:rFonts w:hint="eastAsia" w:ascii="宋体" w:hAnsi="宋体" w:cs="宋体"/>
          <w:szCs w:val="21"/>
        </w:rPr>
        <w:t xml:space="preserve">② 培训内容：需列出具体培训课程或模块，并说明每项内容的教学目标；</w:t>
      </w:r>
      <w:r/>
    </w:p>
    <w:p>
      <w:pPr>
        <w:ind w:firstLine="420"/>
        <w:spacing w:line="360" w:lineRule="auto"/>
        <w:rPr>
          <w:rFonts w:hint="eastAsia" w:ascii="宋体" w:hAnsi="宋体" w:cs="宋体"/>
          <w:szCs w:val="21"/>
        </w:rPr>
      </w:pPr>
      <w:r>
        <w:rPr>
          <w:rFonts w:hint="eastAsia" w:ascii="宋体" w:hAnsi="宋体" w:cs="宋体"/>
          <w:szCs w:val="21"/>
        </w:rPr>
        <w:t xml:space="preserve">③ 培训时间与课时：需明确培训总时长，以及各培训模块的课时分配；</w:t>
      </w:r>
      <w:r/>
    </w:p>
    <w:p>
      <w:pPr>
        <w:ind w:firstLine="420"/>
        <w:spacing w:line="360" w:lineRule="auto"/>
        <w:rPr>
          <w:rFonts w:hint="eastAsia" w:ascii="宋体" w:hAnsi="宋体" w:cs="宋体"/>
          <w:szCs w:val="21"/>
        </w:rPr>
      </w:pPr>
      <w:r>
        <w:rPr>
          <w:rFonts w:hint="eastAsia" w:ascii="宋体" w:hAnsi="宋体" w:cs="宋体"/>
          <w:szCs w:val="21"/>
        </w:rPr>
        <w:t xml:space="preserve">④ 培训方式：需说明培训形式，并提供相应安排；</w:t>
      </w:r>
      <w:r/>
    </w:p>
    <w:p>
      <w:pPr>
        <w:ind w:firstLine="420"/>
        <w:spacing w:line="360" w:lineRule="auto"/>
        <w:rPr>
          <w:rFonts w:hint="eastAsia" w:ascii="宋体" w:hAnsi="宋体" w:cs="宋体"/>
          <w:szCs w:val="21"/>
        </w:rPr>
      </w:pPr>
      <w:r>
        <w:rPr>
          <w:rFonts w:hint="eastAsia" w:ascii="宋体" w:hAnsi="宋体" w:cs="宋体"/>
          <w:szCs w:val="21"/>
        </w:rPr>
        <w:t xml:space="preserve">⑤ 培训材料：需列出将提供的培训资料，并注明是否免费提供及提供份数；</w:t>
      </w:r>
      <w:r/>
    </w:p>
    <w:p>
      <w:pPr>
        <w:ind w:firstLine="420"/>
        <w:spacing w:line="360" w:lineRule="auto"/>
        <w:rPr>
          <w:rFonts w:hint="eastAsia" w:ascii="宋体" w:hAnsi="宋体" w:cs="宋体"/>
          <w:szCs w:val="21"/>
        </w:rPr>
      </w:pPr>
      <w:r>
        <w:rPr>
          <w:rFonts w:hint="eastAsia" w:ascii="宋体" w:hAnsi="宋体" w:cs="宋体"/>
          <w:szCs w:val="21"/>
        </w:rPr>
        <w:t xml:space="preserve">⑥ 培训人员资质：需明确授课人员的姓名、相关认证、从业年限及同类项目培训经验。</w:t>
      </w:r>
      <w:r/>
    </w:p>
    <w:p>
      <w:pPr>
        <w:pStyle w:val="1055"/>
        <w:ind w:left="0"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pStyle w:val="1058"/>
        <w:ind w:firstLine="420"/>
        <w:spacing w:line="360" w:lineRule="auto"/>
        <w:rPr>
          <w:rFonts w:hint="eastAsia" w:ascii="宋体" w:hAnsi="宋体" w:cs="宋体"/>
          <w:szCs w:val="21"/>
        </w:rPr>
      </w:pPr>
      <w:r/>
      <w:bookmarkStart w:id="33" w:name="OLE_LINK11"/>
      <w:r>
        <w:rPr>
          <w:rFonts w:hint="eastAsia" w:ascii="宋体" w:hAnsi="宋体" w:cs="宋体"/>
          <w:szCs w:val="21"/>
        </w:rPr>
        <w:t xml:space="preserve">（1）供应商中标后7个工作日内，将中标合同金额10%的履约保证金以银行对公转账形式支付至采购人指定账户，并将加盖单位公章的银行回执单或网银截图递交至采购人，采购人凭付款凭证及到款情况办理合同签订相关手续。</w:t>
      </w:r>
      <w:r/>
    </w:p>
    <w:p>
      <w:pPr>
        <w:pStyle w:val="1058"/>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1058"/>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1058"/>
        <w:ind w:firstLine="420"/>
        <w:spacing w:line="360" w:lineRule="auto"/>
        <w:rPr>
          <w:rFonts w:hint="eastAsia" w:ascii="宋体" w:hAnsi="宋体" w:cs="宋体"/>
          <w:szCs w:val="21"/>
        </w:rPr>
      </w:pPr>
      <w:r>
        <w:rPr>
          <w:rFonts w:hint="eastAsia" w:ascii="宋体" w:hAnsi="宋体" w:cs="宋体"/>
          <w:szCs w:val="21"/>
        </w:rPr>
        <w:t xml:space="preserve">开户银行：工商银行南京汉府支行</w:t>
      </w:r>
      <w:r/>
    </w:p>
    <w:p>
      <w:pPr>
        <w:pStyle w:val="1058"/>
        <w:ind w:firstLine="420"/>
        <w:spacing w:line="360" w:lineRule="auto"/>
        <w:rPr>
          <w:rFonts w:hint="eastAsia" w:ascii="宋体" w:hAnsi="宋体" w:cs="宋体"/>
          <w:szCs w:val="21"/>
        </w:rPr>
      </w:pPr>
      <w:r>
        <w:rPr>
          <w:rFonts w:hint="eastAsia" w:ascii="宋体" w:hAnsi="宋体" w:cs="宋体"/>
          <w:szCs w:val="21"/>
        </w:rPr>
        <w:t xml:space="preserve">账号：4301015819100701644</w:t>
      </w:r>
      <w:r/>
    </w:p>
    <w:p>
      <w:pPr>
        <w:pStyle w:val="1058"/>
        <w:ind w:firstLine="420"/>
        <w:spacing w:line="360" w:lineRule="auto"/>
        <w:rPr>
          <w:rFonts w:hint="eastAsia" w:ascii="宋体" w:hAnsi="宋体" w:cs="宋体"/>
          <w:szCs w:val="21"/>
        </w:rPr>
      </w:pPr>
      <w:r>
        <w:rPr>
          <w:rFonts w:hint="eastAsia" w:ascii="宋体" w:hAnsi="宋体" w:cs="宋体"/>
          <w:szCs w:val="21"/>
        </w:rPr>
        <w:t xml:space="preserve">注：请在转账时备注“项目名称+履约保证保金”字样。</w:t>
      </w:r>
      <w:r/>
    </w:p>
    <w:p>
      <w:pPr>
        <w:pStyle w:val="1058"/>
        <w:ind w:firstLine="420"/>
        <w:spacing w:line="360" w:lineRule="auto"/>
        <w:rPr>
          <w:rFonts w:hint="eastAsia" w:ascii="宋体" w:hAnsi="宋体" w:cs="宋体"/>
          <w:szCs w:val="21"/>
        </w:rPr>
      </w:pPr>
      <w:r>
        <w:rPr>
          <w:rFonts w:hint="eastAsia" w:ascii="宋体" w:hAnsi="宋体" w:cs="宋体"/>
          <w:szCs w:val="21"/>
        </w:rPr>
        <w:t xml:space="preserve">（2）合同履行过程中，若经采购人核实存在货物质量问题或供应商违约情形，采购人有权在通知供应商后，从履约保证金中抵扣相应的补偿或赔偿款项。</w:t>
      </w:r>
      <w:r/>
    </w:p>
    <w:p>
      <w:pPr>
        <w:pStyle w:val="1058"/>
        <w:ind w:firstLine="420"/>
        <w:spacing w:line="360" w:lineRule="auto"/>
        <w:rPr>
          <w:rFonts w:hint="eastAsia" w:ascii="宋体" w:hAnsi="宋体" w:cs="宋体"/>
          <w:szCs w:val="21"/>
        </w:rPr>
      </w:pPr>
      <w:r>
        <w:rPr>
          <w:rFonts w:hint="eastAsia" w:ascii="宋体" w:hAnsi="宋体" w:cs="宋体"/>
          <w:szCs w:val="21"/>
        </w:rPr>
        <w:t xml:space="preserve">（3）履约保证金退还流程：自货物验收合格之日起12个月后（正常运行），供应商可向采购人出具货物最终验收单。经最终用户签字确认，核实无质量问题且供应商无违约情形后，采购人于确认完成后一个月内，将履约保证金</w:t>
      </w:r>
      <w:r>
        <w:rPr>
          <w:rFonts w:hint="eastAsia" w:ascii="宋体" w:hAnsi="宋体" w:cs="宋体"/>
          <w:szCs w:val="21"/>
        </w:rPr>
        <w:t xml:space="preserve">5%</w:t>
      </w:r>
      <w:r>
        <w:rPr>
          <w:rFonts w:hint="eastAsia" w:ascii="宋体" w:hAnsi="宋体" w:cs="宋体"/>
          <w:szCs w:val="21"/>
        </w:rPr>
        <w:t xml:space="preserve">无息退还供应商。</w:t>
      </w:r>
      <w:r>
        <w:rPr>
          <w:rFonts w:hint="eastAsia" w:ascii="宋体" w:hAnsi="宋体" w:cs="宋体"/>
          <w:szCs w:val="21"/>
        </w:rPr>
        <w:t xml:space="preserve">第二年无息退还3%，免费质保期满后退还剩余履约保证金。</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r>
      <w:bookmarkEnd w:id="33"/>
      <w:r/>
      <w:r/>
    </w:p>
    <w:p>
      <w:pPr>
        <w:ind w:firstLine="454"/>
        <w:spacing w:line="360" w:lineRule="auto"/>
        <w:rPr>
          <w:rFonts w:hint="eastAsia" w:ascii="宋体" w:hAnsi="宋体" w:cs="宋体"/>
          <w:b/>
          <w:bCs/>
          <w:spacing w:val="8"/>
          <w:szCs w:val="21"/>
        </w:rPr>
      </w:pPr>
      <w:r>
        <w:rPr>
          <w:rFonts w:hint="eastAsia" w:ascii="宋体" w:hAnsi="宋体" w:cs="宋体"/>
          <w:b/>
          <w:bCs/>
          <w:spacing w:val="8"/>
          <w:szCs w:val="21"/>
        </w:rPr>
        <w:t xml:space="preserve">八、货款支付</w:t>
      </w:r>
      <w:r/>
    </w:p>
    <w:p>
      <w:pPr>
        <w:ind w:firstLine="420"/>
        <w:spacing w:line="360" w:lineRule="auto"/>
        <w:rPr>
          <w:rFonts w:hint="eastAsia" w:ascii="宋体" w:hAnsi="宋体" w:cs="宋体"/>
          <w:szCs w:val="21"/>
        </w:rPr>
      </w:pPr>
      <w:r>
        <w:rPr>
          <w:rFonts w:hint="eastAsia" w:ascii="宋体" w:hAnsi="宋体" w:cs="宋体"/>
          <w:szCs w:val="21"/>
        </w:rPr>
        <w:t xml:space="preserve">合同签订后支付30%合同款，货物交付、安装、调试且通过验收后（遇寒暑假和法定节假日顺延），支付合同总金额的100%，付款之前需收到乙方开具的合法有效的相应全额发票。</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54"/>
        <w:spacing w:line="360" w:lineRule="auto"/>
        <w:rPr>
          <w:rFonts w:hint="eastAsia"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r>
      <w:r/>
    </w:p>
    <w:p>
      <w:pPr>
        <w:pStyle w:val="1033"/>
        <w:numPr>
          <w:ilvl w:val="0"/>
          <w:numId w:val="0"/>
        </w:numPr>
        <w:spacing w:line="360" w:lineRule="auto"/>
        <w:rPr>
          <w:rFonts w:hint="eastAsia" w:ascii="宋体" w:hAnsi="宋体" w:cs="宋体"/>
          <w:sz w:val="28"/>
          <w:szCs w:val="28"/>
        </w:rPr>
      </w:pPr>
      <w:r>
        <w:rPr>
          <w:rFonts w:hint="eastAsia" w:ascii="宋体" w:hAnsi="宋体" w:cs="宋体"/>
        </w:rPr>
        <w:br w:type="page" w:clear="all"/>
      </w:r>
      <w:bookmarkStart w:id="34" w:name="_Toc18631"/>
      <w:r>
        <w:rPr>
          <w:rFonts w:hint="eastAsia" w:ascii="宋体" w:hAnsi="宋体" w:cs="宋体"/>
          <w:sz w:val="28"/>
          <w:szCs w:val="40"/>
        </w:rPr>
        <w:t xml:space="preserve">第五章  合同主要条款及格式</w:t>
      </w:r>
      <w:bookmarkEnd w:id="22"/>
      <w:r/>
      <w:bookmarkEnd w:id="34"/>
      <w:r/>
      <w:r/>
    </w:p>
    <w:p>
      <w:pPr>
        <w:jc w:val="center"/>
        <w:spacing w:line="360" w:lineRule="auto"/>
        <w:rPr>
          <w:rFonts w:hint="eastAsia" w:ascii="宋体" w:hAnsi="宋体" w:cs="宋体"/>
          <w:b/>
          <w:bCs/>
          <w:sz w:val="28"/>
          <w:szCs w:val="28"/>
          <w:u w:val="single"/>
        </w:rPr>
      </w:pPr>
      <w:r>
        <w:rPr>
          <w:rFonts w:hint="eastAsia" w:ascii="宋体" w:hAnsi="宋体" w:cs="宋体"/>
          <w:b/>
          <w:bCs/>
          <w:sz w:val="28"/>
          <w:szCs w:val="28"/>
        </w:rPr>
        <w:t xml:space="preserve">微波通信综合实验平台合同 </w:t>
      </w:r>
      <w:r/>
    </w:p>
    <w:p>
      <w:pPr>
        <w:pStyle w:val="1058"/>
        <w:ind w:firstLine="420"/>
        <w:spacing w:line="360" w:lineRule="auto"/>
        <w:rPr>
          <w:rFonts w:hint="eastAsia" w:ascii="宋体" w:hAnsi="宋体" w:cs="宋体"/>
          <w:szCs w:val="21"/>
        </w:rPr>
      </w:pPr>
      <w:r>
        <w:rPr>
          <w:rFonts w:hint="eastAsia" w:ascii="宋体" w:hAnsi="宋体" w:cs="宋体"/>
          <w:szCs w:val="21"/>
        </w:rPr>
        <w:t xml:space="preserve">甲方：（买方）_________         乙方：（卖方）_________ </w:t>
      </w:r>
      <w:r/>
    </w:p>
    <w:p>
      <w:pPr>
        <w:pStyle w:val="1058"/>
        <w:ind w:firstLine="420"/>
        <w:spacing w:line="360" w:lineRule="auto"/>
        <w:rPr>
          <w:rFonts w:hint="eastAsia" w:ascii="宋体" w:hAnsi="宋体" w:cs="宋体"/>
          <w:szCs w:val="21"/>
          <w:u w:val="single"/>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pStyle w:val="1058"/>
        <w:ind w:firstLine="420"/>
        <w:spacing w:line="360" w:lineRule="auto"/>
        <w:rPr>
          <w:rFonts w:hint="eastAsia"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r/>
    </w:p>
    <w:p>
      <w:pPr>
        <w:pStyle w:val="1058"/>
        <w:ind w:firstLine="420"/>
        <w:spacing w:line="360" w:lineRule="auto"/>
        <w:rPr>
          <w:rFonts w:hint="eastAsia"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r/>
    </w:p>
    <w:p>
      <w:pPr>
        <w:pStyle w:val="1058"/>
        <w:ind w:firstLine="420"/>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r/>
    </w:p>
    <w:p>
      <w:pPr>
        <w:pStyle w:val="1058"/>
        <w:ind w:firstLine="420"/>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微波通信综合实验平台 </w:t>
      </w:r>
      <w:r>
        <w:rPr>
          <w:rFonts w:hint="eastAsia" w:ascii="宋体" w:hAnsi="宋体" w:cs="宋体"/>
          <w:szCs w:val="21"/>
        </w:rPr>
        <w:t xml:space="preserve">公开招标的结果，本着自愿及平等互利的原则，就甲方向乙方购买本合同约定的货物事宜，签署本合同。</w:t>
      </w:r>
      <w:r/>
    </w:p>
    <w:p>
      <w:pPr>
        <w:pStyle w:val="1058"/>
        <w:ind w:firstLine="422"/>
        <w:spacing w:before="120" w:after="120" w:line="360" w:lineRule="auto"/>
        <w:rPr>
          <w:rFonts w:hint="eastAsia" w:ascii="宋体" w:hAnsi="宋体" w:cs="宋体"/>
          <w:b/>
          <w:szCs w:val="21"/>
        </w:rPr>
      </w:pPr>
      <w:r>
        <w:rPr>
          <w:rFonts w:hint="eastAsia" w:ascii="宋体" w:hAnsi="宋体" w:cs="宋体"/>
          <w:b/>
          <w:szCs w:val="21"/>
        </w:rPr>
        <w:t xml:space="preserve">一、货物内容、数量及金额</w:t>
      </w:r>
      <w:r/>
    </w:p>
    <w:tbl>
      <w:tblPr>
        <w:tblStyle w:val="1043"/>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3"/>
        <w:gridCol w:w="1437"/>
        <w:gridCol w:w="1014"/>
        <w:gridCol w:w="1014"/>
        <w:gridCol w:w="1014"/>
        <w:gridCol w:w="1022"/>
        <w:gridCol w:w="1597"/>
        <w:gridCol w:w="1603"/>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 xml:space="preserve">合计（小写）：</w:t>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说明：本合同总价款涵盖货物从设计、制造、包装、仓储、运输、安装直至验收合格之前的全部含税费用，以及保修期内备品备件相关的所有含税费用。乙方依约应提供的伴随服务及售后服务所涉费用，亦包含在本合同总价款内。</w:t>
            </w:r>
            <w:r/>
          </w:p>
        </w:tc>
      </w:tr>
    </w:tbl>
    <w:p>
      <w:pPr>
        <w:pStyle w:val="1058"/>
        <w:ind w:firstLine="422"/>
        <w:spacing w:line="360" w:lineRule="auto"/>
        <w:rPr>
          <w:rFonts w:hint="eastAsia" w:ascii="宋体" w:hAnsi="宋体" w:cs="宋体"/>
          <w:b/>
          <w:szCs w:val="21"/>
        </w:rPr>
      </w:pPr>
      <w:r>
        <w:rPr>
          <w:rFonts w:hint="eastAsia" w:ascii="宋体" w:hAnsi="宋体" w:cs="宋体"/>
          <w:b/>
          <w:szCs w:val="21"/>
        </w:rPr>
        <w:t xml:space="preserve">二、结算方式</w:t>
      </w:r>
      <w:r/>
    </w:p>
    <w:p>
      <w:pPr>
        <w:ind w:firstLine="420"/>
        <w:spacing w:line="360" w:lineRule="auto"/>
        <w:rPr>
          <w:rFonts w:hint="eastAsia" w:ascii="宋体" w:hAnsi="宋体" w:cs="宋体"/>
          <w:szCs w:val="21"/>
          <w:highlight w:val="yellow"/>
        </w:rPr>
      </w:pPr>
      <w:r>
        <w:rPr>
          <w:rFonts w:hint="eastAsia" w:ascii="宋体" w:hAnsi="宋体" w:cs="宋体"/>
          <w:szCs w:val="21"/>
        </w:rPr>
        <w:t xml:space="preserve">2.1结算方式：</w:t>
      </w:r>
      <w:r/>
    </w:p>
    <w:p>
      <w:pPr>
        <w:pStyle w:val="1058"/>
        <w:ind w:firstLine="420"/>
        <w:spacing w:line="360" w:lineRule="auto"/>
        <w:rPr>
          <w:rFonts w:hint="eastAsia" w:ascii="宋体" w:hAnsi="宋体" w:cs="宋体"/>
          <w:szCs w:val="21"/>
        </w:rPr>
      </w:pPr>
      <w:r>
        <w:rPr>
          <w:rFonts w:hint="eastAsia" w:ascii="宋体" w:hAnsi="宋体" w:cs="宋体"/>
          <w:szCs w:val="21"/>
        </w:rPr>
        <w:t xml:space="preserve">2.2履约保证金（根据招标文件要求选用）</w:t>
      </w:r>
      <w:r/>
    </w:p>
    <w:p>
      <w:pPr>
        <w:pStyle w:val="1058"/>
        <w:ind w:firstLine="420"/>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本项目不需要缴纳履约保证金。</w:t>
      </w:r>
      <w:r/>
    </w:p>
    <w:p>
      <w:pPr>
        <w:pStyle w:val="1058"/>
        <w:ind w:firstLine="420"/>
        <w:spacing w:line="360" w:lineRule="auto"/>
        <w:rPr>
          <w:rFonts w:hint="eastAsia"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本项目需要缴纳履约保证金，具体要求如下：</w:t>
      </w:r>
      <w:r/>
    </w:p>
    <w:p>
      <w:pPr>
        <w:pStyle w:val="1058"/>
        <w:ind w:firstLine="420"/>
        <w:spacing w:line="360" w:lineRule="auto"/>
        <w:rPr>
          <w:rFonts w:hint="eastAsia" w:ascii="宋体" w:hAnsi="宋体" w:cs="宋体"/>
          <w:szCs w:val="21"/>
        </w:rPr>
      </w:pPr>
      <w:r>
        <w:rPr>
          <w:rFonts w:hint="eastAsia" w:ascii="宋体" w:hAnsi="宋体" w:cs="宋体"/>
          <w:szCs w:val="21"/>
        </w:rPr>
        <w:t xml:space="preserve">（1）乙方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058"/>
        <w:ind w:firstLine="420"/>
        <w:spacing w:line="360" w:lineRule="auto"/>
        <w:rPr>
          <w:rFonts w:hint="eastAsia" w:ascii="宋体" w:hAnsi="宋体" w:cs="宋体"/>
          <w:szCs w:val="21"/>
        </w:rPr>
      </w:pPr>
      <w:r>
        <w:rPr>
          <w:rFonts w:hint="eastAsia" w:ascii="宋体" w:hAnsi="宋体" w:cs="宋体"/>
          <w:szCs w:val="21"/>
        </w:rPr>
        <w:t xml:space="preserve">南京工业职业技术大学指定账户信息具体如下：</w:t>
      </w:r>
      <w:r/>
    </w:p>
    <w:p>
      <w:pPr>
        <w:pStyle w:val="1058"/>
        <w:ind w:firstLine="420"/>
        <w:spacing w:line="360" w:lineRule="auto"/>
        <w:rPr>
          <w:rFonts w:hint="eastAsia" w:ascii="宋体" w:hAnsi="宋体" w:cs="宋体"/>
          <w:szCs w:val="21"/>
        </w:rPr>
      </w:pPr>
      <w:r>
        <w:rPr>
          <w:rFonts w:hint="eastAsia" w:ascii="宋体" w:hAnsi="宋体" w:cs="宋体"/>
          <w:szCs w:val="21"/>
        </w:rPr>
        <w:t xml:space="preserve">单位名称：南京工业职业技术大学</w:t>
      </w:r>
      <w:r/>
    </w:p>
    <w:p>
      <w:pPr>
        <w:pStyle w:val="1058"/>
        <w:ind w:firstLine="420"/>
        <w:spacing w:line="360" w:lineRule="auto"/>
        <w:rPr>
          <w:rFonts w:hint="eastAsia" w:ascii="宋体" w:hAnsi="宋体" w:cs="宋体"/>
          <w:szCs w:val="21"/>
        </w:rPr>
      </w:pPr>
      <w:r>
        <w:rPr>
          <w:rFonts w:hint="eastAsia" w:ascii="宋体" w:hAnsi="宋体" w:cs="宋体"/>
          <w:szCs w:val="21"/>
        </w:rPr>
        <w:t xml:space="preserve">开 户 行：</w:t>
      </w:r>
      <w:r/>
    </w:p>
    <w:p>
      <w:pPr>
        <w:pStyle w:val="1058"/>
        <w:ind w:firstLine="420"/>
        <w:spacing w:line="360" w:lineRule="auto"/>
        <w:rPr>
          <w:rFonts w:hint="eastAsia" w:ascii="宋体" w:hAnsi="宋体" w:cs="宋体"/>
          <w:szCs w:val="21"/>
        </w:rPr>
      </w:pPr>
      <w:r>
        <w:rPr>
          <w:rFonts w:hint="eastAsia" w:ascii="宋体" w:hAnsi="宋体" w:cs="宋体"/>
          <w:szCs w:val="21"/>
        </w:rPr>
        <w:t xml:space="preserve">账    号：</w:t>
      </w:r>
      <w:r/>
    </w:p>
    <w:p>
      <w:pPr>
        <w:pStyle w:val="1058"/>
        <w:ind w:firstLine="420"/>
        <w:spacing w:line="360" w:lineRule="auto"/>
        <w:rPr>
          <w:rFonts w:hint="eastAsia" w:ascii="宋体" w:hAnsi="宋体" w:cs="宋体"/>
          <w:szCs w:val="21"/>
          <w:highlight w:val="none"/>
        </w:rPr>
      </w:pPr>
      <w:r>
        <w:rPr>
          <w:rFonts w:hint="eastAsia" w:ascii="宋体" w:hAnsi="宋体" w:cs="宋体"/>
          <w:szCs w:val="21"/>
        </w:rPr>
        <w:t xml:space="preserve">注：请在转账时备注“</w:t>
      </w:r>
      <w:r>
        <w:rPr>
          <w:rFonts w:hint="eastAsia" w:ascii="宋体" w:hAnsi="宋体" w:cs="宋体"/>
          <w:szCs w:val="21"/>
          <w:highlight w:val="none"/>
        </w:rPr>
        <w:t xml:space="preserve">项目名称+履约保证保金”字样。</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（2）合同履行过程中，若经甲方核实存在货物质量问题或乙方违约情形，甲方有权在通知乙方后，从履约保证金中抵扣相应的补偿或赔偿款项。</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履约保证金退还流程：自货物验收合格之日起12个月后（正常运行），乙方可向甲方出具货物最终验收单。经最终用户签字确认，核实无质量问题且乙方无违约情形后，甲方于确认完成后一个月内，将履约保证金</w:t>
      </w:r>
      <w:r>
        <w:rPr>
          <w:rFonts w:hint="eastAsia" w:ascii="宋体" w:hAnsi="宋体" w:cs="宋体"/>
          <w:szCs w:val="21"/>
          <w:highlight w:val="none"/>
        </w:rPr>
        <w:t xml:space="preserve">5%</w:t>
      </w:r>
      <w:r>
        <w:rPr>
          <w:rFonts w:hint="eastAsia" w:ascii="宋体" w:hAnsi="宋体" w:cs="宋体"/>
          <w:szCs w:val="21"/>
          <w:highlight w:val="none"/>
        </w:rPr>
        <w:t xml:space="preserve">无息退还乙方。</w:t>
      </w:r>
      <w:r>
        <w:rPr>
          <w:rFonts w:hint="eastAsia" w:ascii="宋体" w:hAnsi="宋体" w:cs="宋体"/>
          <w:szCs w:val="21"/>
          <w:highlight w:val="none"/>
        </w:rPr>
        <w:t xml:space="preserve">第二年无息退还3%，免费质保期满后退还剩余履约保证金。</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2.3当采购数量与实际使用数量不一致时，乙方应根据实际使用量供货，合同的最终结算金额按实际使用量乘以本合同约定的成交单价进行计算。</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2.4乙方指定账户信息：</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开户行：</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户名：</w:t>
      </w:r>
      <w:r/>
    </w:p>
    <w:p>
      <w:pPr>
        <w:pStyle w:val="105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账号：</w:t>
      </w:r>
      <w:r/>
    </w:p>
    <w:p>
      <w:pPr>
        <w:pStyle w:val="1058"/>
        <w:ind w:firstLine="420"/>
        <w:spacing w:line="360" w:lineRule="auto"/>
        <w:rPr>
          <w:rFonts w:hint="eastAsia" w:ascii="宋体" w:hAnsi="宋体" w:cs="宋体"/>
          <w:szCs w:val="21"/>
        </w:rPr>
      </w:pPr>
      <w:r>
        <w:rPr>
          <w:rFonts w:hint="eastAsia" w:ascii="宋体" w:hAnsi="宋体" w:cs="宋体"/>
          <w:szCs w:val="21"/>
        </w:rPr>
        <w:t xml:space="preserve">上述账户信息，如有变更，乙方应在变更前3日内书面通知甲方。否则，由此产生的后果由乙方承担。</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三、交付方式、时间及地点</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）交货期：合同签订生效后，</w:t>
      </w:r>
      <w:r>
        <w:rPr>
          <w:rFonts w:hint="eastAsia" w:ascii="宋体" w:hAnsi="宋体" w:cs="宋体"/>
          <w:szCs w:val="21"/>
        </w:rPr>
        <w:t xml:space="preserve">30个日历日</w:t>
      </w:r>
      <w:r>
        <w:rPr>
          <w:rFonts w:hint="eastAsia" w:ascii="宋体" w:hAnsi="宋体" w:cs="宋体"/>
          <w:szCs w:val="21"/>
          <w:lang w:val="zh-CN"/>
        </w:rPr>
        <w:t xml:space="preserve">内全部设备、材料运抵现场，并安装、调试结束，验收合格，交付采购方使用。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）交货方式：</w:t>
      </w:r>
      <w:r>
        <w:rPr>
          <w:rFonts w:hint="eastAsia" w:ascii="宋体" w:hAnsi="宋体" w:cs="宋体"/>
          <w:szCs w:val="21"/>
        </w:rPr>
        <w:t xml:space="preserve">乙方</w:t>
      </w:r>
      <w:r>
        <w:rPr>
          <w:rFonts w:hint="eastAsia" w:ascii="宋体" w:hAnsi="宋体" w:cs="宋体"/>
          <w:szCs w:val="21"/>
          <w:lang w:val="zh-CN"/>
        </w:rPr>
        <w:t xml:space="preserve">在</w:t>
      </w:r>
      <w:r>
        <w:rPr>
          <w:rFonts w:hint="eastAsia" w:ascii="宋体" w:hAnsi="宋体" w:cs="宋体"/>
          <w:szCs w:val="21"/>
        </w:rPr>
        <w:t xml:space="preserve">甲方</w:t>
      </w:r>
      <w:r>
        <w:rPr>
          <w:rFonts w:hint="eastAsia" w:ascii="宋体" w:hAnsi="宋体" w:cs="宋体"/>
          <w:szCs w:val="21"/>
          <w:lang w:val="zh-CN"/>
        </w:rPr>
        <w:t xml:space="preserve">指定地点交货，并完成安装、调试。</w:t>
      </w:r>
      <w:r/>
    </w:p>
    <w:p>
      <w:pPr>
        <w:pStyle w:val="1058"/>
        <w:ind w:firstLine="420"/>
        <w:spacing w:line="360" w:lineRule="auto"/>
        <w:rPr>
          <w:rFonts w:hint="eastAsia"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）交货地点：</w:t>
      </w:r>
      <w:r>
        <w:rPr>
          <w:rFonts w:hint="eastAsia" w:ascii="宋体" w:hAnsi="宋体" w:cs="宋体"/>
          <w:szCs w:val="21"/>
        </w:rPr>
        <w:t xml:space="preserve">甲方</w:t>
      </w:r>
      <w:r>
        <w:rPr>
          <w:rFonts w:hint="eastAsia" w:ascii="宋体" w:hAnsi="宋体" w:cs="宋体"/>
          <w:szCs w:val="21"/>
          <w:lang w:val="zh-CN"/>
        </w:rPr>
        <w:t xml:space="preserve">指定地点。</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四、货物包装、发运及运输</w:t>
      </w:r>
      <w:r/>
    </w:p>
    <w:p>
      <w:pPr>
        <w:pStyle w:val="1058"/>
        <w:ind w:firstLine="420"/>
        <w:spacing w:line="360" w:lineRule="auto"/>
        <w:rPr>
          <w:rFonts w:hint="eastAsia" w:ascii="宋体" w:hAnsi="宋体" w:cs="宋体"/>
          <w:szCs w:val="21"/>
        </w:rPr>
      </w:pPr>
      <w:r>
        <w:rPr>
          <w:rFonts w:hint="eastAsia" w:ascii="宋体" w:hAnsi="宋体" w:cs="宋体"/>
          <w:szCs w:val="21"/>
        </w:rPr>
        <w:t xml:space="preserve">4.1 乙方应在货物发运前根据运输距离、防潮、防震、防锈和防破损装卸等要求进行相应的包装，以保证货物安全运达甲方指定地点。</w:t>
      </w:r>
      <w:r/>
    </w:p>
    <w:p>
      <w:pPr>
        <w:pStyle w:val="1058"/>
        <w:ind w:firstLine="420"/>
        <w:spacing w:line="360" w:lineRule="auto"/>
        <w:rPr>
          <w:rFonts w:hint="eastAsia" w:ascii="宋体" w:hAnsi="宋体" w:cs="宋体"/>
          <w:szCs w:val="21"/>
        </w:rPr>
      </w:pPr>
      <w:r>
        <w:rPr>
          <w:rFonts w:hint="eastAsia" w:ascii="宋体" w:hAnsi="宋体" w:cs="宋体"/>
          <w:szCs w:val="21"/>
        </w:rPr>
        <w:t xml:space="preserve">4.2 使用说明书、质量检验证明书、随配附件和工具以及清单一并附于货物内。</w:t>
      </w:r>
      <w:r/>
    </w:p>
    <w:p>
      <w:pPr>
        <w:pStyle w:val="1058"/>
        <w:ind w:firstLine="420"/>
        <w:spacing w:line="360" w:lineRule="auto"/>
        <w:rPr>
          <w:rFonts w:hint="eastAsia" w:ascii="宋体" w:hAnsi="宋体" w:cs="宋体"/>
          <w:szCs w:val="21"/>
        </w:rPr>
      </w:pPr>
      <w:r>
        <w:rPr>
          <w:rFonts w:hint="eastAsia" w:ascii="宋体" w:hAnsi="宋体" w:cs="宋体"/>
          <w:szCs w:val="21"/>
        </w:rPr>
        <w:t xml:space="preserve">4.3 乙方在货物发运手续办理完毕后24小时内或货到甲方48小时前通知甲方，以准备接货。</w:t>
      </w:r>
      <w:r/>
    </w:p>
    <w:p>
      <w:pPr>
        <w:pStyle w:val="1058"/>
        <w:ind w:firstLine="420"/>
        <w:spacing w:line="360" w:lineRule="auto"/>
        <w:rPr>
          <w:rFonts w:hint="eastAsia" w:ascii="宋体" w:hAnsi="宋体" w:cs="宋体"/>
          <w:szCs w:val="21"/>
        </w:rPr>
      </w:pPr>
      <w:r>
        <w:rPr>
          <w:rFonts w:hint="eastAsia" w:ascii="宋体" w:hAnsi="宋体" w:cs="宋体"/>
          <w:szCs w:val="21"/>
        </w:rPr>
        <w:t xml:space="preserve">4.4 货物在交付甲方前发生的风险均由乙方负责。</w:t>
      </w:r>
      <w:r/>
    </w:p>
    <w:p>
      <w:pPr>
        <w:pStyle w:val="1058"/>
        <w:ind w:firstLine="422"/>
        <w:spacing w:line="360" w:lineRule="auto"/>
        <w:rPr>
          <w:rFonts w:hint="eastAsia" w:ascii="宋体" w:hAnsi="宋体" w:cs="宋体"/>
          <w:szCs w:val="21"/>
        </w:rPr>
      </w:pPr>
      <w:r>
        <w:rPr>
          <w:rFonts w:hint="eastAsia" w:ascii="宋体" w:hAnsi="宋体" w:cs="宋体"/>
          <w:b/>
          <w:szCs w:val="21"/>
        </w:rPr>
        <w:t xml:space="preserve">五、质量保证及售后服务</w:t>
      </w:r>
      <w:r/>
    </w:p>
    <w:p>
      <w:pPr>
        <w:pStyle w:val="1058"/>
        <w:ind w:firstLine="420"/>
        <w:spacing w:line="360" w:lineRule="auto"/>
        <w:rPr>
          <w:rFonts w:hint="eastAsia" w:ascii="宋体" w:hAnsi="宋体" w:cs="宋体"/>
          <w:szCs w:val="21"/>
        </w:rPr>
      </w:pPr>
      <w:r>
        <w:rPr>
          <w:rFonts w:hint="eastAsia" w:ascii="宋体" w:hAnsi="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1058"/>
        <w:ind w:firstLine="420"/>
        <w:spacing w:line="360" w:lineRule="auto"/>
        <w:rPr>
          <w:rFonts w:hint="eastAsia" w:ascii="宋体" w:hAnsi="宋体" w:cs="宋体"/>
          <w:szCs w:val="21"/>
        </w:rPr>
      </w:pPr>
      <w:r>
        <w:rPr>
          <w:rFonts w:hint="eastAsia" w:ascii="宋体" w:hAnsi="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1058"/>
        <w:ind w:firstLine="420"/>
        <w:spacing w:line="360" w:lineRule="auto"/>
        <w:rPr>
          <w:rFonts w:hint="eastAsia" w:ascii="宋体" w:hAnsi="宋体" w:cs="宋体"/>
          <w:szCs w:val="21"/>
        </w:rPr>
      </w:pPr>
      <w:r>
        <w:rPr>
          <w:rFonts w:hint="eastAsia" w:ascii="宋体" w:hAnsi="宋体" w:cs="宋体"/>
          <w:szCs w:val="21"/>
        </w:rPr>
        <w:t xml:space="preserve">5.3上述货物的质保期</w:t>
      </w:r>
      <w:r>
        <w:rPr>
          <w:rFonts w:hint="eastAsia" w:ascii="宋体" w:hAnsi="宋体" w:cs="宋体"/>
          <w:szCs w:val="21"/>
          <w:u w:val="single"/>
        </w:rPr>
        <w:t xml:space="preserve">     </w:t>
      </w:r>
      <w:r>
        <w:rPr>
          <w:rFonts w:hint="eastAsia" w:ascii="宋体" w:hAnsi="宋体" w:cs="宋体"/>
          <w:szCs w:val="21"/>
        </w:rPr>
        <w:t xml:space="preserve">年。（自交货验收合格次日起计算），因人为因素出现的故障不在免费保修范围内。</w:t>
      </w:r>
      <w:r/>
    </w:p>
    <w:p>
      <w:pPr>
        <w:pStyle w:val="1058"/>
        <w:ind w:firstLine="420"/>
        <w:spacing w:line="360" w:lineRule="auto"/>
        <w:rPr>
          <w:rFonts w:hint="eastAsia" w:ascii="宋体" w:hAnsi="宋体" w:cs="宋体"/>
          <w:szCs w:val="21"/>
        </w:rPr>
      </w:pPr>
      <w:r>
        <w:rPr>
          <w:rFonts w:hint="eastAsia" w:ascii="宋体" w:hAnsi="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58"/>
        <w:ind w:firstLine="420"/>
        <w:spacing w:line="360" w:lineRule="auto"/>
        <w:rPr>
          <w:rFonts w:hint="eastAsia" w:ascii="宋体" w:hAnsi="宋体" w:cs="宋体"/>
          <w:szCs w:val="21"/>
        </w:rPr>
      </w:pPr>
      <w:r>
        <w:rPr>
          <w:rFonts w:hint="eastAsia" w:ascii="宋体" w:hAnsi="宋体" w:cs="宋体"/>
          <w:szCs w:val="21"/>
        </w:rPr>
        <w:t xml:space="preserve">5.5 在质保期内，乙方应对货物出现的质量及安全问题负责处理解决并承担一切费用。</w:t>
      </w:r>
      <w:r/>
    </w:p>
    <w:p>
      <w:pPr>
        <w:pStyle w:val="1058"/>
        <w:ind w:firstLine="420"/>
        <w:spacing w:line="360" w:lineRule="auto"/>
        <w:rPr>
          <w:rFonts w:hint="eastAsia" w:ascii="宋体" w:hAnsi="宋体" w:cs="宋体"/>
          <w:szCs w:val="21"/>
        </w:rPr>
      </w:pPr>
      <w:r>
        <w:rPr>
          <w:rFonts w:hint="eastAsia" w:ascii="宋体" w:hAnsi="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六、调试和验收</w:t>
      </w:r>
      <w:r/>
    </w:p>
    <w:p>
      <w:pPr>
        <w:pStyle w:val="1058"/>
        <w:ind w:firstLine="420"/>
        <w:spacing w:line="360" w:lineRule="auto"/>
        <w:rPr>
          <w:rFonts w:hint="eastAsia" w:ascii="宋体" w:hAnsi="宋体" w:cs="宋体"/>
          <w:szCs w:val="21"/>
        </w:rPr>
      </w:pPr>
      <w:r>
        <w:rPr>
          <w:rFonts w:hint="eastAsia" w:ascii="宋体" w:hAnsi="宋体" w:cs="宋体"/>
          <w:szCs w:val="21"/>
        </w:rPr>
        <w:t xml:space="preserve">6.1 乙方交货前应对货物全面检查并对验收文件进行整理，列出清单提交甲方，检验的结果亦应随货物交甲方。</w:t>
      </w:r>
      <w:r/>
    </w:p>
    <w:p>
      <w:pPr>
        <w:pStyle w:val="1058"/>
        <w:ind w:firstLine="420"/>
        <w:spacing w:line="360" w:lineRule="auto"/>
        <w:rPr>
          <w:rFonts w:hint="eastAsia" w:ascii="宋体" w:hAnsi="宋体" w:cs="宋体"/>
          <w:szCs w:val="21"/>
          <w:u w:val="single"/>
        </w:rPr>
      </w:pPr>
      <w:r>
        <w:rPr>
          <w:rFonts w:hint="eastAsia" w:ascii="宋体" w:hAnsi="宋体" w:cs="宋体"/>
          <w:szCs w:val="21"/>
        </w:rPr>
        <w:t xml:space="preserve">6.2 甲方对乙方提供的货物在使用前进行调试时，乙方需负责安装并培训甲方的使用操作人员，并协助甲方一起调试，直到符合技术要求。</w:t>
      </w:r>
      <w:r/>
    </w:p>
    <w:p>
      <w:pPr>
        <w:pStyle w:val="1058"/>
        <w:ind w:firstLine="420"/>
        <w:spacing w:line="360" w:lineRule="auto"/>
        <w:rPr>
          <w:rFonts w:hint="eastAsia" w:ascii="宋体" w:hAnsi="宋体" w:cs="宋体"/>
          <w:szCs w:val="21"/>
        </w:rPr>
      </w:pPr>
      <w:r>
        <w:rPr>
          <w:rFonts w:hint="eastAsia" w:ascii="宋体" w:hAnsi="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1058"/>
        <w:ind w:firstLine="420"/>
        <w:spacing w:line="360" w:lineRule="auto"/>
        <w:rPr>
          <w:rFonts w:hint="eastAsia" w:ascii="宋体" w:hAnsi="宋体" w:cs="宋体"/>
          <w:szCs w:val="21"/>
        </w:rPr>
      </w:pPr>
      <w:r>
        <w:rPr>
          <w:rFonts w:hint="eastAsia" w:ascii="宋体" w:hAnsi="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1058"/>
        <w:ind w:firstLine="420"/>
        <w:spacing w:line="360" w:lineRule="auto"/>
        <w:rPr>
          <w:rFonts w:hint="eastAsia" w:ascii="宋体" w:hAnsi="宋体" w:cs="宋体"/>
          <w:szCs w:val="21"/>
        </w:rPr>
      </w:pPr>
      <w:r>
        <w:rPr>
          <w:rFonts w:hint="eastAsia" w:ascii="宋体" w:hAnsi="宋体" w:cs="宋体"/>
          <w:szCs w:val="21"/>
        </w:rPr>
        <w:t xml:space="preserve">6.5 设备、材料安装、调试结束，甲、乙双方派员共同验收，达到验收标准则验收合格。验收完毕后出具验收结果报告并经双方签字确认；验收相关费用由乙方承担。</w:t>
      </w:r>
      <w:r/>
    </w:p>
    <w:p>
      <w:pPr>
        <w:pStyle w:val="1058"/>
        <w:ind w:firstLine="420"/>
        <w:spacing w:line="360" w:lineRule="auto"/>
        <w:rPr>
          <w:rFonts w:hint="eastAsia" w:ascii="宋体" w:hAnsi="宋体" w:cs="宋体"/>
          <w:szCs w:val="21"/>
        </w:rPr>
      </w:pPr>
      <w:r>
        <w:rPr>
          <w:rFonts w:hint="eastAsia" w:ascii="宋体" w:hAnsi="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七、技术资料</w:t>
      </w:r>
      <w:r/>
    </w:p>
    <w:p>
      <w:pPr>
        <w:pStyle w:val="1058"/>
        <w:ind w:firstLine="420"/>
        <w:spacing w:line="360" w:lineRule="auto"/>
        <w:rPr>
          <w:rFonts w:hint="eastAsia" w:ascii="宋体" w:hAnsi="宋体" w:cs="宋体"/>
          <w:b/>
          <w:szCs w:val="21"/>
        </w:rPr>
      </w:pPr>
      <w:r>
        <w:rPr>
          <w:rFonts w:hint="eastAsia" w:ascii="宋体" w:hAnsi="宋体" w:cs="宋体"/>
          <w:szCs w:val="21"/>
        </w:rPr>
        <w:t xml:space="preserve">7.1乙方应按招标文件规定的时间向甲方提供使用货物的有关技术资料。</w:t>
      </w:r>
      <w:r/>
    </w:p>
    <w:p>
      <w:pPr>
        <w:pStyle w:val="1058"/>
        <w:ind w:firstLine="420"/>
        <w:spacing w:line="360" w:lineRule="auto"/>
        <w:rPr>
          <w:rFonts w:hint="eastAsia" w:ascii="宋体" w:hAnsi="宋体" w:cs="宋体"/>
          <w:szCs w:val="21"/>
        </w:rPr>
      </w:pPr>
      <w:r>
        <w:rPr>
          <w:rFonts w:hint="eastAsia" w:ascii="宋体" w:hAnsi="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八、知识产权</w:t>
      </w:r>
      <w:r/>
    </w:p>
    <w:p>
      <w:pPr>
        <w:ind w:firstLine="420"/>
        <w:spacing w:line="360" w:lineRule="auto"/>
        <w:rPr>
          <w:rFonts w:hint="eastAsia" w:ascii="宋体" w:hAnsi="宋体" w:cs="宋体"/>
          <w:szCs w:val="21"/>
        </w:rPr>
      </w:pPr>
      <w:r>
        <w:rPr>
          <w:rFonts w:hint="eastAsia" w:ascii="宋体" w:hAnsi="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九、违约责任</w:t>
      </w:r>
      <w:r/>
    </w:p>
    <w:p>
      <w:pPr>
        <w:pStyle w:val="1058"/>
        <w:ind w:firstLine="420"/>
        <w:spacing w:line="360" w:lineRule="auto"/>
        <w:rPr>
          <w:rFonts w:hint="eastAsia" w:ascii="宋体" w:hAnsi="宋体" w:cs="宋体"/>
          <w:szCs w:val="21"/>
        </w:rPr>
      </w:pPr>
      <w:r>
        <w:rPr>
          <w:rFonts w:hint="eastAsia" w:ascii="宋体" w:hAnsi="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58"/>
        <w:ind w:firstLine="420"/>
        <w:spacing w:line="360" w:lineRule="auto"/>
        <w:rPr>
          <w:rFonts w:hint="eastAsia" w:ascii="宋体" w:hAnsi="宋体" w:cs="宋体"/>
          <w:szCs w:val="21"/>
        </w:rPr>
      </w:pPr>
      <w:r>
        <w:rPr>
          <w:rFonts w:hint="eastAsia" w:ascii="宋体" w:hAnsi="宋体" w:cs="宋体"/>
          <w:szCs w:val="21"/>
        </w:rPr>
        <w:t xml:space="preserve">9.2 乙方履约的前提下，甲方无故迟延支付货款的,甲方应按逾期付款总额每日万分之五向乙方支付违约金。</w:t>
      </w:r>
      <w:r/>
    </w:p>
    <w:p>
      <w:pPr>
        <w:pStyle w:val="1058"/>
        <w:ind w:firstLine="420"/>
        <w:spacing w:line="360" w:lineRule="auto"/>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58"/>
        <w:ind w:firstLine="420"/>
        <w:spacing w:line="360" w:lineRule="auto"/>
        <w:rPr>
          <w:rFonts w:hint="eastAsia" w:ascii="宋体" w:hAnsi="宋体" w:cs="宋体"/>
          <w:szCs w:val="21"/>
        </w:rPr>
      </w:pPr>
      <w:r>
        <w:rPr>
          <w:rFonts w:hint="eastAsia" w:ascii="宋体" w:hAnsi="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58"/>
        <w:ind w:firstLine="420"/>
        <w:spacing w:line="360" w:lineRule="auto"/>
        <w:rPr>
          <w:rFonts w:hint="eastAsia" w:ascii="宋体" w:hAnsi="宋体" w:cs="宋体"/>
          <w:szCs w:val="21"/>
        </w:rPr>
      </w:pPr>
      <w:r>
        <w:rPr>
          <w:rFonts w:hint="eastAsia" w:ascii="宋体" w:hAnsi="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58"/>
        <w:ind w:firstLine="420"/>
        <w:spacing w:line="360" w:lineRule="auto"/>
        <w:rPr>
          <w:rFonts w:hint="eastAsia" w:ascii="宋体" w:hAnsi="宋体" w:cs="宋体"/>
          <w:szCs w:val="21"/>
        </w:rPr>
      </w:pPr>
      <w:r>
        <w:rPr>
          <w:rFonts w:hint="eastAsia" w:ascii="宋体" w:hAnsi="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58"/>
        <w:ind w:firstLine="420"/>
        <w:spacing w:line="360" w:lineRule="auto"/>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58"/>
        <w:ind w:firstLine="420"/>
        <w:spacing w:line="360" w:lineRule="auto"/>
        <w:rPr>
          <w:rFonts w:hint="eastAsia" w:ascii="宋体" w:hAnsi="宋体" w:cs="宋体"/>
          <w:szCs w:val="21"/>
        </w:rPr>
      </w:pPr>
      <w:r>
        <w:rPr>
          <w:rFonts w:hint="eastAsia" w:ascii="宋体" w:hAnsi="宋体" w:cs="宋体"/>
          <w:szCs w:val="21"/>
        </w:rPr>
        <w:t xml:space="preserve">9.8 乙方履行义务不符合合同约定时，甲方有权扣减总货款的10%作为违约金。</w:t>
      </w:r>
      <w:r/>
    </w:p>
    <w:p>
      <w:pPr>
        <w:pStyle w:val="1058"/>
        <w:ind w:firstLine="420"/>
        <w:spacing w:line="360" w:lineRule="auto"/>
        <w:rPr>
          <w:rFonts w:hint="eastAsia" w:ascii="宋体" w:hAnsi="宋体" w:cs="宋体"/>
          <w:szCs w:val="21"/>
        </w:rPr>
      </w:pPr>
      <w:r>
        <w:rPr>
          <w:rFonts w:hint="eastAsia" w:ascii="宋体" w:hAnsi="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十、不可抗力事件处理</w:t>
      </w:r>
      <w:r/>
    </w:p>
    <w:p>
      <w:pPr>
        <w:pStyle w:val="1058"/>
        <w:ind w:firstLine="420"/>
        <w:spacing w:line="360" w:lineRule="auto"/>
        <w:rPr>
          <w:rFonts w:hint="eastAsia" w:ascii="宋体" w:hAnsi="宋体" w:cs="宋体"/>
          <w:szCs w:val="21"/>
        </w:rPr>
      </w:pPr>
      <w:r>
        <w:rPr>
          <w:rFonts w:hint="eastAsia" w:ascii="宋体" w:hAnsi="宋体" w:cs="宋体"/>
          <w:szCs w:val="21"/>
        </w:rPr>
        <w:t xml:space="preserve">10.1 在合同有效期内，任何一方因不可抗力事件导致不能履行合同，则合同履行期可延长，其延长期与不可抗力影响期相同。</w:t>
      </w:r>
      <w:r/>
    </w:p>
    <w:p>
      <w:pPr>
        <w:pStyle w:val="1058"/>
        <w:ind w:firstLine="420"/>
        <w:spacing w:line="360" w:lineRule="auto"/>
        <w:rPr>
          <w:rFonts w:hint="eastAsia" w:ascii="宋体" w:hAnsi="宋体" w:cs="宋体"/>
          <w:szCs w:val="21"/>
        </w:rPr>
      </w:pPr>
      <w:r>
        <w:rPr>
          <w:rFonts w:hint="eastAsia" w:ascii="宋体" w:hAnsi="宋体" w:cs="宋体"/>
          <w:szCs w:val="21"/>
        </w:rPr>
        <w:t xml:space="preserve">10.2 不可抗力事件发生后，应立即通知对方，并寄送有关权威机构出具的证明。</w:t>
      </w:r>
      <w:r/>
    </w:p>
    <w:p>
      <w:pPr>
        <w:pStyle w:val="1058"/>
        <w:ind w:firstLine="420"/>
        <w:spacing w:line="360" w:lineRule="auto"/>
        <w:rPr>
          <w:rFonts w:hint="eastAsia" w:ascii="宋体" w:hAnsi="宋体" w:cs="宋体"/>
          <w:szCs w:val="21"/>
        </w:rPr>
      </w:pPr>
      <w:r>
        <w:rPr>
          <w:rFonts w:hint="eastAsia" w:ascii="宋体" w:hAnsi="宋体" w:cs="宋体"/>
          <w:szCs w:val="21"/>
        </w:rPr>
        <w:t xml:space="preserve">10.3 不可抗力事件延续30天以上，双方应通过友好协商，确定是否继续履行合同。</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十一、诉讼</w:t>
      </w:r>
      <w:r/>
    </w:p>
    <w:p>
      <w:pPr>
        <w:pStyle w:val="1058"/>
        <w:ind w:firstLine="420"/>
        <w:spacing w:line="360" w:lineRule="auto"/>
        <w:rPr>
          <w:rFonts w:hint="eastAsia" w:ascii="宋体" w:hAnsi="宋体" w:cs="宋体"/>
          <w:szCs w:val="21"/>
        </w:rPr>
      </w:pPr>
      <w:r>
        <w:rPr>
          <w:rFonts w:hint="eastAsia" w:ascii="宋体" w:hAnsi="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58"/>
        <w:ind w:firstLine="422"/>
        <w:spacing w:line="360" w:lineRule="auto"/>
        <w:rPr>
          <w:rFonts w:hint="eastAsia" w:ascii="宋体" w:hAnsi="宋体" w:cs="宋体"/>
          <w:b/>
          <w:szCs w:val="21"/>
        </w:rPr>
      </w:pPr>
      <w:r>
        <w:rPr>
          <w:rFonts w:hint="eastAsia" w:ascii="宋体" w:hAnsi="宋体" w:cs="宋体"/>
          <w:b/>
          <w:szCs w:val="21"/>
        </w:rPr>
        <w:t xml:space="preserve">十二、合同生效及其它</w:t>
      </w:r>
      <w:r/>
    </w:p>
    <w:p>
      <w:pPr>
        <w:pStyle w:val="1058"/>
        <w:ind w:firstLine="420"/>
        <w:spacing w:line="360" w:lineRule="auto"/>
        <w:rPr>
          <w:rFonts w:hint="eastAsia" w:ascii="宋体" w:hAnsi="宋体" w:cs="宋体"/>
          <w:szCs w:val="21"/>
        </w:rPr>
      </w:pPr>
      <w:r>
        <w:rPr>
          <w:rFonts w:hint="eastAsia" w:ascii="宋体" w:hAnsi="宋体" w:cs="宋体"/>
          <w:szCs w:val="21"/>
        </w:rPr>
        <w:t xml:space="preserve">12.1招投标文件、中标通知书作为合同的附件，与本合同具有同等法律效力。合同经双方法定代表人或授权委托代表人签字、盖章后生效。</w:t>
      </w:r>
      <w:r/>
    </w:p>
    <w:p>
      <w:pPr>
        <w:pStyle w:val="1058"/>
        <w:ind w:firstLine="420"/>
        <w:spacing w:line="360" w:lineRule="auto"/>
        <w:rPr>
          <w:rFonts w:hint="eastAsia" w:ascii="宋体" w:hAnsi="宋体" w:cs="宋体"/>
          <w:szCs w:val="21"/>
        </w:rPr>
      </w:pPr>
      <w:r>
        <w:rPr>
          <w:rFonts w:hint="eastAsia" w:ascii="宋体" w:hAnsi="宋体" w:cs="宋体"/>
          <w:szCs w:val="21"/>
        </w:rPr>
        <w:t xml:space="preserve">12.2本合同未尽事宜，遵照《中华人民共和国民法典》有关条文执行。</w:t>
      </w:r>
      <w:r/>
    </w:p>
    <w:p>
      <w:pPr>
        <w:pStyle w:val="1058"/>
        <w:ind w:firstLine="420"/>
        <w:spacing w:line="360" w:lineRule="auto"/>
        <w:rPr>
          <w:rFonts w:hint="eastAsia" w:ascii="宋体" w:hAnsi="宋体" w:cs="宋体"/>
          <w:szCs w:val="21"/>
        </w:rPr>
      </w:pPr>
      <w:r>
        <w:rPr>
          <w:rFonts w:hint="eastAsia" w:ascii="宋体" w:hAnsi="宋体" w:cs="宋体"/>
          <w:szCs w:val="21"/>
        </w:rPr>
        <w:t xml:space="preserve">12.3 本合同正本一式</w:t>
      </w:r>
      <w:r>
        <w:rPr>
          <w:rFonts w:hint="eastAsia" w:ascii="宋体" w:hAnsi="宋体" w:cs="宋体"/>
          <w:szCs w:val="21"/>
          <w:u w:val="single"/>
        </w:rPr>
        <w:t xml:space="preserve">     </w:t>
      </w:r>
      <w:r>
        <w:rPr>
          <w:rFonts w:hint="eastAsia" w:ascii="宋体" w:hAnsi="宋体" w:cs="宋体"/>
          <w:szCs w:val="21"/>
        </w:rPr>
        <w:t xml:space="preserve">份，甲方</w:t>
      </w:r>
      <w:r>
        <w:rPr>
          <w:rFonts w:hint="eastAsia" w:ascii="宋体" w:hAnsi="宋体" w:cs="宋体"/>
          <w:szCs w:val="21"/>
          <w:u w:val="single"/>
        </w:rPr>
        <w:t xml:space="preserve">     </w:t>
      </w:r>
      <w:r>
        <w:rPr>
          <w:rFonts w:hint="eastAsia" w:ascii="宋体" w:hAnsi="宋体" w:cs="宋体"/>
          <w:szCs w:val="21"/>
        </w:rPr>
        <w:t xml:space="preserve">份，乙方</w:t>
      </w:r>
      <w:r>
        <w:rPr>
          <w:rFonts w:hint="eastAsia" w:ascii="宋体" w:hAnsi="宋体" w:cs="宋体"/>
          <w:szCs w:val="21"/>
          <w:u w:val="single"/>
        </w:rPr>
        <w:t xml:space="preserve">    </w:t>
      </w:r>
      <w:r>
        <w:rPr>
          <w:rFonts w:hint="eastAsia" w:ascii="宋体" w:hAnsi="宋体" w:cs="宋体"/>
          <w:szCs w:val="21"/>
        </w:rPr>
        <w:t xml:space="preserve">份，具有同等法律效力。</w:t>
      </w:r>
      <w:r/>
    </w:p>
    <w:p>
      <w:pPr>
        <w:pStyle w:val="1058"/>
        <w:ind w:firstLine="420"/>
        <w:spacing w:line="360" w:lineRule="auto"/>
        <w:rPr>
          <w:rFonts w:hint="eastAsia" w:ascii="宋体" w:hAnsi="宋体" w:cs="宋体"/>
          <w:szCs w:val="21"/>
        </w:rPr>
      </w:pPr>
      <w:r>
        <w:rPr>
          <w:rFonts w:hint="eastAsia" w:ascii="宋体" w:hAnsi="宋体" w:cs="宋体"/>
          <w:szCs w:val="21"/>
        </w:rPr>
        <w:t xml:space="preserve">12.4 其他：</w:t>
      </w:r>
      <w:r>
        <w:rPr>
          <w:rFonts w:hint="eastAsia" w:ascii="宋体" w:hAnsi="宋体" w:cs="宋体"/>
          <w:szCs w:val="21"/>
          <w:u w:val="single"/>
        </w:rPr>
        <w:t xml:space="preserve">                         </w:t>
      </w:r>
      <w:r>
        <w:rPr>
          <w:rFonts w:hint="eastAsia" w:ascii="宋体" w:hAnsi="宋体" w:cs="宋体"/>
          <w:szCs w:val="21"/>
        </w:rPr>
        <w:t xml:space="preserve">。 </w:t>
      </w:r>
      <w:r/>
    </w:p>
    <w:p>
      <w:pPr>
        <w:pStyle w:val="1058"/>
        <w:spacing w:before="120" w:after="120" w:line="360" w:lineRule="auto"/>
        <w:rPr>
          <w:rFonts w:hint="eastAsia" w:ascii="宋体" w:hAnsi="宋体" w:cs="宋体"/>
          <w:szCs w:val="21"/>
        </w:rPr>
      </w:pPr>
      <w:r>
        <w:rPr>
          <w:rFonts w:hint="eastAsia" w:ascii="宋体" w:hAnsi="宋体" w:cs="宋体"/>
          <w:szCs w:val="21"/>
        </w:rPr>
        <w:t xml:space="preserve">甲方： 南京工业职业技术大学（盖章）        乙方：（盖章）</w:t>
      </w:r>
      <w:r/>
    </w:p>
    <w:p>
      <w:pPr>
        <w:pStyle w:val="1058"/>
        <w:spacing w:before="120" w:after="120" w:line="360" w:lineRule="auto"/>
        <w:rPr>
          <w:rFonts w:hint="eastAsia" w:ascii="宋体" w:hAnsi="宋体" w:cs="宋体"/>
          <w:szCs w:val="21"/>
        </w:rPr>
      </w:pPr>
      <w:r>
        <w:rPr>
          <w:rFonts w:hint="eastAsia" w:ascii="宋体" w:hAnsi="宋体" w:cs="宋体"/>
          <w:szCs w:val="21"/>
        </w:rPr>
        <w:t xml:space="preserve">地址：南京市栖霞区仙林大学城羊山北路1号   地址： </w:t>
      </w:r>
      <w:r/>
    </w:p>
    <w:p>
      <w:pPr>
        <w:pStyle w:val="1058"/>
        <w:spacing w:before="120" w:after="120" w:line="360" w:lineRule="auto"/>
        <w:rPr>
          <w:rFonts w:hint="eastAsia" w:ascii="宋体" w:hAnsi="宋体" w:cs="宋体"/>
          <w:szCs w:val="21"/>
        </w:rPr>
      </w:pPr>
      <w:r>
        <w:rPr>
          <w:rFonts w:hint="eastAsia" w:ascii="宋体" w:hAnsi="宋体" w:cs="宋体"/>
          <w:szCs w:val="21"/>
        </w:rPr>
        <w:t xml:space="preserve">法定代表人/授权代表：（签字）              法定代表人/授权代表：（签字）</w:t>
      </w:r>
      <w:r/>
    </w:p>
    <w:p>
      <w:pPr>
        <w:pStyle w:val="1058"/>
        <w:spacing w:before="120" w:after="120" w:line="360" w:lineRule="auto"/>
        <w:rPr>
          <w:rFonts w:hint="eastAsia" w:ascii="宋体" w:hAnsi="宋体" w:cs="宋体"/>
          <w:szCs w:val="21"/>
        </w:rPr>
      </w:pPr>
      <w:r>
        <w:rPr>
          <w:rFonts w:hint="eastAsia" w:ascii="宋体" w:hAnsi="宋体" w:cs="宋体"/>
          <w:szCs w:val="21"/>
        </w:rPr>
        <w:t xml:space="preserve">签订日期：   年    月    日                签订日期：   年    月    日</w:t>
      </w:r>
      <w:r/>
    </w:p>
    <w:p>
      <w:pPr>
        <w:jc w:val="left"/>
        <w:spacing w:line="360" w:lineRule="auto"/>
        <w:shd w:val="clear" w:color="auto" w:fill="ffffff"/>
        <w:widowControl/>
        <w:rPr>
          <w:rFonts w:hint="eastAsia" w:ascii="宋体" w:hAnsi="宋体" w:cs="宋体"/>
          <w:szCs w:val="21"/>
          <w:lang w:val="zh-CN"/>
        </w:rPr>
      </w:pPr>
      <w:r>
        <w:rPr>
          <w:rFonts w:hint="eastAsia" w:ascii="宋体" w:hAnsi="宋体" w:cs="宋体"/>
          <w:szCs w:val="21"/>
        </w:rPr>
        <w:t xml:space="preserve">附件1：</w:t>
      </w:r>
      <w:r>
        <w:rPr>
          <w:rFonts w:hint="eastAsia" w:ascii="宋体" w:hAnsi="宋体" w:cs="宋体"/>
          <w:szCs w:val="21"/>
          <w:lang w:val="zh-CN"/>
        </w:rPr>
        <w:t xml:space="preserve">分项报价表</w:t>
      </w:r>
      <w:r/>
    </w:p>
    <w:tbl>
      <w:tblPr>
        <w:tblStyle w:val="1043"/>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单价</w:t>
            </w:r>
            <w:r/>
          </w:p>
          <w:p>
            <w:pPr>
              <w:jc w:val="center"/>
              <w:spacing w:line="360" w:lineRule="auto"/>
              <w:rPr>
                <w:rFonts w:hint="eastAsia" w:ascii="宋体" w:hAnsi="宋体" w:cs="宋体"/>
              </w:rPr>
            </w:pPr>
            <w:r>
              <w:rPr>
                <w:rFonts w:hint="eastAsia" w:ascii="宋体" w:hAnsi="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总价</w:t>
            </w:r>
            <w:r/>
          </w:p>
          <w:p>
            <w:pPr>
              <w:jc w:val="center"/>
              <w:spacing w:line="360" w:lineRule="auto"/>
              <w:rPr>
                <w:rFonts w:hint="eastAsia" w:ascii="宋体" w:hAnsi="宋体" w:cs="宋体"/>
              </w:rPr>
            </w:pPr>
            <w:r>
              <w:rPr>
                <w:rFonts w:hint="eastAsia" w:ascii="宋体" w:hAnsi="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spacing w:line="360" w:lineRule="auto"/>
              <w:rPr>
                <w:rFonts w:hint="eastAsia" w:ascii="宋体" w:hAnsi="宋体" w:cs="宋体"/>
                <w:highlight w:val="green"/>
              </w:rPr>
            </w:pPr>
            <w:r>
              <w:rPr>
                <w:rFonts w:hint="eastAsia" w:ascii="宋体" w:hAnsi="宋体" w:cs="宋体"/>
                <w:highlight w:val="green"/>
              </w:rPr>
            </w:r>
            <w:r/>
          </w:p>
        </w:tc>
      </w:tr>
    </w:tbl>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附件2：货物配置清单</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Cs w:val="21"/>
        </w:rPr>
        <w:t xml:space="preserve">附件3：投标响应时的具体项目方案（包括但不限于①实施方案、②验收方案、③售后服务承诺方案、④培训方案等。）</w:t>
      </w:r>
      <w:r>
        <w:rPr>
          <w:rFonts w:hint="eastAsia" w:ascii="宋体" w:hAnsi="宋体" w:cs="宋体"/>
          <w:sz w:val="24"/>
        </w:rPr>
        <w:br w:type="page" w:clear="all"/>
      </w:r>
      <w:bookmarkEnd w:id="0"/>
      <w:r/>
      <w:bookmarkEnd w:id="1"/>
      <w:r/>
      <w:r/>
    </w:p>
    <w:p>
      <w:pPr>
        <w:pStyle w:val="1033"/>
        <w:numPr>
          <w:ilvl w:val="0"/>
          <w:numId w:val="0"/>
        </w:numPr>
        <w:spacing w:line="360" w:lineRule="auto"/>
        <w:rPr>
          <w:rFonts w:hint="eastAsia" w:ascii="宋体" w:hAnsi="宋体" w:cs="宋体"/>
          <w:sz w:val="28"/>
          <w:szCs w:val="28"/>
        </w:rPr>
      </w:pPr>
      <w:r/>
      <w:bookmarkStart w:id="35" w:name="_Toc7019"/>
      <w:r>
        <w:rPr>
          <w:rFonts w:hint="eastAsia" w:ascii="宋体" w:hAnsi="宋体" w:cs="宋体"/>
          <w:sz w:val="28"/>
          <w:szCs w:val="28"/>
        </w:rPr>
        <w:t xml:space="preserve">第六章 </w:t>
      </w:r>
      <w:bookmarkEnd w:id="35"/>
      <w:r>
        <w:rPr>
          <w:rFonts w:hint="eastAsia" w:ascii="宋体" w:hAnsi="宋体" w:cs="宋体"/>
          <w:sz w:val="28"/>
          <w:szCs w:val="28"/>
        </w:rPr>
        <w:t xml:space="preserve"> 投标文件格式及附件</w:t>
      </w:r>
      <w:r/>
    </w:p>
    <w:p>
      <w:pPr>
        <w:jc w:val="left"/>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 w:val="20"/>
          <w:szCs w:val="20"/>
        </w:rPr>
      </w:pPr>
      <w:r>
        <w:rPr>
          <w:rFonts w:hint="eastAsia" w:ascii="宋体" w:hAnsi="宋体" w:cs="宋体"/>
          <w:sz w:val="20"/>
          <w:szCs w:val="20"/>
        </w:rPr>
      </w:r>
      <w:r/>
    </w:p>
    <w:p>
      <w:pPr>
        <w:spacing w:line="360" w:lineRule="auto"/>
        <w:rPr>
          <w:rFonts w:hint="eastAsia" w:ascii="宋体" w:hAnsi="宋体" w:cs="宋体"/>
          <w:sz w:val="20"/>
          <w:szCs w:val="20"/>
        </w:rPr>
      </w:pPr>
      <w:r>
        <w:rPr>
          <w:rFonts w:hint="eastAsia" w:ascii="宋体" w:hAnsi="宋体" w:cs="宋体"/>
          <w:sz w:val="20"/>
          <w:szCs w:val="20"/>
        </w:rPr>
      </w:r>
      <w:r/>
    </w:p>
    <w:p>
      <w:pPr>
        <w:jc w:val="center"/>
        <w:spacing w:line="360" w:lineRule="auto"/>
        <w:rPr>
          <w:rFonts w:hint="eastAsia" w:ascii="宋体" w:hAnsi="宋体" w:cs="宋体"/>
          <w:sz w:val="52"/>
          <w:szCs w:val="52"/>
        </w:rPr>
      </w:pPr>
      <w:r>
        <w:rPr>
          <w:rFonts w:hint="eastAsia" w:ascii="宋体" w:hAnsi="宋体" w:cs="宋体"/>
          <w:sz w:val="52"/>
          <w:szCs w:val="52"/>
        </w:rPr>
        <w:t xml:space="preserve">投标文件</w:t>
      </w:r>
      <w:r/>
    </w:p>
    <w:p>
      <w:pP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36"/>
          <w:szCs w:val="36"/>
        </w:rPr>
      </w:pPr>
      <w:r>
        <w:rPr>
          <w:rFonts w:hint="eastAsia" w:ascii="宋体" w:hAnsi="宋体" w:cs="宋体"/>
          <w:sz w:val="36"/>
          <w:szCs w:val="36"/>
        </w:rPr>
      </w:r>
      <w:r/>
    </w:p>
    <w:p>
      <w:pPr>
        <w:ind w:firstLine="720"/>
        <w:spacing w:line="360" w:lineRule="auto"/>
        <w:rPr>
          <w:rFonts w:hint="eastAsia" w:ascii="宋体" w:hAnsi="宋体" w:cs="宋体"/>
          <w:sz w:val="36"/>
          <w:szCs w:val="36"/>
        </w:rPr>
      </w:pPr>
      <w:r>
        <w:rPr>
          <w:rFonts w:hint="eastAsia" w:ascii="宋体" w:hAnsi="宋体" w:cs="宋体"/>
          <w:sz w:val="36"/>
          <w:szCs w:val="36"/>
        </w:rPr>
        <w:t xml:space="preserve">项目名称：</w:t>
      </w:r>
      <w:r/>
    </w:p>
    <w:p>
      <w:pPr>
        <w:ind w:firstLine="720"/>
        <w:spacing w:line="360" w:lineRule="auto"/>
        <w:rPr>
          <w:rFonts w:hint="eastAsia" w:ascii="宋体" w:hAnsi="宋体" w:cs="宋体"/>
          <w:sz w:val="36"/>
          <w:szCs w:val="36"/>
        </w:rPr>
      </w:pPr>
      <w:r>
        <w:rPr>
          <w:rFonts w:hint="eastAsia" w:ascii="宋体" w:hAnsi="宋体" w:cs="宋体"/>
          <w:sz w:val="36"/>
          <w:szCs w:val="36"/>
        </w:rPr>
        <w:t xml:space="preserve">招标编号：</w:t>
      </w:r>
      <w:r/>
    </w:p>
    <w:p>
      <w:pPr>
        <w:ind w:firstLine="720"/>
        <w:spacing w:line="360" w:lineRule="auto"/>
        <w:rPr>
          <w:rFonts w:hint="eastAsia" w:ascii="宋体" w:hAnsi="宋体" w:cs="宋体"/>
          <w:sz w:val="36"/>
          <w:szCs w:val="36"/>
          <w:u w:val="single"/>
        </w:rPr>
      </w:pPr>
      <w:r>
        <w:rPr>
          <w:rFonts w:hint="eastAsia" w:ascii="宋体" w:hAnsi="宋体" w:cs="宋体"/>
          <w:sz w:val="36"/>
          <w:szCs w:val="36"/>
        </w:rPr>
        <w:t xml:space="preserve">供应商名称：（加盖电子公章）</w:t>
      </w:r>
      <w:r/>
    </w:p>
    <w:p>
      <w:pPr>
        <w:ind w:firstLine="720"/>
        <w:jc w:val="left"/>
        <w:spacing w:line="360" w:lineRule="auto"/>
        <w:widowControl/>
        <w:rPr>
          <w:rFonts w:hint="eastAsia" w:ascii="宋体" w:hAnsi="宋体" w:cs="宋体"/>
          <w:sz w:val="28"/>
          <w:szCs w:val="28"/>
        </w:rPr>
      </w:pPr>
      <w:r>
        <w:rPr>
          <w:rFonts w:hint="eastAsia" w:ascii="宋体" w:hAnsi="宋体" w:cs="宋体"/>
          <w:sz w:val="36"/>
          <w:szCs w:val="36"/>
        </w:rPr>
        <w:t xml:space="preserve">日期：</w:t>
      </w:r>
      <w:r/>
    </w:p>
    <w:p>
      <w:pPr>
        <w:spacing w:line="360" w:lineRule="auto"/>
        <w:rPr>
          <w:rFonts w:hint="eastAsia" w:ascii="宋体" w:hAnsi="宋体" w:cs="宋体"/>
          <w:sz w:val="32"/>
          <w:szCs w:val="32"/>
        </w:rPr>
      </w:pPr>
      <w:r>
        <w:rPr>
          <w:rFonts w:hint="eastAsia" w:ascii="宋体" w:hAnsi="宋体" w:cs="宋体"/>
          <w:sz w:val="32"/>
          <w:szCs w:val="32"/>
        </w:rPr>
        <w:br w:type="page" w:clear="all"/>
      </w:r>
      <w:r/>
    </w:p>
    <w:p>
      <w:pPr>
        <w:jc w:val="center"/>
        <w:spacing w:before="317" w:after="317" w:line="360" w:lineRule="auto"/>
        <w:rPr>
          <w:rFonts w:hint="eastAsia" w:ascii="宋体" w:hAnsi="宋体" w:cs="宋体"/>
          <w:sz w:val="32"/>
          <w:szCs w:val="32"/>
        </w:rPr>
      </w:pPr>
      <w:r>
        <w:rPr>
          <w:rFonts w:hint="eastAsia" w:ascii="宋体" w:hAnsi="宋体" w:cs="宋体"/>
          <w:sz w:val="32"/>
          <w:szCs w:val="32"/>
        </w:rPr>
        <w:t xml:space="preserve">目录</w:t>
      </w:r>
      <w:r/>
    </w:p>
    <w:p>
      <w:pPr>
        <w:jc w:val="center"/>
        <w:spacing w:line="360" w:lineRule="auto"/>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widowControl/>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ind w:firstLine="422"/>
        <w:jc w:val="center"/>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投标申请及声明</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致：XXXXX</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2、按招标要求，我们的投标总报价详见开标一览表。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3、本项目交付时间为：满足采购文件要求。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szCs w:val="21"/>
        </w:rPr>
        <w:t xml:space="preserve">贵方组织的其他采购方式采购</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附件二、法定代表人授权委托书格式</w:t>
      </w:r>
      <w:r/>
    </w:p>
    <w:p>
      <w:pPr>
        <w:ind w:firstLine="720"/>
        <w:jc w:val="center"/>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（供应商名称）授权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360" w:lineRule="auto"/>
        <w:rPr>
          <w:rFonts w:hint="eastAsia" w:ascii="宋体" w:hAnsi="宋体" w:cs="宋体"/>
          <w:szCs w:val="21"/>
        </w:rPr>
      </w:pPr>
      <w:r>
        <w:rPr>
          <w:rFonts w:hint="eastAsia" w:ascii="宋体" w:hAnsi="宋体" w:cs="宋体"/>
          <w:szCs w:val="21"/>
        </w:rPr>
        <w:t xml:space="preserve">本授权书自______年____月____日起生效，特此声明。</w:t>
      </w:r>
      <w:r/>
    </w:p>
    <w:p>
      <w:pPr>
        <w:ind w:firstLine="480"/>
        <w:spacing w:line="360" w:lineRule="auto"/>
        <w:rPr>
          <w:rFonts w:hint="eastAsia" w:ascii="宋体" w:hAnsi="宋体" w:cs="宋体"/>
          <w:szCs w:val="21"/>
          <w:u w:val="single"/>
        </w:rPr>
      </w:pPr>
      <w:r>
        <w:rPr>
          <w:rFonts w:hint="eastAsia" w:ascii="宋体" w:hAnsi="宋体" w:cs="宋体"/>
          <w:szCs w:val="21"/>
        </w:rPr>
        <w:t xml:space="preserve">被授权人联系电话：           （手机）</w:t>
      </w:r>
      <w:r/>
    </w:p>
    <w:p>
      <w:pPr>
        <w:ind w:firstLine="480"/>
        <w:spacing w:line="360" w:lineRule="auto"/>
        <w:rPr>
          <w:rFonts w:hint="eastAsia" w:ascii="宋体" w:hAnsi="宋体" w:cs="宋体"/>
          <w:szCs w:val="21"/>
          <w:u w:val="single"/>
        </w:rPr>
      </w:pPr>
      <w:r>
        <w:rPr>
          <w:rFonts w:hint="eastAsia" w:ascii="宋体" w:hAnsi="宋体" w:cs="宋体"/>
          <w:szCs w:val="21"/>
        </w:rPr>
        <w:t xml:space="preserve">供应商名称：              （加盖电子公章）</w:t>
      </w:r>
      <w:r/>
    </w:p>
    <w:p>
      <w:pPr>
        <w:ind w:firstLine="480"/>
        <w:spacing w:line="360" w:lineRule="auto"/>
        <w:rPr>
          <w:rFonts w:hint="eastAsia" w:ascii="宋体" w:hAnsi="宋体" w:cs="宋体"/>
          <w:szCs w:val="21"/>
          <w:u w:val="single"/>
        </w:rPr>
      </w:pPr>
      <w:r>
        <w:rPr>
          <w:rFonts w:hint="eastAsia" w:ascii="宋体" w:hAnsi="宋体" w:cs="宋体"/>
          <w:szCs w:val="21"/>
        </w:rPr>
        <w:t xml:space="preserve">单位地址：</w:t>
      </w:r>
      <w:r/>
    </w:p>
    <w:p>
      <w:pPr>
        <w:ind w:firstLine="480"/>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widowControl/>
        <w:rPr>
          <w:rFonts w:hint="eastAsia" w:ascii="宋体" w:hAnsi="宋体" w:cs="宋体"/>
          <w:szCs w:val="21"/>
          <w:lang w:val="zh-CN"/>
        </w:rPr>
      </w:pPr>
      <w:r>
        <w:rPr>
          <w:rFonts w:hint="eastAsia" w:ascii="宋体" w:hAnsi="宋体" w:cs="宋体"/>
          <w:b/>
          <w:bCs/>
          <w:szCs w:val="21"/>
        </w:rPr>
        <w:br w:type="page" w:clear="all"/>
      </w:r>
      <w:r>
        <w:rPr>
          <w:rFonts w:hint="eastAsia" w:ascii="宋体" w:hAnsi="宋体" w:cs="宋体"/>
          <w:b/>
          <w:bCs/>
          <w:szCs w:val="21"/>
          <w:lang w:val="zh-CN"/>
        </w:rPr>
        <w:t xml:space="preserve">附件三、</w:t>
      </w:r>
      <w:r>
        <w:rPr>
          <w:rFonts w:hint="eastAsia" w:ascii="宋体" w:hAnsi="宋体" w:cs="宋体"/>
          <w:b/>
          <w:bCs/>
          <w:szCs w:val="21"/>
        </w:rPr>
        <w:t xml:space="preserve">开标一览</w:t>
      </w:r>
      <w:r>
        <w:rPr>
          <w:rFonts w:hint="eastAsia" w:ascii="宋体" w:hAnsi="宋体" w:cs="宋体"/>
          <w:b/>
          <w:bCs/>
          <w:szCs w:val="21"/>
          <w:lang w:val="zh-CN"/>
        </w:rPr>
        <w:t xml:space="preserve">表</w:t>
      </w:r>
      <w:r/>
    </w:p>
    <w:p>
      <w:pP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t xml:space="preserve">详见苏采云系统开标一览表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说明：本项目仅接受一个价格，不得填报有选择性报价方案。若有优惠条款须注明，但不得影响报价，影响产品整体功能。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附件四、分项报价表</w:t>
      </w:r>
      <w:r/>
    </w:p>
    <w:p>
      <w:pPr>
        <w:pStyle w:val="105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tbl>
      <w:tblPr>
        <w:tblStyle w:val="1043"/>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128"/>
        <w:gridCol w:w="696"/>
        <w:gridCol w:w="893"/>
        <w:gridCol w:w="724"/>
        <w:gridCol w:w="1141"/>
        <w:gridCol w:w="973"/>
        <w:gridCol w:w="1127"/>
        <w:gridCol w:w="1028"/>
      </w:tblGrid>
      <w:tr>
        <w:trPr>
          <w:jc w:val="center"/>
          <w:trHeight w:val="677"/>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标的名称</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单位</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品牌</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规格型号</w:t>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制造商和国别</w:t>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单价</w:t>
            </w:r>
            <w:r/>
          </w:p>
          <w:p>
            <w:pPr>
              <w:jc w:val="center"/>
              <w:spacing w:line="360" w:lineRule="auto"/>
              <w:rPr>
                <w:rFonts w:hint="eastAsia" w:ascii="宋体" w:hAnsi="宋体" w:cs="宋体"/>
                <w:szCs w:val="21"/>
              </w:rPr>
            </w:pPr>
            <w:r>
              <w:rPr>
                <w:rFonts w:hint="eastAsia" w:ascii="宋体" w:hAnsi="宋体" w:cs="宋体"/>
                <w:szCs w:val="21"/>
              </w:rPr>
              <w:t xml:space="preserve">（元）</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总价</w:t>
            </w:r>
            <w:r/>
          </w:p>
          <w:p>
            <w:pPr>
              <w:jc w:val="center"/>
              <w:spacing w:line="360" w:lineRule="auto"/>
              <w:rPr>
                <w:rFonts w:hint="eastAsia" w:ascii="宋体" w:hAnsi="宋体" w:cs="宋体"/>
                <w:szCs w:val="21"/>
              </w:rPr>
            </w:pPr>
            <w:r>
              <w:rPr>
                <w:rFonts w:hint="eastAsia" w:ascii="宋体" w:hAnsi="宋体" w:cs="宋体"/>
                <w:szCs w:val="21"/>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5G微波通信系统（发射）</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5G微波通信系统（接收）</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微波技术综合仪器测试平台</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天线测试系统实训模组</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微波（收发）天线伺服转动装置</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天线（收发）测试套件</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收发测试线缆</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电磁场电磁波实训模组</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数显双导轨测量平台</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电磁场电磁波配件箱</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台</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rPr>
              <w:t xml:space="preserve">电磁波特性仿真软件</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hint="eastAsia" w:ascii="宋体" w:hAnsi="宋体" w:cs="宋体"/>
                <w:szCs w:val="21"/>
              </w:rPr>
              <w:t xml:space="preserve">电磁波与场示教仿真软件</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line="273" w:lineRule="exact"/>
              <w:rPr>
                <w:rFonts w:hint="eastAsia" w:ascii="Times New Roman" w:hAnsi="Times New Roman" w:eastAsia="宋体" w:cs="Times New Roman"/>
                <w:sz w:val="21"/>
                <w:szCs w:val="24"/>
                <w:lang w:val="en-US" w:eastAsia="zh-CN" w:bidi="ar-SA"/>
              </w:rPr>
            </w:pPr>
            <w:r>
              <w:rPr>
                <w:rFonts w:ascii="宋体" w:hAnsi="宋体" w:cs="宋体"/>
                <w:color w:val="000000"/>
              </w:rPr>
              <w:t xml:space="preserve">电波暗室天线方向图测试仿真系统</w:t>
            </w:r>
            <w:r/>
          </w:p>
        </w:tc>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sz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Times New Roman" w:hAnsi="Times New Roman" w:eastAsia="宋体" w:cs="Times New Roman"/>
                <w:sz w:val="21"/>
                <w:szCs w:val="24"/>
                <w:lang w:val="en-US" w:eastAsia="zh-CN" w:bidi="ar-SA"/>
              </w:rPr>
            </w:pPr>
            <w:r>
              <w:rPr>
                <w:rFonts w:ascii="宋体" w:hAnsi="宋体" w:cs="宋体"/>
                <w:color w:val="000000"/>
              </w:rPr>
              <w:t xml:space="preserve">套</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27"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8321"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8321" w:type="dxa"/>
            <w:vAlign w:val="center"/>
            <w:textDirection w:val="lrTb"/>
            <w:noWrap w:val="false"/>
          </w:tcPr>
          <w:p>
            <w:pPr>
              <w:jc w:val="center"/>
              <w:spacing w:line="420" w:lineRule="exact"/>
              <w:rPr>
                <w:rFonts w:hint="eastAsia" w:ascii="宋体" w:hAnsi="宋体" w:cs="宋体"/>
                <w:szCs w:val="21"/>
              </w:rPr>
            </w:pPr>
            <w:r>
              <w:rPr>
                <w:rFonts w:hint="eastAsia" w:ascii="宋体" w:cs="宋体"/>
                <w:szCs w:val="21"/>
              </w:rPr>
              <w:t xml:space="preserve">是否属于小、微型企业的产品</w:t>
            </w:r>
            <w:r/>
          </w:p>
        </w:tc>
        <w:tc>
          <w:tcPr>
            <w:tcBorders>
              <w:top w:val="single" w:color="auto" w:sz="4" w:space="0"/>
              <w:left w:val="single" w:color="auto" w:sz="4" w:space="0"/>
              <w:bottom w:val="single" w:color="auto" w:sz="4" w:space="0"/>
              <w:right w:val="single" w:color="auto" w:sz="4" w:space="0"/>
            </w:tcBorders>
            <w:tcW w:w="1028" w:type="dxa"/>
            <w:textDirection w:val="lrTb"/>
            <w:noWrap w:val="false"/>
          </w:tcPr>
          <w:p>
            <w:pPr>
              <w:jc w:val="left"/>
              <w:spacing w:line="420" w:lineRule="exact"/>
              <w:rPr>
                <w:rFonts w:hint="eastAsia" w:ascii="宋体" w:hAnsi="宋体" w:cs="宋体"/>
                <w:szCs w:val="21"/>
              </w:rPr>
            </w:pPr>
            <w:r>
              <w:rPr>
                <w:rFonts w:hint="eastAsia" w:ascii="宋体" w:hAnsi="宋体" w:cs="宋体"/>
                <w:szCs w:val="21"/>
              </w:rPr>
            </w:r>
            <w:r/>
          </w:p>
        </w:tc>
      </w:tr>
      <w:tr>
        <w:trPr>
          <w:jc w:val="center"/>
          <w:trHeight w:val="547"/>
        </w:trPr>
        <w:tc>
          <w:tcPr>
            <w:gridSpan w:val="9"/>
            <w:tcW w:w="9349" w:type="dxa"/>
            <w:vAlign w:val="center"/>
            <w:textDirection w:val="lrTb"/>
            <w:noWrap w:val="false"/>
          </w:tcPr>
          <w:p>
            <w:pPr>
              <w:jc w:val="center"/>
              <w:spacing w:line="360" w:lineRule="auto"/>
              <w:rPr>
                <w:rFonts w:hint="eastAsia" w:ascii="宋体" w:hAnsi="宋体" w:cs="宋体"/>
                <w:szCs w:val="21"/>
                <w:highlight w:val="green"/>
              </w:rPr>
            </w:pPr>
            <w:r>
              <w:rPr>
                <w:rFonts w:hint="eastAsia" w:ascii="宋体" w:hAnsi="宋体" w:cs="宋体"/>
                <w:szCs w:val="21"/>
              </w:rPr>
              <w:t xml:space="preserve">本项目中提供的符合本国产品标准的产品成本之和占本项目提供的全部产品成本之和的比例为</w:t>
            </w:r>
            <w:r>
              <w:rPr>
                <w:rFonts w:hint="eastAsia" w:ascii="宋体" w:hAnsi="宋体" w:cs="宋体"/>
                <w:szCs w:val="21"/>
                <w:u w:val="single"/>
              </w:rPr>
              <w:t xml:space="preserve">        </w:t>
            </w:r>
            <w:r>
              <w:rPr>
                <w:rFonts w:hint="eastAsia" w:ascii="宋体" w:hAnsi="宋体" w:cs="宋体"/>
                <w:szCs w:val="21"/>
              </w:rPr>
              <w:t xml:space="preserve">%。</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1100"/>
        <w:spacing w:line="360" w:lineRule="auto"/>
        <w:rPr>
          <w:rFonts w:hint="eastAsia" w:ascii="宋体" w:hAnsi="宋体" w:cs="宋体"/>
          <w:szCs w:val="21"/>
        </w:rPr>
      </w:pPr>
      <w:r>
        <w:rPr>
          <w:rFonts w:hint="eastAsia" w:ascii="宋体" w:hAnsi="宋体" w:cs="宋体"/>
          <w:szCs w:val="21"/>
        </w:rPr>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说明：1、本项目仅接受一个价格，不得填报有选择性报价方案。若有优惠条款须注明，但不得影响报价，影响产品整体功能；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2、分项报价表总价需与开标一览表中投标总价一致，若不一致以开标一览表中投标总价为准。</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3、在“是否属于小、微型企业的产品”栏填写“是”或“否”；如填写“是”，供应商需同时提供有效的《中小企业声明函》；如果小微型企业的产品报价无法划分计算的，评标时将不予认可。</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4、本项目中含有多种产品时，供应商未填写本项目中提供的符合本国产品标准的产品成本之和占该项目提供的全部产品成本之和的比例数值的，或比例数值未达到 80%的，将不享受本国产品价格评审优惠。</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br w:type="page" w:clear="all"/>
      </w:r>
      <w:r/>
    </w:p>
    <w:p>
      <w:pPr>
        <w:spacing w:line="360" w:lineRule="auto"/>
        <w:widowControl/>
        <w:rPr>
          <w:rFonts w:hint="eastAsia" w:ascii="宋体" w:hAnsi="宋体" w:cs="宋体"/>
          <w:b/>
          <w:bCs/>
          <w:szCs w:val="21"/>
        </w:rPr>
      </w:pPr>
      <w:r>
        <w:rPr>
          <w:rFonts w:hint="eastAsia" w:ascii="宋体" w:hAnsi="宋体" w:cs="宋体"/>
          <w:b/>
          <w:bCs/>
          <w:szCs w:val="21"/>
        </w:rPr>
        <w:t xml:space="preserve">附件五、技术条款偏离表</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技术条款偏离表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tbl>
      <w:tblPr>
        <w:tblStyle w:val="1043"/>
        <w:tblW w:w="48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6"/>
        <w:gridCol w:w="1347"/>
        <w:gridCol w:w="5620"/>
        <w:gridCol w:w="526"/>
        <w:gridCol w:w="560"/>
        <w:gridCol w:w="1004"/>
      </w:tblGrid>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71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972"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default" w:ascii="宋体" w:hAnsi="宋体" w:eastAsia="宋体" w:cs="宋体"/>
                <w:b/>
                <w:szCs w:val="21"/>
                <w:lang w:val="en-US" w:eastAsia="zh-CN"/>
              </w:rPr>
            </w:pPr>
            <w:r>
              <w:rPr>
                <w:rFonts w:hint="eastAsia" w:ascii="宋体" w:hAnsi="宋体" w:cs="宋体"/>
                <w:b/>
                <w:szCs w:val="21"/>
                <w:lang w:val="en-US" w:eastAsia="zh-CN"/>
              </w:rPr>
              <w:t xml:space="preserve">证明材料页码</w:t>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1</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eastAsia="宋体" w:cs="宋体"/>
                <w:szCs w:val="21"/>
                <w:lang w:eastAsia="zh-CN"/>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（一）5G微波通信系统（发射）</w:t>
            </w:r>
            <w:r/>
          </w:p>
        </w:tc>
        <w:tc>
          <w:tcPr>
            <w:tcMar>
              <w:left w:w="10" w:type="dxa"/>
              <w:top w:w="0" w:type="dxa"/>
              <w:right w:w="10" w:type="dxa"/>
              <w:bottom w:w="0" w:type="dxa"/>
            </w:tcMar>
            <w:tcW w:w="2972"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1.功能要求及指标：发射系统电路采用整体全开放无腔体沉金微带电路设计，通过开关控制连接系统单元电路；便于学生了解系统电路设计过程；</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DDS 数字频率合成器： 工作频率范围：35MHz-4400MHz，可调步进频率：≤100KHz；频率稳定度：≥25PPM； 输出功率范围：≥3dBm；显示：LED 液晶显示屏；显示频率及步进调节范围；支持二次开发；开发接口：JTAG；</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数控步进衰减器：工作频段：0.1-5GHz；步进范围：0-35dB；衰减步进：≤1dB； 插损：≤2dB；阻抗：50Ω； 支持外接MCU控制板；</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4</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中频滤波器：中心频率： 70MHz或140MHz，工作带宽：±2~10MHz；插入损耗： ≤-1dB；带外抑制：±70MHz处：≥30dB；</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支持在空天场景中和卫星地面发射站的链接，实现系统传输卫星影音的应用；</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6</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eastAsia="宋体" w:cs="宋体"/>
                <w:szCs w:val="21"/>
                <w:lang w:eastAsia="zh-CN"/>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（二）5G微波通信系统（接收）</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1.接收系统电路采用整体全开放无腔体沉金微带电路设计，通过开关控制连接系统单元电路；便于学生了解系统电路设计过程；</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2.DDS本振频合器：工作频率范围：35MHz-4400MHz； 步进频率：≤100KHz；频率稳定度：≥25PPM；输出功率：≥3dBm；显示：LED 液晶显示屏；显示频率及步进调节范围；</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8</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3.数字解调器：解调方式：64QAM或QPSK；解调输出具有液晶显示图像，语音输出，亮度可调，音量可调；</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9</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4.支持远程登入虚实仿真平台进行操作实验；支持在空天场景中和卫星地面接收站的链接，实现系统传输卫星影音的还原；</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5.</w:t>
            </w:r>
            <w:r>
              <w:rPr>
                <w:rFonts w:hint="eastAsia"/>
              </w:rPr>
              <w:t xml:space="preserve">需完成实验项目：微波滤波器（高通、低通、带通、带阻）；微波调制与解调测试；微波上下变频测试；微波收发锁相信号源的测试；中频AGC放大器的测试；微波放大器测量；微带传输线的特性测试；甚高频70MHz/140MHz通信实验；视音频信号的传输测试及系统传输实验；远程微波系统视频传输、数字调制解调器、程控衰减器、本振频合器参数配置、功率放大器、混频器、低噪声放大器、收发射频信号参数配置、收发系统故障设置排查、仪表使用等实验；</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11</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（三）微波技术综合仪器测试平台</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▲1.功能要求及指标</w:t>
            </w:r>
            <w:r>
              <w:rPr>
                <w:rFonts w:hint="eastAsia" w:ascii="宋体" w:hAnsi="宋体" w:cs="宋体"/>
                <w:szCs w:val="21"/>
                <w:lang w:eastAsia="zh-CN"/>
              </w:rPr>
              <w:t xml:space="preserve">：</w:t>
            </w:r>
            <w:r>
              <w:rPr>
                <w:rFonts w:hint="eastAsia" w:ascii="宋体" w:hAnsi="宋体" w:cs="宋体"/>
                <w:szCs w:val="21"/>
              </w:rPr>
              <w:t xml:space="preserve">整机需具备仪器测试平台+实验功能模组分离式设计；无需拆解整机即可快速更换不同功能模组或故障模组，降低维护难度及故障停机时间，同时方便系统迭代升级；平台显示部分需采用≥15寸液晶显示，留有不少于2路USB接口可连接文件拷贝安装、不少于1路LAN网口、不少于1路HDMI接口支持与投影设备连接演示教学；</w:t>
            </w:r>
            <w:r>
              <w:rPr>
                <w:rFonts w:hint="eastAsia" w:ascii="宋体" w:hAnsi="宋体" w:cs="宋体"/>
                <w:b/>
                <w:bCs/>
                <w:szCs w:val="21"/>
              </w:rPr>
              <w:t xml:space="preserve">（提供产品分离式设计功能图片或公开发行的产品彩页或产品说明书或第三方检测机构的检测报告或其他能够佐证该项技术功能的证明材料）</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整机一体化整体规格尺寸：长×宽×高≤（400MM×350MM×250MM），便于实验桌面摆放管理；</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13</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具有频谱测试分析：频率35MHz—6.0GHz，动态35M—3G，大于80dB，3G—6.0GHz，&gt;60dB，具备扫频，点频信号源输出功能；频谱测试：频率50MHz—6GHz，动态+20dBm—-90dBm；射频功率计模块：定频动态范围：+20dBm—-80dBm，输入阻抗50欧姆，具备dBm，mv，mw转换功能；</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14</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lang w:val="en-US" w:eastAsia="zh-CN"/>
              </w:rPr>
              <w:t xml:space="preserve">4.</w:t>
            </w:r>
            <w:r>
              <w:rPr>
                <w:rFonts w:hint="eastAsia" w:ascii="宋体" w:hAnsi="宋体" w:cs="宋体"/>
                <w:b/>
                <w:bCs/>
                <w:szCs w:val="21"/>
              </w:rPr>
              <w:t xml:space="preserve">具有矢量网络测试分析：频率范围：≥7GHz</w:t>
            </w:r>
            <w:r>
              <w:rPr>
                <w:rFonts w:hint="eastAsia" w:ascii="宋体" w:hAnsi="宋体" w:cs="宋体"/>
                <w:szCs w:val="21"/>
              </w:rPr>
              <w:t xml:space="preserve">；动态范围：≥90dB至3GHz；≥50dB至7GHz；测量类型：S21,S12,S11,S22；输出功率：-40dBm至0dBm；可完成史密斯圆图测量，开路，短路，匹配校准；</w:t>
            </w:r>
            <w:r>
              <w:rPr>
                <w:rFonts w:hint="eastAsia" w:ascii="宋体" w:hAnsi="宋体" w:cs="宋体"/>
                <w:b/>
                <w:bCs/>
                <w:szCs w:val="21"/>
              </w:rPr>
              <w:t xml:space="preserve">（提供产品功能图片或公开发行的产品彩页或产品说明书或第三方检测机构的检测报告或其他能够佐证该项技术功能的证明材料）</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支持在空天场景中对卫星电波的侦测解析；</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16</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（四）天线测试系统实训模组</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1.总体要求：每套天线测量实训系统需集成发射与接收单元一体，实现设备间的信号传输与数据交换；设备具有可灵活维护管理、可更换新模组的功能，模组可分离，具备即插即用，保证课堂教学质量</w:t>
            </w:r>
            <w:r>
              <w:rPr>
                <w:rFonts w:hint="eastAsia" w:ascii="宋体" w:hAnsi="宋体" w:cs="宋体"/>
                <w:szCs w:val="21"/>
                <w:lang w:eastAsia="zh-CN"/>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17</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实验工作频率范围：50MHz-21GHz；步进频率≤10Hz；功率不少于7种档位调节；需满足不同频段测试要求；输出功率电平调节范围：0-31dB，步进：≤0.5dB；</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18</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绘制软件具有频段选择、直坐标系与极坐标系方向图绘制；自动 3dB 波瓣宽度计算、自动前后比计算，系统测试支持最少4个MARK标注功能，支持绘制图形保存等基本功能；</w:t>
            </w:r>
            <w:r>
              <w:rPr>
                <w:rFonts w:hint="eastAsia" w:ascii="宋体" w:hAnsi="宋体" w:cs="宋体"/>
                <w:b/>
                <w:bCs/>
                <w:szCs w:val="21"/>
              </w:rPr>
              <w:t xml:space="preserve">（提供产品功能图片或公开发行的产品彩页或产品说明书或第三方检测机构的检测报告或其他能够佐证该项技术功能的证明材料）</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19</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整机性能参数要求：收发机工作频率范围：50MHz-21GHz，</w:t>
            </w:r>
            <w:r>
              <w:rPr>
                <w:rFonts w:hint="eastAsia"/>
              </w:rPr>
              <w:t xml:space="preserve">上位机设置</w:t>
            </w:r>
            <w:r>
              <w:rPr>
                <w:rFonts w:hint="eastAsia" w:ascii="宋体" w:hAnsi="宋体" w:cs="宋体"/>
                <w:szCs w:val="21"/>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20</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支持在空天场景中对地面站卫星信号进行捕获分析、状态锁定；</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21</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（五）微波（收发）天线伺服转动装置</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1.功能要求及指标：装置具有水平极化、俯仰极化、轴比极化功能；受控转台具有防止馈线转动绕圈功能；</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22</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上位机软件界面触摸调控设置含：转台转速、方位归零、方位速度、起始角度、终止角度等基本功能；上位机方向图软件具有≥4组marker数据定位功能，用于对角度及功率数值单独测量，同时可添加删除。上位机控制需含水平控制、俯仰控制、轴比控制、扇扫、指定角度范围扫频、转台一键自动归零等基本功能；俯仰角度：不小于± 25 °，可测量天线垂直面接收辐射特性；</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23</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转速设置范围：0.0 - 8.0 °/s；</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24</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轴比转台旋转角度范围：0-360°，</w:t>
            </w:r>
            <w:r>
              <w:rPr>
                <w:rFonts w:hint="eastAsia" w:cstheme="minorBidi"/>
              </w:rPr>
              <w:t xml:space="preserve">接口：BNC接口或航插接口；</w:t>
            </w:r>
            <w:r>
              <w:rPr>
                <w:rFonts w:hint="eastAsia" w:ascii="宋体" w:hAnsi="宋体" w:cs="宋体"/>
                <w:szCs w:val="21"/>
              </w:rPr>
              <w:t xml:space="preserve">输入接口阻抗：50Ω；实现天线轴比测试等实验；</w:t>
            </w:r>
            <w:r>
              <w:rPr>
                <w:rFonts w:hint="eastAsia" w:ascii="宋体" w:hAnsi="宋体" w:cs="宋体"/>
                <w:b/>
                <w:bCs/>
                <w:szCs w:val="21"/>
              </w:rPr>
              <w:t xml:space="preserve">（提供产品功能图片或公开发行的产品彩页或产品说明书或第三方检测机构的检测报告或其他能够佐证该项技术功能的证明材料）</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25</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支持在空天场景对卫星下行天线水平、俯仰、自动对星、指定角度控制；</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26</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（六）天线（收发）测试套件</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b/>
                <w:bCs/>
                <w:szCs w:val="21"/>
              </w:rPr>
              <w:t xml:space="preserve">1.天线类型包含（对数周期天线、八木天线、抛物面天线、全向天线、圆极化天线）</w:t>
            </w:r>
            <w:r>
              <w:rPr>
                <w:rFonts w:ascii="宋体" w:hAnsi="宋体" w:cs="宋体"/>
                <w:b/>
                <w:bCs/>
                <w:szCs w:val="21"/>
              </w:rPr>
              <w:t xml:space="preserve">工作频率范围：2400-2483MHz</w:t>
            </w:r>
            <w:r>
              <w:rPr>
                <w:rFonts w:hint="eastAsia" w:ascii="宋体" w:hAnsi="宋体" w:cs="宋体"/>
                <w:b/>
                <w:bCs/>
                <w:szCs w:val="21"/>
              </w:rPr>
              <w:t xml:space="preserve">；1.2喇叭天线</w:t>
            </w:r>
            <w:r>
              <w:rPr>
                <w:rFonts w:ascii="宋体" w:hAnsi="宋体" w:cs="宋体"/>
                <w:b/>
                <w:bCs/>
                <w:szCs w:val="21"/>
              </w:rPr>
              <w:t xml:space="preserve">工作频率：8-1</w:t>
            </w:r>
            <w:r>
              <w:rPr>
                <w:rFonts w:hint="eastAsia" w:ascii="宋体" w:hAnsi="宋体" w:cs="宋体"/>
                <w:b/>
                <w:bCs/>
                <w:szCs w:val="21"/>
              </w:rPr>
              <w:t xml:space="preserve">2</w:t>
            </w:r>
            <w:r>
              <w:rPr>
                <w:rFonts w:ascii="宋体" w:hAnsi="宋体" w:cs="宋体"/>
                <w:b/>
                <w:bCs/>
                <w:szCs w:val="21"/>
              </w:rPr>
              <w:t xml:space="preserve">GHz；</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27</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每套组件至少包含测试连接线缆（SMA公-SMA公连接线2根）、射频转接头（N公-SMA母头1只、N母-SMA母头1只）、</w:t>
            </w:r>
            <w:r>
              <w:rPr>
                <w:rFonts w:hint="eastAsia" w:cstheme="minorBidi"/>
              </w:rPr>
              <w:t xml:space="preserve">BNC接口连接线或</w:t>
            </w:r>
            <w:r>
              <w:rPr>
                <w:rFonts w:asciiTheme="minorHAnsi" w:hAnsiTheme="minorHAnsi" w:eastAsiaTheme="minorEastAsia" w:cstheme="minorBidi"/>
              </w:rPr>
              <w:t xml:space="preserve">航芯接口</w:t>
            </w:r>
            <w:r>
              <w:rPr>
                <w:rFonts w:hint="eastAsia" w:ascii="宋体" w:hAnsi="宋体" w:cs="宋体"/>
                <w:szCs w:val="21"/>
              </w:rPr>
              <w:t xml:space="preserve">连接线每套2根，SMA端（开路、短路、匹配）校准件1套；</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28</w:t>
            </w:r>
            <w:r/>
          </w:p>
        </w:tc>
        <w:tc>
          <w:tcPr>
            <w:tcMar>
              <w:left w:w="10" w:type="dxa"/>
              <w:top w:w="0" w:type="dxa"/>
              <w:right w:w="10" w:type="dxa"/>
              <w:bottom w:w="0" w:type="dxa"/>
            </w:tcMar>
            <w:tcW w:w="7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szCs w:val="21"/>
              </w:rPr>
              <w:t xml:space="preserve">（七）收发测试线缆</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1.工作频率：DC-18GHz；线缆衰减：≤0.5dB/m；阻抗：50Ω；SW</w:t>
            </w:r>
            <w:r>
              <w:rPr>
                <w:rFonts w:hint="eastAsia" w:ascii="宋体" w:hAnsi="宋体" w:cs="宋体"/>
                <w:color w:val="000000"/>
                <w:szCs w:val="21"/>
              </w:rPr>
              <w:t xml:space="preserve">R：≤1.2；</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29</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color w:val="000000"/>
                <w:szCs w:val="21"/>
              </w:rPr>
              <w:t xml:space="preserve">（八）电磁场电磁波实训模组</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rPr>
              <w:t xml:space="preserve">1.主控系统：至少含主控模块、电磁波模块、辐射特性模块、天线极化模块、场强测试模块、天线测试模块、信号分析模块、频谱测试模块、教学视频模块、虚拟仿真等实验模块功能，使学生一目了然便捷实验操作测试；</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30</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要求具有电磁波单元：将采集的实时数据形成时谐电磁场、波长、周期、电磁场方向、波速、波数、相互关系等图标说明和图示化显示以及公式关系；</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31</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要求具有天线测试单元：改变天线极化，接收电波传输信号采集进行数字化处理；同时具备两种天线方向图测试方式(功率测试法、电压测试法）；测试内容包含天线增益、方向性、方向图、主瓣、副瓣、波瓣宽度、H 面、 E 面、前后比等，测试数据在界面上绘制并图示化显示方向图等知识点；</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32</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eastAsia="宋体" w:cs="宋体"/>
                <w:szCs w:val="21"/>
                <w:lang w:eastAsia="zh-CN"/>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天线极化单元：具有矢量、电场强度矢量E、磁场强度矢量H、实验步骤、实验内容、极化方式、频率显示等图形图标知识点功能</w:t>
            </w:r>
            <w:r>
              <w:rPr>
                <w:rFonts w:hint="eastAsia" w:ascii="宋体" w:hAnsi="宋体" w:cs="宋体"/>
                <w:color w:val="000000"/>
                <w:szCs w:val="21"/>
                <w:lang w:eastAsia="zh-CN"/>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33</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发射机工作频率范围：超宽带50M-21GHz频率范围输出,频率步进≤10Hz，5档位功率数字调节，支持双通道输出，支持点频，线性调频，调频等多制式信号输出；</w:t>
            </w:r>
            <w:r>
              <w:rPr>
                <w:rFonts w:hint="eastAsia" w:ascii="宋体" w:hAnsi="宋体" w:cs="宋体"/>
                <w:b/>
                <w:bCs/>
                <w:color w:val="000000"/>
                <w:szCs w:val="21"/>
              </w:rPr>
              <w:t xml:space="preserve">（提供产品功能图片或</w:t>
            </w:r>
            <w:r>
              <w:rPr>
                <w:rFonts w:hint="eastAsia" w:ascii="宋体" w:hAnsi="宋体" w:cs="宋体"/>
                <w:b/>
                <w:bCs/>
                <w:szCs w:val="21"/>
              </w:rPr>
              <w:t xml:space="preserve">公开发行的产品彩页或产品说明书或第三方检测机构的检测报告或其他能够佐证该项技术功能的证明材料</w:t>
            </w:r>
            <w:r>
              <w:rPr>
                <w:rFonts w:hint="eastAsia" w:ascii="宋体" w:hAnsi="宋体" w:cs="宋体"/>
                <w:color w:val="000000"/>
                <w:szCs w:val="21"/>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34</w:t>
            </w:r>
            <w:r/>
          </w:p>
        </w:tc>
        <w:tc>
          <w:tcPr>
            <w:shd w:val="clear" w:color="auto" w:fill="auto"/>
            <w:tcMar>
              <w:left w:w="10" w:type="dxa"/>
              <w:top w:w="0" w:type="dxa"/>
              <w:right w:w="10" w:type="dxa"/>
              <w:bottom w:w="0" w:type="dxa"/>
            </w:tcMar>
            <w:tcW w:w="71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color w:val="000000"/>
                <w:szCs w:val="21"/>
              </w:rPr>
              <w:t xml:space="preserve">（九）数显双导轨测量平台</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rPr>
              <w:t xml:space="preserve">1.</w:t>
            </w:r>
            <w:r>
              <w:rPr>
                <w:rFonts w:hint="eastAsia" w:cstheme="minorBidi"/>
              </w:rPr>
              <w:t xml:space="preserve">轨道具备双向手动调节回调、双向移动距离LCD液晶显示，精度：≤0.01mm，同步跟踪测量位移距离；水平转动角度采用数字读取角度值；</w:t>
            </w:r>
            <w:r>
              <w:rPr>
                <w:rFonts w:hint="eastAsia" w:ascii="宋体" w:hAnsi="宋体" w:cs="宋体"/>
                <w:color w:val="000000"/>
                <w:szCs w:val="21"/>
              </w:rPr>
              <w:t xml:space="preserve">天线测量转动平台：具有水平、垂直、俯仰、轴比极化方式；</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35</w:t>
            </w:r>
            <w:r/>
          </w:p>
        </w:tc>
        <w:tc>
          <w:tcPr>
            <w:tcMar>
              <w:left w:w="10" w:type="dxa"/>
              <w:top w:w="0" w:type="dxa"/>
              <w:right w:w="10" w:type="dxa"/>
              <w:bottom w:w="0" w:type="dxa"/>
            </w:tcMar>
            <w:tcW w:w="7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color w:val="000000"/>
                <w:szCs w:val="21"/>
              </w:rPr>
              <w:t xml:space="preserve">（十）电磁场电磁波配件箱</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rPr>
              <w:t xml:space="preserve">1.配套信号、电源等线缆，满足系统功能运行要求；配套各类天线，测试支架，连接器等，满足各项试验开展要求；</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36</w:t>
            </w:r>
            <w:r/>
          </w:p>
        </w:tc>
        <w:tc>
          <w:tcPr>
            <w:tcMar>
              <w:left w:w="10" w:type="dxa"/>
              <w:top w:w="0" w:type="dxa"/>
              <w:right w:w="10" w:type="dxa"/>
              <w:bottom w:w="0" w:type="dxa"/>
            </w:tcMar>
            <w:tcW w:w="7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color w:val="000000"/>
                <w:szCs w:val="21"/>
              </w:rPr>
              <w:t xml:space="preserve">（十一）电磁波特性仿真软件</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rPr>
              <w:t xml:space="preserve">1.可产生水平极化波，垂直极化波，圆极化（左旋，右旋）极化波。频率，幅度，传输介质等参数均可设置；模拟电磁波在空间及其他介质内的传播特性：反射，驻波，干涉等特性；并且所有场景支持在服务端可控制开关,且可实时刷新；终端可自由选择开启的场景，并能实现一键式切换；可完成：线极化波传输虚拟仿真实验、圆极化波传输虚拟仿真实验、电磁波不同介质内传输特性的仿真实验、电磁波驻波特性仿真实验；</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37</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color w:val="000000"/>
                <w:szCs w:val="21"/>
              </w:rPr>
              <w:t xml:space="preserve">（十二）电磁波与场示教仿真软件</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eastAsia="宋体" w:cs="宋体"/>
                <w:szCs w:val="21"/>
                <w:lang w:eastAsia="zh-CN"/>
              </w:rPr>
            </w:pPr>
            <w:r>
              <w:rPr>
                <w:rFonts w:hint="eastAsia" w:ascii="宋体" w:hAnsi="宋体" w:cs="宋体"/>
                <w:color w:val="000000"/>
                <w:szCs w:val="21"/>
              </w:rPr>
              <w:t xml:space="preserve">1.需具有可对实验进行原生态虚拟化复刻，可视化展示电磁波极化、驻波、反射等传播规律，直观展现电磁波在传输线内部的传播特性，传输线结构具有可视化展示。支持远程登录或本地端登录使用，完成在线参数配置、在线测试，具有实验数据、测试曲线保存及电子报告上传；需不少于30个虚拟设备在线实验操作</w:t>
            </w:r>
            <w:r>
              <w:rPr>
                <w:rFonts w:hint="eastAsia" w:ascii="宋体" w:hAnsi="宋体" w:cs="宋体"/>
                <w:color w:val="000000"/>
                <w:szCs w:val="21"/>
                <w:lang w:eastAsia="zh-CN"/>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38</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eastAsia="宋体" w:cs="宋体"/>
                <w:szCs w:val="21"/>
                <w:lang w:eastAsia="zh-CN"/>
              </w:rPr>
            </w:pPr>
            <w:r>
              <w:rPr>
                <w:rFonts w:hint="eastAsia" w:ascii="宋体" w:hAnsi="宋体" w:cs="宋体"/>
                <w:color w:val="000000"/>
                <w:szCs w:val="21"/>
              </w:rPr>
              <w:t xml:space="preserve">2.软件可支撑实验教学内容包含：位移电流测试、电波极化分析、半波振子天线设计、电磁感应定律验证、传输线电波传输特性测试、电磁波反射特性测试、（开路、短路、匹配）三种电磁波驻波特性测试，覆盖电磁场与电磁波核心教学实验项目</w:t>
            </w:r>
            <w:r>
              <w:rPr>
                <w:rFonts w:hint="eastAsia" w:ascii="宋体" w:hAnsi="宋体" w:cs="宋体"/>
                <w:color w:val="000000"/>
                <w:szCs w:val="21"/>
                <w:lang w:eastAsia="zh-CN"/>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39</w:t>
            </w:r>
            <w:r/>
          </w:p>
        </w:tc>
        <w:tc>
          <w:tcPr>
            <w:tcMar>
              <w:left w:w="10" w:type="dxa"/>
              <w:top w:w="0" w:type="dxa"/>
              <w:right w:w="10" w:type="dxa"/>
              <w:bottom w:w="0" w:type="dxa"/>
            </w:tcMar>
            <w:tcW w:w="712" w:type="pct"/>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第四章  采购需求</w:t>
            </w:r>
            <w:r>
              <w:rPr>
                <w:rFonts w:hint="eastAsia" w:ascii="宋体" w:hAnsi="宋体" w:cs="宋体"/>
                <w:szCs w:val="21"/>
                <w:lang w:eastAsia="zh-CN"/>
              </w:rPr>
              <w:t xml:space="preserve">，</w:t>
            </w:r>
            <w:r>
              <w:rPr>
                <w:rFonts w:hint="eastAsia" w:ascii="宋体" w:hAnsi="宋体" w:cs="宋体"/>
                <w:sz w:val="21"/>
                <w:szCs w:val="21"/>
              </w:rPr>
              <w:t xml:space="preserve">技术指标及要求</w:t>
            </w:r>
            <w:r>
              <w:rPr>
                <w:rFonts w:hint="eastAsia" w:ascii="宋体" w:hAnsi="宋体" w:cs="宋体"/>
                <w:sz w:val="21"/>
                <w:szCs w:val="21"/>
                <w:lang w:eastAsia="zh-CN"/>
              </w:rPr>
              <w:t xml:space="preserve">，</w:t>
            </w:r>
            <w:r>
              <w:rPr>
                <w:rFonts w:hint="eastAsia" w:ascii="宋体" w:hAnsi="宋体" w:cs="宋体"/>
                <w:b/>
                <w:bCs/>
                <w:color w:val="000000"/>
                <w:szCs w:val="21"/>
              </w:rPr>
              <w:t xml:space="preserve">（十三）电波暗室天线方向图测试仿真系统</w:t>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color w:val="000000"/>
                <w:szCs w:val="21"/>
              </w:rPr>
              <w:t xml:space="preserve">1.基于UNITY 3D平台及3D虚拟仿真技术，具有形象直观的电磁波暗室测试环境，进入电磁波暗室测试环境搭建：暗室供电、电磁波极化选择（E面、H面）、天线选取、天线收发架设、收发装置调节、仪表</w:t>
            </w:r>
            <w:r>
              <w:rPr>
                <w:rFonts w:hint="eastAsia" w:ascii="宋体" w:hAnsi="宋体" w:cs="宋体"/>
                <w:color w:val="000000"/>
                <w:szCs w:val="21"/>
              </w:rPr>
              <w:t xml:space="preserve">信号源设置、暗室门开关、电波传播可视、天线方向图测试、电波传播可视化同步显示、天线接收频谱测试等操作实验环节。具有实验登录、实验操作、实验考核、成绩打分、成绩提交等多项功能。考核学生对于：电磁波传输，干涉特性，天线结构，电磁波极化，频谱测试，S、C、X波段多种天线方向图测试等多个知识点的掌握。实验考核系统须包括对每个实验步骤操作的具体评分，应当包括但不限于以下内容：实验室环境的搭建、被测天线的选取、线缆的连接、信号源及频谱仪的规范操作，多种天线方向图的生成、实验结束后关闭电源及拆卸电缆的步骤等进行分项评分；</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40</w:t>
            </w:r>
            <w:r/>
          </w:p>
        </w:tc>
        <w:tc>
          <w:tcPr>
            <w:tcMar>
              <w:left w:w="10" w:type="dxa"/>
              <w:top w:w="0" w:type="dxa"/>
              <w:right w:w="10" w:type="dxa"/>
              <w:bottom w:w="0" w:type="dxa"/>
            </w:tcMar>
            <w:tcW w:w="712" w:type="pct"/>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72" w:type="pct"/>
            <w:vAlign w:val="center"/>
            <w:textDirection w:val="lrTb"/>
            <w:noWrap w:val="false"/>
          </w:tcPr>
          <w:p>
            <w:pPr>
              <w:jc w:val="left"/>
              <w:spacing w:line="360" w:lineRule="auto"/>
              <w:widowControl/>
              <w:rPr>
                <w:rFonts w:hint="eastAsia" w:ascii="宋体" w:hAnsi="宋体" w:eastAsia="宋体" w:cs="宋体"/>
                <w:szCs w:val="21"/>
                <w:lang w:eastAsia="zh-CN"/>
              </w:rPr>
            </w:pPr>
            <w:r>
              <w:rPr>
                <w:rFonts w:hint="eastAsia" w:ascii="宋体" w:hAnsi="宋体" w:cs="宋体"/>
                <w:color w:val="000000"/>
                <w:szCs w:val="21"/>
              </w:rPr>
              <w:t xml:space="preserve">2.需支撑电波暗室天线系列虚拟仿真教学实验，涵盖：电磁波测试环境认知与演示、电磁波传播特性虚拟仿真、X波段喇叭天线方向图测试、全向半波振子天线设计虚拟仿真、八木振子天线设计虚拟仿真、电磁波极化特性虚拟仿真、全向天线方向图测试、电磁波接收频谱测试与数据分析、八木天线方向图性能测试，同时支持实验仪表参数配置与接收频谱实时显示分析</w:t>
            </w:r>
            <w:r>
              <w:rPr>
                <w:rFonts w:hint="eastAsia" w:ascii="宋体" w:hAnsi="宋体" w:cs="宋体"/>
                <w:color w:val="000000"/>
                <w:szCs w:val="21"/>
                <w:lang w:eastAsia="zh-CN"/>
              </w:rPr>
              <w:t xml:space="preserve">。</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1161"/>
        </w:trPr>
        <w:tc>
          <w:tcPr>
            <w:tcMar>
              <w:left w:w="10" w:type="dxa"/>
              <w:top w:w="0" w:type="dxa"/>
              <w:right w:w="10" w:type="dxa"/>
              <w:bottom w:w="0" w:type="dxa"/>
            </w:tcMar>
            <w:tcW w:w="20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val="en-US" w:eastAsia="zh-CN"/>
              </w:rPr>
              <w:t xml:space="preserve">41</w:t>
            </w:r>
            <w:r/>
          </w:p>
        </w:tc>
        <w:tc>
          <w:tcPr>
            <w:gridSpan w:val="2"/>
            <w:tcMar>
              <w:left w:w="10" w:type="dxa"/>
              <w:top w:w="0" w:type="dxa"/>
              <w:right w:w="10" w:type="dxa"/>
              <w:bottom w:w="0" w:type="dxa"/>
            </w:tcMar>
            <w:tcW w:w="368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27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296"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无偏离</w:t>
            </w:r>
            <w:r/>
          </w:p>
        </w:tc>
        <w:tc>
          <w:tcPr>
            <w:tcMar>
              <w:left w:w="10" w:type="dxa"/>
              <w:top w:w="0" w:type="dxa"/>
              <w:right w:w="10" w:type="dxa"/>
              <w:bottom w:w="0" w:type="dxa"/>
            </w:tcMar>
            <w:tcW w:w="530" w:type="pct"/>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如文件中要求提供证明材料，建议采用页码、箭头、标红、下划线或页码等进行明显标注，方便评委查看。</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br w:type="page" w:clear="all"/>
      </w:r>
      <w:r/>
    </w:p>
    <w:p>
      <w:pPr>
        <w:spacing w:line="360" w:lineRule="auto"/>
        <w:widowControl/>
        <w:rPr>
          <w:rFonts w:hint="eastAsia" w:ascii="宋体" w:hAnsi="宋体" w:cs="宋体"/>
          <w:b/>
          <w:bCs/>
          <w:szCs w:val="21"/>
        </w:rPr>
      </w:pPr>
      <w:r>
        <w:rPr>
          <w:rFonts w:hint="eastAsia" w:ascii="宋体" w:hAnsi="宋体" w:cs="宋体"/>
          <w:b/>
          <w:bCs/>
          <w:szCs w:val="21"/>
        </w:rPr>
        <w:t xml:space="preserve">附件六、商务条款偏离表格式</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商务条款偏离表</w:t>
      </w:r>
      <w:r/>
    </w:p>
    <w:tbl>
      <w:tblPr>
        <w:tblStyle w:val="104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附件七、方案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228"/>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1228"/>
        <w:ind w:firstLine="420"/>
        <w:spacing w:before="0" w:after="0"/>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相关内容请在苏采云平台对应模块填写！</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bCs/>
          <w:szCs w:val="21"/>
        </w:rPr>
      </w:pPr>
      <w:r>
        <w:rPr>
          <w:rFonts w:hint="eastAsia" w:ascii="宋体" w:hAnsi="宋体" w:cs="宋体"/>
          <w:b/>
          <w:bCs/>
          <w:szCs w:val="21"/>
        </w:rPr>
        <w:t xml:space="preserve">附件八、拟参与本项目服务人员一览表</w:t>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拟参与本项目服务人员一览表</w:t>
      </w:r>
      <w:r/>
    </w:p>
    <w:tbl>
      <w:tblPr>
        <w:tblStyle w:val="104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执业</w:t>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Cs w:val="21"/>
        </w:rPr>
      </w:pPr>
      <w:r>
        <w:rPr>
          <w:rFonts w:hint="eastAsia" w:ascii="宋体" w:hAnsi="宋体" w:cs="宋体"/>
          <w:b/>
          <w:bCs/>
          <w:sz w:val="24"/>
        </w:rPr>
        <w:br w:type="page" w:clear="all"/>
      </w:r>
      <w:r>
        <w:rPr>
          <w:rFonts w:hint="eastAsia" w:ascii="宋体" w:hAnsi="宋体" w:cs="宋体"/>
          <w:b/>
          <w:bCs/>
          <w:szCs w:val="21"/>
        </w:rPr>
        <w:t xml:space="preserve">附件九、供应商类似业绩情况表</w:t>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供应商类似业绩情况表</w:t>
      </w:r>
      <w:r/>
    </w:p>
    <w:tbl>
      <w:tblPr>
        <w:tblStyle w:val="104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签约及服务</w:t>
            </w:r>
            <w:r/>
          </w:p>
          <w:p>
            <w:pPr>
              <w:jc w:val="center"/>
              <w:spacing w:line="360" w:lineRule="auto"/>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szCs w:val="21"/>
          <w:u w:val="single"/>
        </w:rPr>
        <w:br w:type="page" w:clear="all"/>
      </w:r>
      <w:r>
        <w:rPr>
          <w:rFonts w:hint="eastAsia" w:ascii="宋体" w:hAnsi="宋体" w:cs="宋体"/>
          <w:b/>
          <w:bCs/>
          <w:szCs w:val="21"/>
        </w:rPr>
        <w:t xml:space="preserve">附件十、企业声明函格式</w:t>
      </w:r>
      <w:r/>
    </w:p>
    <w:p>
      <w:pPr>
        <w:jc w:val="center"/>
        <w:spacing w:line="360" w:lineRule="auto"/>
        <w:rPr>
          <w:rFonts w:hint="eastAsia" w:ascii="宋体" w:hAnsi="宋体" w:cs="宋体"/>
          <w:b/>
          <w:bCs/>
          <w:szCs w:val="21"/>
        </w:rPr>
      </w:pPr>
      <w:r>
        <w:rPr>
          <w:rFonts w:hint="eastAsia" w:ascii="宋体" w:hAnsi="宋体" w:cs="宋体"/>
          <w:b/>
          <w:bCs/>
          <w:szCs w:val="21"/>
        </w:rPr>
        <w:t xml:space="preserve">中小企业声明函（货物）</w:t>
      </w:r>
      <w:r/>
    </w:p>
    <w:p>
      <w:pPr>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南京工业职业技术大学</w:t>
      </w:r>
      <w:r>
        <w:rPr>
          <w:rFonts w:hint="eastAsia" w:ascii="宋体" w:hAnsi="宋体" w:cs="宋体"/>
          <w:szCs w:val="21"/>
        </w:rPr>
        <w:t xml:space="preserve">的</w:t>
      </w:r>
      <w:r>
        <w:rPr>
          <w:rFonts w:hint="eastAsia" w:ascii="宋体" w:hAnsi="宋体" w:cs="宋体"/>
          <w:szCs w:val="21"/>
          <w:u w:val="single"/>
        </w:rPr>
        <w:t xml:space="preserve">微波通信综合实验平台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ab/>
      </w:r>
      <w:r>
        <w:rPr>
          <w:rFonts w:hint="eastAsia" w:ascii="宋体" w:hAnsi="宋体" w:cs="宋体"/>
          <w:szCs w:val="21"/>
        </w:rPr>
        <w:t xml:space="preserve">人，营业收入为</w:t>
      </w:r>
      <w:r>
        <w:rPr>
          <w:rFonts w:hint="eastAsia" w:ascii="宋体" w:hAnsi="宋体" w:cs="宋体"/>
          <w:szCs w:val="21"/>
          <w:u w:val="single"/>
        </w:rPr>
        <w:tab/>
      </w:r>
      <w:r>
        <w:rPr>
          <w:rFonts w:hint="eastAsia" w:ascii="宋体" w:hAnsi="宋体" w:cs="宋体"/>
          <w:szCs w:val="21"/>
        </w:rPr>
        <w:t xml:space="preserve">万元，资产总额为</w:t>
      </w:r>
      <w:r>
        <w:rPr>
          <w:rFonts w:hint="eastAsia" w:ascii="宋体" w:hAnsi="宋体" w:cs="宋体"/>
          <w:szCs w:val="21"/>
          <w:u w:val="single"/>
        </w:rPr>
        <w:tab/>
      </w:r>
      <w:r>
        <w:rPr>
          <w:rFonts w:hint="eastAsia" w:ascii="宋体" w:hAnsi="宋体" w:cs="宋体"/>
          <w:szCs w:val="21"/>
        </w:rPr>
        <w:t xml:space="preserve">万元，属于（中型企业、小型企业、微型企业）；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ab/>
      </w:r>
      <w:r>
        <w:rPr>
          <w:rFonts w:hint="eastAsia" w:ascii="宋体" w:hAnsi="宋体" w:cs="宋体"/>
          <w:szCs w:val="21"/>
        </w:rPr>
        <w:t xml:space="preserve">人，营业收入为</w:t>
      </w:r>
      <w:r>
        <w:rPr>
          <w:rFonts w:hint="eastAsia" w:ascii="宋体" w:hAnsi="宋体" w:cs="宋体"/>
          <w:szCs w:val="21"/>
          <w:u w:val="single"/>
        </w:rPr>
        <w:tab/>
      </w:r>
      <w:r>
        <w:rPr>
          <w:rFonts w:hint="eastAsia" w:ascii="宋体" w:hAnsi="宋体" w:cs="宋体"/>
          <w:szCs w:val="21"/>
        </w:rPr>
        <w:t xml:space="preserve">万元，资产总额为</w:t>
      </w:r>
      <w:r>
        <w:rPr>
          <w:rFonts w:hint="eastAsia" w:ascii="宋体" w:hAnsi="宋体" w:cs="宋体"/>
          <w:szCs w:val="21"/>
          <w:u w:val="single"/>
        </w:rPr>
        <w:tab/>
      </w:r>
      <w:r>
        <w:rPr>
          <w:rFonts w:hint="eastAsia" w:ascii="宋体" w:hAnsi="宋体" w:cs="宋体"/>
          <w:szCs w:val="21"/>
        </w:rPr>
        <w:t xml:space="preserve">万元，属于（中型企业、小型企业、微型企业）；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jc w:val="right"/>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ind w:firstLine="360"/>
        <w:keepLines/>
        <w:keepNext/>
        <w:spacing w:line="360" w:lineRule="auto"/>
        <w:rPr>
          <w:rFonts w:hint="eastAsia" w:ascii="宋体" w:hAnsi="宋体" w:cs="宋体"/>
          <w:sz w:val="18"/>
          <w:szCs w:val="18"/>
        </w:rPr>
      </w:pPr>
      <w:r>
        <w:rPr>
          <w:rFonts w:hint="eastAsia" w:ascii="宋体" w:hAnsi="宋体" w:cs="宋体"/>
          <w:sz w:val="18"/>
          <w:szCs w:val="18"/>
        </w:rPr>
        <w:t xml:space="preserve">备注：</w:t>
      </w:r>
      <w:r/>
    </w:p>
    <w:p>
      <w:pPr>
        <w:ind w:firstLine="360"/>
        <w:keepLines/>
        <w:keepNext/>
        <w:spacing w:line="360" w:lineRule="auto"/>
        <w:rPr>
          <w:rFonts w:hint="eastAsia" w:ascii="宋体" w:hAnsi="宋体" w:cs="宋体"/>
          <w:sz w:val="18"/>
          <w:szCs w:val="18"/>
        </w:rPr>
      </w:pPr>
      <w:r>
        <w:rPr>
          <w:rFonts w:hint="eastAsia" w:ascii="宋体" w:hAnsi="宋体" w:cs="宋体"/>
          <w:sz w:val="18"/>
          <w:szCs w:val="18"/>
        </w:rPr>
        <w:t xml:space="preserve">1.从业人员、营业收入、资产总额填报上一年度数据，无上一年度数据的新成立企业可不填报。</w:t>
      </w:r>
      <w:r/>
    </w:p>
    <w:p>
      <w:pPr>
        <w:ind w:firstLine="360"/>
        <w:keepLines/>
        <w:keepNext/>
        <w:spacing w:line="360" w:lineRule="auto"/>
        <w:rPr>
          <w:rFonts w:hint="eastAsia" w:ascii="宋体" w:hAnsi="宋体" w:cs="宋体"/>
          <w:b/>
          <w:bCs/>
          <w:sz w:val="18"/>
          <w:szCs w:val="18"/>
        </w:rPr>
      </w:pPr>
      <w:r>
        <w:rPr>
          <w:rFonts w:hint="eastAsia" w:ascii="宋体" w:hAnsi="宋体" w:cs="宋体"/>
          <w:sz w:val="18"/>
          <w:szCs w:val="18"/>
        </w:rPr>
        <w:t xml:space="preserve">2.在货物采购项目中，货物由中小企业制造，即货物由中小企业生产且使用该中小企业商号或者注册商标。</w:t>
      </w:r>
      <w:r>
        <w:rPr>
          <w:rFonts w:hint="eastAsia" w:ascii="宋体" w:hAnsi="宋体" w:cs="宋体"/>
          <w:b/>
          <w:bCs/>
          <w:sz w:val="18"/>
          <w:szCs w:val="18"/>
        </w:rPr>
        <w:t xml:space="preserve">供应商提供的货物既有中小企业制造货物，也有大型企业制造货物的，不享受相应扶持政策。</w:t>
      </w:r>
      <w:r/>
    </w:p>
    <w:p>
      <w:pPr>
        <w:ind w:firstLine="360"/>
        <w:keepLines/>
        <w:keepNext/>
        <w:spacing w:line="360" w:lineRule="auto"/>
        <w:rPr>
          <w:rFonts w:hint="eastAsia" w:ascii="宋体" w:hAnsi="宋体" w:cs="宋体"/>
          <w:b/>
          <w:bCs/>
          <w:sz w:val="18"/>
          <w:szCs w:val="18"/>
        </w:rPr>
      </w:pPr>
      <w:r>
        <w:rPr>
          <w:rFonts w:hint="eastAsia" w:ascii="宋体" w:hAnsi="宋体" w:cs="宋体"/>
          <w:sz w:val="18"/>
          <w:szCs w:val="18"/>
        </w:rPr>
        <w:t xml:space="preserve">3.《中小企业声明函》中所填的行业应与本采购标的对应的中小企业划分标准所属行业一致，不一致的不可享受相应政策优惠。</w:t>
      </w:r>
      <w:r>
        <w:rPr>
          <w:rFonts w:hint="eastAsia" w:ascii="宋体" w:hAnsi="宋体" w:cs="宋体"/>
          <w:b/>
          <w:bCs/>
          <w:sz w:val="18"/>
          <w:szCs w:val="18"/>
        </w:rPr>
        <w:t xml:space="preserve">本采购标的对应的中小企业划分标准所属行业，以招标文件中具体规定为准。</w:t>
      </w:r>
      <w:r/>
    </w:p>
    <w:p>
      <w:pPr>
        <w:ind w:firstLine="361"/>
        <w:keepLines/>
        <w:keepNext/>
        <w:spacing w:line="360" w:lineRule="auto"/>
        <w:rPr>
          <w:rFonts w:hint="eastAsia" w:ascii="宋体" w:hAnsi="宋体" w:cs="宋体"/>
          <w:b/>
          <w:bCs/>
          <w:sz w:val="18"/>
          <w:szCs w:val="18"/>
        </w:rPr>
      </w:pPr>
      <w:r>
        <w:rPr>
          <w:rFonts w:hint="eastAsia" w:ascii="宋体" w:hAnsi="宋体" w:cs="宋体"/>
          <w:b/>
          <w:bCs/>
          <w:sz w:val="18"/>
          <w:szCs w:val="18"/>
        </w:rPr>
        <w:t xml:space="preserve">4.如未对（中型企业、小型企业、微型企业）进行填写，视同非中小微企业，不可享受相应扶持政策。</w:t>
      </w:r>
      <w:r/>
    </w:p>
    <w:p>
      <w:pPr>
        <w:ind w:firstLine="360"/>
        <w:spacing w:line="360" w:lineRule="auto"/>
        <w:rPr>
          <w:rFonts w:hint="eastAsia" w:ascii="宋体" w:hAnsi="宋体" w:cs="宋体"/>
          <w:sz w:val="18"/>
          <w:szCs w:val="18"/>
          <w:lang w:val="zh-CN"/>
        </w:rPr>
      </w:pPr>
      <w:r>
        <w:rPr>
          <w:rFonts w:hint="eastAsia" w:ascii="宋体" w:hAnsi="宋体" w:cs="宋体"/>
          <w:sz w:val="18"/>
          <w:szCs w:val="18"/>
        </w:rPr>
        <w:t xml:space="preserve">5.中标单位为中小企业的，《中小企业声明函》将随中标结果同时公告</w:t>
      </w:r>
      <w:r>
        <w:rPr>
          <w:rFonts w:hint="eastAsia" w:ascii="宋体" w:hAnsi="宋体" w:cs="宋体"/>
          <w:sz w:val="18"/>
          <w:szCs w:val="18"/>
          <w:lang w:val="zh-CN"/>
        </w:rPr>
        <w:t xml:space="preserve">。</w:t>
      </w:r>
      <w:r/>
    </w:p>
    <w:p>
      <w:pPr>
        <w:ind w:firstLine="361"/>
        <w:spacing w:line="360" w:lineRule="auto"/>
        <w:rPr>
          <w:rFonts w:hint="eastAsia" w:ascii="宋体" w:hAnsi="宋体" w:cs="宋体"/>
          <w:b/>
          <w:sz w:val="18"/>
          <w:szCs w:val="21"/>
        </w:rPr>
      </w:pPr>
      <w:r>
        <w:rPr>
          <w:rFonts w:hint="eastAsia" w:ascii="宋体" w:hAnsi="宋体" w:cs="宋体"/>
          <w:b/>
          <w:bCs/>
          <w:sz w:val="18"/>
          <w:szCs w:val="18"/>
        </w:rPr>
        <w:t xml:space="preserve">6.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361"/>
        <w:spacing w:line="360" w:lineRule="auto"/>
        <w:rPr>
          <w:rFonts w:cs="宋体"/>
          <w:b/>
          <w:bCs/>
          <w:sz w:val="18"/>
          <w:szCs w:val="18"/>
        </w:rPr>
      </w:pPr>
      <w:r>
        <w:rPr>
          <w:rFonts w:hint="eastAsia" w:cs="宋体"/>
          <w:b/>
          <w:bCs/>
          <w:sz w:val="18"/>
          <w:szCs w:val="18"/>
        </w:rPr>
        <w:t xml:space="preserve">7.工业划分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360" w:lineRule="auto"/>
        <w:rPr>
          <w:rFonts w:cs="宋体"/>
          <w:b/>
          <w:bCs/>
          <w:sz w:val="18"/>
          <w:szCs w:val="18"/>
        </w:rPr>
      </w:pPr>
      <w:r>
        <w:rPr>
          <w:rFonts w:hint="eastAsia" w:cs="宋体"/>
          <w:b/>
          <w:bCs/>
          <w:sz w:val="18"/>
          <w:szCs w:val="18"/>
        </w:rPr>
        <w:t xml:space="preserve">8.如可以享受中小企业政策的供应商，按照如上声明函的格式如实填写，对照采购清单内的每一项和采购文件明确的采购标的所属行业逐项填报</w:t>
      </w:r>
      <w:r>
        <w:rPr>
          <w:rFonts w:hint="eastAsia" w:cs="宋体"/>
          <w:b/>
          <w:bCs/>
          <w:sz w:val="18"/>
          <w:szCs w:val="18"/>
          <w:highlight w:val="red"/>
        </w:rPr>
        <w:t xml:space="preserve">每一种货物</w:t>
      </w:r>
      <w:r>
        <w:rPr>
          <w:rFonts w:hint="eastAsia" w:cs="宋体"/>
          <w:b/>
          <w:bCs/>
          <w:sz w:val="18"/>
          <w:szCs w:val="18"/>
        </w:rPr>
        <w:t xml:space="preserve">的制造商信息。如缺任意一项报价将不参与优惠。</w:t>
      </w:r>
      <w:r/>
    </w:p>
    <w:p>
      <w:pPr>
        <w:spacing w:line="360" w:lineRule="auto"/>
        <w:rPr>
          <w:rFonts w:hint="eastAsia" w:ascii="宋体" w:hAnsi="宋体" w:cs="宋体"/>
          <w:b/>
          <w:szCs w:val="21"/>
        </w:rPr>
      </w:pPr>
      <w:r>
        <w:rPr>
          <w:rFonts w:hint="eastAsia" w:ascii="宋体" w:hAnsi="宋体" w:cs="宋体"/>
          <w:b/>
          <w:szCs w:val="21"/>
        </w:rPr>
        <w:br w:type="page" w:clear="all"/>
      </w:r>
      <w:r/>
    </w:p>
    <w:p>
      <w:pPr>
        <w:jc w:val="center"/>
        <w:spacing w:line="360" w:lineRule="auto"/>
        <w:rPr>
          <w:rFonts w:hint="eastAsia" w:ascii="宋体" w:hAnsi="宋体" w:cs="宋体"/>
          <w:b/>
          <w:bCs/>
          <w:szCs w:val="21"/>
        </w:rPr>
      </w:pPr>
      <w:r>
        <w:rPr>
          <w:rFonts w:hint="eastAsia" w:ascii="宋体" w:hAnsi="宋体" w:cs="宋体"/>
          <w:b/>
          <w:bCs/>
          <w:szCs w:val="21"/>
        </w:rPr>
        <w:t xml:space="preserve">关于符合本国产品标准的声明函</w:t>
      </w:r>
      <w:r/>
    </w:p>
    <w:p>
      <w:pPr>
        <w:pStyle w:val="1074"/>
        <w:ind w:firstLine="420"/>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4"/>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1084"/>
          <w:rFonts w:hint="eastAsia"/>
          <w:color w:val="000000" w:themeColor="text1"/>
          <w:sz w:val="21"/>
          <w:szCs w:val="21"/>
          <w:u w:val="single"/>
          <w:shd w:val="clear" w:color="auto" w:fill="ffffff"/>
          <w14:textFill>
            <w14:solidFill>
              <w14:schemeClr w14:val="tx1"/>
            </w14:solidFill>
          </w14:textFill>
        </w:rPr>
        <w:t xml:space="preserve">（产品名称1）</w:t>
      </w:r>
      <w:r>
        <w:rPr>
          <w:rStyle w:val="1084"/>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1084"/>
          <w:rFonts w:hint="eastAsia"/>
          <w:color w:val="000000" w:themeColor="text1"/>
          <w:sz w:val="21"/>
          <w:szCs w:val="21"/>
          <w:u w:val="single"/>
          <w:shd w:val="clear" w:color="auto" w:fill="ffffff"/>
          <w14:textFill>
            <w14:solidFill>
              <w14:schemeClr w14:val="tx1"/>
            </w14:solidFill>
          </w14:textFill>
        </w:rPr>
        <w:t xml:space="preserve">（厂名）</w:t>
      </w:r>
      <w:r>
        <w:rPr>
          <w:rStyle w:val="1084"/>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1084"/>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74"/>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1084"/>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1084"/>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84"/>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74"/>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1074"/>
        <w:ind w:firstLine="420"/>
        <w:spacing w:before="30" w:beforeAutospacing="0" w:after="3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74"/>
        <w:ind w:firstLine="420"/>
        <w:jc w:val="both"/>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1074"/>
        <w:ind w:firstLine="420"/>
        <w:jc w:val="right"/>
        <w:spacing w:before="0" w:beforeAutospacing="0" w:after="0" w:afterAutospacing="0" w:line="360" w:lineRule="auto"/>
        <w:shd w:val="clear" w:color="auto" w:fill="ffffff"/>
        <w:rPr>
          <w:rFonts w:hint="eastAsia"/>
          <w:color w:val="333333"/>
          <w:sz w:val="21"/>
          <w:szCs w:val="21"/>
        </w:rPr>
      </w:pPr>
      <w:r>
        <w:rPr>
          <w:rFonts w:hint="eastAsia"/>
          <w:sz w:val="21"/>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1074"/>
        <w:ind w:firstLine="420"/>
        <w:jc w:val="right"/>
        <w:spacing w:before="0" w:beforeAutospacing="0" w:after="0"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                                        日期：　　　年　　月　日</w:t>
      </w:r>
      <w:r/>
    </w:p>
    <w:p>
      <w:pPr>
        <w:pStyle w:val="1074"/>
        <w:ind w:firstLine="420"/>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r>
      <w:r/>
    </w:p>
    <w:p>
      <w:pPr>
        <w:pStyle w:val="1074"/>
        <w:ind w:firstLine="420"/>
        <w:spacing w:before="0" w:beforeAutospacing="0" w:after="0" w:afterAutospacing="0" w:line="360" w:lineRule="auto"/>
        <w:shd w:val="clear" w:color="auto" w:fill="ffffff"/>
        <w:rPr>
          <w:rFonts w:hint="eastAsia"/>
          <w:color w:val="333333"/>
          <w:sz w:val="21"/>
          <w:szCs w:val="21"/>
          <w:shd w:val="clear" w:color="auto" w:fill="ffffff"/>
        </w:rPr>
      </w:pPr>
      <w:r>
        <w:rPr>
          <w:rFonts w:hint="eastAsia"/>
          <w:color w:val="333333"/>
          <w:sz w:val="21"/>
          <w:szCs w:val="21"/>
          <w:shd w:val="clear" w:color="auto" w:fill="ffffff"/>
        </w:rPr>
        <w:t xml:space="preserve">备注：</w:t>
      </w:r>
      <w:r/>
    </w:p>
    <w:p>
      <w:pPr>
        <w:pStyle w:val="1074"/>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074"/>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074"/>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74"/>
        <w:ind w:firstLine="420"/>
        <w:jc w:val="both"/>
        <w:spacing w:before="0" w:beforeAutospacing="0" w:after="0" w:afterAutospacing="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074"/>
        <w:ind w:firstLine="420"/>
        <w:jc w:val="both"/>
        <w:spacing w:before="0" w:beforeAutospacing="0" w:after="0" w:afterAutospacing="0" w:line="360" w:lineRule="auto"/>
        <w:rPr>
          <w:rFonts w:hint="eastAsia"/>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1074"/>
        <w:ind w:firstLine="420"/>
        <w:jc w:val="both"/>
        <w:spacing w:before="0" w:beforeAutospacing="0" w:after="0" w:afterAutospacing="0" w:line="360" w:lineRule="auto"/>
        <w:rPr>
          <w:rFonts w:hint="eastAsia"/>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108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Fonts w:hint="eastAsia" w:ascii="宋体" w:hAnsi="宋体" w:cs="宋体"/>
          <w:b/>
          <w:szCs w:val="21"/>
        </w:rPr>
      </w:pPr>
      <w:r>
        <w:rPr>
          <w:rFonts w:hint="eastAsia" w:ascii="宋体" w:hAnsi="宋体" w:cs="宋体"/>
          <w:b/>
          <w:bCs/>
          <w:sz w:val="28"/>
        </w:rPr>
        <w:br w:type="page" w:clear="all"/>
      </w:r>
      <w:r>
        <w:rPr>
          <w:rFonts w:hint="eastAsia" w:ascii="宋体" w:hAnsi="宋体" w:cs="宋体"/>
          <w:b/>
          <w:bCs/>
          <w:szCs w:val="21"/>
        </w:rPr>
        <w:t xml:space="preserve">产品成本占比承诺函</w:t>
      </w:r>
      <w:r>
        <w:rPr>
          <w:rFonts w:hint="eastAsia" w:ascii="宋体" w:hAnsi="宋体" w:cs="宋体"/>
          <w:b/>
          <w:szCs w:val="21"/>
        </w:rPr>
        <w:t xml:space="preserve">（如适用） </w:t>
      </w:r>
      <w:r/>
    </w:p>
    <w:p>
      <w:pPr>
        <w:jc w:val="center"/>
        <w:spacing w:line="360" w:lineRule="auto"/>
        <w:rPr>
          <w:rStyle w:val="1081"/>
          <w:rFonts w:hint="eastAsia" w:ascii="宋体" w:hAnsi="宋体" w:cs="宋体"/>
          <w:bCs/>
          <w:sz w:val="18"/>
          <w:szCs w:val="18"/>
        </w:rPr>
      </w:pPr>
      <w:r>
        <w:rPr>
          <w:rFonts w:hint="eastAsia" w:ascii="宋体" w:hAnsi="宋体" w:cs="宋体"/>
          <w:b/>
          <w:bCs/>
          <w:sz w:val="18"/>
          <w:szCs w:val="18"/>
        </w:rPr>
        <w:t xml:space="preserve">（适用于采购项目或者采购包中含有多种产品时，不提供或者提供声明的比例达不到要求时，不享受价格扣除） </w:t>
      </w:r>
      <w:r/>
    </w:p>
    <w:p>
      <w:pPr>
        <w:ind w:firstLine="420"/>
        <w:jc w:val="left"/>
        <w:spacing w:line="360" w:lineRule="auto"/>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74"/>
        <w:jc w:val="right"/>
        <w:spacing w:before="0" w:beforeAutospacing="0" w:after="0" w:afterAutospacing="0" w:line="360" w:lineRule="auto"/>
        <w:shd w:val="clear" w:color="auto" w:fill="ffffff"/>
        <w:rPr>
          <w:rFonts w:hint="eastAsia"/>
          <w:color w:val="333333"/>
          <w:sz w:val="21"/>
          <w:szCs w:val="21"/>
        </w:rPr>
      </w:pPr>
      <w:r>
        <w:rPr>
          <w:rFonts w:hint="eastAsia"/>
          <w:sz w:val="21"/>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spacing w:line="360" w:lineRule="auto"/>
        <w:rPr>
          <w:rFonts w:hint="eastAsia"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hint="eastAsia"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hint="eastAsia"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hint="eastAsia" w:ascii="宋体" w:hAnsi="宋体" w:cs="宋体"/>
          <w:b/>
          <w:bCs/>
          <w:szCs w:val="21"/>
        </w:rPr>
      </w:pPr>
      <w:r>
        <w:rPr>
          <w:rFonts w:hint="eastAsia" w:ascii="宋体" w:hAnsi="宋体" w:cs="宋体"/>
          <w:b/>
          <w:bCs/>
          <w:szCs w:val="21"/>
        </w:rPr>
        <w:t xml:space="preserve">残疾人福利性单位声明函</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360" w:lineRule="auto"/>
        <w:widowControl/>
        <w:rPr>
          <w:rFonts w:hint="eastAsia"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360" w:lineRule="auto"/>
        <w:widowControl/>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属于监狱企业的证明文件</w:t>
      </w:r>
      <w:r/>
    </w:p>
    <w:p>
      <w:pPr>
        <w:spacing w:line="360" w:lineRule="auto"/>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（提供由省级以上监狱管理局、戒毒管理局(含新疆生产建设兵团）出具的属于监狱企业的证明文件）</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节能产品认证证书</w:t>
      </w:r>
      <w:r/>
    </w:p>
    <w:p>
      <w:pPr>
        <w:spacing w:line="360" w:lineRule="auto"/>
        <w:rPr>
          <w:rFonts w:hint="eastAsia" w:ascii="宋体" w:hAnsi="宋体" w:cs="宋体"/>
          <w:bCs/>
          <w:szCs w:val="21"/>
        </w:rPr>
      </w:pPr>
      <w:r>
        <w:rPr>
          <w:rFonts w:hint="eastAsia" w:ascii="宋体" w:hAnsi="宋体" w:cs="宋体"/>
          <w:bCs/>
          <w:szCs w:val="21"/>
        </w:rPr>
        <w:t xml:space="preserve">（提供国家确定的认证机构出具的、处于有效期之内的产品认证证书）</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环境标志产品认证证书</w:t>
      </w:r>
      <w:r/>
    </w:p>
    <w:p>
      <w:pPr>
        <w:spacing w:line="360" w:lineRule="auto"/>
        <w:rPr>
          <w:rFonts w:hint="eastAsia" w:ascii="宋体" w:hAnsi="宋体" w:cs="宋体"/>
          <w:szCs w:val="21"/>
        </w:rPr>
      </w:pPr>
      <w:r>
        <w:rPr>
          <w:rFonts w:hint="eastAsia" w:ascii="宋体" w:hAnsi="宋体" w:cs="宋体"/>
          <w:bCs/>
          <w:szCs w:val="21"/>
        </w:rPr>
        <w:t xml:space="preserve">（提供国家确定的认证机构出具的、处于有效期之内的产品认证证书）</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bCs/>
          <w:szCs w:val="21"/>
        </w:rPr>
      </w:pPr>
      <w:r>
        <w:rPr>
          <w:rFonts w:hint="eastAsia" w:ascii="宋体" w:hAnsi="宋体" w:cs="宋体"/>
          <w:b/>
          <w:bCs/>
          <w:szCs w:val="21"/>
        </w:rPr>
      </w:r>
      <w:r/>
    </w:p>
    <w:p>
      <w:pPr>
        <w:jc w:val="center"/>
        <w:spacing w:line="360" w:lineRule="auto"/>
        <w:rPr>
          <w:rFonts w:hint="eastAsia" w:ascii="宋体" w:hAnsi="宋体" w:cs="宋体"/>
          <w:b/>
          <w:bCs/>
          <w:szCs w:val="21"/>
        </w:rPr>
      </w:pPr>
      <w:r>
        <w:rPr>
          <w:rFonts w:hint="eastAsia" w:ascii="宋体" w:hAnsi="宋体" w:cs="宋体"/>
          <w:b/>
          <w:bCs/>
          <w:szCs w:val="21"/>
        </w:rPr>
        <w:t xml:space="preserve">进口产品转让技术、消化吸收再创新方案</w:t>
      </w:r>
      <w:r/>
    </w:p>
    <w:p>
      <w:pPr>
        <w:spacing w:line="360" w:lineRule="auto"/>
        <w:rPr>
          <w:rFonts w:hint="eastAsia" w:ascii="宋体" w:hAnsi="宋体" w:cs="宋体"/>
          <w:bCs/>
          <w:szCs w:val="21"/>
        </w:rPr>
      </w:pPr>
      <w:r>
        <w:rPr>
          <w:rFonts w:hint="eastAsia" w:ascii="宋体" w:hAnsi="宋体" w:cs="宋体"/>
          <w:bCs/>
          <w:szCs w:val="21"/>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szCs w:val="21"/>
        </w:rPr>
      </w:pPr>
      <w:r>
        <w:rPr>
          <w:rFonts w:hint="eastAsia" w:ascii="宋体" w:hAnsi="宋体" w:cs="宋体"/>
          <w:b/>
          <w:szCs w:val="21"/>
          <w:lang w:val="zh-CN"/>
        </w:rPr>
        <w:br w:type="page" w:clear="all"/>
      </w:r>
      <w:r>
        <w:rPr>
          <w:rFonts w:hint="eastAsia" w:ascii="宋体" w:hAnsi="宋体" w:cs="宋体"/>
          <w:b/>
          <w:szCs w:val="21"/>
        </w:rPr>
        <w:t xml:space="preserve">附件十一、无重大违法记录声明格式</w:t>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t xml:space="preserve">无重大违法记录声明</w:t>
      </w:r>
      <w:r/>
    </w:p>
    <w:p>
      <w:pPr>
        <w:spacing w:line="360" w:lineRule="auto"/>
        <w:rPr>
          <w:rFonts w:hint="eastAsia" w:ascii="宋体" w:hAnsi="宋体" w:cs="宋体"/>
          <w:szCs w:val="21"/>
        </w:rPr>
      </w:pPr>
      <w:r>
        <w:rPr>
          <w:rFonts w:hint="eastAsia" w:ascii="宋体" w:hAnsi="宋体" w:cs="宋体"/>
          <w:szCs w:val="21"/>
        </w:rPr>
        <w:t xml:space="preserve">南京苏宁工程咨询有限公司、南京工业职业技术大学：</w:t>
      </w:r>
      <w:r/>
    </w:p>
    <w:p>
      <w:pPr>
        <w:ind w:firstLine="336"/>
        <w:spacing w:line="360" w:lineRule="auto"/>
        <w:rPr>
          <w:rFonts w:hint="eastAsia" w:ascii="宋体" w:hAnsi="宋体" w:cs="宋体"/>
          <w:szCs w:val="21"/>
        </w:rPr>
      </w:pPr>
      <w:r>
        <w:rPr>
          <w:rFonts w:hint="eastAsia" w:ascii="宋体" w:hAnsi="宋体" w:cs="宋体"/>
          <w:szCs w:val="21"/>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szCs w:val="21"/>
        </w:rPr>
        <w:t xml:space="preserve">参加政府采购活动前3年内在经营活动中（</w:t>
      </w:r>
      <w:r>
        <w:rPr>
          <w:rFonts w:hint="eastAsia" w:ascii="宋体" w:hAnsi="宋体" w:cs="宋体"/>
          <w:b/>
          <w:i/>
          <w:szCs w:val="21"/>
          <w:u w:val="single"/>
        </w:rPr>
        <w:t xml:space="preserve">在下划线上如实填写：有或没有</w:t>
      </w:r>
      <w:r>
        <w:rPr>
          <w:rFonts w:hint="eastAsia" w:ascii="宋体" w:hAnsi="宋体" w:cs="宋体"/>
          <w:szCs w:val="21"/>
        </w:rPr>
        <w:t xml:space="preserve">）</w:t>
      </w:r>
      <w:r>
        <w:rPr>
          <w:rFonts w:hint="eastAsia" w:ascii="宋体" w:hAnsi="宋体" w:cs="宋体"/>
          <w:b/>
          <w:szCs w:val="21"/>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szCs w:val="21"/>
        </w:rPr>
      </w:pPr>
      <w:r>
        <w:rPr>
          <w:rFonts w:hint="eastAsia" w:ascii="宋体" w:hAnsi="宋体" w:cs="宋体"/>
          <w:szCs w:val="21"/>
        </w:rPr>
      </w:r>
      <w:r/>
    </w:p>
    <w:p>
      <w:pPr>
        <w:ind w:firstLine="315"/>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szCs w:val="21"/>
        </w:rPr>
      </w:pPr>
      <w:r>
        <w:rPr>
          <w:rFonts w:hint="eastAsia" w:ascii="宋体" w:hAnsi="宋体" w:cs="宋体"/>
          <w:szCs w:val="21"/>
        </w:rPr>
      </w:r>
      <w:r/>
    </w:p>
    <w:p>
      <w:pPr>
        <w:ind w:firstLine="5103"/>
        <w:jc w:val="right"/>
        <w:spacing w:line="360" w:lineRule="auto"/>
        <w:rPr>
          <w:rFonts w:hint="eastAsia" w:ascii="宋体" w:hAnsi="宋体" w:cs="宋体"/>
          <w:szCs w:val="21"/>
        </w:rPr>
      </w:pPr>
      <w:r>
        <w:rPr>
          <w:rFonts w:hint="eastAsia" w:ascii="宋体" w:hAnsi="宋体" w:cs="宋体"/>
          <w:szCs w:val="21"/>
        </w:rPr>
        <w:t xml:space="preserve">声明人：（</w:t>
      </w:r>
      <w:r>
        <w:rPr>
          <w:rFonts w:hint="eastAsia" w:ascii="宋体" w:hAnsi="宋体" w:cs="宋体"/>
          <w:szCs w:val="21"/>
        </w:rPr>
        <w:t xml:space="preserve">加盖电子公章</w:t>
      </w:r>
      <w:r>
        <w:rPr>
          <w:rFonts w:hint="eastAsia" w:ascii="宋体" w:hAnsi="宋体" w:cs="宋体"/>
          <w:szCs w:val="21"/>
        </w:rPr>
        <w:t xml:space="preserve">）</w:t>
      </w:r>
      <w:r/>
    </w:p>
    <w:p>
      <w:pPr>
        <w:ind w:firstLine="5103"/>
        <w:jc w:val="right"/>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hint="eastAsia" w:ascii="宋体" w:hAnsi="宋体" w:cs="宋体"/>
          <w:b/>
        </w:rPr>
      </w:pPr>
      <w:r>
        <w:rPr>
          <w:rFonts w:hint="eastAsia" w:ascii="宋体" w:hAnsi="宋体" w:cs="宋体"/>
          <w:b/>
        </w:rPr>
      </w:r>
      <w:r/>
    </w:p>
    <w:p>
      <w:pPr>
        <w:jc w:val="left"/>
        <w:spacing w:line="360" w:lineRule="auto"/>
        <w:rPr>
          <w:rFonts w:hint="eastAsia" w:ascii="宋体" w:hAnsi="宋体" w:cs="宋体"/>
          <w:b/>
        </w:rPr>
      </w:pPr>
      <w:r>
        <w:rPr>
          <w:rFonts w:hint="eastAsia" w:ascii="宋体" w:hAnsi="宋体" w:cs="宋体"/>
          <w:b/>
        </w:rPr>
        <w:t xml:space="preserve">附件十二、资格资信证明文件</w:t>
      </w:r>
      <w:r/>
    </w:p>
    <w:p>
      <w:pPr>
        <w:jc w:val="center"/>
        <w:spacing w:line="360" w:lineRule="auto"/>
        <w:rPr>
          <w:rFonts w:hint="eastAsia" w:ascii="宋体" w:hAnsi="宋体" w:cs="宋体"/>
          <w:b/>
        </w:rPr>
      </w:pPr>
      <w:r>
        <w:rPr>
          <w:rFonts w:hint="eastAsia"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hint="eastAsia" w:ascii="宋体" w:hAnsi="宋体" w:cs="宋体"/>
          <w:b/>
        </w:rPr>
      </w:pPr>
      <w:r>
        <w:rPr>
          <w:rFonts w:hint="eastAsia" w:ascii="宋体" w:hAnsi="宋体" w:cs="宋体"/>
          <w:b/>
        </w:rPr>
      </w:r>
      <w:r/>
    </w:p>
    <w:p>
      <w:pPr>
        <w:spacing w:line="360" w:lineRule="auto"/>
        <w:rPr>
          <w:rStyle w:val="1320"/>
          <w:rFonts w:hint="eastAsia" w:ascii="宋体" w:hAnsi="宋体" w:cs="宋体"/>
          <w:b/>
          <w:bCs/>
          <w:szCs w:val="21"/>
        </w:rPr>
      </w:pPr>
      <w:r>
        <w:rPr>
          <w:rFonts w:hint="eastAsia" w:ascii="宋体" w:hAnsi="宋体" w:cs="宋体"/>
          <w:b/>
        </w:rPr>
        <w:t xml:space="preserve">附件十三、</w:t>
      </w:r>
      <w:bookmarkStart w:id="36" w:name="_Toc1635_WPSOffice_Level2"/>
      <w:r/>
      <w:bookmarkStart w:id="37" w:name="_Toc11668_WPSOffice_Level2"/>
      <w:r>
        <w:rPr>
          <w:rStyle w:val="1320"/>
          <w:rFonts w:hint="eastAsia" w:ascii="宋体" w:hAnsi="宋体" w:cs="宋体"/>
          <w:b/>
          <w:bCs/>
          <w:szCs w:val="21"/>
        </w:rPr>
        <w:t xml:space="preserve">具备履行合同所必需的设备和专业技术能力的声明格式</w:t>
      </w:r>
      <w:bookmarkEnd w:id="36"/>
      <w:r/>
      <w:bookmarkEnd w:id="37"/>
      <w:r/>
      <w:r/>
    </w:p>
    <w:p>
      <w:pPr>
        <w:ind w:firstLine="420"/>
        <w:jc w:val="center"/>
        <w:spacing w:line="360" w:lineRule="auto"/>
        <w:rPr>
          <w:rStyle w:val="1320"/>
          <w:rFonts w:hint="eastAsia" w:ascii="宋体" w:hAnsi="宋体" w:cs="宋体"/>
          <w:szCs w:val="21"/>
        </w:rPr>
      </w:pPr>
      <w:r>
        <w:rPr>
          <w:rStyle w:val="1320"/>
          <w:rFonts w:hint="eastAsia" w:ascii="宋体" w:hAnsi="宋体" w:cs="宋体"/>
          <w:szCs w:val="21"/>
        </w:rPr>
        <w:t xml:space="preserve">具备履行合同所必需的设备和专业技术能力的声明</w:t>
      </w:r>
      <w:r/>
    </w:p>
    <w:p>
      <w:pPr>
        <w:spacing w:line="360" w:lineRule="auto"/>
        <w:rPr>
          <w:rFonts w:hint="eastAsia" w:ascii="宋体" w:hAnsi="宋体" w:cs="宋体"/>
          <w:szCs w:val="21"/>
        </w:rPr>
      </w:pPr>
      <w:r>
        <w:rPr>
          <w:rFonts w:hint="eastAsia" w:ascii="宋体" w:hAnsi="宋体" w:cs="宋体"/>
          <w:szCs w:val="21"/>
        </w:rPr>
        <w:t xml:space="preserve">致：南京工业职业技术大学</w:t>
      </w:r>
      <w:r/>
    </w:p>
    <w:p>
      <w:pPr>
        <w:ind w:firstLine="420"/>
        <w:spacing w:line="360" w:lineRule="auto"/>
        <w:rPr>
          <w:rFonts w:hint="eastAsia" w:ascii="宋体" w:hAnsi="宋体" w:cs="宋体"/>
          <w:szCs w:val="21"/>
        </w:rPr>
      </w:pPr>
      <w:r>
        <w:rPr>
          <w:rFonts w:hint="eastAsia" w:ascii="宋体" w:hAnsi="宋体" w:cs="宋体"/>
          <w:szCs w:val="21"/>
        </w:rPr>
        <w:t xml:space="preserve">我公司</w:t>
      </w:r>
      <w:r>
        <w:rPr>
          <w:rFonts w:hint="eastAsia" w:ascii="宋体" w:hAnsi="宋体" w:cs="宋体"/>
          <w:szCs w:val="21"/>
          <w:u w:val="single"/>
        </w:rPr>
        <w:t xml:space="preserve">               </w:t>
      </w:r>
      <w:r>
        <w:rPr>
          <w:rFonts w:hint="eastAsia" w:ascii="宋体" w:hAnsi="宋体" w:cs="宋体"/>
          <w:szCs w:val="21"/>
        </w:rPr>
        <w:t xml:space="preserve">（供应商名称）郑重声明：</w:t>
      </w:r>
      <w:r/>
    </w:p>
    <w:p>
      <w:pPr>
        <w:ind w:firstLine="420"/>
        <w:spacing w:line="360" w:lineRule="auto"/>
        <w:rPr>
          <w:rFonts w:hint="eastAsia" w:ascii="宋体" w:hAnsi="宋体" w:cs="宋体"/>
          <w:szCs w:val="21"/>
        </w:rPr>
      </w:pPr>
      <w:r>
        <w:rPr>
          <w:rFonts w:hint="eastAsia" w:ascii="宋体" w:hAnsi="宋体" w:cs="宋体"/>
          <w:szCs w:val="21"/>
        </w:rPr>
        <w:t xml:space="preserve">我公司具备履行本项采购合同所必需的设备和专业技术能力，为履行本项采购合同我单位具备如下主要设备和主要专业技术能力：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  （若有）  </w:t>
      </w:r>
      <w:r/>
    </w:p>
    <w:p>
      <w:pPr>
        <w:ind w:firstLine="420"/>
        <w:spacing w:line="360" w:lineRule="auto"/>
        <w:rPr>
          <w:rFonts w:hint="eastAsia"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  （若有）</w:t>
      </w:r>
      <w:r/>
    </w:p>
    <w:p>
      <w:pPr>
        <w:ind w:firstLine="5103"/>
        <w:jc w:val="right"/>
        <w:spacing w:line="360" w:lineRule="auto"/>
        <w:rPr>
          <w:rFonts w:hint="eastAsia" w:ascii="宋体" w:hAnsi="宋体" w:cs="宋体"/>
          <w:szCs w:val="21"/>
        </w:rPr>
      </w:pPr>
      <w:r>
        <w:rPr>
          <w:rFonts w:hint="eastAsia" w:ascii="宋体" w:hAnsi="宋体" w:cs="宋体"/>
          <w:szCs w:val="21"/>
        </w:rPr>
        <w:t xml:space="preserve">声明人：（</w:t>
      </w:r>
      <w:r>
        <w:rPr>
          <w:rFonts w:hint="eastAsia" w:ascii="宋体" w:hAnsi="宋体" w:cs="宋体"/>
          <w:szCs w:val="21"/>
        </w:rPr>
        <w:t xml:space="preserve">加盖电子公章</w:t>
      </w:r>
      <w:r>
        <w:rPr>
          <w:rFonts w:hint="eastAsia" w:ascii="宋体" w:hAnsi="宋体" w:cs="宋体"/>
          <w:szCs w:val="21"/>
        </w:rPr>
        <w:t xml:space="preserve">）</w:t>
      </w:r>
      <w:r/>
    </w:p>
    <w:p>
      <w:pPr>
        <w:ind w:firstLine="5103"/>
        <w:jc w:val="right"/>
        <w:spacing w:line="360" w:lineRule="auto"/>
        <w:rPr>
          <w:rFonts w:hint="eastAsia"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spacing w:line="360" w:lineRule="auto"/>
        <w:rPr>
          <w:rFonts w:hint="eastAsia" w:ascii="宋体" w:hAnsi="宋体" w:cs="宋体"/>
          <w:b/>
        </w:rPr>
      </w:pPr>
      <w:r>
        <w:rPr>
          <w:rFonts w:hint="eastAsia" w:ascii="宋体" w:hAnsi="宋体" w:cs="宋体"/>
          <w:bCs/>
          <w:szCs w:val="21"/>
        </w:rPr>
        <w:t xml:space="preserve">证明材料（如果供应商认为需要提供的话）：</w:t>
      </w:r>
      <w:r>
        <w:rPr>
          <w:rFonts w:hint="eastAsia" w:ascii="宋体" w:hAnsi="宋体" w:cs="宋体"/>
          <w:b/>
        </w:rPr>
        <w:br w:type="page" w:clear="all"/>
      </w:r>
      <w:r/>
    </w:p>
    <w:p>
      <w:pPr>
        <w:spacing w:line="360" w:lineRule="auto"/>
        <w:rPr>
          <w:rFonts w:hint="eastAsia" w:ascii="宋体" w:hAnsi="宋体" w:cs="宋体"/>
          <w:b/>
        </w:rPr>
      </w:pPr>
      <w:r>
        <w:rPr>
          <w:rFonts w:hint="eastAsia" w:ascii="宋体" w:hAnsi="宋体" w:cs="宋体"/>
          <w:b/>
          <w:szCs w:val="21"/>
        </w:rPr>
        <w:t xml:space="preserve">附件十四、</w:t>
      </w:r>
      <w:r>
        <w:rPr>
          <w:rFonts w:hint="eastAsia" w:ascii="宋体" w:hAnsi="宋体" w:cs="宋体"/>
          <w:b/>
        </w:rPr>
        <w:t xml:space="preserve">其他</w:t>
      </w:r>
      <w:r/>
    </w:p>
    <w:p>
      <w:pPr>
        <w:jc w:val="center"/>
        <w:spacing w:line="360" w:lineRule="auto"/>
        <w:rPr>
          <w:rFonts w:hint="eastAsia" w:ascii="宋体" w:hAnsi="宋体" w:cs="宋体"/>
        </w:rPr>
      </w:pPr>
      <w:r>
        <w:rPr>
          <w:rFonts w:hint="eastAsia" w:ascii="宋体" w:hAnsi="宋体" w:cs="宋体"/>
        </w:rPr>
        <w:t xml:space="preserve">承 诺 书</w:t>
      </w:r>
      <w:r/>
    </w:p>
    <w:p>
      <w:pPr>
        <w:spacing w:line="360" w:lineRule="auto"/>
        <w:rPr>
          <w:rFonts w:hint="eastAsia" w:ascii="宋体" w:hAnsi="宋体" w:cs="宋体"/>
        </w:rPr>
      </w:pPr>
      <w:r>
        <w:rPr>
          <w:rFonts w:hint="eastAsia" w:ascii="宋体" w:hAnsi="宋体" w:cs="宋体"/>
        </w:rPr>
        <w:t xml:space="preserve">致南京工业职业技术大学：</w:t>
      </w:r>
      <w:r/>
    </w:p>
    <w:p>
      <w:pPr>
        <w:ind w:firstLine="420"/>
        <w:spacing w:line="360" w:lineRule="auto"/>
        <w:rPr>
          <w:rFonts w:hint="eastAsia" w:ascii="宋体" w:hAnsi="宋体" w:cs="宋体"/>
        </w:rPr>
      </w:pPr>
      <w:r>
        <w:rPr>
          <w:rFonts w:hint="eastAsia" w:ascii="宋体" w:hAnsi="宋体" w:cs="宋体"/>
        </w:rPr>
        <w:t xml:space="preserve">我单位拟参与投标的“微波通信综合实验平台”，郑重承诺：</w:t>
      </w:r>
      <w:r/>
    </w:p>
    <w:p>
      <w:pPr>
        <w:ind w:firstLine="452"/>
        <w:jc w:val="left"/>
        <w:spacing w:line="360" w:lineRule="auto"/>
        <w:rPr>
          <w:rFonts w:hint="eastAsia" w:ascii="宋体" w:hAnsi="宋体" w:cs="宋体"/>
          <w:b/>
          <w:szCs w:val="21"/>
        </w:rPr>
      </w:pPr>
      <w:r>
        <w:rPr>
          <w:rFonts w:hint="eastAsia" w:ascii="宋体" w:hAnsi="宋体" w:cs="宋体"/>
          <w:color w:val="000000" w:themeColor="text1"/>
          <w:spacing w:val="8"/>
          <w:szCs w:val="21"/>
          <w14:textFill>
            <w14:solidFill>
              <w14:schemeClr w14:val="tx1"/>
            </w14:solidFill>
          </w14:textFill>
        </w:rPr>
        <w:t xml:space="preserve">为推进校企合作共建实验实训室，我单位如中标本项目，中标后为学校提供配套投入，具体投入内容在签订合同前与学校按相关制度协商确定。</w:t>
      </w:r>
      <w:r/>
    </w:p>
    <w:p>
      <w:pPr>
        <w:ind w:firstLine="420"/>
        <w:jc w:val="right"/>
        <w:spacing w:line="360" w:lineRule="auto"/>
        <w:rPr>
          <w:rFonts w:hint="eastAsia" w:ascii="宋体" w:hAnsi="宋体" w:cs="宋体"/>
        </w:rPr>
      </w:pPr>
      <w:r>
        <w:rPr>
          <w:rFonts w:hint="eastAsia" w:ascii="宋体" w:hAnsi="宋体" w:cs="宋体"/>
        </w:rPr>
        <w:t xml:space="preserve">承诺书供应商：（盖章）</w:t>
      </w:r>
      <w:r/>
    </w:p>
    <w:p>
      <w:pPr>
        <w:ind w:firstLine="420"/>
        <w:jc w:val="right"/>
        <w:spacing w:line="360" w:lineRule="auto"/>
        <w:rPr>
          <w:rFonts w:hint="eastAsia" w:ascii="宋体" w:hAnsi="宋体" w:cs="宋体"/>
        </w:rPr>
      </w:pPr>
      <w:r>
        <w:rPr>
          <w:rFonts w:hint="eastAsia" w:ascii="宋体" w:hAnsi="宋体" w:cs="宋体"/>
        </w:rPr>
        <w:t xml:space="preserve">日期：年月日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bCs/>
          <w:szCs w:val="21"/>
        </w:rPr>
      </w:pPr>
      <w:r>
        <w:rPr>
          <w:rFonts w:hint="eastAsia" w:ascii="宋体" w:hAnsi="宋体" w:cs="宋体"/>
          <w:b/>
          <w:szCs w:val="21"/>
        </w:rPr>
        <w:t xml:space="preserve">附件十五、供应商需要补充的其他内容</w:t>
      </w:r>
      <w:r/>
    </w:p>
    <w:p>
      <w:pPr>
        <w:spacing w:line="360" w:lineRule="auto"/>
        <w:rPr>
          <w:rFonts w:hint="eastAsia" w:ascii="宋体" w:hAnsi="宋体" w:cs="宋体"/>
          <w:b/>
          <w:bCs/>
          <w:szCs w:val="21"/>
        </w:rPr>
      </w:pPr>
      <w:r>
        <w:rPr>
          <w:rFonts w:hint="eastAsia" w:ascii="宋体" w:hAnsi="宋体" w:cs="宋体"/>
          <w:b/>
          <w:bCs/>
          <w:szCs w:val="21"/>
        </w:rPr>
      </w:r>
      <w:r/>
    </w:p>
    <w:sectPr>
      <w:headerReference w:type="default" r:id="rId11"/>
      <w:footerReference w:type="default" r:id="rId14"/>
      <w:footerReference w:type="first" r:id="rId15"/>
      <w:footnotePr/>
      <w:endnotePr/>
      <w:type w:val="nextPage"/>
      <w:pgSz w:w="11905" w:h="16838" w:orient="portrait"/>
      <w:pgMar w:top="1440" w:right="1080" w:bottom="1440" w:left="1080" w:header="850" w:footer="992" w:gutter="0"/>
      <w:pgNumType w:start="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1"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2"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Bdr>
        <w:bottom w:val="single" w:color="auto" w:sz="4" w:space="0"/>
      </w:pBdr>
    </w:pPr>
    <w:r>
      <mc:AlternateContent>
        <mc:Choice Requires="wpg">
          <w:drawing>
            <wp:inline xmlns:wp="http://schemas.openxmlformats.org/drawingml/2006/wordprocessingDrawing" distT="0" distB="0" distL="0" distR="0">
              <wp:extent cx="1378585" cy="217805"/>
              <wp:effectExtent l="0" t="0" r="12065" b="10795"/>
              <wp:docPr id="3" name="图片 4"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c826bae80687e3a7b3b8bc243736336"/>
                      <pic:cNvPicPr>
                        <a:picLocks noChangeAspect="1"/>
                      </pic:cNvPicPr>
                      <pic:nvPr/>
                    </pic:nvPicPr>
                    <pic:blipFill>
                      <a:blip r:embed="rId1"/>
                      <a:stretch/>
                    </pic:blipFill>
                    <pic:spPr bwMode="auto">
                      <a:xfrm>
                        <a:off x="0" y="0"/>
                        <a:ext cx="1378585" cy="217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5pt;height:17.1pt;mso-wrap-distance-left:0.0pt;mso-wrap-distance-top:0.0pt;mso-wrap-distance-right:0.0pt;mso-wrap-distance-bottom:0.0pt;" stroked="f">
              <v:path textboxrect="0,0,0,0"/>
              <v:imagedata r:id="rId1" o:title=""/>
            </v:shape>
          </w:pict>
        </mc:Fallback>
      </mc:AlternateContent>
    </w:r>
    <w:r>
      <w:rPr>
        <w:rFonts w:hint="eastAsia"/>
      </w:rPr>
      <w:t xml:space="preserve">                                                                     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316"/>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1033"/>
      <w:isLgl w:val="false"/>
      <w:suff w:val="nothing"/>
      <w:lvlText w:val="第%1章"/>
      <w:lvlJc w:val="left"/>
      <w:pPr>
        <w:ind w:left="0" w:firstLine="0"/>
      </w:pPr>
    </w:lvl>
    <w:lvl w:ilvl="1">
      <w:start w:val="1"/>
      <w:numFmt w:val="none"/>
      <w:pStyle w:val="1034"/>
      <w:isLgl w:val="false"/>
      <w:suff w:val="nothing"/>
      <w:lvlText w:val=""/>
      <w:lvlJc w:val="left"/>
      <w:pPr>
        <w:ind w:left="0" w:firstLine="0"/>
      </w:pPr>
    </w:lvl>
    <w:lvl w:ilvl="2">
      <w:start w:val="1"/>
      <w:numFmt w:val="none"/>
      <w:pStyle w:val="1035"/>
      <w:isLgl w:val="false"/>
      <w:suff w:val="nothing"/>
      <w:lvlText w:val=""/>
      <w:lvlJc w:val="left"/>
      <w:pPr>
        <w:ind w:left="0" w:firstLine="0"/>
      </w:pPr>
    </w:lvl>
    <w:lvl w:ilvl="3">
      <w:start w:val="1"/>
      <w:numFmt w:val="none"/>
      <w:pStyle w:val="1036"/>
      <w:isLgl w:val="false"/>
      <w:suff w:val="nothing"/>
      <w:lvlText w:val=""/>
      <w:lvlJc w:val="left"/>
      <w:pPr>
        <w:ind w:left="0" w:firstLine="0"/>
      </w:pPr>
    </w:lvl>
    <w:lvl w:ilvl="4">
      <w:start w:val="1"/>
      <w:numFmt w:val="none"/>
      <w:pStyle w:val="1037"/>
      <w:isLgl w:val="false"/>
      <w:suff w:val="nothing"/>
      <w:lvlText w:val=""/>
      <w:lvlJc w:val="left"/>
      <w:pPr>
        <w:ind w:left="0" w:firstLine="0"/>
      </w:pPr>
    </w:lvl>
    <w:lvl w:ilvl="5">
      <w:start w:val="1"/>
      <w:numFmt w:val="none"/>
      <w:pStyle w:val="1038"/>
      <w:isLgl w:val="false"/>
      <w:suff w:val="nothing"/>
      <w:lvlText w:val=""/>
      <w:lvlJc w:val="left"/>
      <w:pPr>
        <w:ind w:left="0" w:firstLine="0"/>
      </w:pPr>
    </w:lvl>
    <w:lvl w:ilvl="6">
      <w:start w:val="1"/>
      <w:numFmt w:val="none"/>
      <w:pStyle w:val="1039"/>
      <w:isLgl w:val="false"/>
      <w:suff w:val="nothing"/>
      <w:lvlText w:val=""/>
      <w:lvlJc w:val="left"/>
      <w:pPr>
        <w:ind w:left="0" w:firstLine="0"/>
      </w:pPr>
    </w:lvl>
    <w:lvl w:ilvl="7">
      <w:start w:val="1"/>
      <w:numFmt w:val="none"/>
      <w:pStyle w:val="1040"/>
      <w:isLgl w:val="false"/>
      <w:suff w:val="nothing"/>
      <w:lvlText w:val=""/>
      <w:lvlJc w:val="left"/>
      <w:pPr>
        <w:ind w:left="0" w:firstLine="0"/>
      </w:pPr>
    </w:lvl>
    <w:lvl w:ilvl="8">
      <w:start w:val="1"/>
      <w:numFmt w:val="none"/>
      <w:pStyle w:val="1041"/>
      <w:isLgl w:val="false"/>
      <w:suff w:val="nothing"/>
      <w:lvlText w:val=""/>
      <w:lvlJc w:val="left"/>
      <w:pPr>
        <w:ind w:left="0" w:firstLine="0"/>
      </w:pPr>
    </w:lvl>
  </w:abstractNum>
  <w:abstractNum w:abstractNumId="2">
    <w:multiLevelType w:val="hybridMultilevel"/>
    <w:lvl w:ilvl="0">
      <w:start w:val="1"/>
      <w:numFmt w:val="chineseCountingThousand"/>
      <w:pStyle w:val="119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2"/>
      <w:isLgl/>
      <w:suff w:val="tab"/>
      <w:lvlText w:val="%1.%2"/>
      <w:lvlJc w:val="left"/>
      <w:pPr>
        <w:ind w:left="425" w:hanging="425"/>
      </w:pPr>
      <w:rPr>
        <w:rFonts w:hint="eastAsia" w:ascii="Arial Unicode MS" w:hAnsi="Arial Unicode MS" w:eastAsia="微软雅黑"/>
        <w:b/>
        <w:i w:val="0"/>
      </w:rPr>
    </w:lvl>
    <w:lvl w:ilvl="2">
      <w:start w:val="1"/>
      <w:numFmt w:val="decimal"/>
      <w:pStyle w:val="12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bullet"/>
      <w:pStyle w:val="104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42"/>
    <w:link w:val="1033"/>
    <w:uiPriority w:val="9"/>
    <w:rPr>
      <w:rFonts w:ascii="Arial" w:hAnsi="Arial" w:eastAsia="Arial" w:cs="Arial"/>
      <w:sz w:val="40"/>
      <w:szCs w:val="40"/>
    </w:rPr>
  </w:style>
  <w:style w:type="character" w:styleId="881">
    <w:name w:val="Heading 2 Char"/>
    <w:basedOn w:val="1042"/>
    <w:link w:val="1034"/>
    <w:uiPriority w:val="9"/>
    <w:rPr>
      <w:rFonts w:ascii="Arial" w:hAnsi="Arial" w:eastAsia="Arial" w:cs="Arial"/>
      <w:sz w:val="34"/>
    </w:rPr>
  </w:style>
  <w:style w:type="character" w:styleId="882">
    <w:name w:val="Heading 3 Char"/>
    <w:basedOn w:val="1042"/>
    <w:link w:val="1035"/>
    <w:uiPriority w:val="9"/>
    <w:rPr>
      <w:rFonts w:ascii="Arial" w:hAnsi="Arial" w:eastAsia="Arial" w:cs="Arial"/>
      <w:sz w:val="30"/>
      <w:szCs w:val="30"/>
    </w:rPr>
  </w:style>
  <w:style w:type="character" w:styleId="883">
    <w:name w:val="Heading 4 Char"/>
    <w:basedOn w:val="1042"/>
    <w:link w:val="1036"/>
    <w:uiPriority w:val="9"/>
    <w:rPr>
      <w:rFonts w:ascii="Arial" w:hAnsi="Arial" w:eastAsia="Arial" w:cs="Arial"/>
      <w:b/>
      <w:bCs/>
      <w:sz w:val="26"/>
      <w:szCs w:val="26"/>
    </w:rPr>
  </w:style>
  <w:style w:type="character" w:styleId="884">
    <w:name w:val="Heading 5 Char"/>
    <w:basedOn w:val="1042"/>
    <w:link w:val="1037"/>
    <w:uiPriority w:val="9"/>
    <w:rPr>
      <w:rFonts w:ascii="Arial" w:hAnsi="Arial" w:eastAsia="Arial" w:cs="Arial"/>
      <w:b/>
      <w:bCs/>
      <w:sz w:val="24"/>
      <w:szCs w:val="24"/>
    </w:rPr>
  </w:style>
  <w:style w:type="character" w:styleId="885">
    <w:name w:val="Heading 6 Char"/>
    <w:basedOn w:val="1042"/>
    <w:link w:val="1038"/>
    <w:uiPriority w:val="9"/>
    <w:rPr>
      <w:rFonts w:ascii="Arial" w:hAnsi="Arial" w:eastAsia="Arial" w:cs="Arial"/>
      <w:b/>
      <w:bCs/>
      <w:sz w:val="22"/>
      <w:szCs w:val="22"/>
    </w:rPr>
  </w:style>
  <w:style w:type="character" w:styleId="886">
    <w:name w:val="Heading 7 Char"/>
    <w:basedOn w:val="1042"/>
    <w:link w:val="1039"/>
    <w:uiPriority w:val="9"/>
    <w:rPr>
      <w:rFonts w:ascii="Arial" w:hAnsi="Arial" w:eastAsia="Arial" w:cs="Arial"/>
      <w:b/>
      <w:bCs/>
      <w:i/>
      <w:iCs/>
      <w:sz w:val="22"/>
      <w:szCs w:val="22"/>
    </w:rPr>
  </w:style>
  <w:style w:type="character" w:styleId="887">
    <w:name w:val="Heading 8 Char"/>
    <w:basedOn w:val="1042"/>
    <w:link w:val="1040"/>
    <w:uiPriority w:val="9"/>
    <w:rPr>
      <w:rFonts w:ascii="Arial" w:hAnsi="Arial" w:eastAsia="Arial" w:cs="Arial"/>
      <w:i/>
      <w:iCs/>
      <w:sz w:val="22"/>
      <w:szCs w:val="22"/>
    </w:rPr>
  </w:style>
  <w:style w:type="character" w:styleId="888">
    <w:name w:val="Heading 9 Char"/>
    <w:basedOn w:val="1042"/>
    <w:link w:val="1041"/>
    <w:uiPriority w:val="9"/>
    <w:rPr>
      <w:rFonts w:ascii="Arial" w:hAnsi="Arial" w:eastAsia="Arial" w:cs="Arial"/>
      <w:i/>
      <w:iCs/>
      <w:sz w:val="21"/>
      <w:szCs w:val="21"/>
    </w:rPr>
  </w:style>
  <w:style w:type="paragraph" w:styleId="889">
    <w:name w:val="No Spacing"/>
    <w:uiPriority w:val="1"/>
    <w:qFormat/>
    <w:pPr>
      <w:spacing w:before="0" w:after="0" w:line="240" w:lineRule="auto"/>
    </w:pPr>
  </w:style>
  <w:style w:type="character" w:styleId="890">
    <w:name w:val="Title Char"/>
    <w:basedOn w:val="1042"/>
    <w:link w:val="1076"/>
    <w:uiPriority w:val="10"/>
    <w:rPr>
      <w:sz w:val="48"/>
      <w:szCs w:val="48"/>
    </w:rPr>
  </w:style>
  <w:style w:type="character" w:styleId="891">
    <w:name w:val="Subtitle Char"/>
    <w:basedOn w:val="1042"/>
    <w:link w:val="1068"/>
    <w:uiPriority w:val="11"/>
    <w:rPr>
      <w:sz w:val="24"/>
      <w:szCs w:val="24"/>
    </w:rPr>
  </w:style>
  <w:style w:type="paragraph" w:styleId="892">
    <w:name w:val="Quote"/>
    <w:basedOn w:val="1032"/>
    <w:next w:val="1032"/>
    <w:link w:val="893"/>
    <w:uiPriority w:val="29"/>
    <w:qFormat/>
    <w:pPr>
      <w:ind w:left="720" w:right="720"/>
    </w:pPr>
    <w:rPr>
      <w:i/>
    </w:rPr>
  </w:style>
  <w:style w:type="character" w:styleId="893">
    <w:name w:val="Quote Char"/>
    <w:link w:val="892"/>
    <w:uiPriority w:val="29"/>
    <w:rPr>
      <w:i/>
    </w:rPr>
  </w:style>
  <w:style w:type="paragraph" w:styleId="894">
    <w:name w:val="Intense Quote"/>
    <w:basedOn w:val="1032"/>
    <w:next w:val="1032"/>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Intense Quote Char"/>
    <w:link w:val="894"/>
    <w:uiPriority w:val="30"/>
    <w:rPr>
      <w:i/>
    </w:rPr>
  </w:style>
  <w:style w:type="character" w:styleId="896">
    <w:name w:val="Header Char"/>
    <w:basedOn w:val="1042"/>
    <w:link w:val="1065"/>
    <w:uiPriority w:val="99"/>
  </w:style>
  <w:style w:type="character" w:styleId="897">
    <w:name w:val="Footer Char"/>
    <w:basedOn w:val="1042"/>
    <w:link w:val="1063"/>
    <w:uiPriority w:val="99"/>
  </w:style>
  <w:style w:type="character" w:styleId="898">
    <w:name w:val="Caption Char"/>
    <w:basedOn w:val="1048"/>
    <w:link w:val="1063"/>
    <w:uiPriority w:val="99"/>
  </w:style>
  <w:style w:type="table" w:styleId="899">
    <w:name w:val="Table Grid Light"/>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basedOn w:val="10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basedOn w:val="10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basedOn w:val="10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basedOn w:val="10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basedOn w:val="10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basedOn w:val="10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basedOn w:val="10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basedOn w:val="10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basedOn w:val="10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basedOn w:val="10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basedOn w:val="10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basedOn w:val="10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basedOn w:val="10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basedOn w:val="10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basedOn w:val="10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basedOn w:val="10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basedOn w:val="10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basedOn w:val="10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basedOn w:val="10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basedOn w:val="10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basedOn w:val="10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basedOn w:val="10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basedOn w:val="10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basedOn w:val="10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basedOn w:val="10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basedOn w:val="10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basedOn w:val="10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basedOn w:val="10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basedOn w:val="10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basedOn w:val="10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basedOn w:val="10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4">
    <w:name w:val="footnote text"/>
    <w:basedOn w:val="1032"/>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2"/>
    <w:uiPriority w:val="99"/>
    <w:unhideWhenUsed/>
    <w:rPr>
      <w:vertAlign w:val="superscript"/>
    </w:rPr>
  </w:style>
  <w:style w:type="paragraph" w:styleId="1027">
    <w:name w:val="endnote text"/>
    <w:basedOn w:val="1032"/>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2"/>
    <w:uiPriority w:val="99"/>
    <w:semiHidden/>
    <w:unhideWhenUsed/>
    <w:rPr>
      <w:vertAlign w:val="superscript"/>
    </w:r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3">
    <w:name w:val="Heading 1"/>
    <w:basedOn w:val="1032"/>
    <w:next w:val="1032"/>
    <w:link w:val="1180"/>
    <w:uiPriority w:val="0"/>
    <w:qFormat/>
    <w:pPr>
      <w:numPr>
        <w:ilvl w:val="0"/>
        <w:numId w:val="1"/>
      </w:numPr>
      <w:jc w:val="center"/>
      <w:keepLines/>
      <w:keepNext/>
      <w:spacing w:before="340" w:after="330" w:line="578" w:lineRule="auto"/>
      <w:outlineLvl w:val="0"/>
    </w:pPr>
    <w:rPr>
      <w:b/>
      <w:bCs/>
      <w:sz w:val="32"/>
      <w:szCs w:val="44"/>
    </w:rPr>
  </w:style>
  <w:style w:type="paragraph" w:styleId="1034">
    <w:name w:val="Heading 2"/>
    <w:basedOn w:val="1032"/>
    <w:next w:val="1032"/>
    <w:link w:val="11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35">
    <w:name w:val="Heading 3"/>
    <w:basedOn w:val="1032"/>
    <w:next w:val="1032"/>
    <w:link w:val="1148"/>
    <w:uiPriority w:val="0"/>
    <w:qFormat/>
    <w:pPr>
      <w:numPr>
        <w:ilvl w:val="2"/>
        <w:numId w:val="1"/>
      </w:numPr>
      <w:keepLines/>
      <w:keepNext/>
      <w:spacing w:before="260" w:after="260" w:line="416" w:lineRule="auto"/>
      <w:outlineLvl w:val="2"/>
    </w:pPr>
    <w:rPr>
      <w:b/>
      <w:bCs/>
      <w:sz w:val="32"/>
      <w:szCs w:val="32"/>
    </w:rPr>
  </w:style>
  <w:style w:type="paragraph" w:styleId="1036">
    <w:name w:val="Heading 4"/>
    <w:basedOn w:val="1032"/>
    <w:next w:val="1032"/>
    <w:link w:val="118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37">
    <w:name w:val="Heading 5"/>
    <w:basedOn w:val="1032"/>
    <w:next w:val="1032"/>
    <w:link w:val="1138"/>
    <w:uiPriority w:val="0"/>
    <w:qFormat/>
    <w:pPr>
      <w:numPr>
        <w:ilvl w:val="4"/>
        <w:numId w:val="1"/>
      </w:numPr>
      <w:keepLines/>
      <w:keepNext/>
      <w:spacing w:before="280" w:after="290" w:line="376" w:lineRule="auto"/>
      <w:outlineLvl w:val="4"/>
    </w:pPr>
    <w:rPr>
      <w:b/>
      <w:bCs/>
      <w:sz w:val="28"/>
      <w:szCs w:val="28"/>
    </w:rPr>
  </w:style>
  <w:style w:type="paragraph" w:styleId="1038">
    <w:name w:val="Heading 6"/>
    <w:basedOn w:val="1032"/>
    <w:next w:val="1032"/>
    <w:link w:val="1124"/>
    <w:uiPriority w:val="0"/>
    <w:qFormat/>
    <w:pPr>
      <w:numPr>
        <w:ilvl w:val="5"/>
        <w:numId w:val="1"/>
      </w:numPr>
      <w:keepLines/>
      <w:keepNext/>
      <w:spacing w:before="240" w:after="64" w:line="320" w:lineRule="auto"/>
      <w:outlineLvl w:val="5"/>
    </w:pPr>
    <w:rPr>
      <w:rFonts w:ascii="Cambria" w:hAnsi="Cambria"/>
      <w:b/>
      <w:bCs/>
      <w:sz w:val="24"/>
    </w:rPr>
  </w:style>
  <w:style w:type="paragraph" w:styleId="1039">
    <w:name w:val="Heading 7"/>
    <w:basedOn w:val="1032"/>
    <w:next w:val="1032"/>
    <w:link w:val="1179"/>
    <w:uiPriority w:val="0"/>
    <w:qFormat/>
    <w:pPr>
      <w:numPr>
        <w:ilvl w:val="6"/>
        <w:numId w:val="1"/>
      </w:numPr>
      <w:keepLines/>
      <w:keepNext/>
      <w:spacing w:before="240" w:after="64" w:line="320" w:lineRule="auto"/>
      <w:outlineLvl w:val="6"/>
    </w:pPr>
    <w:rPr>
      <w:b/>
      <w:bCs/>
      <w:sz w:val="24"/>
    </w:rPr>
  </w:style>
  <w:style w:type="paragraph" w:styleId="1040">
    <w:name w:val="Heading 8"/>
    <w:basedOn w:val="1032"/>
    <w:next w:val="1032"/>
    <w:link w:val="1164"/>
    <w:uiPriority w:val="0"/>
    <w:qFormat/>
    <w:pPr>
      <w:numPr>
        <w:ilvl w:val="7"/>
        <w:numId w:val="1"/>
      </w:numPr>
      <w:keepLines/>
      <w:keepNext/>
      <w:spacing w:before="240" w:after="64" w:line="320" w:lineRule="auto"/>
      <w:outlineLvl w:val="7"/>
    </w:pPr>
    <w:rPr>
      <w:rFonts w:ascii="Cambria" w:hAnsi="Cambria"/>
      <w:sz w:val="24"/>
    </w:rPr>
  </w:style>
  <w:style w:type="paragraph" w:styleId="1041">
    <w:name w:val="Heading 9"/>
    <w:basedOn w:val="1032"/>
    <w:next w:val="1032"/>
    <w:link w:val="1142"/>
    <w:uiPriority w:val="0"/>
    <w:qFormat/>
    <w:pPr>
      <w:numPr>
        <w:ilvl w:val="8"/>
        <w:numId w:val="1"/>
      </w:numPr>
      <w:keepLines/>
      <w:keepNext/>
      <w:spacing w:before="240" w:after="64" w:line="320" w:lineRule="auto"/>
      <w:outlineLvl w:val="8"/>
    </w:pPr>
    <w:rPr>
      <w:rFonts w:ascii="Cambria" w:hAnsi="Cambria"/>
      <w:szCs w:val="21"/>
    </w:rPr>
  </w:style>
  <w:style w:type="character" w:styleId="1042" w:default="1">
    <w:name w:val="Default Paragraph Font"/>
    <w:uiPriority w:val="1"/>
    <w:semiHidden/>
    <w:unhideWhenUsed/>
    <w:qFormat/>
  </w:style>
  <w:style w:type="table" w:styleId="1043" w:default="1">
    <w:name w:val="Normal Table"/>
    <w:uiPriority w:val="99"/>
    <w:semiHidden/>
    <w:unhideWhenUsed/>
    <w:qFormat/>
    <w:tblPr>
      <w:tblCellMar>
        <w:left w:w="108" w:type="dxa"/>
        <w:top w:w="0" w:type="dxa"/>
        <w:right w:w="108" w:type="dxa"/>
        <w:bottom w:w="0" w:type="dxa"/>
      </w:tblCellMar>
    </w:tblPr>
  </w:style>
  <w:style w:type="paragraph" w:styleId="1044">
    <w:name w:val="List 3"/>
    <w:basedOn w:val="1032"/>
    <w:uiPriority w:val="99"/>
    <w:unhideWhenUsed/>
    <w:qFormat/>
    <w:pPr>
      <w:ind w:left="1260" w:hanging="420"/>
      <w:spacing w:before="100" w:beforeAutospacing="1" w:after="100" w:afterAutospacing="1"/>
    </w:pPr>
    <w:rPr>
      <w:szCs w:val="21"/>
    </w:rPr>
  </w:style>
  <w:style w:type="paragraph" w:styleId="1045">
    <w:name w:val="toc 7"/>
    <w:basedOn w:val="1032"/>
    <w:next w:val="1032"/>
    <w:uiPriority w:val="39"/>
    <w:unhideWhenUsed/>
    <w:qFormat/>
    <w:pPr>
      <w:ind w:left="2520"/>
    </w:pPr>
    <w:rPr>
      <w:rFonts w:ascii="Calibri" w:hAnsi="Calibri"/>
      <w:szCs w:val="22"/>
    </w:rPr>
  </w:style>
  <w:style w:type="paragraph" w:styleId="1046">
    <w:name w:val="List Number"/>
    <w:basedOn w:val="1032"/>
    <w:uiPriority w:val="0"/>
    <w:qFormat/>
    <w:pPr>
      <w:numPr>
        <w:ilvl w:val="0"/>
        <w:numId w:val="2"/>
      </w:numPr>
      <w:contextualSpacing/>
    </w:pPr>
    <w:rPr>
      <w:rFonts w:ascii="Calibri" w:hAnsi="Calibri"/>
    </w:rPr>
  </w:style>
  <w:style w:type="paragraph" w:styleId="1047">
    <w:name w:val="Normal Indent"/>
    <w:basedOn w:val="1032"/>
    <w:link w:val="1266"/>
    <w:uiPriority w:val="0"/>
    <w:qFormat/>
    <w:pPr>
      <w:ind w:firstLine="420"/>
    </w:pPr>
    <w:rPr>
      <w:b/>
      <w:sz w:val="24"/>
      <w:szCs w:val="20"/>
    </w:rPr>
  </w:style>
  <w:style w:type="paragraph" w:styleId="1048">
    <w:name w:val="Caption"/>
    <w:basedOn w:val="1032"/>
    <w:next w:val="1032"/>
    <w:uiPriority w:val="0"/>
    <w:qFormat/>
    <w:rPr>
      <w:rFonts w:ascii="Cambria" w:hAnsi="Cambria" w:eastAsia="黑体"/>
      <w:sz w:val="20"/>
      <w:szCs w:val="22"/>
    </w:rPr>
  </w:style>
  <w:style w:type="paragraph" w:styleId="1049">
    <w:name w:val="Document Map"/>
    <w:basedOn w:val="1032"/>
    <w:link w:val="1132"/>
    <w:uiPriority w:val="0"/>
    <w:qFormat/>
    <w:rPr>
      <w:rFonts w:ascii="宋体"/>
      <w:sz w:val="18"/>
      <w:szCs w:val="18"/>
    </w:rPr>
  </w:style>
  <w:style w:type="paragraph" w:styleId="1050">
    <w:name w:val="annotation text"/>
    <w:basedOn w:val="1032"/>
    <w:link w:val="1156"/>
    <w:uiPriority w:val="0"/>
    <w:qFormat/>
    <w:pPr>
      <w:jc w:val="left"/>
    </w:pPr>
  </w:style>
  <w:style w:type="paragraph" w:styleId="1051">
    <w:name w:val="Body Text 3"/>
    <w:basedOn w:val="1032"/>
    <w:link w:val="1175"/>
    <w:uiPriority w:val="0"/>
    <w:qFormat/>
    <w:rPr>
      <w:rFonts w:ascii="宋体"/>
      <w:sz w:val="24"/>
      <w:szCs w:val="20"/>
    </w:rPr>
  </w:style>
  <w:style w:type="paragraph" w:styleId="1052">
    <w:name w:val="Body Text"/>
    <w:basedOn w:val="1032"/>
    <w:next w:val="1032"/>
    <w:link w:val="1163"/>
    <w:uiPriority w:val="0"/>
    <w:qFormat/>
    <w:pPr>
      <w:jc w:val="center"/>
    </w:pPr>
    <w:rPr>
      <w:rFonts w:eastAsia="幼圆"/>
      <w:b/>
      <w:bCs/>
      <w:sz w:val="44"/>
    </w:rPr>
  </w:style>
  <w:style w:type="paragraph" w:styleId="1053">
    <w:name w:val="Body Text Indent"/>
    <w:basedOn w:val="1032"/>
    <w:link w:val="1119"/>
    <w:uiPriority w:val="0"/>
    <w:qFormat/>
    <w:pPr>
      <w:ind w:left="420"/>
      <w:spacing w:after="120"/>
    </w:pPr>
  </w:style>
  <w:style w:type="paragraph" w:styleId="1054">
    <w:name w:val="Block Text"/>
    <w:basedOn w:val="1032"/>
    <w:next w:val="1032"/>
    <w:uiPriority w:val="99"/>
    <w:unhideWhenUsed/>
    <w:qFormat/>
    <w:pPr>
      <w:ind w:left="1440" w:right="1440"/>
      <w:spacing w:after="120"/>
    </w:pPr>
  </w:style>
  <w:style w:type="paragraph" w:styleId="1055">
    <w:name w:val="index 4"/>
    <w:basedOn w:val="1032"/>
    <w:next w:val="1032"/>
    <w:uiPriority w:val="0"/>
    <w:qFormat/>
    <w:pPr>
      <w:ind w:left="600"/>
    </w:pPr>
    <w:rPr>
      <w:rFonts w:ascii="Calibri" w:hAnsi="Calibri"/>
    </w:rPr>
  </w:style>
  <w:style w:type="paragraph" w:styleId="1056">
    <w:name w:val="toc 5"/>
    <w:basedOn w:val="1032"/>
    <w:next w:val="1032"/>
    <w:uiPriority w:val="39"/>
    <w:unhideWhenUsed/>
    <w:qFormat/>
    <w:pPr>
      <w:ind w:left="1680"/>
    </w:pPr>
    <w:rPr>
      <w:rFonts w:ascii="Calibri" w:hAnsi="Calibri"/>
      <w:szCs w:val="22"/>
    </w:rPr>
  </w:style>
  <w:style w:type="paragraph" w:styleId="1057">
    <w:name w:val="toc 3"/>
    <w:basedOn w:val="1032"/>
    <w:next w:val="1032"/>
    <w:uiPriority w:val="39"/>
    <w:qFormat/>
    <w:pPr>
      <w:ind w:left="840"/>
    </w:pPr>
    <w:rPr>
      <w:rFonts w:ascii="Calibri" w:hAnsi="Calibri"/>
      <w:szCs w:val="22"/>
    </w:rPr>
  </w:style>
  <w:style w:type="paragraph" w:styleId="1058">
    <w:name w:val="Plain Text"/>
    <w:basedOn w:val="1032"/>
    <w:link w:val="1125"/>
    <w:uiPriority w:val="0"/>
    <w:qFormat/>
    <w:rPr>
      <w:rFonts w:ascii="Ari"/>
    </w:rPr>
  </w:style>
  <w:style w:type="paragraph" w:styleId="1059">
    <w:name w:val="toc 8"/>
    <w:basedOn w:val="1032"/>
    <w:next w:val="1032"/>
    <w:uiPriority w:val="39"/>
    <w:unhideWhenUsed/>
    <w:qFormat/>
    <w:pPr>
      <w:ind w:left="2940"/>
    </w:pPr>
    <w:rPr>
      <w:rFonts w:ascii="Calibri" w:hAnsi="Calibri"/>
      <w:szCs w:val="22"/>
    </w:rPr>
  </w:style>
  <w:style w:type="paragraph" w:styleId="1060">
    <w:name w:val="Date"/>
    <w:basedOn w:val="1032"/>
    <w:next w:val="1032"/>
    <w:link w:val="1133"/>
    <w:uiPriority w:val="0"/>
    <w:unhideWhenUsed/>
    <w:qFormat/>
  </w:style>
  <w:style w:type="paragraph" w:styleId="1061">
    <w:name w:val="Body Text Indent 2"/>
    <w:basedOn w:val="1032"/>
    <w:link w:val="1155"/>
    <w:uiPriority w:val="99"/>
    <w:unhideWhenUsed/>
    <w:qFormat/>
    <w:pPr>
      <w:ind w:firstLine="525"/>
      <w:spacing w:line="420" w:lineRule="exact"/>
    </w:pPr>
    <w:rPr>
      <w:rFonts w:ascii="宋体"/>
      <w:sz w:val="20"/>
      <w:szCs w:val="20"/>
    </w:rPr>
  </w:style>
  <w:style w:type="paragraph" w:styleId="1062">
    <w:name w:val="Balloon Text"/>
    <w:basedOn w:val="1032"/>
    <w:link w:val="1178"/>
    <w:uiPriority w:val="0"/>
    <w:qFormat/>
    <w:rPr>
      <w:sz w:val="18"/>
      <w:szCs w:val="18"/>
    </w:rPr>
  </w:style>
  <w:style w:type="paragraph" w:styleId="1063">
    <w:name w:val="Footer"/>
    <w:basedOn w:val="1032"/>
    <w:link w:val="1168"/>
    <w:uiPriority w:val="99"/>
    <w:qFormat/>
    <w:pPr>
      <w:jc w:val="left"/>
      <w:tabs>
        <w:tab w:val="center" w:pos="4153" w:leader="none"/>
        <w:tab w:val="right" w:pos="8306" w:leader="none"/>
      </w:tabs>
    </w:pPr>
    <w:rPr>
      <w:sz w:val="18"/>
      <w:szCs w:val="18"/>
    </w:rPr>
  </w:style>
  <w:style w:type="paragraph" w:styleId="1064">
    <w:name w:val="envelope return"/>
    <w:basedOn w:val="1032"/>
    <w:uiPriority w:val="0"/>
    <w:qFormat/>
    <w:rPr>
      <w:rFonts w:ascii="Arial" w:hAnsi="Arial"/>
    </w:rPr>
  </w:style>
  <w:style w:type="paragraph" w:styleId="1065">
    <w:name w:val="Header"/>
    <w:basedOn w:val="1032"/>
    <w:link w:val="1123"/>
    <w:uiPriority w:val="0"/>
    <w:qFormat/>
    <w:pPr>
      <w:jc w:val="center"/>
      <w:tabs>
        <w:tab w:val="center" w:pos="4153" w:leader="none"/>
        <w:tab w:val="right" w:pos="8306" w:leader="none"/>
      </w:tabs>
      <w:pBdr>
        <w:bottom w:val="single" w:color="auto" w:sz="6" w:space="1"/>
      </w:pBdr>
    </w:pPr>
    <w:rPr>
      <w:sz w:val="18"/>
      <w:szCs w:val="18"/>
    </w:rPr>
  </w:style>
  <w:style w:type="paragraph" w:styleId="1066">
    <w:name w:val="toc 1"/>
    <w:basedOn w:val="1032"/>
    <w:next w:val="1032"/>
    <w:uiPriority w:val="39"/>
    <w:qFormat/>
  </w:style>
  <w:style w:type="paragraph" w:styleId="1067">
    <w:name w:val="toc 4"/>
    <w:basedOn w:val="1032"/>
    <w:next w:val="1032"/>
    <w:uiPriority w:val="39"/>
    <w:unhideWhenUsed/>
    <w:qFormat/>
    <w:pPr>
      <w:ind w:left="1260"/>
    </w:pPr>
    <w:rPr>
      <w:rFonts w:ascii="Calibri" w:hAnsi="Calibri"/>
      <w:szCs w:val="22"/>
    </w:rPr>
  </w:style>
  <w:style w:type="paragraph" w:styleId="1068">
    <w:name w:val="Subtitle"/>
    <w:basedOn w:val="1032"/>
    <w:next w:val="1032"/>
    <w:link w:val="1151"/>
    <w:uiPriority w:val="0"/>
    <w:qFormat/>
    <w:pPr>
      <w:jc w:val="center"/>
      <w:spacing w:before="240" w:after="60" w:line="312" w:lineRule="auto"/>
      <w:outlineLvl w:val="1"/>
    </w:pPr>
    <w:rPr>
      <w:rFonts w:ascii="Cambria" w:hAnsi="Cambria"/>
      <w:b/>
      <w:bCs/>
      <w:sz w:val="32"/>
      <w:szCs w:val="32"/>
    </w:rPr>
  </w:style>
  <w:style w:type="paragraph" w:styleId="1069">
    <w:name w:val="toc 6"/>
    <w:basedOn w:val="1032"/>
    <w:next w:val="1032"/>
    <w:uiPriority w:val="39"/>
    <w:unhideWhenUsed/>
    <w:qFormat/>
    <w:pPr>
      <w:ind w:left="2100"/>
    </w:pPr>
    <w:rPr>
      <w:rFonts w:ascii="Calibri" w:hAnsi="Calibri"/>
      <w:szCs w:val="22"/>
    </w:rPr>
  </w:style>
  <w:style w:type="paragraph" w:styleId="1070">
    <w:name w:val="Body Text Indent 3"/>
    <w:basedOn w:val="1032"/>
    <w:link w:val="1176"/>
    <w:uiPriority w:val="0"/>
    <w:qFormat/>
    <w:pPr>
      <w:ind w:left="420"/>
      <w:spacing w:after="120"/>
    </w:pPr>
    <w:rPr>
      <w:sz w:val="16"/>
      <w:szCs w:val="20"/>
    </w:rPr>
  </w:style>
  <w:style w:type="paragraph" w:styleId="1071">
    <w:name w:val="toc 2"/>
    <w:basedOn w:val="1032"/>
    <w:next w:val="1032"/>
    <w:uiPriority w:val="39"/>
    <w:qFormat/>
    <w:pPr>
      <w:ind w:left="420"/>
    </w:pPr>
    <w:rPr>
      <w:rFonts w:ascii="Calibri" w:hAnsi="Calibri"/>
      <w:szCs w:val="22"/>
    </w:rPr>
  </w:style>
  <w:style w:type="paragraph" w:styleId="1072">
    <w:name w:val="toc 9"/>
    <w:basedOn w:val="1032"/>
    <w:next w:val="1032"/>
    <w:uiPriority w:val="39"/>
    <w:unhideWhenUsed/>
    <w:qFormat/>
    <w:pPr>
      <w:ind w:left="3360"/>
    </w:pPr>
    <w:rPr>
      <w:rFonts w:ascii="Calibri" w:hAnsi="Calibri"/>
      <w:szCs w:val="22"/>
    </w:rPr>
  </w:style>
  <w:style w:type="paragraph" w:styleId="1073">
    <w:name w:val="HTML Preformatted"/>
    <w:basedOn w:val="1032"/>
    <w:link w:val="125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4">
    <w:name w:val="Normal (Web)"/>
    <w:basedOn w:val="1032"/>
    <w:uiPriority w:val="0"/>
    <w:qFormat/>
    <w:pPr>
      <w:jc w:val="left"/>
      <w:spacing w:before="100" w:beforeAutospacing="1" w:after="100" w:afterAutospacing="1"/>
      <w:widowControl/>
    </w:pPr>
    <w:rPr>
      <w:rFonts w:ascii="宋体" w:hAnsi="宋体" w:cs="宋体"/>
      <w:sz w:val="24"/>
    </w:rPr>
  </w:style>
  <w:style w:type="paragraph" w:styleId="1075">
    <w:name w:val="index 1"/>
    <w:basedOn w:val="1032"/>
    <w:next w:val="1032"/>
    <w:uiPriority w:val="0"/>
    <w:qFormat/>
    <w:pPr>
      <w:jc w:val="center"/>
      <w:spacing w:line="220" w:lineRule="exact"/>
    </w:pPr>
    <w:rPr>
      <w:rFonts w:ascii="仿宋_GB2312" w:hAnsi="Calibri" w:eastAsia="仿宋_GB2312"/>
      <w:szCs w:val="22"/>
    </w:rPr>
  </w:style>
  <w:style w:type="paragraph" w:styleId="1076">
    <w:name w:val="Title"/>
    <w:basedOn w:val="1032"/>
    <w:link w:val="1128"/>
    <w:uiPriority w:val="0"/>
    <w:qFormat/>
    <w:pPr>
      <w:jc w:val="center"/>
      <w:spacing w:before="240" w:after="60" w:line="420" w:lineRule="atLeast"/>
      <w:outlineLvl w:val="0"/>
    </w:pPr>
    <w:rPr>
      <w:rFonts w:ascii="Arial" w:hAnsi="Arial"/>
      <w:b/>
      <w:sz w:val="32"/>
      <w:szCs w:val="20"/>
    </w:rPr>
  </w:style>
  <w:style w:type="paragraph" w:styleId="1077">
    <w:name w:val="annotation subject"/>
    <w:basedOn w:val="1050"/>
    <w:next w:val="1050"/>
    <w:link w:val="1166"/>
    <w:uiPriority w:val="0"/>
    <w:qFormat/>
    <w:rPr>
      <w:b/>
      <w:bCs/>
    </w:rPr>
  </w:style>
  <w:style w:type="paragraph" w:styleId="1078">
    <w:name w:val="Body Text First Indent"/>
    <w:basedOn w:val="1052"/>
    <w:uiPriority w:val="99"/>
    <w:unhideWhenUsed/>
    <w:qFormat/>
    <w:pPr>
      <w:ind w:firstLine="426"/>
      <w:spacing w:line="400" w:lineRule="atLeast"/>
    </w:pPr>
    <w:rPr>
      <w:sz w:val="24"/>
      <w:szCs w:val="20"/>
    </w:rPr>
  </w:style>
  <w:style w:type="paragraph" w:styleId="1079">
    <w:name w:val="Body Text First Indent 2"/>
    <w:basedOn w:val="1053"/>
    <w:uiPriority w:val="99"/>
    <w:unhideWhenUsed/>
    <w:qFormat/>
    <w:pPr>
      <w:ind w:firstLine="420"/>
    </w:pPr>
  </w:style>
  <w:style w:type="table" w:styleId="1080">
    <w:name w:val="Table Grid"/>
    <w:basedOn w:val="10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name w:val="Strong"/>
    <w:basedOn w:val="1042"/>
    <w:uiPriority w:val="0"/>
    <w:qFormat/>
    <w:rPr>
      <w:rFonts w:cs="Times New Roman"/>
      <w:b/>
    </w:rPr>
  </w:style>
  <w:style w:type="character" w:styleId="1082">
    <w:name w:val="page number"/>
    <w:uiPriority w:val="0"/>
    <w:qFormat/>
    <w:rPr>
      <w:rFonts w:eastAsia="宋体"/>
      <w:b/>
      <w:spacing w:val="0"/>
      <w:sz w:val="24"/>
      <w:szCs w:val="24"/>
      <w:vertAlign w:val="baseline"/>
      <w:lang w:val="en-US" w:eastAsia="zh-CN" w:bidi="ar-SA"/>
    </w:rPr>
  </w:style>
  <w:style w:type="character" w:styleId="1083">
    <w:name w:val="FollowedHyperlink"/>
    <w:uiPriority w:val="0"/>
    <w:qFormat/>
    <w:rPr>
      <w:color w:val="800080"/>
      <w:u w:val="single"/>
    </w:rPr>
  </w:style>
  <w:style w:type="character" w:styleId="1084">
    <w:name w:val="Emphasis"/>
    <w:basedOn w:val="1042"/>
    <w:uiPriority w:val="0"/>
    <w:qFormat/>
    <w:rPr>
      <w:color w:val="cc0000"/>
    </w:rPr>
  </w:style>
  <w:style w:type="character" w:styleId="1085">
    <w:name w:val="Hyperlink"/>
    <w:uiPriority w:val="99"/>
    <w:qFormat/>
    <w:rPr>
      <w:color w:val="0000ff"/>
      <w:u w:val="single"/>
    </w:rPr>
  </w:style>
  <w:style w:type="character" w:styleId="1086">
    <w:name w:val="annotation reference"/>
    <w:uiPriority w:val="0"/>
    <w:qFormat/>
    <w:rPr>
      <w:sz w:val="21"/>
      <w:szCs w:val="21"/>
    </w:rPr>
  </w:style>
  <w:style w:type="character" w:styleId="1087">
    <w:name w:val="HTML Cite"/>
    <w:uiPriority w:val="0"/>
    <w:qFormat/>
    <w:rPr>
      <w:color w:val="008000"/>
    </w:rPr>
  </w:style>
  <w:style w:type="paragraph" w:styleId="1088" w:customStyle="1">
    <w:name w:val="一级条标题"/>
    <w:basedOn w:val="1089"/>
    <w:next w:val="10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9" w:customStyle="1">
    <w:name w:val="章标题"/>
    <w:next w:val="103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90" w:customStyle="1">
    <w:name w:val="段"/>
    <w:basedOn w:val="1091"/>
    <w:next w:val="1032"/>
    <w:uiPriority w:val="0"/>
    <w:qFormat/>
    <w:pPr>
      <w:ind w:firstLine="200"/>
      <w:widowControl/>
    </w:pPr>
    <w:rPr>
      <w:rFonts w:hint="eastAsia" w:ascii="宋体"/>
    </w:rPr>
  </w:style>
  <w:style w:type="paragraph" w:styleId="1091" w:customStyle="1">
    <w:name w:val="正文1"/>
    <w:next w:val="1092"/>
    <w:uiPriority w:val="0"/>
    <w:qFormat/>
    <w:pPr>
      <w:jc w:val="both"/>
      <w:widowControl w:val="off"/>
    </w:pPr>
    <w:rPr>
      <w:rFonts w:ascii="Calibri" w:hAnsi="Calibri" w:eastAsia="宋体" w:cs="Times New Roman"/>
      <w:lang w:val="en-US" w:eastAsia="zh-CN" w:bidi="ar-SA"/>
    </w:rPr>
  </w:style>
  <w:style w:type="paragraph" w:styleId="1092" w:customStyle="1">
    <w:name w:val="正文文本1"/>
    <w:basedOn w:val="1093"/>
    <w:next w:val="1088"/>
    <w:uiPriority w:val="0"/>
    <w:qFormat/>
    <w:rPr>
      <w:rFonts w:ascii="楷体_GB2312" w:hAnsi="Arial" w:eastAsia="楷体_GB2312"/>
      <w:sz w:val="28"/>
      <w:szCs w:val="28"/>
    </w:rPr>
  </w:style>
  <w:style w:type="paragraph" w:styleId="1093" w:customStyle="1">
    <w:name w:val="正文111"/>
    <w:next w:val="1094"/>
    <w:uiPriority w:val="0"/>
    <w:qFormat/>
    <w:pPr>
      <w:jc w:val="both"/>
      <w:widowControl w:val="off"/>
    </w:pPr>
    <w:rPr>
      <w:rFonts w:ascii="Times New Roman" w:hAnsi="Times New Roman" w:eastAsia="宋体" w:cs="Times New Roman"/>
      <w:sz w:val="21"/>
      <w:szCs w:val="24"/>
      <w:lang w:val="en-US" w:eastAsia="zh-CN" w:bidi="ar-SA"/>
    </w:rPr>
  </w:style>
  <w:style w:type="paragraph" w:styleId="1094" w:customStyle="1">
    <w:name w:val="正文文本缩进1"/>
    <w:basedOn w:val="1095"/>
    <w:next w:val="1098"/>
    <w:uiPriority w:val="0"/>
    <w:qFormat/>
    <w:pPr>
      <w:ind w:left="420"/>
      <w:spacing w:after="120"/>
    </w:pPr>
  </w:style>
  <w:style w:type="paragraph" w:styleId="1095" w:customStyle="1">
    <w:name w:val="正文11"/>
    <w:next w:val="1096"/>
    <w:uiPriority w:val="0"/>
    <w:qFormat/>
    <w:rPr>
      <w:rFonts w:ascii="Calibri" w:hAnsi="Calibri" w:eastAsia="宋体" w:cs="Calibri"/>
      <w:sz w:val="24"/>
      <w:szCs w:val="24"/>
      <w:lang w:val="en-US" w:eastAsia="zh-CN" w:bidi="ar-SA"/>
    </w:rPr>
  </w:style>
  <w:style w:type="paragraph" w:styleId="1096" w:customStyle="1">
    <w:name w:val="文本块1"/>
    <w:basedOn w:val="1093"/>
    <w:next w:val="1097"/>
    <w:uiPriority w:val="0"/>
    <w:qFormat/>
    <w:pPr>
      <w:ind w:left="256" w:right="6" w:firstLine="624"/>
    </w:pPr>
    <w:rPr>
      <w:rFonts w:eastAsia="仿宋_GB2312"/>
      <w:sz w:val="28"/>
    </w:rPr>
  </w:style>
  <w:style w:type="paragraph" w:styleId="1097" w:customStyle="1">
    <w:name w:val="标题 41"/>
    <w:basedOn w:val="1095"/>
    <w:next w:val="1095"/>
    <w:uiPriority w:val="0"/>
    <w:qFormat/>
    <w:pPr>
      <w:keepLines/>
      <w:keepNext/>
      <w:spacing w:before="280" w:after="290" w:line="376" w:lineRule="auto"/>
      <w:outlineLvl w:val="3"/>
    </w:pPr>
    <w:rPr>
      <w:rFonts w:ascii="Cambria" w:hAnsi="Cambria"/>
      <w:b/>
      <w:bCs/>
      <w:sz w:val="28"/>
      <w:szCs w:val="28"/>
    </w:rPr>
  </w:style>
  <w:style w:type="paragraph" w:styleId="1098" w:customStyle="1">
    <w:name w:val="寄信人地址1"/>
    <w:basedOn w:val="1032"/>
    <w:uiPriority w:val="0"/>
    <w:qFormat/>
    <w:rPr>
      <w:rFonts w:ascii="Arial" w:hAnsi="Arial"/>
    </w:rPr>
  </w:style>
  <w:style w:type="paragraph" w:styleId="10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Body Text First Indent 21"/>
    <w:basedOn w:val="1102"/>
    <w:uiPriority w:val="0"/>
    <w:qFormat/>
    <w:pPr>
      <w:ind w:firstLine="420"/>
    </w:pPr>
  </w:style>
  <w:style w:type="paragraph" w:styleId="1102" w:customStyle="1">
    <w:name w:val="Body Text Indent1"/>
    <w:basedOn w:val="1032"/>
    <w:uiPriority w:val="0"/>
    <w:qFormat/>
    <w:pPr>
      <w:ind w:left="420"/>
    </w:pPr>
  </w:style>
  <w:style w:type="paragraph" w:styleId="1103">
    <w:name w:val="List Paragraph"/>
    <w:basedOn w:val="1032"/>
    <w:link w:val="1283"/>
    <w:uiPriority w:val="99"/>
    <w:qFormat/>
    <w:pPr>
      <w:ind w:firstLine="420"/>
    </w:pPr>
  </w:style>
  <w:style w:type="character" w:styleId="1104" w:customStyle="1">
    <w:name w:val="明显强调1"/>
    <w:uiPriority w:val="0"/>
    <w:qFormat/>
    <w:rPr>
      <w:b/>
      <w:bCs/>
      <w:i/>
      <w:iCs/>
      <w:color w:val="4f81bd"/>
    </w:rPr>
  </w:style>
  <w:style w:type="character" w:styleId="1105" w:customStyle="1">
    <w:name w:val="批注文字 Char2"/>
    <w:uiPriority w:val="0"/>
    <w:qFormat/>
    <w:rPr>
      <w:sz w:val="21"/>
    </w:rPr>
  </w:style>
  <w:style w:type="character" w:styleId="1106" w:customStyle="1">
    <w:name w:val="标题 3 Char_0"/>
    <w:link w:val="1107"/>
    <w:uiPriority w:val="0"/>
    <w:qFormat/>
    <w:rPr>
      <w:b/>
      <w:bCs/>
      <w:sz w:val="32"/>
      <w:szCs w:val="32"/>
    </w:rPr>
  </w:style>
  <w:style w:type="paragraph" w:styleId="1107" w:customStyle="1">
    <w:name w:val="标题 3_0"/>
    <w:basedOn w:val="1108"/>
    <w:next w:val="1108"/>
    <w:link w:val="1106"/>
    <w:uiPriority w:val="0"/>
    <w:qFormat/>
    <w:pPr>
      <w:keepLines/>
      <w:keepNext/>
      <w:spacing w:before="260" w:after="260" w:line="416" w:lineRule="auto"/>
      <w:outlineLvl w:val="2"/>
    </w:pPr>
    <w:rPr>
      <w:b/>
      <w:bCs/>
      <w:sz w:val="32"/>
      <w:szCs w:val="32"/>
    </w:rPr>
  </w:style>
  <w:style w:type="paragraph" w:styleId="110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9" w:customStyle="1">
    <w:name w:val="标题 2 字符"/>
    <w:link w:val="1034"/>
    <w:uiPriority w:val="0"/>
    <w:qFormat/>
    <w:rPr>
      <w:rFonts w:ascii="Cambria" w:hAnsi="Cambria"/>
      <w:b/>
      <w:bCs/>
      <w:sz w:val="32"/>
      <w:szCs w:val="32"/>
    </w:rPr>
  </w:style>
  <w:style w:type="character" w:styleId="1110" w:customStyle="1">
    <w:name w:val="正文文本 Char2"/>
    <w:uiPriority w:val="99"/>
    <w:semiHidden/>
    <w:qFormat/>
    <w:rPr>
      <w:rFonts w:ascii="Calibri" w:hAnsi="Calibri" w:eastAsia="宋体" w:cs="Times New Roman"/>
    </w:rPr>
  </w:style>
  <w:style w:type="character" w:styleId="1111" w:customStyle="1">
    <w:name w:val="页脚 Char1"/>
    <w:uiPriority w:val="99"/>
    <w:semiHidden/>
    <w:qFormat/>
    <w:rPr>
      <w:rFonts w:ascii="Calibri" w:hAnsi="Calibri" w:eastAsia="宋体" w:cs="Times New Roman"/>
      <w:sz w:val="18"/>
      <w:szCs w:val="18"/>
    </w:rPr>
  </w:style>
  <w:style w:type="character" w:styleId="1112" w:customStyle="1">
    <w:name w:val="明显引用 Char2"/>
    <w:uiPriority w:val="99"/>
    <w:qFormat/>
    <w:rPr>
      <w:b/>
      <w:bCs/>
      <w:i/>
      <w:iCs/>
      <w:color w:val="4f81bd"/>
      <w:sz w:val="21"/>
      <w:szCs w:val="24"/>
    </w:rPr>
  </w:style>
  <w:style w:type="character" w:styleId="1113" w:customStyle="1">
    <w:name w:val="引用 Char"/>
    <w:link w:val="1114"/>
    <w:uiPriority w:val="0"/>
    <w:qFormat/>
    <w:rPr>
      <w:i/>
      <w:iCs/>
      <w:color w:val="000000"/>
    </w:rPr>
  </w:style>
  <w:style w:type="paragraph" w:styleId="1114" w:customStyle="1">
    <w:name w:val="引用1"/>
    <w:basedOn w:val="1032"/>
    <w:next w:val="1032"/>
    <w:link w:val="1113"/>
    <w:uiPriority w:val="0"/>
    <w:qFormat/>
    <w:rPr>
      <w:i/>
      <w:iCs/>
      <w:color w:val="000000"/>
      <w:sz w:val="20"/>
      <w:szCs w:val="20"/>
    </w:rPr>
  </w:style>
  <w:style w:type="character" w:styleId="1115" w:customStyle="1">
    <w:name w:val="标题 1 Char_0"/>
    <w:link w:val="1116"/>
    <w:uiPriority w:val="0"/>
    <w:qFormat/>
    <w:rPr>
      <w:b/>
      <w:bCs/>
      <w:sz w:val="44"/>
      <w:szCs w:val="44"/>
    </w:rPr>
  </w:style>
  <w:style w:type="paragraph" w:styleId="1116" w:customStyle="1">
    <w:name w:val="标题 1_0"/>
    <w:basedOn w:val="1108"/>
    <w:next w:val="1108"/>
    <w:link w:val="1115"/>
    <w:uiPriority w:val="0"/>
    <w:qFormat/>
    <w:pPr>
      <w:keepLines/>
      <w:keepNext/>
      <w:spacing w:before="340" w:after="330" w:line="578" w:lineRule="auto"/>
      <w:outlineLvl w:val="0"/>
    </w:pPr>
    <w:rPr>
      <w:b/>
      <w:bCs/>
      <w:sz w:val="44"/>
      <w:szCs w:val="44"/>
    </w:rPr>
  </w:style>
  <w:style w:type="character" w:styleId="1117" w:customStyle="1">
    <w:name w:val="正文文本缩进 3 Char1"/>
    <w:uiPriority w:val="99"/>
    <w:semiHidden/>
    <w:qFormat/>
    <w:rPr>
      <w:sz w:val="16"/>
      <w:szCs w:val="16"/>
    </w:rPr>
  </w:style>
  <w:style w:type="character" w:styleId="1118" w:customStyle="1">
    <w:name w:val="引用 Char1"/>
    <w:uiPriority w:val="29"/>
    <w:qFormat/>
    <w:rPr>
      <w:i/>
      <w:iCs/>
      <w:color w:val="000000"/>
      <w:sz w:val="21"/>
    </w:rPr>
  </w:style>
  <w:style w:type="character" w:styleId="1119" w:customStyle="1">
    <w:name w:val="正文文本缩进 字符"/>
    <w:link w:val="1053"/>
    <w:uiPriority w:val="0"/>
    <w:qFormat/>
    <w:rPr>
      <w:sz w:val="21"/>
      <w:szCs w:val="24"/>
    </w:rPr>
  </w:style>
  <w:style w:type="character" w:styleId="1120" w:customStyle="1">
    <w:name w:val="font161"/>
    <w:uiPriority w:val="0"/>
    <w:qFormat/>
    <w:rPr>
      <w:b/>
      <w:sz w:val="32"/>
    </w:rPr>
  </w:style>
  <w:style w:type="character" w:styleId="1121" w:customStyle="1">
    <w:name w:val="标题 4 Char_0"/>
    <w:link w:val="1122"/>
    <w:uiPriority w:val="0"/>
    <w:qFormat/>
    <w:rPr>
      <w:rFonts w:ascii="Arial" w:hAnsi="Arial" w:eastAsia="黑体"/>
      <w:b/>
      <w:bCs/>
      <w:sz w:val="28"/>
      <w:szCs w:val="28"/>
    </w:rPr>
  </w:style>
  <w:style w:type="paragraph" w:styleId="1122" w:customStyle="1">
    <w:name w:val="标题 4_0"/>
    <w:basedOn w:val="1108"/>
    <w:next w:val="1108"/>
    <w:link w:val="1121"/>
    <w:uiPriority w:val="0"/>
    <w:qFormat/>
    <w:pPr>
      <w:keepLines/>
      <w:keepNext/>
      <w:spacing w:before="280" w:after="290" w:line="376" w:lineRule="auto"/>
      <w:outlineLvl w:val="3"/>
    </w:pPr>
    <w:rPr>
      <w:rFonts w:ascii="Arial" w:hAnsi="Arial" w:eastAsia="黑体"/>
      <w:b/>
      <w:bCs/>
      <w:sz w:val="28"/>
      <w:szCs w:val="28"/>
    </w:rPr>
  </w:style>
  <w:style w:type="character" w:styleId="1123" w:customStyle="1">
    <w:name w:val="页眉 字符"/>
    <w:link w:val="1065"/>
    <w:uiPriority w:val="0"/>
    <w:qFormat/>
    <w:rPr>
      <w:sz w:val="18"/>
      <w:szCs w:val="18"/>
    </w:rPr>
  </w:style>
  <w:style w:type="character" w:styleId="1124" w:customStyle="1">
    <w:name w:val="标题 6 字符"/>
    <w:link w:val="1038"/>
    <w:uiPriority w:val="0"/>
    <w:qFormat/>
    <w:rPr>
      <w:rFonts w:ascii="Cambria" w:hAnsi="Cambria"/>
      <w:b/>
      <w:bCs/>
      <w:sz w:val="24"/>
      <w:szCs w:val="24"/>
    </w:rPr>
  </w:style>
  <w:style w:type="character" w:styleId="1125" w:customStyle="1">
    <w:name w:val="纯文本 字符"/>
    <w:link w:val="1058"/>
    <w:uiPriority w:val="99"/>
    <w:qFormat/>
    <w:rPr>
      <w:rFonts w:ascii="Ari"/>
      <w:lang w:val="en-US" w:eastAsia="zh-CN" w:bidi="ar-SA"/>
    </w:rPr>
  </w:style>
  <w:style w:type="character" w:styleId="1126" w:customStyle="1">
    <w:name w:val="引用 Char2"/>
    <w:uiPriority w:val="99"/>
    <w:qFormat/>
    <w:rPr>
      <w:i/>
      <w:iCs/>
      <w:color w:val="000000"/>
      <w:sz w:val="21"/>
      <w:szCs w:val="24"/>
    </w:rPr>
  </w:style>
  <w:style w:type="character" w:styleId="1127" w:customStyle="1">
    <w:name w:val="rvts11"/>
    <w:uiPriority w:val="0"/>
    <w:qFormat/>
    <w:rPr>
      <w:rFonts w:hint="default" w:ascii="KNLe" w:hAnsi="KNLe"/>
      <w:sz w:val="24"/>
      <w:szCs w:val="24"/>
      <w:u w:val="single"/>
    </w:rPr>
  </w:style>
  <w:style w:type="character" w:styleId="1128" w:customStyle="1">
    <w:name w:val="标题 字符"/>
    <w:link w:val="1076"/>
    <w:uiPriority w:val="0"/>
    <w:qFormat/>
    <w:rPr>
      <w:rFonts w:ascii="Arial" w:hAnsi="Arial"/>
      <w:b/>
      <w:sz w:val="32"/>
    </w:rPr>
  </w:style>
  <w:style w:type="character" w:styleId="1129" w:customStyle="1">
    <w:name w:val="标题5 Char Char"/>
    <w:link w:val="1130"/>
    <w:uiPriority w:val="0"/>
    <w:qFormat/>
    <w:rPr>
      <w:rFonts w:ascii="Arial" w:hAnsi="Arial"/>
      <w:b/>
      <w:bCs/>
      <w:sz w:val="24"/>
      <w:szCs w:val="32"/>
    </w:rPr>
  </w:style>
  <w:style w:type="paragraph" w:styleId="1130" w:customStyle="1">
    <w:name w:val="标题5"/>
    <w:basedOn w:val="1035"/>
    <w:link w:val="1129"/>
    <w:uiPriority w:val="0"/>
    <w:qFormat/>
    <w:pPr>
      <w:numPr>
        <w:ilvl w:val="0"/>
        <w:numId w:val="0"/>
      </w:numPr>
      <w:spacing w:line="413" w:lineRule="auto"/>
    </w:pPr>
    <w:rPr>
      <w:rFonts w:ascii="Arial" w:hAnsi="Arial"/>
      <w:sz w:val="24"/>
    </w:rPr>
  </w:style>
  <w:style w:type="character" w:styleId="1131" w:customStyle="1">
    <w:name w:val="副标题 Char2"/>
    <w:uiPriority w:val="11"/>
    <w:qFormat/>
    <w:rPr>
      <w:rFonts w:ascii="Cambria" w:hAnsi="Cambria" w:cs="Times New Roman"/>
      <w:b/>
      <w:bCs/>
      <w:sz w:val="32"/>
      <w:szCs w:val="32"/>
    </w:rPr>
  </w:style>
  <w:style w:type="character" w:styleId="1132" w:customStyle="1">
    <w:name w:val="文档结构图 字符"/>
    <w:link w:val="1049"/>
    <w:uiPriority w:val="0"/>
    <w:qFormat/>
    <w:rPr>
      <w:rFonts w:ascii="宋体"/>
      <w:sz w:val="18"/>
      <w:szCs w:val="18"/>
    </w:rPr>
  </w:style>
  <w:style w:type="character" w:styleId="1133" w:customStyle="1">
    <w:name w:val="日期 字符"/>
    <w:link w:val="1060"/>
    <w:uiPriority w:val="0"/>
    <w:qFormat/>
    <w:rPr>
      <w:sz w:val="21"/>
      <w:szCs w:val="24"/>
    </w:rPr>
  </w:style>
  <w:style w:type="character" w:styleId="1134" w:customStyle="1">
    <w:name w:val="批注主题 Char1"/>
    <w:uiPriority w:val="0"/>
    <w:qFormat/>
    <w:rPr>
      <w:b/>
      <w:bCs/>
      <w:sz w:val="21"/>
      <w:szCs w:val="22"/>
    </w:rPr>
  </w:style>
  <w:style w:type="character" w:styleId="1135" w:customStyle="1">
    <w:name w:val="font31"/>
    <w:uiPriority w:val="0"/>
    <w:qFormat/>
    <w:rPr>
      <w:rFonts w:hint="eastAsia" w:ascii="宋体" w:hAnsi="宋体" w:eastAsia="宋体" w:cs="宋体"/>
      <w:color w:val="000000"/>
      <w:sz w:val="20"/>
      <w:szCs w:val="20"/>
      <w:u w:val="none"/>
    </w:rPr>
  </w:style>
  <w:style w:type="character" w:styleId="1136" w:customStyle="1">
    <w:name w:val="明显引用 Char"/>
    <w:link w:val="1137"/>
    <w:uiPriority w:val="0"/>
    <w:qFormat/>
    <w:rPr>
      <w:b/>
      <w:bCs/>
      <w:i/>
      <w:iCs/>
      <w:color w:val="4f81bd"/>
    </w:rPr>
  </w:style>
  <w:style w:type="paragraph" w:styleId="1137" w:customStyle="1">
    <w:name w:val="明显引用1"/>
    <w:basedOn w:val="1032"/>
    <w:next w:val="1032"/>
    <w:link w:val="1136"/>
    <w:uiPriority w:val="0"/>
    <w:qFormat/>
    <w:pPr>
      <w:ind w:left="936" w:right="936"/>
      <w:spacing w:before="200" w:after="280"/>
      <w:pBdr>
        <w:bottom w:val="single" w:color="4F81BD" w:sz="4" w:space="4"/>
      </w:pBdr>
    </w:pPr>
    <w:rPr>
      <w:b/>
      <w:bCs/>
      <w:i/>
      <w:iCs/>
      <w:color w:val="4f81bd"/>
      <w:sz w:val="20"/>
      <w:szCs w:val="20"/>
    </w:rPr>
  </w:style>
  <w:style w:type="character" w:styleId="1138" w:customStyle="1">
    <w:name w:val="标题 5 字符"/>
    <w:link w:val="1037"/>
    <w:uiPriority w:val="0"/>
    <w:qFormat/>
    <w:rPr>
      <w:b/>
      <w:bCs/>
      <w:sz w:val="28"/>
      <w:szCs w:val="28"/>
    </w:rPr>
  </w:style>
  <w:style w:type="character" w:styleId="1139" w:customStyle="1">
    <w:name w:val="日期 Char1"/>
    <w:uiPriority w:val="0"/>
    <w:qFormat/>
    <w:rPr>
      <w:rFonts w:ascii="Calibri" w:hAnsi="Calibri" w:eastAsia="宋体" w:cs="Times New Roman"/>
    </w:rPr>
  </w:style>
  <w:style w:type="character" w:styleId="1140" w:customStyle="1">
    <w:name w:val="批注框文本 Char1"/>
    <w:uiPriority w:val="0"/>
    <w:qFormat/>
    <w:rPr>
      <w:sz w:val="18"/>
      <w:szCs w:val="18"/>
    </w:rPr>
  </w:style>
  <w:style w:type="character" w:styleId="1141" w:customStyle="1">
    <w:name w:val="标题 Char1"/>
    <w:uiPriority w:val="10"/>
    <w:qFormat/>
    <w:rPr>
      <w:rFonts w:ascii="Cambria" w:hAnsi="Cambria" w:eastAsia="宋体" w:cs="Times New Roman"/>
      <w:b/>
      <w:bCs/>
      <w:sz w:val="32"/>
      <w:szCs w:val="32"/>
    </w:rPr>
  </w:style>
  <w:style w:type="character" w:styleId="1142" w:customStyle="1">
    <w:name w:val="标题 9 字符"/>
    <w:link w:val="1041"/>
    <w:uiPriority w:val="0"/>
    <w:qFormat/>
    <w:rPr>
      <w:rFonts w:ascii="Cambria" w:hAnsi="Cambria"/>
      <w:sz w:val="21"/>
      <w:szCs w:val="21"/>
    </w:rPr>
  </w:style>
  <w:style w:type="character" w:styleId="1143" w:customStyle="1">
    <w:name w:val="不明显参考1"/>
    <w:uiPriority w:val="0"/>
    <w:qFormat/>
    <w:rPr>
      <w:smallCaps/>
      <w:color w:val="c0504d"/>
      <w:u w:val="single"/>
    </w:rPr>
  </w:style>
  <w:style w:type="character" w:styleId="1144" w:customStyle="1">
    <w:name w:val="批注文字 Char1"/>
    <w:uiPriority w:val="0"/>
    <w:qFormat/>
    <w:rPr>
      <w:rFonts w:ascii="Calibri" w:hAnsi="Calibri" w:eastAsia="宋体" w:cs="Times New Roman"/>
    </w:rPr>
  </w:style>
  <w:style w:type="character" w:styleId="1145" w:customStyle="1">
    <w:name w:val="标题 Char2"/>
    <w:uiPriority w:val="10"/>
    <w:qFormat/>
    <w:rPr>
      <w:rFonts w:ascii="Cambria" w:hAnsi="Cambria" w:cs="Times New Roman"/>
      <w:b/>
      <w:bCs/>
      <w:sz w:val="32"/>
      <w:szCs w:val="32"/>
    </w:rPr>
  </w:style>
  <w:style w:type="character" w:styleId="1146" w:customStyle="1">
    <w:name w:val="正文文本 3 Char1"/>
    <w:uiPriority w:val="99"/>
    <w:semiHidden/>
    <w:qFormat/>
    <w:rPr>
      <w:sz w:val="16"/>
      <w:szCs w:val="16"/>
    </w:rPr>
  </w:style>
  <w:style w:type="character" w:styleId="1147" w:customStyle="1">
    <w:name w:val="批注主题 Char2"/>
    <w:uiPriority w:val="0"/>
    <w:qFormat/>
    <w:rPr>
      <w:b/>
      <w:bCs/>
      <w:sz w:val="21"/>
    </w:rPr>
  </w:style>
  <w:style w:type="character" w:styleId="1148" w:customStyle="1">
    <w:name w:val="标题 3 字符"/>
    <w:link w:val="1035"/>
    <w:uiPriority w:val="0"/>
    <w:qFormat/>
    <w:rPr>
      <w:b/>
      <w:bCs/>
      <w:sz w:val="32"/>
      <w:szCs w:val="32"/>
    </w:rPr>
  </w:style>
  <w:style w:type="character" w:styleId="1149" w:customStyle="1">
    <w:name w:val="正文文本 Char_0"/>
    <w:link w:val="1150"/>
    <w:uiPriority w:val="0"/>
    <w:qFormat/>
    <w:rPr>
      <w:szCs w:val="24"/>
    </w:rPr>
  </w:style>
  <w:style w:type="paragraph" w:styleId="1150" w:customStyle="1">
    <w:name w:val="正文文本_0"/>
    <w:basedOn w:val="1108"/>
    <w:link w:val="1149"/>
    <w:uiPriority w:val="0"/>
    <w:qFormat/>
    <w:pPr>
      <w:spacing w:after="120"/>
    </w:pPr>
    <w:rPr>
      <w:sz w:val="20"/>
    </w:rPr>
  </w:style>
  <w:style w:type="character" w:styleId="1151" w:customStyle="1">
    <w:name w:val="副标题 字符"/>
    <w:link w:val="1068"/>
    <w:uiPriority w:val="0"/>
    <w:qFormat/>
    <w:rPr>
      <w:rFonts w:ascii="Cambria" w:hAnsi="Cambria"/>
      <w:b/>
      <w:bCs/>
      <w:sz w:val="32"/>
      <w:szCs w:val="32"/>
    </w:rPr>
  </w:style>
  <w:style w:type="character" w:styleId="1152" w:customStyle="1">
    <w:name w:val="bookmark"/>
    <w:basedOn w:val="1042"/>
    <w:uiPriority w:val="0"/>
    <w:qFormat/>
  </w:style>
  <w:style w:type="character" w:styleId="1153" w:customStyle="1">
    <w:name w:val="标题 5 Char_0"/>
    <w:link w:val="1154"/>
    <w:uiPriority w:val="0"/>
    <w:qFormat/>
    <w:rPr>
      <w:rFonts w:ascii="Calibri" w:hAnsi="Calibri"/>
      <w:b/>
      <w:bCs/>
      <w:sz w:val="28"/>
      <w:szCs w:val="28"/>
    </w:rPr>
  </w:style>
  <w:style w:type="paragraph" w:styleId="1154" w:customStyle="1">
    <w:name w:val="标题 5_0"/>
    <w:basedOn w:val="1108"/>
    <w:next w:val="1108"/>
    <w:link w:val="1153"/>
    <w:uiPriority w:val="0"/>
    <w:qFormat/>
    <w:pPr>
      <w:keepLines/>
      <w:keepNext/>
      <w:spacing w:before="280" w:after="290" w:line="372" w:lineRule="auto"/>
      <w:outlineLvl w:val="4"/>
    </w:pPr>
    <w:rPr>
      <w:rFonts w:ascii="Calibri" w:hAnsi="Calibri"/>
      <w:b/>
      <w:bCs/>
      <w:sz w:val="28"/>
      <w:szCs w:val="28"/>
    </w:rPr>
  </w:style>
  <w:style w:type="character" w:styleId="1155" w:customStyle="1">
    <w:name w:val="正文文本缩进 2 字符"/>
    <w:link w:val="1061"/>
    <w:uiPriority w:val="99"/>
    <w:qFormat/>
    <w:rPr>
      <w:rFonts w:ascii="宋体"/>
    </w:rPr>
  </w:style>
  <w:style w:type="character" w:styleId="1156" w:customStyle="1">
    <w:name w:val="批注文字 字符"/>
    <w:link w:val="1050"/>
    <w:uiPriority w:val="0"/>
    <w:qFormat/>
    <w:rPr>
      <w:sz w:val="21"/>
      <w:szCs w:val="24"/>
    </w:rPr>
  </w:style>
  <w:style w:type="character" w:styleId="1157" w:customStyle="1">
    <w:name w:val="font11"/>
    <w:uiPriority w:val="0"/>
    <w:qFormat/>
    <w:rPr>
      <w:rFonts w:hint="eastAsia" w:ascii="宋体" w:hAnsi="宋体" w:eastAsia="宋体" w:cs="宋体"/>
      <w:color w:val="000000"/>
      <w:sz w:val="20"/>
      <w:szCs w:val="20"/>
      <w:u w:val="none"/>
    </w:rPr>
  </w:style>
  <w:style w:type="character" w:styleId="1158" w:customStyle="1">
    <w:name w:val="明显参考1"/>
    <w:uiPriority w:val="0"/>
    <w:qFormat/>
    <w:rPr>
      <w:b/>
      <w:bCs/>
      <w:smallCaps/>
      <w:color w:val="c0504d"/>
      <w:spacing w:val="5"/>
      <w:u w:val="single"/>
    </w:rPr>
  </w:style>
  <w:style w:type="character" w:styleId="1159" w:customStyle="1">
    <w:name w:val="超链接_0"/>
    <w:uiPriority w:val="99"/>
    <w:qFormat/>
    <w:rPr>
      <w:rFonts w:ascii="Calibri" w:hAnsi="Calibri"/>
      <w:color w:val="0000ff"/>
      <w:u w:val="single"/>
    </w:rPr>
  </w:style>
  <w:style w:type="character" w:styleId="1160" w:customStyle="1">
    <w:name w:val="文档结构图 Char2"/>
    <w:uiPriority w:val="99"/>
    <w:semiHidden/>
    <w:qFormat/>
    <w:rPr>
      <w:rFonts w:ascii="宋体" w:hAnsi="Calibri" w:eastAsia="宋体" w:cs="Times New Roman"/>
      <w:sz w:val="18"/>
      <w:szCs w:val="18"/>
    </w:rPr>
  </w:style>
  <w:style w:type="character" w:styleId="1161" w:customStyle="1">
    <w:name w:val="textcontents"/>
    <w:uiPriority w:val="0"/>
    <w:qFormat/>
    <w:rPr>
      <w:rFonts w:cs="Times New Roman"/>
    </w:rPr>
  </w:style>
  <w:style w:type="character" w:styleId="1162" w:customStyle="1">
    <w:name w:val="标题 1 Char"/>
    <w:uiPriority w:val="0"/>
    <w:qFormat/>
    <w:rPr>
      <w:b/>
      <w:bCs/>
      <w:sz w:val="32"/>
      <w:szCs w:val="44"/>
    </w:rPr>
  </w:style>
  <w:style w:type="character" w:styleId="1163" w:customStyle="1">
    <w:name w:val="正文文本 字符"/>
    <w:link w:val="1052"/>
    <w:uiPriority w:val="0"/>
    <w:qFormat/>
    <w:rPr>
      <w:rFonts w:eastAsia="幼圆"/>
      <w:b/>
      <w:bCs/>
      <w:sz w:val="44"/>
      <w:szCs w:val="24"/>
    </w:rPr>
  </w:style>
  <w:style w:type="character" w:styleId="1164" w:customStyle="1">
    <w:name w:val="标题 8 字符"/>
    <w:link w:val="1040"/>
    <w:uiPriority w:val="0"/>
    <w:qFormat/>
    <w:rPr>
      <w:rFonts w:ascii="Cambria" w:hAnsi="Cambria"/>
      <w:sz w:val="24"/>
      <w:szCs w:val="24"/>
    </w:rPr>
  </w:style>
  <w:style w:type="character" w:styleId="1165" w:customStyle="1">
    <w:name w:val="副标题 Char1"/>
    <w:uiPriority w:val="11"/>
    <w:qFormat/>
    <w:rPr>
      <w:rFonts w:ascii="Cambria" w:hAnsi="Cambria" w:cs="Times New Roman"/>
      <w:b/>
      <w:bCs/>
      <w:sz w:val="32"/>
      <w:szCs w:val="32"/>
    </w:rPr>
  </w:style>
  <w:style w:type="character" w:styleId="1166" w:customStyle="1">
    <w:name w:val="批注主题 字符"/>
    <w:link w:val="1077"/>
    <w:uiPriority w:val="0"/>
    <w:qFormat/>
    <w:rPr>
      <w:b/>
      <w:bCs/>
      <w:sz w:val="21"/>
      <w:szCs w:val="24"/>
    </w:rPr>
  </w:style>
  <w:style w:type="character" w:styleId="1167" w:customStyle="1">
    <w:name w:val="书籍标题1"/>
    <w:uiPriority w:val="0"/>
    <w:qFormat/>
    <w:rPr>
      <w:b/>
      <w:bCs/>
      <w:smallCaps/>
      <w:spacing w:val="5"/>
    </w:rPr>
  </w:style>
  <w:style w:type="character" w:styleId="1168" w:customStyle="1">
    <w:name w:val="页脚 字符"/>
    <w:link w:val="1063"/>
    <w:uiPriority w:val="99"/>
    <w:qFormat/>
    <w:rPr>
      <w:sz w:val="18"/>
      <w:szCs w:val="18"/>
    </w:rPr>
  </w:style>
  <w:style w:type="character" w:styleId="1169" w:customStyle="1">
    <w:name w:val="标题4 Char Char"/>
    <w:link w:val="1170"/>
    <w:uiPriority w:val="0"/>
    <w:qFormat/>
    <w:rPr>
      <w:rFonts w:ascii="Arial" w:hAnsi="Arial"/>
      <w:b/>
      <w:bCs/>
      <w:sz w:val="24"/>
      <w:szCs w:val="32"/>
    </w:rPr>
  </w:style>
  <w:style w:type="paragraph" w:styleId="1170" w:customStyle="1">
    <w:name w:val="标题4"/>
    <w:basedOn w:val="1034"/>
    <w:next w:val="1055"/>
    <w:link w:val="1169"/>
    <w:uiPriority w:val="0"/>
    <w:qFormat/>
    <w:pPr>
      <w:numPr>
        <w:ilvl w:val="0"/>
        <w:numId w:val="0"/>
      </w:numPr>
      <w:spacing w:line="413" w:lineRule="auto"/>
    </w:pPr>
    <w:rPr>
      <w:rFonts w:ascii="Arial" w:hAnsi="Arial"/>
      <w:sz w:val="24"/>
    </w:rPr>
  </w:style>
  <w:style w:type="character" w:styleId="1171" w:customStyle="1">
    <w:name w:val="正文文本 Char1"/>
    <w:uiPriority w:val="0"/>
    <w:qFormat/>
    <w:rPr>
      <w:rFonts w:ascii="Calibri" w:hAnsi="Calibri" w:eastAsia="宋体" w:cs="Times New Roman"/>
    </w:rPr>
  </w:style>
  <w:style w:type="character" w:styleId="1172" w:customStyle="1">
    <w:name w:val="明显引用 Char1"/>
    <w:uiPriority w:val="30"/>
    <w:qFormat/>
    <w:rPr>
      <w:b/>
      <w:bCs/>
      <w:i/>
      <w:iCs/>
      <w:color w:val="4f81bd"/>
      <w:sz w:val="21"/>
    </w:rPr>
  </w:style>
  <w:style w:type="character" w:styleId="1173" w:customStyle="1">
    <w:name w:val="页眉 Char1"/>
    <w:uiPriority w:val="99"/>
    <w:semiHidden/>
    <w:qFormat/>
    <w:rPr>
      <w:rFonts w:ascii="Calibri" w:hAnsi="Calibri" w:eastAsia="宋体" w:cs="Times New Roman"/>
      <w:sz w:val="18"/>
      <w:szCs w:val="18"/>
    </w:rPr>
  </w:style>
  <w:style w:type="character" w:styleId="1174" w:customStyle="1">
    <w:name w:val="不明显强调1"/>
    <w:uiPriority w:val="0"/>
    <w:qFormat/>
    <w:rPr>
      <w:i/>
      <w:iCs/>
      <w:color w:val="808080"/>
    </w:rPr>
  </w:style>
  <w:style w:type="character" w:styleId="1175" w:customStyle="1">
    <w:name w:val="正文文本 3 字符"/>
    <w:link w:val="1051"/>
    <w:uiPriority w:val="0"/>
    <w:qFormat/>
    <w:rPr>
      <w:rFonts w:ascii="宋体"/>
      <w:sz w:val="24"/>
    </w:rPr>
  </w:style>
  <w:style w:type="character" w:styleId="1176" w:customStyle="1">
    <w:name w:val="正文文本缩进 3 字符"/>
    <w:link w:val="1070"/>
    <w:uiPriority w:val="0"/>
    <w:qFormat/>
    <w:rPr>
      <w:sz w:val="16"/>
    </w:rPr>
  </w:style>
  <w:style w:type="character" w:styleId="1177" w:customStyle="1">
    <w:name w:val="font21"/>
    <w:uiPriority w:val="0"/>
    <w:qFormat/>
    <w:rPr>
      <w:rFonts w:hint="eastAsia" w:ascii="宋体" w:hAnsi="宋体" w:eastAsia="宋体" w:cs="宋体"/>
      <w:color w:val="000000"/>
      <w:sz w:val="20"/>
      <w:szCs w:val="20"/>
      <w:u w:val="none"/>
    </w:rPr>
  </w:style>
  <w:style w:type="character" w:styleId="1178" w:customStyle="1">
    <w:name w:val="批注框文本 字符"/>
    <w:link w:val="1062"/>
    <w:uiPriority w:val="0"/>
    <w:qFormat/>
    <w:rPr>
      <w:sz w:val="18"/>
      <w:szCs w:val="18"/>
    </w:rPr>
  </w:style>
  <w:style w:type="character" w:styleId="1179" w:customStyle="1">
    <w:name w:val="标题 7 字符"/>
    <w:link w:val="1039"/>
    <w:uiPriority w:val="0"/>
    <w:qFormat/>
    <w:rPr>
      <w:b/>
      <w:bCs/>
      <w:sz w:val="24"/>
      <w:szCs w:val="24"/>
    </w:rPr>
  </w:style>
  <w:style w:type="character" w:styleId="1180" w:customStyle="1">
    <w:name w:val="标题 1 字符"/>
    <w:link w:val="1033"/>
    <w:uiPriority w:val="0"/>
    <w:qFormat/>
    <w:rPr>
      <w:b/>
      <w:bCs/>
      <w:sz w:val="32"/>
      <w:szCs w:val="44"/>
    </w:rPr>
  </w:style>
  <w:style w:type="character" w:styleId="1181" w:customStyle="1">
    <w:name w:val="文档结构图 Char1"/>
    <w:uiPriority w:val="0"/>
    <w:qFormat/>
    <w:rPr>
      <w:rFonts w:ascii="宋体" w:hAnsi="Calibri" w:eastAsia="宋体" w:cs="Times New Roman"/>
      <w:sz w:val="18"/>
      <w:szCs w:val="18"/>
    </w:rPr>
  </w:style>
  <w:style w:type="character" w:styleId="1182" w:customStyle="1">
    <w:name w:val="标题 2 Char_0"/>
    <w:link w:val="1183"/>
    <w:uiPriority w:val="0"/>
    <w:qFormat/>
    <w:rPr>
      <w:rFonts w:ascii="Cambria" w:hAnsi="Cambria"/>
      <w:b/>
      <w:bCs/>
      <w:sz w:val="32"/>
      <w:szCs w:val="32"/>
    </w:rPr>
  </w:style>
  <w:style w:type="paragraph" w:styleId="1183" w:customStyle="1">
    <w:name w:val="标题 2_0"/>
    <w:basedOn w:val="1108"/>
    <w:next w:val="1108"/>
    <w:link w:val="1182"/>
    <w:uiPriority w:val="0"/>
    <w:unhideWhenUsed/>
    <w:qFormat/>
    <w:pPr>
      <w:keepLines/>
      <w:keepNext/>
      <w:spacing w:before="260" w:after="260" w:line="416" w:lineRule="auto"/>
      <w:outlineLvl w:val="1"/>
    </w:pPr>
    <w:rPr>
      <w:rFonts w:ascii="Cambria" w:hAnsi="Cambria"/>
      <w:b/>
      <w:bCs/>
      <w:sz w:val="32"/>
      <w:szCs w:val="32"/>
    </w:rPr>
  </w:style>
  <w:style w:type="character" w:styleId="1184" w:customStyle="1">
    <w:name w:val="日期 Char2"/>
    <w:uiPriority w:val="99"/>
    <w:semiHidden/>
    <w:qFormat/>
    <w:rPr>
      <w:rFonts w:ascii="Calibri" w:hAnsi="Calibri" w:eastAsia="宋体" w:cs="Times New Roman"/>
    </w:rPr>
  </w:style>
  <w:style w:type="character" w:styleId="1185" w:customStyle="1">
    <w:name w:val="批注框文本 Char2"/>
    <w:uiPriority w:val="99"/>
    <w:semiHidden/>
    <w:qFormat/>
    <w:rPr>
      <w:rFonts w:ascii="Calibri" w:hAnsi="Calibri" w:eastAsia="宋体" w:cs="Times New Roman"/>
      <w:sz w:val="18"/>
      <w:szCs w:val="18"/>
    </w:rPr>
  </w:style>
  <w:style w:type="character" w:styleId="1186" w:customStyle="1">
    <w:name w:val="标题 4 字符"/>
    <w:link w:val="1036"/>
    <w:uiPriority w:val="0"/>
    <w:qFormat/>
    <w:rPr>
      <w:rFonts w:ascii="Cambria" w:hAnsi="Cambria"/>
      <w:b/>
      <w:bCs/>
      <w:sz w:val="28"/>
      <w:szCs w:val="28"/>
    </w:rPr>
  </w:style>
  <w:style w:type="character" w:styleId="1187" w:customStyle="1">
    <w:name w:val="列出段落 Char"/>
    <w:link w:val="1188"/>
    <w:uiPriority w:val="34"/>
    <w:qFormat/>
    <w:rPr>
      <w:sz w:val="21"/>
      <w:szCs w:val="24"/>
    </w:rPr>
  </w:style>
  <w:style w:type="paragraph" w:styleId="1188" w:customStyle="1">
    <w:name w:val="List Paragraph1"/>
    <w:basedOn w:val="1032"/>
    <w:link w:val="1187"/>
    <w:uiPriority w:val="34"/>
    <w:qFormat/>
    <w:pPr>
      <w:ind w:firstLine="420"/>
    </w:pPr>
  </w:style>
  <w:style w:type="paragraph" w:styleId="1189" w:customStyle="1">
    <w:name w:val="样式 标题 3 + (中文) 黑体 小四 非加粗 段前: 7.8 磅 段后: 0 磅 行距: 固定值 20 磅"/>
    <w:basedOn w:val="1035"/>
    <w:next w:val="1032"/>
    <w:uiPriority w:val="0"/>
    <w:qFormat/>
    <w:pPr>
      <w:spacing w:before="0" w:after="0" w:line="400" w:lineRule="exact"/>
    </w:pPr>
    <w:rPr>
      <w:rFonts w:eastAsia="黑体" w:cs="宋体"/>
      <w:b w:val="0"/>
      <w:bCs w:val="0"/>
      <w:sz w:val="24"/>
      <w:szCs w:val="20"/>
    </w:rPr>
  </w:style>
  <w:style w:type="paragraph" w:styleId="1190" w:customStyle="1">
    <w:name w:val="_Style 34"/>
    <w:next w:val="1032"/>
    <w:uiPriority w:val="0"/>
    <w:qFormat/>
    <w:pPr>
      <w:jc w:val="both"/>
      <w:widowControl w:val="off"/>
    </w:pPr>
    <w:rPr>
      <w:rFonts w:ascii="Times New Roman" w:hAnsi="Times New Roman" w:eastAsia="宋体" w:cs="Times New Roman"/>
      <w:sz w:val="21"/>
      <w:lang w:val="en-US" w:eastAsia="zh-CN" w:bidi="ar-SA"/>
    </w:rPr>
  </w:style>
  <w:style w:type="paragraph" w:styleId="119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2" w:customStyle="1">
    <w:name w:val="_Style 36"/>
    <w:next w:val="1032"/>
    <w:uiPriority w:val="0"/>
    <w:qFormat/>
    <w:pPr>
      <w:jc w:val="both"/>
      <w:widowControl w:val="off"/>
    </w:pPr>
    <w:rPr>
      <w:rFonts w:ascii="Times New Roman" w:hAnsi="Times New Roman" w:eastAsia="宋体" w:cs="Times New Roman"/>
      <w:sz w:val="21"/>
      <w:lang w:val="en-US" w:eastAsia="zh-CN" w:bidi="ar-SA"/>
    </w:rPr>
  </w:style>
  <w:style w:type="paragraph" w:styleId="1193" w:customStyle="1">
    <w:name w:val="空半行"/>
    <w:basedOn w:val="1032"/>
    <w:uiPriority w:val="0"/>
    <w:qFormat/>
    <w:pPr>
      <w:spacing w:line="120" w:lineRule="exact"/>
    </w:pPr>
    <w:rPr>
      <w:rFonts w:ascii="Calibri" w:hAnsi="Calibri" w:eastAsia="仿宋_GB2312"/>
      <w:color w:val="ffffff"/>
      <w:sz w:val="30"/>
      <w:szCs w:val="22"/>
    </w:rPr>
  </w:style>
  <w:style w:type="paragraph" w:styleId="1194" w:customStyle="1">
    <w:name w:val="1方案格式1"/>
    <w:basedOn w:val="1033"/>
    <w:uiPriority w:val="0"/>
    <w:qFormat/>
    <w:pPr>
      <w:numPr>
        <w:numId w:val="3"/>
      </w:numPr>
      <w:ind w:left="0" w:firstLine="0"/>
      <w:spacing w:line="360" w:lineRule="auto"/>
      <w:tabs>
        <w:tab w:val="left" w:pos="360" w:leader="none"/>
      </w:tabs>
    </w:pPr>
    <w:rPr>
      <w:rFonts w:eastAsia="微软雅黑"/>
      <w:bCs w:val="0"/>
      <w:sz w:val="48"/>
    </w:rPr>
  </w:style>
  <w:style w:type="paragraph" w:styleId="1195" w:customStyle="1">
    <w:name w:val="格式３"/>
    <w:basedOn w:val="1032"/>
    <w:uiPriority w:val="0"/>
    <w:qFormat/>
    <w:pPr>
      <w:ind w:left="600" w:hanging="600"/>
      <w:spacing w:line="420" w:lineRule="exact"/>
    </w:pPr>
    <w:rPr>
      <w:rFonts w:ascii="宋体" w:hAnsi="宋体"/>
      <w:color w:val="000000"/>
      <w:sz w:val="24"/>
      <w:szCs w:val="20"/>
    </w:rPr>
  </w:style>
  <w:style w:type="paragraph" w:styleId="1196" w:customStyle="1">
    <w:name w:val="列出段落1"/>
    <w:basedOn w:val="1032"/>
    <w:uiPriority w:val="99"/>
    <w:qFormat/>
    <w:pPr>
      <w:contextualSpacing/>
      <w:ind w:left="720"/>
      <w:jc w:val="left"/>
      <w:widowControl/>
    </w:pPr>
    <w:rPr>
      <w:rFonts w:ascii="Arial" w:hAnsi="Arial" w:eastAsia="黑体"/>
      <w:sz w:val="24"/>
      <w:lang w:eastAsia="en-US"/>
    </w:rPr>
  </w:style>
  <w:style w:type="paragraph" w:styleId="1197" w:customStyle="1">
    <w:name w:val="正文空2字"/>
    <w:basedOn w:val="1032"/>
    <w:uiPriority w:val="0"/>
    <w:qFormat/>
    <w:pPr>
      <w:ind w:firstLine="200"/>
      <w:spacing w:line="360" w:lineRule="auto"/>
    </w:pPr>
    <w:rPr>
      <w:sz w:val="24"/>
      <w:lang w:bidi="en-US"/>
    </w:rPr>
  </w:style>
  <w:style w:type="paragraph" w:styleId="11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9" w:customStyle="1">
    <w:name w:val="目录 5_0"/>
    <w:basedOn w:val="1108"/>
    <w:next w:val="1108"/>
    <w:uiPriority w:val="39"/>
    <w:qFormat/>
    <w:pPr>
      <w:ind w:left="1680"/>
    </w:pPr>
    <w:rPr>
      <w:rFonts w:ascii="Calibri" w:hAnsi="Calibri"/>
    </w:rPr>
  </w:style>
  <w:style w:type="paragraph" w:styleId="1200" w:customStyle="1">
    <w:name w:val="修订1"/>
    <w:uiPriority w:val="0"/>
    <w:qFormat/>
    <w:rPr>
      <w:rFonts w:ascii="Times New Roman" w:hAnsi="Times New Roman" w:eastAsia="宋体" w:cs="Times New Roman"/>
      <w:sz w:val="21"/>
      <w:szCs w:val="24"/>
      <w:lang w:val="en-US" w:eastAsia="zh-CN" w:bidi="ar-SA"/>
    </w:rPr>
  </w:style>
  <w:style w:type="paragraph" w:styleId="1201" w:customStyle="1">
    <w:name w:val="标题 11"/>
    <w:basedOn w:val="1091"/>
    <w:next w:val="109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2" w:customStyle="1">
    <w:name w:val="正文 + 行距: 固定值 20 磅"/>
    <w:basedOn w:val="1032"/>
    <w:uiPriority w:val="0"/>
    <w:qFormat/>
    <w:pPr>
      <w:ind w:firstLine="716"/>
      <w:spacing w:line="400" w:lineRule="exact"/>
    </w:pPr>
    <w:rPr>
      <w:rFonts w:ascii="Calibri" w:hAnsi="Calibri"/>
      <w:szCs w:val="22"/>
    </w:rPr>
  </w:style>
  <w:style w:type="paragraph" w:styleId="1203" w:customStyle="1">
    <w:name w:val="TOC 标题1"/>
    <w:basedOn w:val="1033"/>
    <w:next w:val="103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4" w:customStyle="1">
    <w:name w:val="表格文字"/>
    <w:basedOn w:val="1032"/>
    <w:link w:val="1232"/>
    <w:uiPriority w:val="0"/>
    <w:qFormat/>
    <w:pPr>
      <w:jc w:val="left"/>
      <w:spacing w:line="420" w:lineRule="atLeast"/>
    </w:pPr>
    <w:rPr>
      <w:rFonts w:ascii="Calibri" w:hAnsi="Calibri"/>
      <w:szCs w:val="22"/>
    </w:rPr>
  </w:style>
  <w:style w:type="paragraph" w:styleId="1205" w:customStyle="1">
    <w:name w:val="flNote"/>
    <w:basedOn w:val="1032"/>
    <w:uiPriority w:val="0"/>
    <w:qFormat/>
    <w:pPr>
      <w:jc w:val="center"/>
      <w:spacing w:before="320" w:after="160" w:line="360" w:lineRule="atLeast"/>
    </w:pPr>
    <w:rPr>
      <w:rFonts w:ascii="Arial" w:hAnsi="Calibri" w:eastAsia="黑体"/>
      <w:sz w:val="30"/>
      <w:szCs w:val="22"/>
    </w:rPr>
  </w:style>
  <w:style w:type="paragraph" w:styleId="1206" w:customStyle="1">
    <w:name w:val="文章正文"/>
    <w:basedOn w:val="1032"/>
    <w:uiPriority w:val="99"/>
    <w:qFormat/>
    <w:pPr>
      <w:ind w:firstLine="480"/>
      <w:spacing w:line="360" w:lineRule="auto"/>
    </w:pPr>
    <w:rPr>
      <w:rFonts w:ascii="仿宋_GB2312" w:hAnsi="宋体" w:eastAsia="仿宋_GB2312"/>
      <w:color w:val="ff0000"/>
      <w:sz w:val="24"/>
    </w:rPr>
  </w:style>
  <w:style w:type="paragraph" w:styleId="1207" w:customStyle="1">
    <w:name w:val="表格"/>
    <w:basedOn w:val="1032"/>
    <w:uiPriority w:val="0"/>
    <w:qFormat/>
    <w:pPr>
      <w:jc w:val="center"/>
    </w:pPr>
    <w:rPr>
      <w:rFonts w:ascii="华文细黑" w:hAnsi="华文细黑"/>
      <w:szCs w:val="22"/>
    </w:rPr>
  </w:style>
  <w:style w:type="paragraph" w:styleId="1208" w:customStyle="1">
    <w:name w:val="Char"/>
    <w:basedOn w:val="1032"/>
    <w:uiPriority w:val="0"/>
    <w:qFormat/>
    <w:pPr>
      <w:jc w:val="left"/>
      <w:spacing w:after="160" w:line="240" w:lineRule="exact"/>
      <w:widowControl/>
    </w:pPr>
    <w:rPr>
      <w:rFonts w:ascii="Verdana" w:hAnsi="Verdana"/>
      <w:sz w:val="20"/>
      <w:szCs w:val="20"/>
      <w:lang w:eastAsia="en-US"/>
    </w:rPr>
  </w:style>
  <w:style w:type="paragraph" w:styleId="1209" w:customStyle="1">
    <w:name w:val="列出段落2"/>
    <w:basedOn w:val="1032"/>
    <w:uiPriority w:val="34"/>
    <w:qFormat/>
    <w:pPr>
      <w:ind w:firstLine="420"/>
    </w:pPr>
  </w:style>
  <w:style w:type="paragraph" w:styleId="1210" w:customStyle="1">
    <w:name w:val="6'"/>
    <w:basedOn w:val="1032"/>
    <w:uiPriority w:val="0"/>
    <w:qFormat/>
    <w:pPr>
      <w:jc w:val="center"/>
      <w:spacing w:line="320" w:lineRule="exact"/>
    </w:pPr>
    <w:rPr>
      <w:rFonts w:ascii="Calibri" w:hAnsi="Calibri"/>
      <w:spacing w:val="20"/>
      <w:szCs w:val="22"/>
    </w:rPr>
  </w:style>
  <w:style w:type="paragraph" w:styleId="1211" w:customStyle="1">
    <w:name w:val="Char Char Char Char Char Char Char"/>
    <w:basedOn w:val="1032"/>
    <w:uiPriority w:val="0"/>
    <w:qFormat/>
    <w:pPr>
      <w:spacing w:line="360" w:lineRule="auto"/>
    </w:pPr>
    <w:rPr>
      <w:sz w:val="24"/>
      <w:szCs w:val="20"/>
    </w:rPr>
  </w:style>
  <w:style w:type="paragraph" w:styleId="1212" w:customStyle="1">
    <w:name w:val="2方案格式2"/>
    <w:basedOn w:val="1194"/>
    <w:uiPriority w:val="0"/>
    <w:qFormat/>
    <w:pPr>
      <w:numPr>
        <w:ilvl w:val="1"/>
      </w:numPr>
      <w:spacing w:before="50" w:after="50" w:line="240" w:lineRule="auto"/>
      <w:outlineLvl w:val="1"/>
    </w:pPr>
    <w:rPr>
      <w:sz w:val="44"/>
    </w:rPr>
  </w:style>
  <w:style w:type="paragraph" w:styleId="1213" w:customStyle="1">
    <w:name w:val="文档正文"/>
    <w:basedOn w:val="1032"/>
    <w:uiPriority w:val="0"/>
    <w:qFormat/>
    <w:pPr>
      <w:ind w:firstLine="567"/>
      <w:spacing w:line="480" w:lineRule="atLeast"/>
    </w:pPr>
    <w:rPr>
      <w:rFonts w:ascii="Ari" w:eastAsia="Ari"/>
      <w:sz w:val="28"/>
      <w:szCs w:val="20"/>
    </w:rPr>
  </w:style>
  <w:style w:type="paragraph" w:styleId="1214" w:customStyle="1">
    <w:name w:val="txt"/>
    <w:basedOn w:val="1032"/>
    <w:uiPriority w:val="0"/>
    <w:qFormat/>
    <w:pPr>
      <w:jc w:val="left"/>
      <w:spacing w:before="100" w:beforeAutospacing="1" w:after="100" w:afterAutospacing="1"/>
      <w:widowControl/>
    </w:pPr>
    <w:rPr>
      <w:rFonts w:ascii="宋体" w:hAnsi="宋体" w:cs="宋体"/>
      <w:sz w:val="24"/>
    </w:rPr>
  </w:style>
  <w:style w:type="paragraph" w:styleId="1215" w:customStyle="1">
    <w:name w:val="目录 4_0"/>
    <w:basedOn w:val="1108"/>
    <w:next w:val="1108"/>
    <w:uiPriority w:val="39"/>
    <w:qFormat/>
    <w:pPr>
      <w:ind w:left="1260"/>
    </w:pPr>
    <w:rPr>
      <w:rFonts w:ascii="Calibri" w:hAnsi="Calibri"/>
    </w:rPr>
  </w:style>
  <w:style w:type="paragraph" w:styleId="1216" w:customStyle="1">
    <w:name w:val="目录 3_0"/>
    <w:basedOn w:val="1108"/>
    <w:next w:val="1108"/>
    <w:uiPriority w:val="39"/>
    <w:qFormat/>
    <w:pPr>
      <w:ind w:left="840"/>
    </w:pPr>
    <w:rPr>
      <w:rFonts w:ascii="Calibri" w:hAnsi="Calibri"/>
    </w:rPr>
  </w:style>
  <w:style w:type="paragraph" w:styleId="1217" w:customStyle="1">
    <w:name w:val="样式 标题 1 + 黑体 三号 非加粗 居中 段前: 6 磅 段后: 6 磅 行距: 固定值 20 磅"/>
    <w:basedOn w:val="1033"/>
    <w:uiPriority w:val="0"/>
    <w:qFormat/>
    <w:pPr>
      <w:numPr>
        <w:numId w:val="0"/>
      </w:numPr>
      <w:spacing w:before="120" w:after="120" w:line="400" w:lineRule="exact"/>
    </w:pPr>
    <w:rPr>
      <w:rFonts w:ascii="黑体" w:hAnsi="黑体" w:eastAsia="黑体"/>
      <w:b w:val="0"/>
      <w:bCs w:val="0"/>
      <w:szCs w:val="20"/>
    </w:rPr>
  </w:style>
  <w:style w:type="paragraph" w:styleId="1218" w:customStyle="1">
    <w:name w:val="1"/>
    <w:basedOn w:val="1032"/>
    <w:next w:val="1032"/>
    <w:uiPriority w:val="0"/>
    <w:qFormat/>
    <w:rPr>
      <w:rFonts w:ascii="Calibri" w:hAnsi="Calibri"/>
      <w:szCs w:val="22"/>
    </w:rPr>
  </w:style>
  <w:style w:type="paragraph" w:styleId="1219" w:customStyle="1">
    <w:name w:val="Blockquote_0"/>
    <w:basedOn w:val="1108"/>
    <w:uiPriority w:val="0"/>
    <w:qFormat/>
    <w:pPr>
      <w:ind w:left="360" w:right="360"/>
      <w:jc w:val="left"/>
      <w:spacing w:before="100" w:after="100"/>
    </w:pPr>
    <w:rPr>
      <w:rFonts w:ascii="Calibri" w:hAnsi="Calibri" w:eastAsia="Times New Roman"/>
      <w:sz w:val="24"/>
      <w:szCs w:val="20"/>
    </w:rPr>
  </w:style>
  <w:style w:type="paragraph" w:styleId="1220" w:customStyle="1">
    <w:name w:val="列出段落11"/>
    <w:basedOn w:val="1032"/>
    <w:uiPriority w:val="0"/>
    <w:qFormat/>
    <w:pPr>
      <w:contextualSpacing/>
      <w:ind w:left="720"/>
      <w:jc w:val="left"/>
      <w:widowControl/>
    </w:pPr>
    <w:rPr>
      <w:rFonts w:ascii="Arial" w:hAnsi="Arial" w:eastAsia="黑体"/>
      <w:sz w:val="24"/>
      <w:lang w:eastAsia="en-US"/>
    </w:rPr>
  </w:style>
  <w:style w:type="paragraph" w:styleId="1221" w:customStyle="1">
    <w:name w:val="样式 标题 2 + Times New Roman 四号 非加粗 段前: 5 磅 段后: 0 磅 行距: 固定值 20..._0"/>
    <w:basedOn w:val="1032"/>
    <w:uiPriority w:val="0"/>
    <w:qFormat/>
    <w:pPr>
      <w:keepLines/>
      <w:keepNext/>
      <w:spacing w:before="100" w:line="360" w:lineRule="auto"/>
      <w:outlineLvl w:val="1"/>
    </w:pPr>
    <w:rPr>
      <w:rFonts w:eastAsia="Times New Roman" w:cs="宋体"/>
      <w:sz w:val="28"/>
      <w:szCs w:val="20"/>
    </w:rPr>
  </w:style>
  <w:style w:type="paragraph" w:styleId="1222" w:customStyle="1">
    <w:name w:val="op_mapdots_left"/>
    <w:basedOn w:val="1032"/>
    <w:uiPriority w:val="0"/>
    <w:qFormat/>
    <w:pPr>
      <w:jc w:val="left"/>
      <w:spacing w:before="100" w:beforeAutospacing="1" w:after="100" w:afterAutospacing="1"/>
      <w:widowControl/>
    </w:pPr>
    <w:rPr>
      <w:rFonts w:ascii="宋体" w:hAnsi="宋体" w:cs="宋体"/>
      <w:sz w:val="24"/>
    </w:rPr>
  </w:style>
  <w:style w:type="paragraph" w:styleId="1223" w:customStyle="1">
    <w:name w:val="p0"/>
    <w:basedOn w:val="1032"/>
    <w:uiPriority w:val="0"/>
    <w:qFormat/>
    <w:pPr>
      <w:widowControl/>
    </w:pPr>
    <w:rPr>
      <w:b/>
      <w:bCs/>
      <w:sz w:val="24"/>
    </w:rPr>
  </w:style>
  <w:style w:type="paragraph" w:styleId="1224" w:customStyle="1">
    <w:name w:val="Blockquote"/>
    <w:basedOn w:val="1032"/>
    <w:uiPriority w:val="0"/>
    <w:qFormat/>
    <w:pPr>
      <w:ind w:left="360" w:right="360"/>
      <w:jc w:val="left"/>
      <w:spacing w:before="100" w:after="100"/>
    </w:pPr>
    <w:rPr>
      <w:rFonts w:ascii="Calibri" w:hAnsi="Calibri"/>
      <w:sz w:val="24"/>
      <w:szCs w:val="22"/>
    </w:rPr>
  </w:style>
  <w:style w:type="paragraph" w:styleId="1225" w:customStyle="1">
    <w:name w:val="3方案格式3"/>
    <w:basedOn w:val="1212"/>
    <w:uiPriority w:val="0"/>
    <w:qFormat/>
    <w:pPr>
      <w:numPr>
        <w:ilvl w:val="2"/>
      </w:numPr>
      <w:outlineLvl w:val="2"/>
    </w:pPr>
    <w:rPr>
      <w:sz w:val="32"/>
    </w:rPr>
  </w:style>
  <w:style w:type="paragraph" w:styleId="1226" w:customStyle="1">
    <w:name w:val="样式 标题 2 + Times New Roman 四号 非加粗 段前: 5 磅 段后: 0 磅 行距: 固定值 20..."/>
    <w:basedOn w:val="103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7" w:customStyle="1">
    <w:name w:val="标题2"/>
    <w:basedOn w:val="1034"/>
    <w:next w:val="1052"/>
    <w:uiPriority w:val="0"/>
    <w:qFormat/>
    <w:pPr>
      <w:spacing w:before="156" w:after="156" w:line="360" w:lineRule="auto"/>
    </w:pPr>
    <w:rPr>
      <w:bCs w:val="0"/>
      <w:sz w:val="24"/>
    </w:rPr>
  </w:style>
  <w:style w:type="paragraph" w:styleId="1228" w:customStyle="1">
    <w:name w:val="普通正文"/>
    <w:basedOn w:val="1032"/>
    <w:uiPriority w:val="0"/>
    <w:qFormat/>
    <w:pPr>
      <w:ind w:firstLine="480"/>
      <w:jc w:val="left"/>
      <w:spacing w:before="120" w:after="120" w:line="360" w:lineRule="auto"/>
    </w:pPr>
    <w:rPr>
      <w:rFonts w:ascii="Arial" w:hAnsi="Arial"/>
      <w:sz w:val="24"/>
    </w:rPr>
  </w:style>
  <w:style w:type="paragraph" w:styleId="1229" w:customStyle="1">
    <w:name w:val="正文2"/>
    <w:uiPriority w:val="0"/>
    <w:qFormat/>
    <w:rPr>
      <w:rFonts w:ascii="Times New Roman" w:hAnsi="Times New Roman" w:eastAsia="微软雅黑" w:cs="Times New Roman"/>
      <w:sz w:val="24"/>
      <w:szCs w:val="24"/>
      <w:lang w:val="en-US" w:eastAsia="zh-CN" w:bidi="ar-SA"/>
    </w:rPr>
  </w:style>
  <w:style w:type="paragraph" w:styleId="1230" w:customStyle="1">
    <w:name w:val="列出段落3"/>
    <w:basedOn w:val="1032"/>
    <w:uiPriority w:val="0"/>
    <w:qFormat/>
    <w:pPr>
      <w:ind w:firstLine="420"/>
      <w:jc w:val="left"/>
      <w:spacing w:after="200"/>
      <w:widowControl/>
    </w:pPr>
    <w:rPr>
      <w:rFonts w:ascii="Tahoma" w:hAnsi="Tahoma" w:eastAsia="微软雅黑"/>
      <w:sz w:val="22"/>
      <w:szCs w:val="22"/>
    </w:rPr>
  </w:style>
  <w:style w:type="paragraph" w:styleId="1231" w:customStyle="1">
    <w:name w:val="纯文本2"/>
    <w:basedOn w:val="1032"/>
    <w:uiPriority w:val="0"/>
    <w:qFormat/>
    <w:pPr>
      <w:jc w:val="left"/>
    </w:pPr>
    <w:rPr>
      <w:rFonts w:hint="eastAsia" w:ascii="宋体" w:hAnsi="宋体" w:cs="Courier New"/>
      <w:sz w:val="24"/>
      <w:szCs w:val="20"/>
      <w:lang w:bidi="hi-IN"/>
    </w:rPr>
  </w:style>
  <w:style w:type="character" w:styleId="1232" w:customStyle="1">
    <w:name w:val="表格文字 字符"/>
    <w:link w:val="1204"/>
    <w:uiPriority w:val="0"/>
    <w:qFormat/>
    <w:rPr>
      <w:rFonts w:ascii="Calibri" w:hAnsi="Calibri" w:eastAsia="宋体" w:cs="Times New Roman"/>
      <w:sz w:val="21"/>
      <w:szCs w:val="22"/>
    </w:rPr>
  </w:style>
  <w:style w:type="paragraph" w:styleId="1233" w:customStyle="1">
    <w:name w:val="trs_editor"/>
    <w:basedOn w:val="1032"/>
    <w:uiPriority w:val="0"/>
    <w:qFormat/>
    <w:pPr>
      <w:jc w:val="left"/>
      <w:spacing w:before="100" w:beforeAutospacing="1" w:after="100" w:afterAutospacing="1"/>
      <w:widowControl/>
    </w:pPr>
    <w:rPr>
      <w:rFonts w:ascii="宋体" w:hAnsi="宋体" w:cs="宋体"/>
      <w:sz w:val="24"/>
    </w:rPr>
  </w:style>
  <w:style w:type="character" w:styleId="1234" w:customStyle="1">
    <w:name w:val="未处理的提及1"/>
    <w:basedOn w:val="1042"/>
    <w:uiPriority w:val="99"/>
    <w:semiHidden/>
    <w:unhideWhenUsed/>
    <w:qFormat/>
    <w:rPr>
      <w:color w:val="605e5c"/>
      <w:shd w:val="clear" w:color="auto" w:fill="e1dfdd"/>
    </w:rPr>
  </w:style>
  <w:style w:type="paragraph" w:styleId="1235" w:customStyle="1">
    <w:name w:val="_Style 3"/>
    <w:basedOn w:val="1032"/>
    <w:uiPriority w:val="99"/>
    <w:qFormat/>
    <w:pPr>
      <w:ind w:firstLine="420"/>
    </w:pPr>
    <w:rPr>
      <w:szCs w:val="22"/>
    </w:rPr>
  </w:style>
  <w:style w:type="table" w:styleId="1236" w:customStyle="1">
    <w:name w:val="网格型1"/>
    <w:basedOn w:val="104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7" w:customStyle="1">
    <w:name w:val="批注文字 字符1"/>
    <w:uiPriority w:val="99"/>
    <w:qFormat/>
    <w:rPr>
      <w:sz w:val="24"/>
      <w:szCs w:val="22"/>
    </w:rPr>
  </w:style>
  <w:style w:type="character" w:styleId="1238" w:customStyle="1">
    <w:name w:val="f141"/>
    <w:uiPriority w:val="0"/>
    <w:qFormat/>
    <w:rPr>
      <w:sz w:val="21"/>
      <w:szCs w:val="21"/>
    </w:rPr>
  </w:style>
  <w:style w:type="character" w:styleId="1239" w:customStyle="1">
    <w:name w:val="p141"/>
    <w:uiPriority w:val="0"/>
    <w:qFormat/>
    <w:rPr>
      <w:sz w:val="21"/>
      <w:szCs w:val="21"/>
    </w:rPr>
  </w:style>
  <w:style w:type="character" w:styleId="1240" w:customStyle="1">
    <w:name w:val="s10pv000000"/>
    <w:basedOn w:val="1042"/>
    <w:uiPriority w:val="0"/>
    <w:qFormat/>
  </w:style>
  <w:style w:type="paragraph" w:styleId="1241" w:customStyle="1">
    <w:name w:val="样式 标题 4 + 段前: 5 磅 段后: 5 磅 行距: 单倍行距"/>
    <w:basedOn w:val="103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42" w:customStyle="1">
    <w:name w:val="基准标题"/>
    <w:basedOn w:val="1052"/>
    <w:next w:val="1052"/>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43" w:customStyle="1">
    <w:name w:val="font6"/>
    <w:basedOn w:val="1032"/>
    <w:uiPriority w:val="0"/>
    <w:qFormat/>
    <w:pPr>
      <w:jc w:val="left"/>
      <w:spacing w:before="100" w:beforeAutospacing="1" w:after="100" w:afterAutospacing="1"/>
      <w:widowControl/>
    </w:pPr>
    <w:rPr>
      <w:rFonts w:hint="eastAsia" w:ascii="宋体" w:hAnsi="宋体"/>
      <w:sz w:val="24"/>
    </w:rPr>
  </w:style>
  <w:style w:type="paragraph" w:styleId="1244" w:customStyle="1">
    <w:name w:val="样式4"/>
    <w:basedOn w:val="1032"/>
    <w:uiPriority w:val="0"/>
    <w:qFormat/>
    <w:pPr>
      <w:ind w:left="2328" w:hanging="708"/>
      <w:tabs>
        <w:tab w:val="left" w:pos="2328" w:leader="none"/>
      </w:tabs>
    </w:pPr>
  </w:style>
  <w:style w:type="paragraph" w:styleId="1245" w:customStyle="1">
    <w:name w:val="font5"/>
    <w:basedOn w:val="1032"/>
    <w:uiPriority w:val="0"/>
    <w:qFormat/>
    <w:pPr>
      <w:jc w:val="left"/>
      <w:spacing w:before="100" w:beforeAutospacing="1" w:after="100" w:afterAutospacing="1"/>
      <w:widowControl/>
    </w:pPr>
    <w:rPr>
      <w:rFonts w:hint="eastAsia" w:ascii="宋体" w:hAnsi="宋体"/>
      <w:sz w:val="18"/>
      <w:szCs w:val="18"/>
    </w:rPr>
  </w:style>
  <w:style w:type="paragraph" w:styleId="1246" w:customStyle="1">
    <w:name w:val="3 Char"/>
    <w:basedOn w:val="1032"/>
    <w:uiPriority w:val="0"/>
    <w:qFormat/>
    <w:pPr>
      <w:jc w:val="center"/>
      <w:spacing w:line="400" w:lineRule="exact"/>
      <w:widowControl/>
    </w:pPr>
    <w:rPr>
      <w:rFonts w:ascii="Verdana" w:hAnsi="Verdana"/>
      <w:szCs w:val="20"/>
      <w:lang w:eastAsia="en-US"/>
    </w:rPr>
  </w:style>
  <w:style w:type="paragraph" w:styleId="1247" w:customStyle="1">
    <w:name w:val="样式 标题 2 + 宋体 五号 非加粗 黑色"/>
    <w:basedOn w:val="103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48" w:customStyle="1">
    <w:name w:val="xl29"/>
    <w:basedOn w:val="1032"/>
    <w:uiPriority w:val="0"/>
    <w:qFormat/>
    <w:pPr>
      <w:jc w:val="center"/>
      <w:spacing w:before="100" w:beforeAutospacing="1" w:after="100" w:afterAutospacing="1"/>
      <w:widowControl/>
    </w:pPr>
    <w:rPr>
      <w:rFonts w:ascii="宋体" w:hAnsi="宋体"/>
      <w:sz w:val="28"/>
      <w:szCs w:val="28"/>
    </w:rPr>
  </w:style>
  <w:style w:type="paragraph" w:styleId="1249" w:customStyle="1">
    <w:name w:val="图"/>
    <w:basedOn w:val="1032"/>
    <w:uiPriority w:val="0"/>
    <w:qFormat/>
    <w:pPr>
      <w:jc w:val="center"/>
      <w:keepNext/>
      <w:spacing w:before="60" w:after="60" w:line="300" w:lineRule="auto"/>
    </w:pPr>
    <w:rPr>
      <w:spacing w:val="20"/>
      <w:sz w:val="24"/>
      <w:szCs w:val="20"/>
    </w:rPr>
  </w:style>
  <w:style w:type="paragraph" w:styleId="1250" w:customStyle="1">
    <w:name w:val="设计方案"/>
    <w:basedOn w:val="103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1" w:customStyle="1">
    <w:name w:val="xl24"/>
    <w:basedOn w:val="10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2" w:customStyle="1">
    <w:name w:val="样式1"/>
    <w:basedOn w:val="1032"/>
    <w:uiPriority w:val="0"/>
    <w:qFormat/>
    <w:pPr>
      <w:ind w:left="425" w:hanging="425"/>
      <w:tabs>
        <w:tab w:val="left" w:pos="425" w:leader="none"/>
        <w:tab w:val="left" w:pos="709" w:leader="none"/>
      </w:tabs>
    </w:pPr>
    <w:rPr>
      <w:rFonts w:ascii="宋体" w:hAnsi="宋体"/>
      <w:szCs w:val="20"/>
    </w:rPr>
  </w:style>
  <w:style w:type="paragraph" w:styleId="1253" w:customStyle="1">
    <w:name w:val="head"/>
    <w:basedOn w:val="103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54" w:customStyle="1">
    <w:name w:val="默认段落字体 Para Char Char Char Char"/>
    <w:basedOn w:val="1032"/>
    <w:uiPriority w:val="0"/>
    <w:qFormat/>
    <w:rPr>
      <w:szCs w:val="20"/>
    </w:rPr>
  </w:style>
  <w:style w:type="paragraph" w:styleId="1255" w:customStyle="1">
    <w:name w:val="Char Char Char Char"/>
    <w:basedOn w:val="1032"/>
    <w:uiPriority w:val="0"/>
    <w:qFormat/>
    <w:pPr>
      <w:jc w:val="left"/>
      <w:spacing w:after="160" w:line="240" w:lineRule="exact"/>
      <w:widowControl/>
    </w:pPr>
    <w:rPr>
      <w:rFonts w:ascii="Verdana" w:hAnsi="Verdana" w:eastAsia="仿宋_GB2312"/>
      <w:sz w:val="24"/>
      <w:szCs w:val="20"/>
      <w:lang w:eastAsia="en-US"/>
    </w:rPr>
  </w:style>
  <w:style w:type="paragraph" w:styleId="1256" w:customStyle="1">
    <w:name w:val="font0"/>
    <w:basedOn w:val="1032"/>
    <w:uiPriority w:val="0"/>
    <w:qFormat/>
    <w:pPr>
      <w:jc w:val="left"/>
      <w:spacing w:before="100" w:beforeAutospacing="1" w:after="100" w:afterAutospacing="1"/>
      <w:widowControl/>
    </w:pPr>
    <w:rPr>
      <w:rFonts w:hint="eastAsia" w:ascii="宋体" w:hAnsi="宋体"/>
      <w:sz w:val="24"/>
    </w:rPr>
  </w:style>
  <w:style w:type="paragraph" w:styleId="1257" w:customStyle="1">
    <w:name w:val="样式 标题 3h3H3sect1.2.3 + 五号 段前: 6 磅 段后: 6 磅 行距: 单倍行距"/>
    <w:basedOn w:val="103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58" w:customStyle="1">
    <w:name w:val="纯文本 Char1"/>
    <w:basedOn w:val="1042"/>
    <w:uiPriority w:val="0"/>
    <w:qFormat/>
    <w:rPr>
      <w:rFonts w:ascii="宋体" w:hAnsi="Courier New" w:eastAsia="宋体" w:cs="Courier New"/>
      <w:szCs w:val="21"/>
    </w:rPr>
  </w:style>
  <w:style w:type="character" w:styleId="1259" w:customStyle="1">
    <w:name w:val="HTML 预设格式 字符"/>
    <w:basedOn w:val="1042"/>
    <w:link w:val="1073"/>
    <w:uiPriority w:val="99"/>
    <w:qFormat/>
    <w:rPr>
      <w:rFonts w:ascii="宋体" w:hAnsi="宋体"/>
      <w:sz w:val="24"/>
      <w:szCs w:val="24"/>
    </w:rPr>
  </w:style>
  <w:style w:type="paragraph" w:styleId="1260" w:customStyle="1">
    <w:name w:val="Char1 Char Char Char"/>
    <w:basedOn w:val="1032"/>
    <w:uiPriority w:val="0"/>
    <w:qFormat/>
    <w:rPr>
      <w:szCs w:val="20"/>
    </w:rPr>
  </w:style>
  <w:style w:type="paragraph" w:styleId="1261" w:customStyle="1">
    <w:name w:val="Char1"/>
    <w:basedOn w:val="1032"/>
    <w:uiPriority w:val="0"/>
    <w:qFormat/>
    <w:pPr>
      <w:jc w:val="left"/>
      <w:spacing w:after="160" w:line="240" w:lineRule="exact"/>
      <w:widowControl/>
    </w:pPr>
    <w:rPr>
      <w:sz w:val="24"/>
    </w:rPr>
  </w:style>
  <w:style w:type="paragraph" w:styleId="1262" w:customStyle="1">
    <w:name w:val="默认段落字体 Para Char"/>
    <w:basedOn w:val="1032"/>
    <w:uiPriority w:val="0"/>
    <w:qFormat/>
  </w:style>
  <w:style w:type="paragraph" w:styleId="1263" w:customStyle="1">
    <w:name w:val="Char1 Char Char Char Char Char Char Char Char Char"/>
    <w:basedOn w:val="1032"/>
    <w:uiPriority w:val="0"/>
    <w:qFormat/>
    <w:pPr>
      <w:jc w:val="center"/>
      <w:spacing w:line="400" w:lineRule="exact"/>
      <w:widowControl/>
    </w:pPr>
    <w:rPr>
      <w:rFonts w:ascii="Verdana" w:hAnsi="Verdana"/>
      <w:szCs w:val="20"/>
      <w:lang w:eastAsia="en-US"/>
    </w:rPr>
  </w:style>
  <w:style w:type="paragraph" w:styleId="1264" w:customStyle="1">
    <w:name w:val="普通(网站)1"/>
    <w:basedOn w:val="1032"/>
    <w:uiPriority w:val="0"/>
    <w:qFormat/>
    <w:pPr>
      <w:jc w:val="left"/>
      <w:spacing w:before="100" w:beforeAutospacing="1" w:after="100" w:afterAutospacing="1"/>
      <w:widowControl/>
    </w:pPr>
    <w:rPr>
      <w:rFonts w:ascii="宋体" w:hAnsi="宋体"/>
      <w:sz w:val="24"/>
    </w:rPr>
  </w:style>
  <w:style w:type="paragraph" w:styleId="1265" w:customStyle="1">
    <w:name w:val="Char Char2 Char"/>
    <w:basedOn w:val="1032"/>
    <w:uiPriority w:val="0"/>
    <w:qFormat/>
    <w:rPr>
      <w:rFonts w:ascii="宋体" w:hAnsi="宋体"/>
      <w:b/>
      <w:sz w:val="28"/>
      <w:szCs w:val="28"/>
    </w:rPr>
  </w:style>
  <w:style w:type="character" w:styleId="1266" w:customStyle="1">
    <w:name w:val="正文缩进 字符"/>
    <w:link w:val="1047"/>
    <w:uiPriority w:val="0"/>
    <w:qFormat/>
    <w:rPr>
      <w:b/>
      <w:sz w:val="24"/>
    </w:rPr>
  </w:style>
  <w:style w:type="paragraph" w:styleId="1267" w:customStyle="1">
    <w:name w:val="Char Char Char"/>
    <w:basedOn w:val="1032"/>
    <w:uiPriority w:val="0"/>
    <w:qFormat/>
    <w:rPr>
      <w:rFonts w:ascii="宋体" w:hAnsi="宋体"/>
      <w:b/>
      <w:sz w:val="28"/>
      <w:szCs w:val="28"/>
    </w:rPr>
  </w:style>
  <w:style w:type="paragraph" w:styleId="1268" w:customStyle="1">
    <w:name w:val="Char2"/>
    <w:basedOn w:val="1032"/>
    <w:uiPriority w:val="0"/>
    <w:qFormat/>
    <w:pPr>
      <w:jc w:val="left"/>
      <w:spacing w:after="160" w:line="240" w:lineRule="exact"/>
      <w:widowControl/>
    </w:pPr>
    <w:rPr>
      <w:szCs w:val="20"/>
    </w:rPr>
  </w:style>
  <w:style w:type="paragraph" w:styleId="1269" w:customStyle="1">
    <w:name w:val="a"/>
    <w:basedOn w:val="1032"/>
    <w:uiPriority w:val="0"/>
    <w:qFormat/>
    <w:pPr>
      <w:jc w:val="left"/>
      <w:spacing w:before="100" w:beforeAutospacing="1" w:after="100" w:afterAutospacing="1"/>
      <w:widowControl/>
    </w:pPr>
    <w:rPr>
      <w:rFonts w:ascii="宋体" w:hAnsi="宋体" w:cs="宋体"/>
      <w:sz w:val="24"/>
    </w:rPr>
  </w:style>
  <w:style w:type="character" w:styleId="1270" w:customStyle="1">
    <w:name w:val="description5"/>
    <w:basedOn w:val="1042"/>
    <w:uiPriority w:val="0"/>
    <w:qFormat/>
  </w:style>
  <w:style w:type="character" w:styleId="1271">
    <w:name w:val="Placeholder Text"/>
    <w:uiPriority w:val="99"/>
    <w:semiHidden/>
    <w:qFormat/>
    <w:rPr>
      <w:color w:val="808080"/>
    </w:rPr>
  </w:style>
  <w:style w:type="paragraph" w:styleId="1272" w:customStyle="1">
    <w:name w:val="Table Paragraph"/>
    <w:basedOn w:val="1032"/>
    <w:uiPriority w:val="1"/>
    <w:qFormat/>
    <w:pPr>
      <w:jc w:val="left"/>
    </w:pPr>
    <w:rPr>
      <w:sz w:val="24"/>
    </w:rPr>
  </w:style>
  <w:style w:type="character" w:styleId="1273" w:customStyle="1">
    <w:name w:val="Char Char7"/>
    <w:uiPriority w:val="0"/>
    <w:qFormat/>
    <w:rPr>
      <w:rFonts w:ascii="Tahoma" w:hAnsi="Tahoma" w:eastAsia="微软雅黑"/>
      <w:b/>
      <w:bCs/>
      <w:sz w:val="32"/>
      <w:szCs w:val="32"/>
      <w:lang w:val="en-US" w:eastAsia="zh-CN" w:bidi="ar-SA"/>
    </w:rPr>
  </w:style>
  <w:style w:type="character" w:styleId="1274" w:customStyle="1">
    <w:name w:val="font01"/>
    <w:uiPriority w:val="0"/>
    <w:qFormat/>
    <w:rPr>
      <w:rFonts w:hint="eastAsia" w:ascii="宋体" w:hAnsi="宋体" w:eastAsia="宋体" w:cs="宋体"/>
      <w:color w:val="000000"/>
      <w:sz w:val="20"/>
      <w:szCs w:val="20"/>
      <w:u w:val="none"/>
    </w:rPr>
  </w:style>
  <w:style w:type="character" w:styleId="1275" w:customStyle="1">
    <w:name w:val="font81"/>
    <w:uiPriority w:val="0"/>
    <w:qFormat/>
    <w:rPr>
      <w:rFonts w:hint="eastAsia" w:ascii="宋体" w:hAnsi="宋体" w:eastAsia="宋体" w:cs="宋体"/>
      <w:color w:val="000000"/>
      <w:sz w:val="22"/>
      <w:szCs w:val="22"/>
      <w:u w:val="none"/>
    </w:rPr>
  </w:style>
  <w:style w:type="character" w:styleId="1276" w:customStyle="1">
    <w:name w:val="font71"/>
    <w:uiPriority w:val="0"/>
    <w:qFormat/>
    <w:rPr>
      <w:rFonts w:hint="eastAsia" w:ascii="宋体" w:hAnsi="宋体" w:eastAsia="宋体" w:cs="宋体"/>
      <w:color w:val="000000"/>
      <w:sz w:val="22"/>
      <w:szCs w:val="22"/>
      <w:u w:val="none"/>
    </w:rPr>
  </w:style>
  <w:style w:type="character" w:styleId="1277" w:customStyle="1">
    <w:name w:val="font51"/>
    <w:uiPriority w:val="0"/>
    <w:qFormat/>
    <w:rPr>
      <w:rFonts w:hint="default" w:ascii="Calibri" w:hAnsi="Calibri" w:cs="Calibri"/>
      <w:color w:val="000000"/>
      <w:sz w:val="22"/>
      <w:szCs w:val="22"/>
      <w:u w:val="none"/>
    </w:rPr>
  </w:style>
  <w:style w:type="character" w:styleId="1278" w:customStyle="1">
    <w:name w:val="font61"/>
    <w:uiPriority w:val="0"/>
    <w:qFormat/>
    <w:rPr>
      <w:rFonts w:hint="default" w:ascii="Calibri" w:hAnsi="Calibri" w:cs="Calibri"/>
      <w:color w:val="000000"/>
      <w:sz w:val="22"/>
      <w:szCs w:val="22"/>
      <w:u w:val="none"/>
    </w:rPr>
  </w:style>
  <w:style w:type="character" w:styleId="1279" w:customStyle="1">
    <w:name w:val="font41"/>
    <w:uiPriority w:val="0"/>
    <w:qFormat/>
    <w:rPr>
      <w:rFonts w:hint="eastAsia" w:ascii="宋体" w:hAnsi="宋体" w:eastAsia="宋体" w:cs="宋体"/>
      <w:color w:val="000000"/>
      <w:sz w:val="22"/>
      <w:szCs w:val="22"/>
      <w:u w:val="none"/>
    </w:rPr>
  </w:style>
  <w:style w:type="character" w:styleId="1280" w:customStyle="1">
    <w:name w:val="未处理的提及2"/>
    <w:basedOn w:val="1042"/>
    <w:uiPriority w:val="99"/>
    <w:semiHidden/>
    <w:unhideWhenUsed/>
    <w:qFormat/>
    <w:rPr>
      <w:color w:val="605e5c"/>
      <w:shd w:val="clear" w:color="auto" w:fill="e1dfdd"/>
    </w:rPr>
  </w:style>
  <w:style w:type="character" w:styleId="1281" w:customStyle="1">
    <w:name w:val="未处理的提及3"/>
    <w:basedOn w:val="1042"/>
    <w:uiPriority w:val="99"/>
    <w:semiHidden/>
    <w:unhideWhenUsed/>
    <w:qFormat/>
    <w:rPr>
      <w:color w:val="605e5c"/>
      <w:shd w:val="clear" w:color="auto" w:fill="e1dfdd"/>
    </w:rPr>
  </w:style>
  <w:style w:type="paragraph" w:styleId="1282" w:customStyle="1">
    <w:name w:val="_Style 234"/>
    <w:basedOn w:val="1032"/>
    <w:next w:val="1103"/>
    <w:uiPriority w:val="34"/>
    <w:qFormat/>
    <w:pPr>
      <w:ind w:left="420" w:firstLine="420"/>
      <w:spacing w:line="400" w:lineRule="exact"/>
    </w:pPr>
    <w:rPr>
      <w:rFonts w:ascii="Calibri" w:hAnsi="Calibri"/>
    </w:rPr>
  </w:style>
  <w:style w:type="character" w:styleId="1283" w:customStyle="1">
    <w:name w:val="列表段落 字符"/>
    <w:link w:val="1103"/>
    <w:uiPriority w:val="99"/>
    <w:qFormat/>
    <w:rPr>
      <w:sz w:val="21"/>
      <w:szCs w:val="24"/>
    </w:rPr>
  </w:style>
  <w:style w:type="character" w:styleId="1284" w:customStyle="1">
    <w:name w:val="彩色列表 - 强调文字颜色 1字符"/>
    <w:uiPriority w:val="34"/>
    <w:qFormat/>
    <w:rPr>
      <w:rFonts w:ascii="Calibri" w:hAnsi="Calibri"/>
      <w:sz w:val="21"/>
      <w:szCs w:val="24"/>
    </w:rPr>
  </w:style>
  <w:style w:type="character" w:styleId="1285" w:customStyle="1">
    <w:name w:val="批注主题 字符1"/>
    <w:basedOn w:val="1237"/>
    <w:uiPriority w:val="99"/>
    <w:semiHidden/>
    <w:qFormat/>
    <w:rPr>
      <w:rFonts w:ascii="Calibri" w:hAnsi="Calibri" w:eastAsia="宋体" w:cs="Times New Roman"/>
      <w:b/>
      <w:bCs/>
      <w:sz w:val="24"/>
      <w:szCs w:val="24"/>
    </w:rPr>
  </w:style>
  <w:style w:type="character" w:styleId="1286" w:customStyle="1">
    <w:name w:val="正文文本缩进 2 字符1"/>
    <w:basedOn w:val="1042"/>
    <w:uiPriority w:val="99"/>
    <w:semiHidden/>
    <w:qFormat/>
    <w:rPr>
      <w:rFonts w:ascii="Calibri" w:hAnsi="Calibri" w:eastAsia="宋体" w:cs="Times New Roman"/>
      <w:szCs w:val="24"/>
    </w:rPr>
  </w:style>
  <w:style w:type="character" w:styleId="1287" w:customStyle="1">
    <w:name w:val="标题 字符1"/>
    <w:basedOn w:val="1042"/>
    <w:uiPriority w:val="10"/>
    <w:qFormat/>
    <w:rPr>
      <w:rFonts w:asciiTheme="majorHAnsi" w:hAnsiTheme="majorHAnsi" w:eastAsiaTheme="majorEastAsia" w:cstheme="majorBidi"/>
      <w:b/>
      <w:bCs/>
      <w:sz w:val="32"/>
      <w:szCs w:val="32"/>
    </w:rPr>
  </w:style>
  <w:style w:type="character" w:styleId="1288" w:customStyle="1">
    <w:name w:val="正文文本缩进 字符1"/>
    <w:basedOn w:val="1042"/>
    <w:uiPriority w:val="99"/>
    <w:semiHidden/>
    <w:qFormat/>
    <w:rPr>
      <w:rFonts w:ascii="Calibri" w:hAnsi="Calibri" w:eastAsia="宋体" w:cs="Times New Roman"/>
      <w:szCs w:val="24"/>
    </w:rPr>
  </w:style>
  <w:style w:type="character" w:styleId="1289" w:customStyle="1">
    <w:name w:val="副标题 字符1"/>
    <w:basedOn w:val="1042"/>
    <w:uiPriority w:val="11"/>
    <w:qFormat/>
    <w:rPr>
      <w:b/>
      <w:bCs/>
      <w:sz w:val="32"/>
      <w:szCs w:val="32"/>
    </w:rPr>
  </w:style>
  <w:style w:type="character" w:styleId="1290" w:customStyle="1">
    <w:name w:val="日期 字符1"/>
    <w:basedOn w:val="1042"/>
    <w:uiPriority w:val="99"/>
    <w:semiHidden/>
    <w:qFormat/>
    <w:rPr>
      <w:rFonts w:ascii="Calibri" w:hAnsi="Calibri" w:eastAsia="宋体" w:cs="Times New Roman"/>
      <w:szCs w:val="24"/>
    </w:rPr>
  </w:style>
  <w:style w:type="paragraph" w:styleId="1291" w:customStyle="1">
    <w:name w:val="修订2"/>
    <w:uiPriority w:val="99"/>
    <w:unhideWhenUsed/>
    <w:qFormat/>
    <w:rPr>
      <w:rFonts w:ascii="Calibri" w:hAnsi="Calibri" w:eastAsia="宋体" w:cs="Times New Roman"/>
      <w:sz w:val="21"/>
      <w:szCs w:val="24"/>
      <w:lang w:val="en-US" w:eastAsia="zh-CN" w:bidi="ar-SA"/>
    </w:rPr>
  </w:style>
  <w:style w:type="character" w:styleId="1292" w:customStyle="1">
    <w:name w:val="正文文本 字符1"/>
    <w:basedOn w:val="1042"/>
    <w:uiPriority w:val="99"/>
    <w:semiHidden/>
    <w:qFormat/>
    <w:rPr>
      <w:rFonts w:ascii="Calibri" w:hAnsi="Calibri" w:eastAsia="宋体" w:cs="Times New Roman"/>
      <w:szCs w:val="24"/>
    </w:rPr>
  </w:style>
  <w:style w:type="character" w:styleId="1293" w:customStyle="1">
    <w:name w:val="批注框文本 字符1"/>
    <w:basedOn w:val="1042"/>
    <w:uiPriority w:val="99"/>
    <w:semiHidden/>
    <w:qFormat/>
    <w:rPr>
      <w:rFonts w:ascii="Calibri" w:hAnsi="Calibri" w:eastAsia="宋体" w:cs="Times New Roman"/>
      <w:sz w:val="18"/>
      <w:szCs w:val="18"/>
    </w:rPr>
  </w:style>
  <w:style w:type="paragraph" w:styleId="1294" w:customStyle="1">
    <w:name w:val="小四 段落 宋体 Char Char Char"/>
    <w:basedOn w:val="1046"/>
    <w:uiPriority w:val="0"/>
    <w:qFormat/>
    <w:pPr>
      <w:numPr>
        <w:ilvl w:val="0"/>
        <w:numId w:val="0"/>
      </w:numPr>
      <w:ind w:right="-33" w:firstLine="480"/>
      <w:jc w:val="left"/>
      <w:spacing w:line="360" w:lineRule="auto"/>
    </w:pPr>
    <w:rPr>
      <w:rFonts w:ascii="Times New Roman" w:hAnsi="Times New Roman"/>
      <w:sz w:val="24"/>
      <w:szCs w:val="20"/>
    </w:rPr>
  </w:style>
  <w:style w:type="character" w:styleId="1295" w:customStyle="1">
    <w:name w:val="纯文本 字符1"/>
    <w:basedOn w:val="1042"/>
    <w:uiPriority w:val="99"/>
    <w:semiHidden/>
    <w:qFormat/>
    <w:rPr>
      <w:rFonts w:hAnsi="Courier New" w:cs="Courier New" w:asciiTheme="minorEastAsia"/>
      <w:szCs w:val="24"/>
    </w:rPr>
  </w:style>
  <w:style w:type="character" w:styleId="1296" w:customStyle="1">
    <w:name w:val="文档结构图 字符1"/>
    <w:basedOn w:val="1042"/>
    <w:uiPriority w:val="99"/>
    <w:semiHidden/>
    <w:qFormat/>
    <w:rPr>
      <w:rFonts w:ascii="Microsoft YaHei UI" w:hAnsi="Calibri" w:eastAsia="Microsoft YaHei UI" w:cs="Times New Roman"/>
      <w:sz w:val="18"/>
      <w:szCs w:val="18"/>
    </w:rPr>
  </w:style>
  <w:style w:type="character" w:styleId="1297" w:customStyle="1">
    <w:name w:val="正文文本 3 字符1"/>
    <w:basedOn w:val="1042"/>
    <w:uiPriority w:val="99"/>
    <w:semiHidden/>
    <w:qFormat/>
    <w:rPr>
      <w:rFonts w:ascii="Calibri" w:hAnsi="Calibri" w:eastAsia="宋体" w:cs="Times New Roman"/>
      <w:sz w:val="16"/>
      <w:szCs w:val="16"/>
    </w:rPr>
  </w:style>
  <w:style w:type="paragraph" w:styleId="1298" w:customStyle="1">
    <w:name w:val="_Style 106"/>
    <w:basedOn w:val="1032"/>
    <w:next w:val="1103"/>
    <w:uiPriority w:val="34"/>
    <w:qFormat/>
    <w:pPr>
      <w:ind w:left="420" w:firstLine="420"/>
      <w:spacing w:line="400" w:lineRule="exact"/>
    </w:pPr>
    <w:rPr>
      <w:rFonts w:ascii="Calibri" w:hAnsi="Calibri"/>
    </w:rPr>
  </w:style>
  <w:style w:type="character" w:styleId="1299" w:customStyle="1">
    <w:name w:val="正文文本缩进 3 字符1"/>
    <w:basedOn w:val="1042"/>
    <w:uiPriority w:val="99"/>
    <w:semiHidden/>
    <w:qFormat/>
    <w:rPr>
      <w:rFonts w:ascii="Calibri" w:hAnsi="Calibri" w:eastAsia="宋体" w:cs="Times New Roman"/>
      <w:sz w:val="16"/>
      <w:szCs w:val="16"/>
    </w:rPr>
  </w:style>
  <w:style w:type="character" w:styleId="1300" w:customStyle="1">
    <w:name w:val="未处理的提及4"/>
    <w:basedOn w:val="1042"/>
    <w:uiPriority w:val="99"/>
    <w:semiHidden/>
    <w:unhideWhenUsed/>
    <w:qFormat/>
    <w:rPr>
      <w:color w:val="605e5c"/>
      <w:shd w:val="clear" w:color="auto" w:fill="e1dfdd"/>
    </w:rPr>
  </w:style>
  <w:style w:type="character" w:styleId="1301" w:customStyle="1">
    <w:name w:val="未处理的提及5"/>
    <w:basedOn w:val="1042"/>
    <w:uiPriority w:val="99"/>
    <w:semiHidden/>
    <w:unhideWhenUsed/>
    <w:qFormat/>
    <w:rPr>
      <w:color w:val="605e5c"/>
      <w:shd w:val="clear" w:color="auto" w:fill="e1dfdd"/>
    </w:rPr>
  </w:style>
  <w:style w:type="character" w:styleId="1302" w:customStyle="1">
    <w:name w:val="未处理的提及6"/>
    <w:basedOn w:val="1042"/>
    <w:uiPriority w:val="99"/>
    <w:semiHidden/>
    <w:unhideWhenUsed/>
    <w:qFormat/>
    <w:rPr>
      <w:color w:val="605e5c"/>
      <w:shd w:val="clear" w:color="auto" w:fill="e1dfdd"/>
    </w:rPr>
  </w:style>
  <w:style w:type="character" w:styleId="1303" w:customStyle="1">
    <w:name w:val="font101"/>
    <w:uiPriority w:val="0"/>
    <w:qFormat/>
    <w:rPr>
      <w:rFonts w:ascii="PingFangTC-light" w:hAnsi="PingFangTC-light" w:eastAsia="PingFangTC-light" w:cs="PingFangTC-light"/>
      <w:color w:val="ff0000"/>
      <w:sz w:val="22"/>
      <w:szCs w:val="22"/>
      <w:u w:val="none"/>
    </w:rPr>
  </w:style>
  <w:style w:type="character" w:styleId="1304" w:customStyle="1">
    <w:name w:val="font112"/>
    <w:uiPriority w:val="0"/>
    <w:qFormat/>
    <w:rPr>
      <w:rFonts w:ascii="Calibri" w:hAnsi="Calibri" w:cs="Calibri"/>
      <w:color w:val="ff0000"/>
      <w:sz w:val="21"/>
      <w:szCs w:val="21"/>
      <w:u w:val="none"/>
    </w:rPr>
  </w:style>
  <w:style w:type="character" w:styleId="1305" w:customStyle="1">
    <w:name w:val="font121"/>
    <w:uiPriority w:val="0"/>
    <w:qFormat/>
    <w:rPr>
      <w:rFonts w:hint="eastAsia" w:ascii="宋体" w:hAnsi="宋体" w:eastAsia="宋体" w:cs="宋体"/>
      <w:color w:val="000000"/>
      <w:sz w:val="20"/>
      <w:szCs w:val="20"/>
      <w:u w:val="none"/>
    </w:rPr>
  </w:style>
  <w:style w:type="character" w:styleId="1306" w:customStyle="1">
    <w:name w:val="纯文本 Char"/>
    <w:uiPriority w:val="0"/>
    <w:qFormat/>
    <w:rPr>
      <w:rFonts w:ascii="宋体" w:hAnsi="Courier New" w:eastAsia="宋体" w:cs="Courier New"/>
      <w:szCs w:val="21"/>
    </w:rPr>
  </w:style>
  <w:style w:type="character" w:styleId="1307" w:customStyle="1">
    <w:name w:val="NormalCharacter"/>
    <w:uiPriority w:val="0"/>
    <w:qFormat/>
    <w:rPr>
      <w:rFonts w:ascii="Times New Roman" w:hAnsi="Times New Roman" w:eastAsia="宋体" w:cs="Times New Roman"/>
      <w:sz w:val="21"/>
      <w:szCs w:val="22"/>
      <w:lang w:val="en-US" w:eastAsia="zh-CN" w:bidi="ar-SA"/>
    </w:rPr>
  </w:style>
  <w:style w:type="paragraph" w:styleId="1308" w:customStyle="1">
    <w:name w:val="样式 宋体 五号 行距: 单倍行距"/>
    <w:basedOn w:val="1032"/>
    <w:uiPriority w:val="0"/>
    <w:qFormat/>
    <w:pPr>
      <w:jc w:val="left"/>
    </w:pPr>
    <w:rPr>
      <w:rFonts w:ascii="宋体" w:hAnsi="宋体"/>
      <w:szCs w:val="20"/>
    </w:rPr>
  </w:style>
  <w:style w:type="paragraph" w:styleId="1309" w:customStyle="1">
    <w:name w:val="列表段落1"/>
    <w:basedOn w:val="1032"/>
    <w:uiPriority w:val="99"/>
    <w:qFormat/>
    <w:pPr>
      <w:ind w:firstLine="420"/>
    </w:pPr>
    <w:rPr>
      <w:szCs w:val="20"/>
    </w:rPr>
  </w:style>
  <w:style w:type="character" w:styleId="1310" w:customStyle="1">
    <w:name w:val="fontstyle31"/>
    <w:uiPriority w:val="0"/>
    <w:qFormat/>
    <w:rPr>
      <w:rFonts w:hint="default" w:ascii="TimesNewRomanPS-BoldMT" w:hAnsi="TimesNewRomanPS-BoldMT"/>
      <w:b/>
      <w:bCs/>
      <w:color w:val="000000"/>
      <w:sz w:val="22"/>
      <w:szCs w:val="22"/>
    </w:rPr>
  </w:style>
  <w:style w:type="paragraph" w:styleId="1311"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13"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314" w:customStyle="1">
    <w:name w:val="招标"/>
    <w:basedOn w:val="1032"/>
    <w:uiPriority w:val="0"/>
    <w:qFormat/>
    <w:pPr>
      <w:ind w:firstLine="420"/>
      <w:jc w:val="left"/>
      <w:spacing w:line="400" w:lineRule="exact"/>
    </w:pPr>
    <w:rPr>
      <w:rFonts w:ascii="宋体" w:hAnsi="宋体"/>
    </w:rPr>
  </w:style>
  <w:style w:type="paragraph" w:styleId="131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316" w:customStyle="1">
    <w:name w:val="二级目录"/>
    <w:next w:val="1032"/>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31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318"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319" w:customStyle="1">
    <w:name w:val="修订6"/>
    <w:hidden/>
    <w:uiPriority w:val="99"/>
    <w:unhideWhenUsed/>
    <w:qFormat/>
    <w:rPr>
      <w:rFonts w:ascii="Times New Roman" w:hAnsi="Times New Roman" w:eastAsia="宋体" w:cs="Times New Roman"/>
      <w:sz w:val="21"/>
      <w:szCs w:val="24"/>
      <w:lang w:val="en-US" w:eastAsia="zh-CN" w:bidi="ar-SA"/>
    </w:rPr>
  </w:style>
  <w:style w:type="character" w:styleId="1320" w:customStyle="1">
    <w:name w:val="NormalCharacter1"/>
    <w:uiPriority w:val="0"/>
    <w:qFormat/>
    <w:rPr>
      <w:sz w:val="21"/>
      <w:szCs w:val="24"/>
      <w:lang w:val="en-US" w:eastAsia="zh-CN" w:bidi="ar-SA"/>
    </w:rPr>
  </w:style>
  <w:style w:type="paragraph" w:styleId="1321"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32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924F092-B797-45F5-8BAB-EEC1BE0B762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陆蓉</cp:lastModifiedBy>
  <cp:revision>21</cp:revision>
  <dcterms:created xsi:type="dcterms:W3CDTF">2026-04-24T07:10:00Z</dcterms:created>
  <dcterms:modified xsi:type="dcterms:W3CDTF">2026-10-14T08:45:31Z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771DB6BB73474CCEAB7A008070A3E44E_13</vt:lpwstr>
  </property>
  <property fmtid="{D5CDD505-2E9C-101B-9397-08002B2CF9AE}" pid="4" name="KSOTemplateDocerSaveRecord">
    <vt:lpwstr>eyJoZGlkIjoiYjFiNjMyMzM4NzIwMmI3ODdiZDIyZTgwNGY5MjNmODgiLCJ1c2VySWQiOiIyNDUzOTE4ODIifQ==</vt:lpwstr>
  </property>
</Properties>
</file>