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color w:val="auto"/>
          <w:sz w:val="44"/>
          <w:szCs w:val="44"/>
          <w:highlight w:val="none"/>
          <w:lang w:val="zh-CN"/>
        </w:rPr>
      </w:pPr>
      <w:r>
        <w:rPr>
          <w:rFonts w:ascii="宋体"/>
          <w:caps/>
          <w:color w:val="auto"/>
          <w:sz w:val="44"/>
          <w:szCs w:val="44"/>
          <w:highlight w:val="none"/>
          <w:lang w:val="zh-CN"/>
        </w:rPr>
      </w:r>
      <w:r/>
    </w:p>
    <w:p>
      <w:pPr>
        <w:rPr>
          <w:rFonts w:ascii="宋体"/>
          <w:caps/>
          <w:color w:val="auto"/>
          <w:sz w:val="44"/>
          <w:szCs w:val="44"/>
          <w:highlight w:val="none"/>
          <w:lang w:val="zh-CN"/>
        </w:rPr>
      </w:pPr>
      <w:r>
        <w:rPr>
          <w:rFonts w:ascii="宋体"/>
          <w:caps/>
          <w:color w:val="auto"/>
          <w:sz w:val="44"/>
          <w:szCs w:val="44"/>
          <w:highlight w:val="none"/>
          <w:lang w:val="zh-CN"/>
        </w:rPr>
      </w:r>
      <w:r/>
    </w:p>
    <w:p>
      <w:pPr>
        <w:rPr>
          <w:rFonts w:hint="eastAsia" w:ascii="仿宋" w:hAnsi="仿宋" w:eastAsia="仿宋" w:cs="仿宋"/>
          <w:caps/>
          <w:color w:val="auto"/>
          <w:sz w:val="44"/>
          <w:szCs w:val="44"/>
          <w:highlight w:val="none"/>
          <w:lang w:val="zh-CN"/>
        </w:rPr>
      </w:pPr>
      <w:r>
        <w:rPr>
          <w:rFonts w:hint="eastAsia" w:ascii="仿宋" w:hAnsi="仿宋" w:eastAsia="仿宋" w:cs="仿宋"/>
          <w:caps/>
          <w:color w:val="auto"/>
          <w:sz w:val="44"/>
          <w:szCs w:val="44"/>
          <w:highlight w:val="none"/>
          <w:lang w:val="zh-CN"/>
        </w:rPr>
      </w:r>
      <w:r/>
    </w:p>
    <w:p>
      <w:pPr>
        <w:jc w:val="center"/>
        <w:rPr>
          <w:rFonts w:hint="eastAsia" w:ascii="仿宋" w:hAnsi="仿宋" w:eastAsia="仿宋" w:cs="仿宋"/>
          <w:color w:val="auto"/>
          <w:sz w:val="100"/>
          <w:szCs w:val="100"/>
          <w:highlight w:val="none"/>
          <w:lang w:val="zh-CN"/>
        </w:rPr>
      </w:pPr>
      <w:r>
        <w:rPr>
          <w:rFonts w:hint="eastAsia" w:ascii="仿宋" w:hAnsi="仿宋" w:eastAsia="仿宋" w:cs="仿宋"/>
          <w:color w:val="auto"/>
          <w:sz w:val="100"/>
          <w:szCs w:val="100"/>
          <w:highlight w:val="none"/>
          <w:lang w:val="zh-CN"/>
        </w:rPr>
        <w:t xml:space="preserve">  公开招标文件</w:t>
      </w:r>
      <w:r/>
    </w:p>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tbl>
      <w:tblPr>
        <w:tblStyle w:val="737"/>
        <w:tblpPr w:horzAnchor="margin" w:tblpXSpec="right" w:vertAnchor="text" w:tblpY="321"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060"/>
      </w:tblGrid>
      <w:tr>
        <w:trPr>
          <w:trHeight w:val="3003"/>
        </w:trPr>
        <w:tc>
          <w:tcPr>
            <w:tcBorders>
              <w:top w:val="none" w:color="000000" w:sz="4" w:space="0"/>
              <w:left w:val="none" w:color="000000" w:sz="4" w:space="0"/>
              <w:bottom w:val="none" w:color="000000" w:sz="4" w:space="0"/>
              <w:right w:val="none" w:color="000000" w:sz="4" w:space="0"/>
            </w:tcBorders>
            <w:tcW w:w="9060" w:type="dxa"/>
            <w:vAlign w:val="top"/>
            <w:textDirection w:val="lrTb"/>
            <w:noWrap w:val="false"/>
          </w:tcPr>
          <w:p>
            <w:pPr>
              <w:spacing w:line="360" w:lineRule="auto"/>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lang w:val="zh-CN"/>
              </w:rPr>
              <w:t xml:space="preserve">项目编号：JSZC-320100-BANG-G2026-0004</w:t>
            </w:r>
            <w:r/>
          </w:p>
          <w:p>
            <w:pPr>
              <w:ind w:left="2000" w:hanging="2000"/>
              <w:rPr>
                <w:rFonts w:hint="eastAsia" w:ascii="仿宋" w:hAnsi="仿宋" w:eastAsia="仿宋" w:cs="仿宋"/>
                <w:color w:val="auto"/>
                <w:sz w:val="44"/>
                <w:szCs w:val="44"/>
                <w:highlight w:val="none"/>
                <w:lang w:val="zh-CN"/>
              </w:rPr>
            </w:pPr>
            <w:r>
              <w:rPr>
                <w:rFonts w:hint="eastAsia" w:ascii="仿宋" w:hAnsi="仿宋" w:eastAsia="仿宋" w:cs="仿宋"/>
                <w:color w:val="auto"/>
                <w:sz w:val="40"/>
                <w:szCs w:val="40"/>
                <w:highlight w:val="none"/>
                <w:lang w:val="zh-CN"/>
              </w:rPr>
              <w:t xml:space="preserve">项目名称：市规划和自然资源局政务运行保障技术支持服务(2026)</w:t>
            </w:r>
            <w:r/>
          </w:p>
        </w:tc>
      </w:tr>
    </w:tbl>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jc w:val="center"/>
        <w:spacing w:line="360" w:lineRule="auto"/>
        <w:rPr>
          <w:rFonts w:hint="eastAsia" w:ascii="仿宋" w:hAnsi="仿宋" w:eastAsia="仿宋" w:cs="仿宋"/>
          <w:b/>
          <w:bCs/>
          <w:color w:val="auto"/>
          <w:sz w:val="40"/>
          <w:szCs w:val="18"/>
          <w:highlight w:val="none"/>
        </w:rPr>
      </w:pPr>
      <w:r>
        <w:rPr>
          <w:rFonts w:hint="eastAsia" w:ascii="仿宋" w:hAnsi="仿宋" w:eastAsia="仿宋" w:cs="仿宋"/>
          <w:b/>
          <w:bCs/>
          <w:color w:val="auto"/>
          <w:sz w:val="40"/>
          <w:szCs w:val="18"/>
          <w:highlight w:val="none"/>
        </w:rPr>
        <w:t xml:space="preserve">采购人：南京市规划和自然资源局</w:t>
      </w:r>
      <w:r/>
    </w:p>
    <w:p>
      <w:pPr>
        <w:jc w:val="center"/>
        <w:spacing w:line="360" w:lineRule="auto"/>
        <w:rPr>
          <w:rFonts w:hint="eastAsia" w:ascii="仿宋" w:hAnsi="仿宋" w:eastAsia="仿宋" w:cs="仿宋"/>
          <w:color w:val="auto"/>
          <w:sz w:val="44"/>
          <w:highlight w:val="none"/>
        </w:rPr>
      </w:pPr>
      <w:r>
        <w:rPr>
          <w:rFonts w:hint="eastAsia" w:ascii="仿宋" w:hAnsi="仿宋" w:eastAsia="仿宋" w:cs="仿宋"/>
          <w:b/>
          <w:bCs/>
          <w:color w:val="auto"/>
          <w:sz w:val="40"/>
          <w:szCs w:val="18"/>
          <w:highlight w:val="none"/>
        </w:rPr>
        <w:t xml:space="preserve">采购代理机构：江苏邦远项目管理有限公司</w:t>
      </w:r>
      <w:r/>
    </w:p>
    <w:p>
      <w:pPr>
        <w:jc w:val="center"/>
        <w:spacing w:line="360" w:lineRule="auto"/>
        <w:rPr>
          <w:rFonts w:hint="eastAsia" w:ascii="仿宋" w:hAnsi="仿宋" w:eastAsia="仿宋" w:cs="仿宋"/>
          <w:b/>
          <w:bCs/>
          <w:color w:val="auto"/>
          <w:sz w:val="44"/>
          <w:highlight w:val="none"/>
        </w:rPr>
      </w:pPr>
      <w:r>
        <w:rPr>
          <w:rFonts w:hint="eastAsia" w:ascii="仿宋" w:hAnsi="仿宋" w:eastAsia="仿宋" w:cs="仿宋"/>
          <w:b/>
          <w:bCs/>
          <w:color w:val="auto"/>
          <w:sz w:val="44"/>
          <w:highlight w:val="none"/>
        </w:rPr>
        <w:t xml:space="preserve">二O二</w:t>
      </w:r>
      <w:r>
        <w:rPr>
          <w:rFonts w:hint="eastAsia" w:ascii="仿宋" w:hAnsi="仿宋" w:eastAsia="仿宋" w:cs="仿宋"/>
          <w:b/>
          <w:bCs/>
          <w:color w:val="auto"/>
          <w:sz w:val="44"/>
          <w:highlight w:val="none"/>
          <w:lang w:val="en-US" w:eastAsia="zh-CN"/>
        </w:rPr>
        <w:t xml:space="preserve">六</w:t>
      </w:r>
      <w:r>
        <w:rPr>
          <w:rFonts w:hint="eastAsia" w:ascii="仿宋" w:hAnsi="仿宋" w:eastAsia="仿宋" w:cs="仿宋"/>
          <w:b/>
          <w:bCs/>
          <w:color w:val="auto"/>
          <w:sz w:val="44"/>
          <w:highlight w:val="none"/>
        </w:rPr>
        <w:t xml:space="preserve">年</w:t>
      </w:r>
      <w:r>
        <w:rPr>
          <w:rFonts w:hint="eastAsia" w:ascii="仿宋" w:hAnsi="仿宋" w:eastAsia="仿宋" w:cs="仿宋"/>
          <w:b/>
          <w:bCs/>
          <w:color w:val="auto"/>
          <w:sz w:val="44"/>
          <w:highlight w:val="none"/>
          <w:lang w:val="en-US" w:eastAsia="zh-CN"/>
        </w:rPr>
        <w:t xml:space="preserve">九</w:t>
      </w:r>
      <w:r>
        <w:rPr>
          <w:rFonts w:hint="eastAsia" w:ascii="仿宋" w:hAnsi="仿宋" w:eastAsia="仿宋" w:cs="仿宋"/>
          <w:b/>
          <w:bCs/>
          <w:color w:val="auto"/>
          <w:sz w:val="44"/>
          <w:highlight w:val="none"/>
        </w:rPr>
        <w:t xml:space="preserve">月</w:t>
      </w:r>
      <w:r/>
    </w:p>
    <w:p>
      <w:pPr>
        <w:jc w:val="center"/>
        <w:spacing w:line="360" w:lineRule="auto"/>
        <w:rPr>
          <w:rFonts w:hint="eastAsia" w:ascii="仿宋" w:hAnsi="仿宋" w:eastAsia="仿宋" w:cs="仿宋"/>
          <w:color w:val="auto"/>
          <w:sz w:val="44"/>
          <w:szCs w:val="44"/>
          <w:highlight w:val="none"/>
        </w:rPr>
        <w:sectPr>
          <w:headerReference w:type="default" r:id="rId9"/>
          <w:footnotePr/>
          <w:endnotePr/>
          <w:type w:val="nextPage"/>
          <w:pgSz w:w="11906" w:h="16838" w:orient="portrait"/>
          <w:pgMar w:top="1418" w:right="1134" w:bottom="1247" w:left="1304" w:header="851" w:footer="992" w:gutter="0"/>
          <w:cols w:num="1" w:sep="0" w:space="1701" w:equalWidth="1"/>
          <w:docGrid w:linePitch="360"/>
        </w:sectPr>
      </w:pPr>
      <w:r>
        <w:rPr>
          <w:rFonts w:hint="eastAsia" w:ascii="仿宋" w:hAnsi="仿宋" w:eastAsia="仿宋" w:cs="仿宋"/>
          <w:color w:val="auto"/>
          <w:sz w:val="44"/>
          <w:szCs w:val="44"/>
          <w:highlight w:val="none"/>
        </w:rPr>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t xml:space="preserve">目</w:t>
      </w:r>
      <w:r>
        <w:rPr>
          <w:rFonts w:hint="eastAsia" w:ascii="仿宋" w:hAnsi="仿宋" w:eastAsia="仿宋" w:cs="仿宋"/>
          <w:color w:val="auto"/>
          <w:sz w:val="32"/>
          <w:szCs w:val="32"/>
          <w:highlight w:val="none"/>
        </w:rPr>
        <w:t xml:space="preserve">  </w:t>
      </w:r>
      <w:r>
        <w:rPr>
          <w:rFonts w:hint="eastAsia" w:ascii="仿宋" w:hAnsi="仿宋" w:eastAsia="仿宋" w:cs="仿宋"/>
          <w:color w:val="auto"/>
          <w:sz w:val="32"/>
          <w:szCs w:val="32"/>
          <w:highlight w:val="none"/>
          <w:lang w:val="zh-CN"/>
        </w:rPr>
        <w:t xml:space="preserve">录</w:t>
      </w:r>
      <w:r/>
    </w:p>
    <w:p>
      <w:pPr>
        <w:pStyle w:val="922"/>
        <w:spacing w:line="360" w:lineRule="auto"/>
        <w:tabs>
          <w:tab w:val="right" w:pos="9070" w:leader="dot"/>
        </w:tabs>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747"/>
        <w:spacing w:line="360" w:lineRule="auto"/>
        <w:tabs>
          <w:tab w:val="right" w:pos="9070" w:leader="dot"/>
        </w:tabs>
        <w:rPr>
          <w:rFonts w:hint="eastAsia" w:ascii="仿宋" w:hAnsi="仿宋" w:eastAsia="仿宋" w:cs="仿宋"/>
          <w:color w:val="auto"/>
          <w:sz w:val="28"/>
          <w:szCs w:val="36"/>
          <w:highlight w:val="none"/>
        </w:rPr>
      </w:pPr>
      <w:r>
        <w:rPr>
          <w:rFonts w:hint="eastAsia" w:ascii="仿宋" w:hAnsi="仿宋" w:eastAsia="仿宋" w:cs="仿宋"/>
          <w:color w:val="auto"/>
          <w:sz w:val="28"/>
          <w:szCs w:val="28"/>
          <w:highlight w:val="none"/>
          <w:lang w:val="zh-CN"/>
        </w:rPr>
        <w:fldChar w:fldCharType="begin"/>
      </w:r>
      <w:r>
        <w:rPr>
          <w:rFonts w:hint="eastAsia" w:ascii="仿宋" w:hAnsi="仿宋" w:eastAsia="仿宋" w:cs="仿宋"/>
          <w:color w:val="auto"/>
          <w:sz w:val="28"/>
          <w:szCs w:val="28"/>
          <w:highlight w:val="none"/>
          <w:lang w:val="zh-CN"/>
        </w:rPr>
        <w:instrText xml:space="preserve">TOC \o "1-3" \h \u </w:instrText>
      </w:r>
      <w:r>
        <w:rPr>
          <w:rFonts w:hint="eastAsia" w:ascii="仿宋" w:hAnsi="仿宋" w:eastAsia="仿宋" w:cs="仿宋"/>
          <w:color w:val="auto"/>
          <w:sz w:val="28"/>
          <w:szCs w:val="28"/>
          <w:highlight w:val="none"/>
          <w:lang w:val="zh-CN"/>
        </w:rPr>
        <w:fldChar w:fldCharType="separate"/>
      </w:r>
      <w:r>
        <w:rPr>
          <w:rFonts w:hint="eastAsia" w:ascii="仿宋" w:hAnsi="仿宋" w:eastAsia="仿宋" w:cs="仿宋"/>
          <w:color w:val="auto"/>
          <w:sz w:val="28"/>
          <w:szCs w:val="40"/>
          <w:highlight w:val="none"/>
          <w:lang w:val="zh-CN"/>
        </w:rPr>
        <w:fldChar w:fldCharType="begin"/>
      </w:r>
      <w:r>
        <w:rPr>
          <w:rFonts w:hint="eastAsia" w:ascii="仿宋" w:hAnsi="仿宋" w:eastAsia="仿宋" w:cs="仿宋"/>
          <w:color w:val="auto"/>
          <w:sz w:val="28"/>
          <w:szCs w:val="40"/>
          <w:highlight w:val="none"/>
          <w:lang w:val="zh-CN"/>
        </w:rPr>
        <w:instrText xml:space="preserve"> HYPERLINK \l _Toc19582 </w:instrText>
      </w:r>
      <w:r>
        <w:rPr>
          <w:rFonts w:hint="eastAsia" w:ascii="仿宋" w:hAnsi="仿宋" w:eastAsia="仿宋" w:cs="仿宋"/>
          <w:color w:val="auto"/>
          <w:sz w:val="28"/>
          <w:szCs w:val="40"/>
          <w:highlight w:val="none"/>
          <w:lang w:val="zh-CN"/>
        </w:rPr>
        <w:fldChar w:fldCharType="separate"/>
      </w:r>
      <w:r>
        <w:rPr>
          <w:rFonts w:hint="eastAsia" w:ascii="仿宋" w:hAnsi="仿宋" w:eastAsia="仿宋" w:cs="仿宋"/>
          <w:color w:val="auto"/>
          <w:sz w:val="28"/>
          <w:szCs w:val="48"/>
          <w:highlight w:val="none"/>
        </w:rPr>
        <w:t xml:space="preserve">第一章 招标公告</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_Toc19582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1</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0"/>
          <w:highlight w:val="none"/>
          <w:lang w:val="zh-CN"/>
        </w:rPr>
        <w:fldChar w:fldCharType="end"/>
      </w:r>
      <w:r/>
    </w:p>
    <w:p>
      <w:pPr>
        <w:pStyle w:val="747"/>
        <w:spacing w:line="360" w:lineRule="auto"/>
        <w:tabs>
          <w:tab w:val="right" w:pos="9070" w:leader="dot"/>
        </w:tabs>
        <w:rPr>
          <w:rFonts w:hint="eastAsia" w:ascii="仿宋" w:hAnsi="仿宋" w:eastAsia="仿宋" w:cs="仿宋"/>
          <w:color w:val="auto"/>
          <w:sz w:val="28"/>
          <w:szCs w:val="36"/>
          <w:highlight w:val="none"/>
        </w:rPr>
      </w:pPr>
      <w:r>
        <w:rPr>
          <w:rFonts w:hint="eastAsia" w:ascii="仿宋" w:hAnsi="仿宋" w:eastAsia="仿宋" w:cs="仿宋"/>
          <w:color w:val="auto"/>
          <w:sz w:val="28"/>
          <w:szCs w:val="40"/>
          <w:highlight w:val="none"/>
          <w:lang w:val="zh-CN"/>
        </w:rPr>
        <w:fldChar w:fldCharType="begin"/>
      </w:r>
      <w:r>
        <w:rPr>
          <w:rFonts w:hint="eastAsia" w:ascii="仿宋" w:hAnsi="仿宋" w:eastAsia="仿宋" w:cs="仿宋"/>
          <w:color w:val="auto"/>
          <w:sz w:val="28"/>
          <w:szCs w:val="40"/>
          <w:highlight w:val="none"/>
          <w:lang w:val="zh-CN"/>
        </w:rPr>
        <w:instrText xml:space="preserve"> HYPERLINK \l _Toc31385 </w:instrText>
      </w:r>
      <w:r>
        <w:rPr>
          <w:rFonts w:hint="eastAsia" w:ascii="仿宋" w:hAnsi="仿宋" w:eastAsia="仿宋" w:cs="仿宋"/>
          <w:color w:val="auto"/>
          <w:sz w:val="28"/>
          <w:szCs w:val="40"/>
          <w:highlight w:val="none"/>
          <w:lang w:val="zh-CN"/>
        </w:rPr>
        <w:fldChar w:fldCharType="separate"/>
      </w:r>
      <w:r>
        <w:rPr>
          <w:rFonts w:hint="eastAsia" w:ascii="仿宋" w:hAnsi="仿宋" w:eastAsia="仿宋" w:cs="仿宋"/>
          <w:color w:val="auto"/>
          <w:sz w:val="28"/>
          <w:szCs w:val="48"/>
          <w:highlight w:val="none"/>
          <w:lang w:val="zh-CN"/>
        </w:rPr>
        <w:t xml:space="preserve">第二章 投标须知</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_Toc31385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4</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0"/>
          <w:highlight w:val="none"/>
          <w:lang w:val="zh-CN"/>
        </w:rPr>
        <w:fldChar w:fldCharType="end"/>
      </w:r>
      <w:r/>
    </w:p>
    <w:p>
      <w:pPr>
        <w:pStyle w:val="747"/>
        <w:spacing w:line="360" w:lineRule="auto"/>
        <w:tabs>
          <w:tab w:val="right" w:pos="9070" w:leader="dot"/>
        </w:tabs>
        <w:rPr>
          <w:rFonts w:hint="eastAsia" w:ascii="仿宋" w:hAnsi="仿宋" w:eastAsia="仿宋" w:cs="仿宋"/>
          <w:color w:val="auto"/>
          <w:sz w:val="28"/>
          <w:szCs w:val="36"/>
          <w:highlight w:val="none"/>
        </w:rPr>
      </w:pPr>
      <w:r>
        <w:rPr>
          <w:rFonts w:hint="eastAsia" w:ascii="仿宋" w:hAnsi="仿宋" w:eastAsia="仿宋" w:cs="仿宋"/>
          <w:color w:val="auto"/>
          <w:sz w:val="28"/>
          <w:szCs w:val="40"/>
          <w:highlight w:val="none"/>
          <w:lang w:val="zh-CN"/>
        </w:rPr>
        <w:fldChar w:fldCharType="begin"/>
      </w:r>
      <w:r>
        <w:rPr>
          <w:rFonts w:hint="eastAsia" w:ascii="仿宋" w:hAnsi="仿宋" w:eastAsia="仿宋" w:cs="仿宋"/>
          <w:color w:val="auto"/>
          <w:sz w:val="28"/>
          <w:szCs w:val="40"/>
          <w:highlight w:val="none"/>
          <w:lang w:val="zh-CN"/>
        </w:rPr>
        <w:instrText xml:space="preserve"> HYPERLINK \l _Toc30240 </w:instrText>
      </w:r>
      <w:r>
        <w:rPr>
          <w:rFonts w:hint="eastAsia" w:ascii="仿宋" w:hAnsi="仿宋" w:eastAsia="仿宋" w:cs="仿宋"/>
          <w:color w:val="auto"/>
          <w:sz w:val="28"/>
          <w:szCs w:val="40"/>
          <w:highlight w:val="none"/>
          <w:lang w:val="zh-CN"/>
        </w:rPr>
        <w:fldChar w:fldCharType="separate"/>
      </w:r>
      <w:r>
        <w:rPr>
          <w:rFonts w:hint="eastAsia" w:ascii="仿宋" w:hAnsi="仿宋" w:eastAsia="仿宋" w:cs="仿宋"/>
          <w:color w:val="auto"/>
          <w:sz w:val="28"/>
          <w:szCs w:val="48"/>
          <w:highlight w:val="none"/>
        </w:rPr>
        <w:t xml:space="preserve">第三章 评标标准</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_Toc30240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13</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0"/>
          <w:highlight w:val="none"/>
          <w:lang w:val="zh-CN"/>
        </w:rPr>
        <w:fldChar w:fldCharType="end"/>
      </w:r>
      <w:r/>
    </w:p>
    <w:p>
      <w:pPr>
        <w:pStyle w:val="747"/>
        <w:spacing w:line="360" w:lineRule="auto"/>
        <w:tabs>
          <w:tab w:val="right" w:pos="9070" w:leader="dot"/>
        </w:tabs>
        <w:rPr>
          <w:rFonts w:hint="eastAsia" w:ascii="仿宋" w:hAnsi="仿宋" w:eastAsia="仿宋" w:cs="仿宋"/>
          <w:color w:val="auto"/>
          <w:sz w:val="28"/>
          <w:szCs w:val="36"/>
          <w:highlight w:val="none"/>
        </w:rPr>
      </w:pPr>
      <w:r>
        <w:rPr>
          <w:rFonts w:hint="eastAsia" w:ascii="仿宋" w:hAnsi="仿宋" w:eastAsia="仿宋" w:cs="仿宋"/>
          <w:color w:val="auto"/>
          <w:sz w:val="28"/>
          <w:szCs w:val="40"/>
          <w:highlight w:val="none"/>
          <w:lang w:val="zh-CN"/>
        </w:rPr>
        <w:fldChar w:fldCharType="begin"/>
      </w:r>
      <w:r>
        <w:rPr>
          <w:rFonts w:hint="eastAsia" w:ascii="仿宋" w:hAnsi="仿宋" w:eastAsia="仿宋" w:cs="仿宋"/>
          <w:color w:val="auto"/>
          <w:sz w:val="28"/>
          <w:szCs w:val="40"/>
          <w:highlight w:val="none"/>
          <w:lang w:val="zh-CN"/>
        </w:rPr>
        <w:instrText xml:space="preserve"> HYPERLINK \l _Toc7346 </w:instrText>
      </w:r>
      <w:r>
        <w:rPr>
          <w:rFonts w:hint="eastAsia" w:ascii="仿宋" w:hAnsi="仿宋" w:eastAsia="仿宋" w:cs="仿宋"/>
          <w:color w:val="auto"/>
          <w:sz w:val="28"/>
          <w:szCs w:val="40"/>
          <w:highlight w:val="none"/>
          <w:lang w:val="zh-CN"/>
        </w:rPr>
        <w:fldChar w:fldCharType="separate"/>
      </w:r>
      <w:r>
        <w:rPr>
          <w:rFonts w:hint="eastAsia" w:ascii="仿宋" w:hAnsi="仿宋" w:eastAsia="仿宋" w:cs="仿宋"/>
          <w:color w:val="auto"/>
          <w:sz w:val="28"/>
          <w:szCs w:val="48"/>
          <w:highlight w:val="none"/>
        </w:rPr>
        <w:t xml:space="preserve">第四章 </w:t>
      </w:r>
      <w:r>
        <w:rPr>
          <w:rFonts w:hint="eastAsia" w:ascii="仿宋" w:hAnsi="仿宋" w:eastAsia="仿宋" w:cs="仿宋"/>
          <w:color w:val="auto"/>
          <w:sz w:val="28"/>
          <w:szCs w:val="48"/>
          <w:highlight w:val="none"/>
          <w:lang w:val="en-US" w:eastAsia="zh-CN"/>
        </w:rPr>
        <w:t xml:space="preserve">采购需求</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_Toc7346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17</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0"/>
          <w:highlight w:val="none"/>
          <w:lang w:val="zh-CN"/>
        </w:rPr>
        <w:fldChar w:fldCharType="end"/>
      </w:r>
      <w:r/>
    </w:p>
    <w:p>
      <w:pPr>
        <w:pStyle w:val="747"/>
        <w:spacing w:line="360" w:lineRule="auto"/>
        <w:tabs>
          <w:tab w:val="right" w:pos="9070" w:leader="dot"/>
        </w:tabs>
        <w:rPr>
          <w:rFonts w:hint="eastAsia" w:ascii="仿宋" w:hAnsi="仿宋" w:eastAsia="仿宋" w:cs="仿宋"/>
          <w:color w:val="auto"/>
          <w:sz w:val="28"/>
          <w:szCs w:val="36"/>
          <w:highlight w:val="none"/>
        </w:rPr>
      </w:pPr>
      <w:r>
        <w:rPr>
          <w:rFonts w:hint="eastAsia" w:ascii="仿宋" w:hAnsi="仿宋" w:eastAsia="仿宋" w:cs="仿宋"/>
          <w:color w:val="auto"/>
          <w:sz w:val="28"/>
          <w:szCs w:val="40"/>
          <w:highlight w:val="none"/>
          <w:lang w:val="zh-CN"/>
        </w:rPr>
        <w:fldChar w:fldCharType="begin"/>
      </w:r>
      <w:r>
        <w:rPr>
          <w:rFonts w:hint="eastAsia" w:ascii="仿宋" w:hAnsi="仿宋" w:eastAsia="仿宋" w:cs="仿宋"/>
          <w:color w:val="auto"/>
          <w:sz w:val="28"/>
          <w:szCs w:val="40"/>
          <w:highlight w:val="none"/>
          <w:lang w:val="zh-CN"/>
        </w:rPr>
        <w:instrText xml:space="preserve"> HYPERLINK \l _Toc15943 </w:instrText>
      </w:r>
      <w:r>
        <w:rPr>
          <w:rFonts w:hint="eastAsia" w:ascii="仿宋" w:hAnsi="仿宋" w:eastAsia="仿宋" w:cs="仿宋"/>
          <w:color w:val="auto"/>
          <w:sz w:val="28"/>
          <w:szCs w:val="40"/>
          <w:highlight w:val="none"/>
          <w:lang w:val="zh-CN"/>
        </w:rPr>
        <w:fldChar w:fldCharType="separate"/>
      </w:r>
      <w:r>
        <w:rPr>
          <w:rFonts w:hint="eastAsia" w:ascii="仿宋" w:hAnsi="仿宋" w:eastAsia="仿宋" w:cs="仿宋"/>
          <w:color w:val="auto"/>
          <w:sz w:val="28"/>
          <w:szCs w:val="48"/>
          <w:highlight w:val="none"/>
        </w:rPr>
        <w:t xml:space="preserve">第五章 合同</w:t>
      </w:r>
      <w:r>
        <w:rPr>
          <w:rFonts w:hint="eastAsia" w:ascii="仿宋" w:hAnsi="仿宋" w:eastAsia="仿宋" w:cs="仿宋"/>
          <w:color w:val="auto"/>
          <w:sz w:val="28"/>
          <w:szCs w:val="48"/>
          <w:highlight w:val="none"/>
          <w:lang w:val="en-US" w:eastAsia="zh-CN"/>
        </w:rPr>
        <w:t xml:space="preserve">条款及</w:t>
      </w:r>
      <w:r>
        <w:rPr>
          <w:rFonts w:hint="eastAsia" w:ascii="仿宋" w:hAnsi="仿宋" w:eastAsia="仿宋" w:cs="仿宋"/>
          <w:color w:val="auto"/>
          <w:sz w:val="28"/>
          <w:szCs w:val="48"/>
          <w:highlight w:val="none"/>
        </w:rPr>
        <w:t xml:space="preserve">格式</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_Toc15943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23</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0"/>
          <w:highlight w:val="none"/>
          <w:lang w:val="zh-CN"/>
        </w:rPr>
        <w:fldChar w:fldCharType="end"/>
      </w:r>
      <w:r/>
    </w:p>
    <w:p>
      <w:pPr>
        <w:pStyle w:val="747"/>
        <w:spacing w:line="360" w:lineRule="auto"/>
        <w:tabs>
          <w:tab w:val="right" w:pos="9070" w:leader="dot"/>
        </w:tabs>
        <w:rPr>
          <w:color w:val="auto"/>
          <w:highlight w:val="none"/>
        </w:rPr>
      </w:pPr>
      <w:r>
        <w:rPr>
          <w:rFonts w:hint="eastAsia" w:ascii="仿宋" w:hAnsi="仿宋" w:eastAsia="仿宋" w:cs="仿宋"/>
          <w:color w:val="auto"/>
          <w:sz w:val="28"/>
          <w:szCs w:val="40"/>
          <w:highlight w:val="none"/>
          <w:lang w:val="zh-CN"/>
        </w:rPr>
        <w:fldChar w:fldCharType="begin"/>
      </w:r>
      <w:r>
        <w:rPr>
          <w:rFonts w:hint="eastAsia" w:ascii="仿宋" w:hAnsi="仿宋" w:eastAsia="仿宋" w:cs="仿宋"/>
          <w:color w:val="auto"/>
          <w:sz w:val="28"/>
          <w:szCs w:val="40"/>
          <w:highlight w:val="none"/>
          <w:lang w:val="zh-CN"/>
        </w:rPr>
        <w:instrText xml:space="preserve"> HYPERLINK \l _Toc135 </w:instrText>
      </w:r>
      <w:r>
        <w:rPr>
          <w:rFonts w:hint="eastAsia" w:ascii="仿宋" w:hAnsi="仿宋" w:eastAsia="仿宋" w:cs="仿宋"/>
          <w:color w:val="auto"/>
          <w:sz w:val="28"/>
          <w:szCs w:val="40"/>
          <w:highlight w:val="none"/>
          <w:lang w:val="zh-CN"/>
        </w:rPr>
        <w:fldChar w:fldCharType="separate"/>
      </w:r>
      <w:r>
        <w:rPr>
          <w:rFonts w:hint="eastAsia" w:ascii="仿宋" w:hAnsi="仿宋" w:eastAsia="仿宋" w:cs="仿宋"/>
          <w:color w:val="auto"/>
          <w:sz w:val="28"/>
          <w:szCs w:val="36"/>
          <w:highlight w:val="none"/>
          <w:lang w:val="zh-CN"/>
        </w:rPr>
        <w:t xml:space="preserve">第六章 </w:t>
      </w:r>
      <w:r>
        <w:rPr>
          <w:rFonts w:hint="eastAsia" w:ascii="仿宋" w:hAnsi="仿宋" w:eastAsia="仿宋" w:cs="仿宋"/>
          <w:color w:val="auto"/>
          <w:sz w:val="28"/>
          <w:szCs w:val="36"/>
          <w:highlight w:val="none"/>
        </w:rPr>
        <w:t xml:space="preserve">投标文件</w:t>
      </w:r>
      <w:r>
        <w:rPr>
          <w:rFonts w:hint="eastAsia" w:ascii="仿宋" w:hAnsi="仿宋" w:eastAsia="仿宋" w:cs="仿宋"/>
          <w:color w:val="auto"/>
          <w:sz w:val="28"/>
          <w:szCs w:val="36"/>
          <w:highlight w:val="none"/>
          <w:lang w:val="en-US" w:eastAsia="zh-CN"/>
        </w:rPr>
        <w:t xml:space="preserve">格式</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_Toc135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27</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0"/>
          <w:highlight w:val="none"/>
          <w:lang w:val="zh-CN"/>
        </w:rPr>
        <w:fldChar w:fldCharType="end"/>
      </w:r>
      <w:r/>
    </w:p>
    <w:p>
      <w:pPr>
        <w:pStyle w:val="747"/>
        <w:tabs>
          <w:tab w:val="right" w:pos="9070" w:leader="dot"/>
        </w:tabs>
        <w:rPr>
          <w:color w:val="auto"/>
          <w:highlight w:val="none"/>
        </w:rPr>
      </w:pPr>
      <w:r>
        <w:rPr>
          <w:color w:val="auto"/>
          <w:highlight w:val="none"/>
        </w:rPr>
      </w:r>
      <w:r/>
    </w:p>
    <w:p>
      <w:pPr>
        <w:jc w:val="left"/>
        <w:spacing w:line="3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Cs w:val="28"/>
          <w:highlight w:val="none"/>
          <w:lang w:val="zh-CN"/>
        </w:rPr>
        <w:fldChar w:fldCharType="end"/>
      </w:r>
      <w:r/>
    </w:p>
    <w:p>
      <w:pPr>
        <w:jc w:val="center"/>
        <w:rPr>
          <w:rFonts w:hint="eastAsia" w:ascii="仿宋" w:hAnsi="仿宋" w:eastAsia="仿宋" w:cs="仿宋"/>
          <w:color w:val="auto"/>
          <w:sz w:val="36"/>
          <w:szCs w:val="36"/>
          <w:highlight w:val="none"/>
        </w:rPr>
        <w:sectPr>
          <w:headerReference w:type="default" r:id="rId10"/>
          <w:footerReference w:type="default" r:id="rId11"/>
          <w:footnotePr/>
          <w:endnotePr/>
          <w:type w:val="nextPage"/>
          <w:pgSz w:w="11906" w:h="16838" w:orient="portrait"/>
          <w:pgMar w:top="1418" w:right="1418" w:bottom="1418" w:left="1418" w:header="720" w:footer="720" w:gutter="0"/>
          <w:cols w:num="1" w:sep="0" w:space="1701" w:equalWidth="1"/>
          <w:docGrid w:linePitch="360"/>
        </w:sectPr>
        <w:outlineLvl w:val="0"/>
      </w:pPr>
      <w:r>
        <w:rPr>
          <w:rFonts w:hint="eastAsia" w:ascii="仿宋" w:hAnsi="仿宋" w:eastAsia="仿宋" w:cs="仿宋"/>
          <w:color w:val="auto"/>
          <w:sz w:val="36"/>
          <w:szCs w:val="36"/>
          <w:highlight w:val="none"/>
        </w:rPr>
      </w:r>
      <w:r/>
    </w:p>
    <w:p>
      <w:pPr>
        <w:jc w:val="center"/>
        <w:rPr>
          <w:rFonts w:hint="eastAsia" w:ascii="仿宋" w:hAnsi="仿宋" w:eastAsia="仿宋" w:cs="仿宋"/>
          <w:b/>
          <w:color w:val="auto"/>
          <w:sz w:val="36"/>
          <w:szCs w:val="36"/>
          <w:highlight w:val="none"/>
        </w:rPr>
        <w:outlineLvl w:val="0"/>
      </w:pPr>
      <w:r/>
      <w:bookmarkStart w:id="0" w:name="_Toc19582"/>
      <w:r>
        <w:rPr>
          <w:rFonts w:hint="eastAsia" w:ascii="仿宋" w:hAnsi="仿宋" w:eastAsia="仿宋" w:cs="仿宋"/>
          <w:color w:val="auto"/>
          <w:sz w:val="36"/>
          <w:szCs w:val="36"/>
          <w:highlight w:val="none"/>
        </w:rPr>
        <w:t xml:space="preserve">第一章 招标公告</w:t>
      </w:r>
      <w:bookmarkEnd w:id="0"/>
      <w:r/>
      <w:r/>
    </w:p>
    <w:p>
      <w:pPr>
        <w:jc w:val="left"/>
        <w:rPr>
          <w:rStyle w:val="924"/>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highlight w:val="none"/>
        </w:rPr>
        <w:t xml:space="preserve">项目概况</w:t>
      </w:r>
      <w:r/>
    </w:p>
    <w:p>
      <w:pPr>
        <w:ind w:firstLine="480"/>
        <w:rPr>
          <w:rFonts w:hint="eastAsia" w:ascii="仿宋" w:hAnsi="仿宋" w:eastAsia="仿宋" w:cs="仿宋"/>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iCs/>
          <w:color w:val="auto"/>
          <w:sz w:val="24"/>
          <w:highlight w:val="none"/>
          <w:u w:val="single"/>
        </w:rPr>
        <w:t xml:space="preserve"> </w:t>
      </w:r>
      <w:r>
        <w:rPr>
          <w:rFonts w:hint="eastAsia" w:ascii="仿宋" w:hAnsi="仿宋" w:eastAsia="仿宋" w:cs="仿宋"/>
          <w:iCs/>
          <w:color w:val="auto"/>
          <w:sz w:val="24"/>
          <w:highlight w:val="none"/>
          <w:u w:val="single"/>
          <w:lang w:eastAsia="zh-CN"/>
        </w:rPr>
        <w:t xml:space="preserve">市规划和自然资源局政务运行保障技术支持服务(2026)JSZC-320100-BANG-G2026-0004</w:t>
      </w:r>
      <w:r>
        <w:rPr>
          <w:rFonts w:hint="eastAsia" w:ascii="仿宋" w:hAnsi="仿宋" w:eastAsia="仿宋" w:cs="仿宋"/>
          <w:color w:val="auto"/>
          <w:sz w:val="24"/>
          <w:highlight w:val="none"/>
        </w:rPr>
        <w:t xml:space="preserve">招标项目的潜在投标人应在</w:t>
      </w:r>
      <w:r>
        <w:rPr>
          <w:rFonts w:hint="eastAsia" w:ascii="仿宋" w:hAnsi="仿宋" w:eastAsia="仿宋" w:cs="仿宋"/>
          <w:color w:val="auto"/>
          <w:sz w:val="24"/>
          <w:highlight w:val="none"/>
          <w:u w:val="single"/>
        </w:rPr>
        <w:t xml:space="preserve">江苏政府采购网“苏采云”系统自行免费下载</w:t>
      </w:r>
      <w:r>
        <w:rPr>
          <w:rFonts w:hint="eastAsia" w:ascii="仿宋" w:hAnsi="仿宋" w:eastAsia="仿宋" w:cs="仿宋"/>
          <w:color w:val="auto"/>
          <w:sz w:val="24"/>
          <w:highlight w:val="none"/>
        </w:rPr>
        <w:t xml:space="preserve">获取招标文件，并于</w:t>
      </w:r>
      <w:r>
        <w:rPr>
          <w:rFonts w:hint="eastAsia" w:ascii="仿宋" w:hAnsi="仿宋" w:eastAsia="仿宋" w:cs="仿宋"/>
          <w:color w:val="auto"/>
          <w:sz w:val="24"/>
          <w:highlight w:val="none"/>
          <w:u w:val="single"/>
          <w:lang w:eastAsia="zh-CN"/>
        </w:rPr>
        <w:t xml:space="preserve">2026-10-09</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bCs/>
          <w:color w:val="auto"/>
          <w:sz w:val="24"/>
          <w:highlight w:val="none"/>
          <w:u w:val="single"/>
          <w:lang w:eastAsia="zh-CN"/>
        </w:rPr>
        <w:t xml:space="preserve">14:00</w:t>
      </w:r>
      <w:r>
        <w:rPr>
          <w:rFonts w:hint="eastAsia" w:ascii="仿宋" w:hAnsi="仿宋" w:eastAsia="仿宋" w:cs="仿宋"/>
          <w:bCs/>
          <w:color w:val="auto"/>
          <w:sz w:val="24"/>
          <w:highlight w:val="none"/>
          <w:u w:val="single"/>
        </w:rPr>
        <w:t xml:space="preserve">（</w:t>
      </w:r>
      <w:r>
        <w:rPr>
          <w:rFonts w:hint="eastAsia" w:ascii="仿宋" w:hAnsi="仿宋" w:eastAsia="仿宋" w:cs="仿宋"/>
          <w:bCs/>
          <w:color w:val="auto"/>
          <w:sz w:val="24"/>
          <w:highlight w:val="none"/>
        </w:rPr>
        <w:t xml:space="preserve">北京时间）前递交投标文件</w:t>
      </w:r>
      <w:r>
        <w:rPr>
          <w:rFonts w:hint="eastAsia" w:ascii="仿宋" w:hAnsi="仿宋" w:eastAsia="仿宋" w:cs="仿宋"/>
          <w:color w:val="auto"/>
          <w:sz w:val="24"/>
          <w:highlight w:val="none"/>
        </w:rPr>
        <w:t xml:space="preserve">。</w:t>
      </w:r>
      <w:r/>
    </w:p>
    <w:p>
      <w:pPr>
        <w:pStyle w:val="909"/>
        <w:spacing w:before="140" w:after="60" w:line="360" w:lineRule="auto"/>
        <w:rPr>
          <w:rFonts w:hint="eastAsia" w:ascii="仿宋" w:hAnsi="仿宋" w:eastAsia="仿宋" w:cs="仿宋"/>
          <w:bCs w:val="0"/>
          <w:color w:val="auto"/>
          <w:sz w:val="24"/>
          <w:szCs w:val="24"/>
          <w:highlight w:val="none"/>
        </w:rPr>
      </w:pPr>
      <w:r/>
      <w:bookmarkStart w:id="1" w:name="_Toc35393621"/>
      <w:r/>
      <w:bookmarkStart w:id="2" w:name="_Toc21952"/>
      <w:r/>
      <w:bookmarkStart w:id="3" w:name="_Toc24757"/>
      <w:r/>
      <w:bookmarkStart w:id="4" w:name="_Toc35393790"/>
      <w:r/>
      <w:bookmarkStart w:id="5" w:name="_Toc3602"/>
      <w:r/>
      <w:bookmarkStart w:id="6" w:name="_Toc28359079"/>
      <w:r/>
      <w:bookmarkStart w:id="7" w:name="_Toc28359002"/>
      <w:r/>
      <w:bookmarkStart w:id="8" w:name="_Toc4600"/>
      <w:r/>
      <w:bookmarkStart w:id="9" w:name="_Hlk24379207"/>
      <w:r>
        <w:rPr>
          <w:rFonts w:hint="eastAsia" w:ascii="仿宋" w:hAnsi="仿宋" w:eastAsia="仿宋" w:cs="仿宋"/>
          <w:bCs w:val="0"/>
          <w:color w:val="auto"/>
          <w:sz w:val="24"/>
          <w:szCs w:val="24"/>
          <w:highlight w:val="none"/>
        </w:rPr>
        <w:t xml:space="preserve">一、项目基本情况</w:t>
      </w:r>
      <w:bookmarkEnd w:id="1"/>
      <w:r/>
      <w:bookmarkEnd w:id="2"/>
      <w:r/>
      <w:bookmarkEnd w:id="3"/>
      <w:r/>
      <w:bookmarkEnd w:id="4"/>
      <w:r/>
      <w:bookmarkEnd w:id="5"/>
      <w:r/>
      <w:bookmarkEnd w:id="6"/>
      <w:r/>
      <w:bookmarkEnd w:id="7"/>
      <w:r/>
      <w:bookmarkEnd w:id="8"/>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JSZC-320100-BANG-G2026-0004</w:t>
      </w:r>
      <w:r/>
    </w:p>
    <w:p>
      <w:pPr>
        <w:ind w:firstLine="48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项目名称：</w:t>
      </w:r>
      <w:bookmarkEnd w:id="9"/>
      <w:r>
        <w:rPr>
          <w:rFonts w:hint="eastAsia" w:ascii="仿宋" w:hAnsi="仿宋" w:eastAsia="仿宋" w:cs="仿宋"/>
          <w:color w:val="auto"/>
          <w:sz w:val="24"/>
          <w:highlight w:val="none"/>
          <w:lang w:val="zh-CN"/>
        </w:rPr>
        <w:t xml:space="preserve">市规划和自然资源局政务运行保障技术支持服务(2026)</w:t>
      </w:r>
      <w:r/>
    </w:p>
    <w:p>
      <w:pPr>
        <w:pStyle w:val="917"/>
        <w:ind w:firstLine="496"/>
        <w:jc w:val="both"/>
        <w:spacing w:line="360"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采购方式：公开招标</w:t>
      </w:r>
      <w:r/>
    </w:p>
    <w:p>
      <w:pPr>
        <w:pStyle w:val="917"/>
        <w:ind w:firstLine="516"/>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预算金额：</w:t>
      </w:r>
      <w:r>
        <w:rPr>
          <w:rFonts w:hint="eastAsia" w:ascii="仿宋" w:hAnsi="仿宋" w:eastAsia="仿宋" w:cs="仿宋"/>
          <w:color w:val="auto"/>
          <w:sz w:val="24"/>
          <w:szCs w:val="24"/>
          <w:highlight w:val="none"/>
          <w:lang w:eastAsia="zh-CN"/>
        </w:rPr>
        <w:t xml:space="preserve">700.000000</w:t>
      </w:r>
      <w:r>
        <w:rPr>
          <w:rFonts w:hint="eastAsia" w:ascii="仿宋" w:hAnsi="仿宋" w:eastAsia="仿宋" w:cs="仿宋"/>
          <w:color w:val="auto"/>
          <w:sz w:val="24"/>
          <w:szCs w:val="24"/>
          <w:highlight w:val="none"/>
        </w:rPr>
        <w:t xml:space="preserve">万元</w:t>
      </w:r>
      <w:r/>
    </w:p>
    <w:p>
      <w:pPr>
        <w:ind w:firstLine="516"/>
        <w:spacing w:line="360" w:lineRule="auto"/>
        <w:rPr>
          <w:rFonts w:hint="eastAsia" w:ascii="仿宋" w:hAnsi="仿宋" w:eastAsia="仿宋" w:cs="仿宋"/>
          <w:color w:val="auto"/>
          <w:spacing w:val="9"/>
          <w:sz w:val="24"/>
          <w:highlight w:val="none"/>
        </w:rPr>
      </w:pPr>
      <w:r>
        <w:rPr>
          <w:rFonts w:hint="eastAsia" w:ascii="仿宋" w:hAnsi="仿宋" w:eastAsia="仿宋" w:cs="仿宋"/>
          <w:color w:val="auto"/>
          <w:spacing w:val="9"/>
          <w:sz w:val="24"/>
          <w:highlight w:val="none"/>
        </w:rPr>
        <w:t xml:space="preserve">最高限价：</w:t>
      </w:r>
      <w:r>
        <w:rPr>
          <w:rFonts w:hint="eastAsia" w:ascii="仿宋" w:hAnsi="仿宋" w:eastAsia="仿宋" w:cs="仿宋"/>
          <w:color w:val="auto"/>
          <w:sz w:val="24"/>
          <w:highlight w:val="none"/>
          <w:lang w:eastAsia="zh-CN"/>
        </w:rPr>
        <w:t xml:space="preserve">700.000000</w:t>
      </w:r>
      <w:r>
        <w:rPr>
          <w:rFonts w:hint="eastAsia" w:ascii="仿宋" w:hAnsi="仿宋" w:eastAsia="仿宋" w:cs="仿宋"/>
          <w:color w:val="auto"/>
          <w:sz w:val="24"/>
          <w:highlight w:val="none"/>
        </w:rPr>
        <w:t xml:space="preserve">万元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采购需求：</w:t>
      </w:r>
      <w:r>
        <w:rPr>
          <w:rFonts w:hint="eastAsia" w:ascii="仿宋" w:hAnsi="仿宋" w:eastAsia="仿宋" w:cs="仿宋"/>
          <w:bCs/>
          <w:color w:val="auto"/>
          <w:sz w:val="24"/>
          <w:highlight w:val="none"/>
          <w:lang w:val="zh-CN"/>
        </w:rPr>
        <w:t xml:space="preserve">市规划和自然资源局政务运行保障技术支持服务(2026)</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具体内容</w:t>
      </w:r>
      <w:r>
        <w:rPr>
          <w:rFonts w:hint="eastAsia" w:ascii="仿宋" w:hAnsi="仿宋" w:eastAsia="仿宋" w:cs="仿宋"/>
          <w:bCs/>
          <w:color w:val="auto"/>
          <w:sz w:val="24"/>
          <w:highlight w:val="none"/>
        </w:rPr>
        <w:t xml:space="preserve">详见招标文件。</w:t>
      </w:r>
      <w:r/>
    </w:p>
    <w:p>
      <w:pPr>
        <w:ind w:firstLine="480"/>
        <w:spacing w:line="360" w:lineRule="auto"/>
        <w:rPr>
          <w:rFonts w:hint="eastAsia" w:ascii="仿宋" w:hAnsi="仿宋" w:eastAsia="仿宋" w:cs="仿宋"/>
          <w:iCs/>
          <w:color w:val="auto"/>
          <w:sz w:val="24"/>
          <w:highlight w:val="none"/>
          <w:u w:val="single"/>
          <w:lang w:eastAsia="zh-CN"/>
        </w:rPr>
      </w:pPr>
      <w:r>
        <w:rPr>
          <w:rFonts w:hint="eastAsia" w:ascii="仿宋" w:hAnsi="仿宋" w:eastAsia="仿宋" w:cs="仿宋"/>
          <w:color w:val="auto"/>
          <w:sz w:val="24"/>
          <w:highlight w:val="none"/>
        </w:rPr>
        <w:t xml:space="preserve">合同履行期限：</w:t>
      </w:r>
      <w:r>
        <w:rPr>
          <w:rFonts w:hint="eastAsia" w:ascii="仿宋" w:hAnsi="仿宋" w:eastAsia="仿宋" w:cs="仿宋"/>
          <w:color w:val="auto"/>
          <w:sz w:val="24"/>
          <w:highlight w:val="none"/>
          <w:lang w:eastAsia="zh-CN"/>
        </w:rPr>
        <w:t xml:space="preserve">1年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本项目（是否）接受联合体投标：否</w:t>
      </w:r>
      <w:r/>
    </w:p>
    <w:p>
      <w:pPr>
        <w:pStyle w:val="909"/>
        <w:spacing w:before="140" w:after="60" w:line="360" w:lineRule="auto"/>
        <w:rPr>
          <w:rFonts w:hint="eastAsia" w:ascii="仿宋" w:hAnsi="仿宋" w:eastAsia="仿宋" w:cs="仿宋"/>
          <w:bCs w:val="0"/>
          <w:color w:val="auto"/>
          <w:sz w:val="24"/>
          <w:szCs w:val="24"/>
          <w:highlight w:val="none"/>
        </w:rPr>
      </w:pPr>
      <w:r/>
      <w:bookmarkStart w:id="10" w:name="_Toc28359080"/>
      <w:r/>
      <w:bookmarkStart w:id="11" w:name="_Toc4274"/>
      <w:r/>
      <w:bookmarkStart w:id="12" w:name="_Toc35393791"/>
      <w:r/>
      <w:bookmarkStart w:id="13" w:name="_Toc24924"/>
      <w:r/>
      <w:bookmarkStart w:id="14" w:name="_Toc35393622"/>
      <w:r/>
      <w:bookmarkStart w:id="15" w:name="_Toc28359003"/>
      <w:r/>
      <w:bookmarkStart w:id="16" w:name="_Toc7859"/>
      <w:r/>
      <w:bookmarkStart w:id="17" w:name="_Toc11568"/>
      <w:r>
        <w:rPr>
          <w:rFonts w:hint="eastAsia" w:ascii="仿宋" w:hAnsi="仿宋" w:eastAsia="仿宋" w:cs="仿宋"/>
          <w:bCs w:val="0"/>
          <w:color w:val="auto"/>
          <w:sz w:val="24"/>
          <w:szCs w:val="24"/>
          <w:highlight w:val="none"/>
        </w:rPr>
        <w:t xml:space="preserve">二、申请人的资格要求</w:t>
      </w:r>
      <w:bookmarkEnd w:id="10"/>
      <w:r/>
      <w:bookmarkEnd w:id="11"/>
      <w:r/>
      <w:bookmarkEnd w:id="12"/>
      <w:r/>
      <w:bookmarkEnd w:id="13"/>
      <w:r/>
      <w:bookmarkEnd w:id="14"/>
      <w:r/>
      <w:bookmarkEnd w:id="15"/>
      <w:r/>
      <w:bookmarkEnd w:id="16"/>
      <w:r/>
      <w:bookmarkEnd w:id="17"/>
      <w:r/>
      <w:r/>
    </w:p>
    <w:p>
      <w:pPr>
        <w:ind w:firstLine="480"/>
        <w:spacing w:line="360" w:lineRule="auto"/>
        <w:rPr>
          <w:rFonts w:hint="eastAsia" w:ascii="仿宋" w:hAnsi="仿宋" w:eastAsia="仿宋" w:cs="仿宋"/>
          <w:color w:val="auto"/>
          <w:sz w:val="24"/>
          <w:highlight w:val="none"/>
        </w:rPr>
      </w:pPr>
      <w:r/>
      <w:bookmarkStart w:id="18" w:name="_Toc35393623"/>
      <w:r/>
      <w:bookmarkStart w:id="19" w:name="_Toc28359004"/>
      <w:r/>
      <w:bookmarkStart w:id="20" w:name="_Toc28359081"/>
      <w:r/>
      <w:bookmarkStart w:id="21" w:name="_Toc35393792"/>
      <w:r>
        <w:rPr>
          <w:rFonts w:hint="eastAsia" w:ascii="仿宋" w:hAnsi="仿宋" w:eastAsia="仿宋" w:cs="仿宋"/>
          <w:color w:val="auto"/>
          <w:sz w:val="24"/>
          <w:highlight w:val="none"/>
        </w:rPr>
        <w:t xml:space="preserve">（一）满足《中华人民共和国政府采购法》第二十二条规定：</w:t>
      </w:r>
      <w:r/>
    </w:p>
    <w:p>
      <w:pPr>
        <w:ind w:firstLine="48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1.法人或者其他组织的营业执照等证明文件，自然人的身份证明。</w:t>
      </w:r>
      <w:r/>
    </w:p>
    <w:p>
      <w:pPr>
        <w:ind w:firstLine="48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2.上一年度的财务状况报告（成立不满一年不需提供）。</w:t>
      </w:r>
      <w:r/>
    </w:p>
    <w:p>
      <w:pPr>
        <w:ind w:firstLine="48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3.依法缴纳税收和社会保障资金的相关材料。</w:t>
      </w:r>
      <w:r/>
    </w:p>
    <w:p>
      <w:pPr>
        <w:ind w:firstLine="48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4.具备履行合同所必需的设备和专业技术能力的书面声明。</w:t>
      </w:r>
      <w:r/>
    </w:p>
    <w:p>
      <w:pPr>
        <w:ind w:firstLine="48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5.参加政府采购活动前3年内在经营活动中没有重大违法记录的书面声明。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（二）落实政府采购政策需满足的资格要求：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（三）本项目的特定资格要求：</w:t>
      </w:r>
      <w:r>
        <w:rPr>
          <w:rFonts w:hint="eastAsia" w:ascii="仿宋" w:hAnsi="仿宋" w:eastAsia="仿宋" w:cs="仿宋"/>
          <w:color w:val="auto"/>
          <w:sz w:val="24"/>
          <w:highlight w:val="none"/>
          <w:lang w:val="en-US" w:eastAsia="zh-CN"/>
        </w:rPr>
        <w:t xml:space="preserve">无</w:t>
      </w:r>
      <w:r>
        <w:rPr>
          <w:rFonts w:hint="eastAsia" w:ascii="仿宋" w:hAnsi="仿宋" w:eastAsia="仿宋" w:cs="仿宋"/>
          <w:color w:val="auto"/>
          <w:sz w:val="24"/>
          <w:highlight w:val="none"/>
        </w:rPr>
        <w:t xml:space="preserve">。</w:t>
      </w:r>
      <w:r/>
    </w:p>
    <w:p>
      <w:pPr>
        <w:pStyle w:val="909"/>
        <w:spacing w:before="140" w:after="60" w:line="360" w:lineRule="auto"/>
        <w:rPr>
          <w:rFonts w:hint="eastAsia" w:ascii="仿宋" w:hAnsi="仿宋" w:eastAsia="仿宋" w:cs="仿宋"/>
          <w:bCs w:val="0"/>
          <w:color w:val="auto"/>
          <w:sz w:val="24"/>
          <w:szCs w:val="24"/>
          <w:highlight w:val="none"/>
        </w:rPr>
      </w:pPr>
      <w:r/>
      <w:bookmarkStart w:id="22" w:name="_Toc10825"/>
      <w:r/>
      <w:bookmarkStart w:id="23" w:name="_Toc27258"/>
      <w:r/>
      <w:bookmarkStart w:id="24" w:name="_Toc4049"/>
      <w:r/>
      <w:bookmarkStart w:id="25" w:name="_Toc11489"/>
      <w:r>
        <w:rPr>
          <w:rFonts w:hint="eastAsia" w:ascii="仿宋" w:hAnsi="仿宋" w:eastAsia="仿宋" w:cs="仿宋"/>
          <w:bCs w:val="0"/>
          <w:color w:val="auto"/>
          <w:sz w:val="24"/>
          <w:szCs w:val="24"/>
          <w:highlight w:val="none"/>
        </w:rPr>
        <w:t xml:space="preserve">三、获取招标文件</w:t>
      </w:r>
      <w:bookmarkEnd w:id="18"/>
      <w:r/>
      <w:bookmarkEnd w:id="19"/>
      <w:r/>
      <w:bookmarkEnd w:id="20"/>
      <w:r/>
      <w:bookmarkEnd w:id="21"/>
      <w:r/>
      <w:bookmarkEnd w:id="22"/>
      <w:r/>
      <w:bookmarkEnd w:id="23"/>
      <w:r/>
      <w:bookmarkEnd w:id="24"/>
      <w:r/>
      <w:bookmarkEnd w:id="25"/>
      <w:r/>
      <w:r/>
    </w:p>
    <w:p>
      <w:pPr>
        <w:ind w:firstLine="54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时间：自招标文件公告发布之日起5个工作日</w:t>
      </w:r>
      <w:r/>
    </w:p>
    <w:p>
      <w:pPr>
        <w:ind w:firstLine="54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地点：江苏政府采购网“苏采云”系统自行免费下载</w:t>
      </w:r>
      <w:r/>
    </w:p>
    <w:p>
      <w:pPr>
        <w:pStyle w:val="9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方式：江苏政府采购网“苏采云”系统自行免费下载</w:t>
      </w:r>
      <w:r/>
    </w:p>
    <w:p>
      <w:pPr>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售价：0.00元</w:t>
      </w:r>
      <w:r/>
    </w:p>
    <w:p>
      <w:pPr>
        <w:pStyle w:val="909"/>
        <w:spacing w:before="140" w:after="60" w:line="360" w:lineRule="auto"/>
        <w:rPr>
          <w:rFonts w:hint="eastAsia" w:ascii="仿宋" w:hAnsi="仿宋" w:eastAsia="仿宋" w:cs="仿宋"/>
          <w:bCs w:val="0"/>
          <w:color w:val="auto"/>
          <w:sz w:val="24"/>
          <w:szCs w:val="24"/>
          <w:highlight w:val="none"/>
        </w:rPr>
      </w:pPr>
      <w:r/>
      <w:bookmarkStart w:id="26" w:name="_Toc28359005"/>
      <w:r/>
      <w:bookmarkStart w:id="27" w:name="_Toc28359082"/>
      <w:r/>
      <w:bookmarkStart w:id="28" w:name="_Toc12822"/>
      <w:r/>
      <w:bookmarkStart w:id="29" w:name="_Toc35393624"/>
      <w:r/>
      <w:bookmarkStart w:id="30" w:name="_Toc1957"/>
      <w:r/>
      <w:bookmarkStart w:id="31" w:name="_Toc4571"/>
      <w:r/>
      <w:bookmarkStart w:id="32" w:name="_Toc18575"/>
      <w:r/>
      <w:bookmarkStart w:id="33" w:name="_Toc35393793"/>
      <w:r>
        <w:rPr>
          <w:rFonts w:hint="eastAsia" w:ascii="仿宋" w:hAnsi="仿宋" w:eastAsia="仿宋" w:cs="仿宋"/>
          <w:bCs w:val="0"/>
          <w:color w:val="auto"/>
          <w:sz w:val="24"/>
          <w:szCs w:val="24"/>
          <w:highlight w:val="none"/>
        </w:rPr>
        <w:t xml:space="preserve">四、提交投标文件</w:t>
      </w:r>
      <w:bookmarkEnd w:id="26"/>
      <w:r/>
      <w:bookmarkEnd w:id="27"/>
      <w:r>
        <w:rPr>
          <w:rFonts w:hint="eastAsia" w:ascii="仿宋" w:hAnsi="仿宋" w:eastAsia="仿宋" w:cs="仿宋"/>
          <w:bCs w:val="0"/>
          <w:color w:val="auto"/>
          <w:sz w:val="24"/>
          <w:szCs w:val="24"/>
          <w:highlight w:val="none"/>
        </w:rPr>
        <w:t xml:space="preserve">截止时间、开标时间和地点</w:t>
      </w:r>
      <w:bookmarkEnd w:id="28"/>
      <w:r/>
      <w:bookmarkEnd w:id="29"/>
      <w:r/>
      <w:bookmarkEnd w:id="30"/>
      <w:r/>
      <w:bookmarkEnd w:id="31"/>
      <w:r/>
      <w:bookmarkEnd w:id="32"/>
      <w:r/>
      <w:bookmarkEnd w:id="33"/>
      <w:r/>
      <w:r/>
    </w:p>
    <w:p>
      <w:pPr>
        <w:ind w:firstLine="480"/>
        <w:spacing w:line="360" w:lineRule="auto"/>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时间：</w:t>
      </w:r>
      <w:r>
        <w:rPr>
          <w:rFonts w:hint="eastAsia" w:ascii="仿宋" w:hAnsi="仿宋" w:eastAsia="仿宋" w:cs="仿宋"/>
          <w:bCs/>
          <w:color w:val="auto"/>
          <w:sz w:val="24"/>
          <w:highlight w:val="none"/>
          <w:lang w:eastAsia="zh-CN"/>
        </w:rPr>
        <w:t xml:space="preserve">2026-10-09</w:t>
      </w: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lang w:eastAsia="zh-CN"/>
        </w:rPr>
        <w:t xml:space="preserve">14:00</w:t>
      </w:r>
      <w:r>
        <w:rPr>
          <w:rFonts w:hint="eastAsia" w:ascii="仿宋" w:hAnsi="仿宋" w:eastAsia="仿宋" w:cs="仿宋"/>
          <w:bCs/>
          <w:color w:val="auto"/>
          <w:sz w:val="24"/>
          <w:highlight w:val="none"/>
        </w:rPr>
        <w:t xml:space="preserve">（北京时间）</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地点：江苏政府采购网“苏采云”系统</w:t>
      </w:r>
      <w:r/>
    </w:p>
    <w:p>
      <w:pPr>
        <w:pStyle w:val="909"/>
        <w:spacing w:before="140" w:after="60" w:line="360" w:lineRule="auto"/>
        <w:rPr>
          <w:rFonts w:hint="eastAsia" w:ascii="仿宋" w:hAnsi="仿宋" w:eastAsia="仿宋" w:cs="仿宋"/>
          <w:bCs w:val="0"/>
          <w:color w:val="auto"/>
          <w:sz w:val="24"/>
          <w:szCs w:val="24"/>
          <w:highlight w:val="none"/>
        </w:rPr>
      </w:pPr>
      <w:r/>
      <w:bookmarkStart w:id="34" w:name="_Toc1343"/>
      <w:r/>
      <w:bookmarkStart w:id="35" w:name="_Toc28359007"/>
      <w:r/>
      <w:bookmarkStart w:id="36" w:name="_Toc35393625"/>
      <w:r/>
      <w:bookmarkStart w:id="37" w:name="_Toc35393794"/>
      <w:r/>
      <w:bookmarkStart w:id="38" w:name="_Toc28359084"/>
      <w:r/>
      <w:bookmarkStart w:id="39" w:name="_Toc27173"/>
      <w:r/>
      <w:bookmarkStart w:id="40" w:name="_Toc26073"/>
      <w:r/>
      <w:bookmarkStart w:id="41" w:name="_Toc28394"/>
      <w:r>
        <w:rPr>
          <w:rFonts w:hint="eastAsia" w:ascii="仿宋" w:hAnsi="仿宋" w:eastAsia="仿宋" w:cs="仿宋"/>
          <w:bCs w:val="0"/>
          <w:color w:val="auto"/>
          <w:sz w:val="24"/>
          <w:szCs w:val="24"/>
          <w:highlight w:val="none"/>
        </w:rPr>
        <w:t xml:space="preserve">五、公告期限</w:t>
      </w:r>
      <w:bookmarkEnd w:id="34"/>
      <w:r/>
      <w:bookmarkEnd w:id="35"/>
      <w:r/>
      <w:bookmarkEnd w:id="36"/>
      <w:r/>
      <w:bookmarkEnd w:id="37"/>
      <w:r/>
      <w:bookmarkEnd w:id="38"/>
      <w:r/>
      <w:bookmarkEnd w:id="39"/>
      <w:r/>
      <w:bookmarkEnd w:id="40"/>
      <w:r/>
      <w:bookmarkEnd w:id="41"/>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自本公告发布之日起5个工作日。</w:t>
      </w:r>
      <w:r/>
    </w:p>
    <w:p>
      <w:pPr>
        <w:pStyle w:val="909"/>
        <w:spacing w:before="140" w:after="60" w:line="360" w:lineRule="auto"/>
        <w:rPr>
          <w:rFonts w:hint="eastAsia" w:ascii="仿宋" w:hAnsi="仿宋" w:eastAsia="仿宋" w:cs="仿宋"/>
          <w:bCs w:val="0"/>
          <w:color w:val="auto"/>
          <w:sz w:val="24"/>
          <w:szCs w:val="24"/>
          <w:highlight w:val="none"/>
        </w:rPr>
      </w:pPr>
      <w:r/>
      <w:bookmarkStart w:id="42" w:name="_Toc31737"/>
      <w:r/>
      <w:bookmarkStart w:id="43" w:name="_Toc6369"/>
      <w:r/>
      <w:bookmarkStart w:id="44" w:name="_Toc20096"/>
      <w:r/>
      <w:bookmarkStart w:id="45" w:name="_Toc35393626"/>
      <w:r/>
      <w:bookmarkStart w:id="46" w:name="_Toc6473"/>
      <w:r/>
      <w:bookmarkStart w:id="47" w:name="_Toc35393795"/>
      <w:r>
        <w:rPr>
          <w:rFonts w:hint="eastAsia" w:ascii="仿宋" w:hAnsi="仿宋" w:eastAsia="仿宋" w:cs="仿宋"/>
          <w:bCs w:val="0"/>
          <w:color w:val="auto"/>
          <w:sz w:val="24"/>
          <w:szCs w:val="24"/>
          <w:highlight w:val="none"/>
        </w:rPr>
        <w:t xml:space="preserve">六、其他补充事宜</w:t>
      </w:r>
      <w:bookmarkEnd w:id="42"/>
      <w:r/>
      <w:bookmarkEnd w:id="43"/>
      <w:r/>
      <w:bookmarkEnd w:id="44"/>
      <w:r/>
      <w:bookmarkEnd w:id="45"/>
      <w:r/>
      <w:bookmarkEnd w:id="46"/>
      <w:r/>
      <w:bookmarkEnd w:id="47"/>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1.现场考察、答疑时间：</w:t>
      </w:r>
      <w:r>
        <w:rPr>
          <w:rFonts w:hint="eastAsia" w:ascii="仿宋" w:hAnsi="仿宋" w:eastAsia="仿宋" w:cs="仿宋"/>
          <w:color w:val="auto"/>
          <w:sz w:val="24"/>
          <w:highlight w:val="none"/>
          <w:lang w:val="zh-CN"/>
        </w:rPr>
        <w:t xml:space="preserve">采购人不统一组织现场踏勘，各供应商可根据自身需要自行前往踏勘</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2.拒绝下述供应商参加本次采购活动: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（2）为本采购项目提供整体设计、规范编制，以及项目管理、监理、检测等服务的；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（3）参加本次采购活动不同供应商的法定代表人或委托代理人有夫妻、直系血亲关系的；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（4）参加本次采购活动不同供应商的负责人为同一人，或不同供应商之间存在直接控股、管理关系的；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（5）如本项目接收联合体投标，联合体成员存在不良信用记录的，视同联合体存在不良信用记录。</w:t>
      </w:r>
      <w:r/>
    </w:p>
    <w:p>
      <w:pPr>
        <w:ind w:firstLine="482"/>
        <w:keepLines w:val="0"/>
        <w:keepNext w:val="0"/>
        <w:pageBreakBefore w:val="0"/>
        <w:spacing w:line="360"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bookmarkStart w:id="48" w:name="OLE_LINK17"/>
      <w:r/>
      <w:bookmarkEnd w:id="48"/>
      <w:r>
        <w:rPr>
          <w:rFonts w:hint="eastAsia" w:ascii="仿宋" w:hAnsi="仿宋" w:eastAsia="仿宋" w:cs="仿宋"/>
          <w:bCs/>
          <w:color w:val="auto"/>
          <w:sz w:val="24"/>
          <w:highlight w:val="none"/>
        </w:rPr>
        <w:t xml:space="preserve">投标人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仿宋" w:hAnsi="仿宋" w:eastAsia="仿宋" w:cs="仿宋"/>
          <w:bCs/>
          <w:color w:val="auto"/>
          <w:sz w:val="24"/>
          <w:highlight w:val="none"/>
        </w:rPr>
        <w:fldChar w:fldCharType="begin"/>
      </w:r>
      <w:r>
        <w:rPr>
          <w:rFonts w:hint="eastAsia" w:ascii="仿宋" w:hAnsi="仿宋" w:eastAsia="仿宋" w:cs="仿宋"/>
          <w:bCs/>
          <w:color w:val="auto"/>
          <w:sz w:val="24"/>
          <w:highlight w:val="none"/>
        </w:rPr>
        <w:instrText xml:space="preserve"> HYPERLINK "http://www.ccgp-jiangsu.gov.cn/jiangsu/zlxz/ee/ee3a4bc5a3454aa2b0d9312230633ce9.html" </w:instrText>
      </w:r>
      <w:r>
        <w:rPr>
          <w:rFonts w:hint="eastAsia" w:ascii="仿宋" w:hAnsi="仿宋" w:eastAsia="仿宋" w:cs="仿宋"/>
          <w:bCs/>
          <w:color w:val="auto"/>
          <w:sz w:val="24"/>
          <w:highlight w:val="none"/>
        </w:rPr>
        <w:fldChar w:fldCharType="separate"/>
      </w:r>
      <w:r>
        <w:rPr>
          <w:rFonts w:hint="eastAsia" w:ascii="仿宋" w:hAnsi="仿宋" w:eastAsia="仿宋" w:cs="仿宋"/>
          <w:bCs/>
          <w:color w:val="auto"/>
          <w:sz w:val="24"/>
          <w:highlight w:val="none"/>
        </w:rPr>
        <w:t xml:space="preserve">下载地址</w:t>
      </w:r>
      <w:r>
        <w:rPr>
          <w:rFonts w:hint="eastAsia" w:ascii="仿宋" w:hAnsi="仿宋" w:eastAsia="仿宋" w:cs="仿宋"/>
          <w:bCs/>
          <w:color w:val="auto"/>
          <w:sz w:val="24"/>
          <w:highlight w:val="none"/>
        </w:rPr>
        <w:fldChar w:fldCharType="end"/>
      </w:r>
      <w:r>
        <w:rPr>
          <w:rFonts w:hint="eastAsia" w:ascii="仿宋" w:hAnsi="仿宋" w:eastAsia="仿宋" w:cs="仿宋"/>
          <w:bCs/>
          <w:color w:val="auto"/>
          <w:sz w:val="24"/>
          <w:highlight w:val="none"/>
        </w:rPr>
        <w:t xml:space="preserve">（http://www.ccgp-jiangsu.gov.cn/jiangsu/zlxz/ee/ee3a4bc5a3454aa2b0d9312230633ce9.html）。</w:t>
      </w:r>
      <w:bookmarkStart w:id="49" w:name="OLE_LINK2"/>
      <w:r/>
      <w:bookmarkEnd w:id="49"/>
      <w:r>
        <w:rPr>
          <w:rFonts w:hint="eastAsia" w:ascii="仿宋" w:hAnsi="仿宋" w:eastAsia="仿宋" w:cs="仿宋"/>
          <w:bCs/>
          <w:color w:val="auto"/>
          <w:sz w:val="24"/>
          <w:highlight w:val="none"/>
        </w:rPr>
        <w:t xml:space="preserve">“苏采云”南京地区客服热线025-83633744、025-83633743。</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4.</w:t>
      </w:r>
      <w:r>
        <w:rPr>
          <w:rFonts w:hint="eastAsia" w:ascii="仿宋" w:hAnsi="仿宋" w:eastAsia="仿宋" w:cs="仿宋"/>
          <w:bCs/>
          <w:color w:val="auto"/>
          <w:sz w:val="24"/>
          <w:highlight w:val="none"/>
          <w:lang w:val="zh-CN"/>
        </w:rPr>
        <w:t xml:space="preserve">本次采购公告在“江苏政府采购网、中国政府采购网”上发布,有关本次采购的事项若存在变动或修改，敬请及时关注“江苏政府采购网、中国政府采购网”</w:t>
      </w:r>
      <w:r>
        <w:rPr>
          <w:rFonts w:hint="eastAsia" w:ascii="仿宋" w:hAnsi="仿宋" w:eastAsia="仿宋" w:cs="仿宋"/>
          <w:bCs/>
          <w:color w:val="auto"/>
          <w:sz w:val="24"/>
          <w:highlight w:val="none"/>
        </w:rPr>
        <w:t xml:space="preserve">上</w:t>
      </w:r>
      <w:r>
        <w:rPr>
          <w:rFonts w:hint="eastAsia" w:ascii="仿宋" w:hAnsi="仿宋" w:eastAsia="仿宋" w:cs="仿宋"/>
          <w:bCs/>
          <w:color w:val="auto"/>
          <w:sz w:val="24"/>
          <w:highlight w:val="none"/>
          <w:lang w:val="zh-CN"/>
        </w:rPr>
        <w:t xml:space="preserve">发布的信息更正公告。</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5.本项目中标后不允许分包、转包。</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仅提供信用承诺书而未提供“二、申请人的资格要求（一）”中涉及的证明材料的，须在中标后另行提供上述由信用承诺书替代的证明材料（一式两份），材料须加盖公章并按招标文件要求提交采购人或采购代理机构核验。经核验无误后，由采购人或采购代理机构发出中标通知书。</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不适用信用承诺的情形：①供应商被列入严重失信主体名单；②被相关监管部门作出行政处罚且尚在处罚有效期内；③其他法律、行政法规规定的不适用信用承诺的情形。</w:t>
      </w:r>
      <w:r/>
    </w:p>
    <w:p>
      <w:pPr>
        <w:pStyle w:val="909"/>
        <w:spacing w:before="140" w:after="60" w:line="360" w:lineRule="auto"/>
        <w:rPr>
          <w:rFonts w:hint="eastAsia" w:ascii="仿宋" w:hAnsi="仿宋" w:eastAsia="仿宋" w:cs="仿宋"/>
          <w:bCs w:val="0"/>
          <w:color w:val="auto"/>
          <w:sz w:val="24"/>
          <w:szCs w:val="24"/>
          <w:highlight w:val="none"/>
        </w:rPr>
      </w:pPr>
      <w:r/>
      <w:bookmarkStart w:id="50" w:name="_Toc28359008"/>
      <w:r/>
      <w:bookmarkStart w:id="51" w:name="_Toc28359085"/>
      <w:r/>
      <w:bookmarkStart w:id="52" w:name="_Toc2406"/>
      <w:r/>
      <w:bookmarkStart w:id="53" w:name="_Toc11622"/>
      <w:r/>
      <w:bookmarkStart w:id="54" w:name="_Toc35393627"/>
      <w:r/>
      <w:bookmarkStart w:id="55" w:name="_Toc23976"/>
      <w:r/>
      <w:bookmarkStart w:id="56" w:name="_Toc21244"/>
      <w:r/>
      <w:bookmarkStart w:id="57" w:name="_Toc35393796"/>
      <w:r>
        <w:rPr>
          <w:rFonts w:hint="eastAsia" w:ascii="仿宋" w:hAnsi="仿宋" w:eastAsia="仿宋" w:cs="仿宋"/>
          <w:bCs w:val="0"/>
          <w:color w:val="auto"/>
          <w:sz w:val="24"/>
          <w:szCs w:val="24"/>
          <w:highlight w:val="none"/>
        </w:rPr>
        <w:t xml:space="preserve">七、对本次招标提出询问，请按以下方式联系</w:t>
      </w:r>
      <w:bookmarkEnd w:id="50"/>
      <w:r/>
      <w:bookmarkEnd w:id="51"/>
      <w:r/>
      <w:bookmarkEnd w:id="52"/>
      <w:r/>
      <w:bookmarkEnd w:id="53"/>
      <w:r/>
      <w:bookmarkEnd w:id="54"/>
      <w:r/>
      <w:bookmarkEnd w:id="55"/>
      <w:r/>
      <w:bookmarkEnd w:id="56"/>
      <w:r/>
      <w:bookmarkEnd w:id="57"/>
      <w:r/>
      <w:r/>
    </w:p>
    <w:p>
      <w:pPr>
        <w:ind w:firstLine="480"/>
        <w:spacing w:line="360" w:lineRule="auto"/>
        <w:rPr>
          <w:rFonts w:hint="eastAsia" w:ascii="仿宋" w:hAnsi="仿宋" w:eastAsia="仿宋" w:cs="仿宋"/>
          <w:bCs/>
          <w:color w:val="auto"/>
          <w:sz w:val="24"/>
          <w:highlight w:val="none"/>
          <w:lang w:val="zh-CN"/>
        </w:rPr>
      </w:pPr>
      <w:r/>
      <w:bookmarkStart w:id="58" w:name="_Toc28359096"/>
      <w:r/>
      <w:bookmarkStart w:id="59" w:name="_Toc28359019"/>
      <w:r/>
      <w:bookmarkStart w:id="60" w:name="_Toc35393806"/>
      <w:r/>
      <w:bookmarkStart w:id="61" w:name="_Toc35393637"/>
      <w:r>
        <w:rPr>
          <w:rFonts w:hint="eastAsia" w:ascii="仿宋" w:hAnsi="仿宋" w:eastAsia="仿宋" w:cs="仿宋"/>
          <w:bCs/>
          <w:color w:val="auto"/>
          <w:sz w:val="24"/>
          <w:highlight w:val="none"/>
          <w:lang w:val="zh-CN"/>
        </w:rPr>
        <w:t xml:space="preserve">1.采购人信息</w:t>
      </w:r>
      <w:bookmarkEnd w:id="58"/>
      <w:r/>
      <w:bookmarkEnd w:id="59"/>
      <w:r/>
      <w:bookmarkEnd w:id="60"/>
      <w:r/>
      <w:bookmarkEnd w:id="61"/>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en-US" w:eastAsia="zh-CN"/>
        </w:rPr>
        <w:t xml:space="preserve">单位</w:t>
      </w:r>
      <w:r>
        <w:rPr>
          <w:rFonts w:hint="eastAsia" w:ascii="仿宋" w:hAnsi="仿宋" w:eastAsia="仿宋" w:cs="仿宋"/>
          <w:bCs/>
          <w:color w:val="auto"/>
          <w:sz w:val="24"/>
          <w:highlight w:val="none"/>
          <w:lang w:val="zh-CN"/>
        </w:rPr>
        <w:t xml:space="preserve">名称：南京市规划和自然资源局</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en-US" w:eastAsia="zh-CN"/>
        </w:rPr>
        <w:t xml:space="preserve">单位</w:t>
      </w:r>
      <w:r>
        <w:rPr>
          <w:rFonts w:hint="eastAsia" w:ascii="仿宋" w:hAnsi="仿宋" w:eastAsia="仿宋" w:cs="仿宋"/>
          <w:bCs/>
          <w:color w:val="auto"/>
          <w:sz w:val="24"/>
          <w:highlight w:val="none"/>
          <w:lang w:val="zh-CN"/>
        </w:rPr>
        <w:t xml:space="preserve">地址：南京市鼓楼区中山路171号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lang w:val="zh-CN"/>
        </w:rPr>
        <w:t xml:space="preserve">联系</w:t>
      </w:r>
      <w:r>
        <w:rPr>
          <w:rFonts w:hint="eastAsia" w:ascii="仿宋" w:hAnsi="仿宋" w:eastAsia="仿宋" w:cs="仿宋"/>
          <w:bCs/>
          <w:color w:val="auto"/>
          <w:sz w:val="24"/>
          <w:highlight w:val="none"/>
          <w:lang w:val="en-US" w:eastAsia="zh-CN"/>
        </w:rPr>
        <w:t xml:space="preserve">人</w:t>
      </w:r>
      <w:r>
        <w:rPr>
          <w:rFonts w:hint="eastAsia" w:ascii="仿宋" w:hAnsi="仿宋" w:eastAsia="仿宋" w:cs="仿宋"/>
          <w:bCs/>
          <w:color w:val="auto"/>
          <w:sz w:val="24"/>
          <w:highlight w:val="none"/>
          <w:lang w:val="zh-CN"/>
        </w:rPr>
        <w:t xml:space="preserve">：倪海海</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en-US" w:eastAsia="zh-CN"/>
        </w:rPr>
        <w:t xml:space="preserve">联系电话：025-89691508</w:t>
      </w:r>
      <w:r/>
    </w:p>
    <w:p>
      <w:pPr>
        <w:ind w:firstLine="480"/>
        <w:spacing w:line="360" w:lineRule="auto"/>
        <w:rPr>
          <w:rFonts w:hint="eastAsia" w:ascii="仿宋" w:hAnsi="仿宋" w:eastAsia="仿宋" w:cs="仿宋"/>
          <w:bCs/>
          <w:color w:val="auto"/>
          <w:sz w:val="24"/>
          <w:highlight w:val="none"/>
          <w:lang w:val="zh-CN"/>
        </w:rPr>
      </w:pPr>
      <w:r/>
      <w:bookmarkStart w:id="62" w:name="_Toc28359020"/>
      <w:r/>
      <w:bookmarkStart w:id="63" w:name="_Toc28359097"/>
      <w:r/>
      <w:bookmarkStart w:id="64" w:name="_Toc35393807"/>
      <w:r/>
      <w:bookmarkStart w:id="65" w:name="_Toc35393638"/>
      <w:r>
        <w:rPr>
          <w:rFonts w:hint="eastAsia" w:ascii="仿宋" w:hAnsi="仿宋" w:eastAsia="仿宋" w:cs="仿宋"/>
          <w:bCs/>
          <w:color w:val="auto"/>
          <w:sz w:val="24"/>
          <w:highlight w:val="none"/>
          <w:lang w:val="zh-CN"/>
        </w:rPr>
        <w:t xml:space="preserve">2.采购代理机构信息</w:t>
      </w:r>
      <w:bookmarkEnd w:id="62"/>
      <w:r/>
      <w:bookmarkEnd w:id="63"/>
      <w:r/>
      <w:bookmarkEnd w:id="64"/>
      <w:r/>
      <w:bookmarkEnd w:id="65"/>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lang w:val="en-US" w:eastAsia="zh-CN"/>
        </w:rPr>
        <w:t xml:space="preserve">如有</w:t>
      </w:r>
      <w:r>
        <w:rPr>
          <w:rFonts w:hint="eastAsia" w:ascii="仿宋" w:hAnsi="仿宋" w:eastAsia="仿宋" w:cs="仿宋"/>
          <w:bCs/>
          <w:color w:val="auto"/>
          <w:sz w:val="24"/>
          <w:highlight w:val="none"/>
          <w:lang w:val="zh-CN"/>
        </w:rPr>
        <w:t xml:space="preserve">）</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en-US" w:eastAsia="zh-CN"/>
        </w:rPr>
        <w:t xml:space="preserve">单位</w:t>
      </w:r>
      <w:r>
        <w:rPr>
          <w:rFonts w:hint="eastAsia" w:ascii="仿宋" w:hAnsi="仿宋" w:eastAsia="仿宋" w:cs="仿宋"/>
          <w:bCs/>
          <w:color w:val="auto"/>
          <w:sz w:val="24"/>
          <w:highlight w:val="none"/>
          <w:lang w:val="zh-CN"/>
        </w:rPr>
        <w:t xml:space="preserve">名称：</w:t>
      </w:r>
      <w:r>
        <w:rPr>
          <w:rFonts w:hint="eastAsia" w:ascii="仿宋" w:hAnsi="仿宋" w:eastAsia="仿宋" w:cs="仿宋"/>
          <w:bCs/>
          <w:color w:val="auto"/>
          <w:sz w:val="24"/>
          <w:highlight w:val="none"/>
        </w:rPr>
        <w:t xml:space="preserve">江苏邦远项目管理有限公司</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en-US" w:eastAsia="zh-CN"/>
        </w:rPr>
        <w:t xml:space="preserve">单位</w:t>
      </w:r>
      <w:r>
        <w:rPr>
          <w:rFonts w:hint="eastAsia" w:ascii="仿宋" w:hAnsi="仿宋" w:eastAsia="仿宋" w:cs="仿宋"/>
          <w:bCs/>
          <w:color w:val="auto"/>
          <w:sz w:val="24"/>
          <w:highlight w:val="none"/>
          <w:lang w:val="zh-CN"/>
        </w:rPr>
        <w:t xml:space="preserve">地址：</w:t>
      </w:r>
      <w:r>
        <w:rPr>
          <w:rFonts w:hint="eastAsia" w:ascii="仿宋" w:hAnsi="仿宋" w:eastAsia="仿宋" w:cs="仿宋"/>
          <w:bCs/>
          <w:color w:val="auto"/>
          <w:sz w:val="24"/>
          <w:highlight w:val="none"/>
        </w:rPr>
        <w:t xml:space="preserve">南京市玄武区珠江路280号珠江大厦22楼</w:t>
      </w:r>
      <w:r/>
    </w:p>
    <w:p>
      <w:pPr>
        <w:ind w:firstLine="480"/>
        <w:spacing w:line="360" w:lineRule="auto"/>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联系人：</w:t>
      </w:r>
      <w:r>
        <w:rPr>
          <w:rFonts w:hint="eastAsia" w:ascii="仿宋" w:hAnsi="仿宋" w:eastAsia="仿宋" w:cs="仿宋"/>
          <w:bCs/>
          <w:color w:val="auto"/>
          <w:sz w:val="24"/>
          <w:highlight w:val="none"/>
        </w:rPr>
        <w:t xml:space="preserve">夏工</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孙工</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联系</w:t>
      </w:r>
      <w:r>
        <w:rPr>
          <w:rFonts w:hint="eastAsia" w:ascii="仿宋" w:hAnsi="仿宋" w:eastAsia="仿宋" w:cs="仿宋"/>
          <w:bCs/>
          <w:color w:val="auto"/>
          <w:sz w:val="24"/>
          <w:highlight w:val="none"/>
          <w:lang w:val="en-US" w:eastAsia="zh-CN"/>
        </w:rPr>
        <w:t xml:space="preserve">电话</w:t>
      </w:r>
      <w:r>
        <w:rPr>
          <w:rFonts w:hint="eastAsia" w:ascii="仿宋" w:hAnsi="仿宋" w:eastAsia="仿宋" w:cs="仿宋"/>
          <w:bCs/>
          <w:color w:val="auto"/>
          <w:sz w:val="24"/>
          <w:highlight w:val="none"/>
          <w:lang w:val="zh-CN"/>
        </w:rPr>
        <w:t xml:space="preserve">：15224735731</w:t>
      </w:r>
      <w:r>
        <w:rPr>
          <w:rFonts w:hint="eastAsia" w:ascii="仿宋" w:hAnsi="仿宋" w:eastAsia="仿宋" w:cs="仿宋"/>
          <w:bCs/>
          <w:color w:val="auto"/>
          <w:sz w:val="24"/>
          <w:highlight w:val="none"/>
        </w:rPr>
        <w:t xml:space="preserve"> 15951929508</w:t>
      </w:r>
      <w:r/>
    </w:p>
    <w:p>
      <w:pPr>
        <w:ind w:firstLine="480"/>
        <w:spacing w:line="420" w:lineRule="exact"/>
        <w:rPr>
          <w:rFonts w:hint="eastAsia" w:ascii="仿宋" w:hAnsi="仿宋" w:eastAsia="仿宋" w:cs="仿宋"/>
          <w:bCs/>
          <w:color w:val="auto"/>
          <w:sz w:val="24"/>
          <w:szCs w:val="32"/>
          <w:highlight w:val="none"/>
          <w:lang w:val="zh-CN"/>
        </w:rPr>
        <w:outlineLvl w:val="0"/>
      </w:pPr>
      <w:r/>
      <w:bookmarkStart w:id="66" w:name="_Toc17186"/>
      <w:r/>
      <w:bookmarkStart w:id="67" w:name="_Toc15387"/>
      <w:r/>
      <w:bookmarkStart w:id="68" w:name="_Toc5638"/>
      <w:r/>
      <w:bookmarkStart w:id="69" w:name="_Toc3017"/>
      <w:r>
        <w:rPr>
          <w:rFonts w:hint="eastAsia" w:ascii="仿宋" w:hAnsi="仿宋" w:eastAsia="仿宋" w:cs="仿宋"/>
          <w:bCs/>
          <w:color w:val="auto"/>
          <w:sz w:val="24"/>
          <w:szCs w:val="32"/>
          <w:highlight w:val="none"/>
          <w:lang w:val="zh-CN"/>
        </w:rPr>
        <w:t xml:space="preserve">3.项目联系方式</w:t>
      </w:r>
      <w:bookmarkEnd w:id="66"/>
      <w:r/>
      <w:bookmarkEnd w:id="67"/>
      <w:r/>
      <w:bookmarkEnd w:id="68"/>
      <w:r/>
      <w:bookmarkEnd w:id="69"/>
      <w:r/>
      <w:r/>
    </w:p>
    <w:p>
      <w:pPr>
        <w:ind w:firstLine="480"/>
        <w:spacing w:line="420" w:lineRule="exact"/>
        <w:rPr>
          <w:rFonts w:hint="eastAsia" w:ascii="仿宋" w:hAnsi="仿宋" w:eastAsia="仿宋" w:cs="仿宋"/>
          <w:bCs/>
          <w:color w:val="auto"/>
          <w:sz w:val="24"/>
          <w:szCs w:val="32"/>
          <w:highlight w:val="none"/>
          <w:lang w:val="zh-CN"/>
        </w:rPr>
        <w:outlineLvl w:val="0"/>
      </w:pPr>
      <w:r/>
      <w:bookmarkStart w:id="70" w:name="_Toc27473"/>
      <w:r/>
      <w:bookmarkStart w:id="71" w:name="_Toc24288"/>
      <w:r/>
      <w:bookmarkStart w:id="72" w:name="_Toc24541"/>
      <w:r/>
      <w:bookmarkStart w:id="73" w:name="_Toc14302"/>
      <w:r>
        <w:rPr>
          <w:rFonts w:hint="eastAsia" w:ascii="仿宋" w:hAnsi="仿宋" w:eastAsia="仿宋" w:cs="仿宋"/>
          <w:bCs/>
          <w:color w:val="auto"/>
          <w:sz w:val="24"/>
          <w:szCs w:val="32"/>
          <w:highlight w:val="none"/>
          <w:lang w:val="zh-CN"/>
        </w:rPr>
        <w:t xml:space="preserve">项目联系人：夏工、孙工</w:t>
      </w:r>
      <w:bookmarkEnd w:id="70"/>
      <w:r/>
      <w:bookmarkEnd w:id="71"/>
      <w:r/>
      <w:bookmarkEnd w:id="72"/>
      <w:r/>
      <w:bookmarkEnd w:id="73"/>
      <w:r>
        <w:rPr>
          <w:rFonts w:hint="eastAsia" w:ascii="仿宋" w:hAnsi="仿宋" w:eastAsia="仿宋" w:cs="仿宋"/>
          <w:bCs/>
          <w:color w:val="auto"/>
          <w:sz w:val="24"/>
          <w:szCs w:val="32"/>
          <w:highlight w:val="none"/>
          <w:lang w:val="zh-CN"/>
        </w:rPr>
        <w:t xml:space="preserve"> </w:t>
      </w:r>
      <w:r/>
    </w:p>
    <w:p>
      <w:pPr>
        <w:ind w:firstLine="480"/>
        <w:spacing w:line="420" w:lineRule="exact"/>
        <w:rPr>
          <w:rFonts w:hint="eastAsia" w:ascii="仿宋" w:hAnsi="仿宋" w:eastAsia="仿宋" w:cs="仿宋"/>
          <w:bCs/>
          <w:color w:val="auto"/>
          <w:sz w:val="24"/>
          <w:szCs w:val="32"/>
          <w:highlight w:val="none"/>
          <w:lang w:val="zh-CN"/>
        </w:rPr>
        <w:outlineLvl w:val="0"/>
      </w:pPr>
      <w:r/>
      <w:bookmarkStart w:id="74" w:name="_Toc15176"/>
      <w:r/>
      <w:bookmarkStart w:id="75" w:name="_Toc15406"/>
      <w:r/>
      <w:bookmarkStart w:id="76" w:name="_Toc9960"/>
      <w:r/>
      <w:bookmarkStart w:id="77" w:name="_Toc9361"/>
      <w:r>
        <w:rPr>
          <w:rFonts w:hint="eastAsia" w:ascii="仿宋" w:hAnsi="仿宋" w:eastAsia="仿宋" w:cs="仿宋"/>
          <w:bCs/>
          <w:color w:val="auto"/>
          <w:sz w:val="24"/>
          <w:szCs w:val="32"/>
          <w:highlight w:val="none"/>
          <w:lang w:val="zh-CN"/>
        </w:rPr>
        <w:t xml:space="preserve">电　话：</w:t>
      </w:r>
      <w:bookmarkEnd w:id="74"/>
      <w:r/>
      <w:bookmarkEnd w:id="75"/>
      <w:r/>
      <w:bookmarkEnd w:id="76"/>
      <w:r/>
      <w:bookmarkEnd w:id="77"/>
      <w:r>
        <w:rPr>
          <w:rFonts w:hint="eastAsia" w:ascii="仿宋" w:hAnsi="仿宋" w:eastAsia="仿宋" w:cs="仿宋"/>
          <w:bCs/>
          <w:color w:val="auto"/>
          <w:sz w:val="24"/>
          <w:highlight w:val="none"/>
          <w:lang w:val="zh-CN"/>
        </w:rPr>
        <w:t xml:space="preserve">15224735731</w:t>
      </w:r>
      <w:r>
        <w:rPr>
          <w:rFonts w:hint="eastAsia" w:ascii="仿宋" w:hAnsi="仿宋" w:eastAsia="仿宋" w:cs="仿宋"/>
          <w:bCs/>
          <w:color w:val="auto"/>
          <w:sz w:val="24"/>
          <w:highlight w:val="none"/>
        </w:rPr>
        <w:t xml:space="preserve"> 15951929508</w:t>
      </w:r>
      <w:r/>
    </w:p>
    <w:p>
      <w:pPr>
        <w:ind w:firstLine="480"/>
        <w:spacing w:line="420" w:lineRule="exact"/>
        <w:rPr>
          <w:rFonts w:hint="eastAsia" w:ascii="仿宋" w:hAnsi="仿宋" w:eastAsia="仿宋" w:cs="仿宋"/>
          <w:bCs/>
          <w:color w:val="auto"/>
          <w:sz w:val="24"/>
          <w:szCs w:val="32"/>
          <w:highlight w:val="none"/>
          <w:lang w:val="zh-CN"/>
        </w:rPr>
        <w:outlineLvl w:val="0"/>
      </w:pPr>
      <w:r>
        <w:rPr>
          <w:rFonts w:hint="eastAsia" w:ascii="仿宋" w:hAnsi="仿宋" w:eastAsia="仿宋" w:cs="仿宋"/>
          <w:bCs/>
          <w:color w:val="auto"/>
          <w:sz w:val="24"/>
          <w:szCs w:val="32"/>
          <w:highlight w:val="none"/>
          <w:lang w:val="zh-CN"/>
        </w:rPr>
        <w:t xml:space="preserve">　　　　　　　　　　　</w:t>
      </w:r>
      <w:r/>
    </w:p>
    <w:p>
      <w:pPr>
        <w:ind w:firstLine="422"/>
        <w:jc w:val="center"/>
        <w:spacing w:line="420" w:lineRule="exact"/>
        <w:rPr>
          <w:rFonts w:hint="eastAsia" w:ascii="仿宋" w:hAnsi="仿宋" w:eastAsia="仿宋" w:cs="仿宋"/>
          <w:color w:val="auto"/>
          <w:sz w:val="36"/>
          <w:szCs w:val="36"/>
          <w:highlight w:val="none"/>
          <w:lang w:val="zh-CN"/>
        </w:rPr>
        <w:outlineLvl w:val="0"/>
      </w:pPr>
      <w:r>
        <w:rPr>
          <w:rFonts w:hint="eastAsia" w:ascii="仿宋" w:hAnsi="仿宋" w:eastAsia="仿宋" w:cs="仿宋"/>
          <w:b/>
          <w:color w:val="auto"/>
          <w:highlight w:val="none"/>
          <w:lang w:val="zh-CN"/>
        </w:rPr>
        <w:br w:type="page" w:clear="all"/>
      </w:r>
      <w:bookmarkStart w:id="78" w:name="_Toc31385"/>
      <w:r>
        <w:rPr>
          <w:rFonts w:hint="eastAsia" w:ascii="仿宋" w:hAnsi="仿宋" w:eastAsia="仿宋" w:cs="仿宋"/>
          <w:color w:val="auto"/>
          <w:sz w:val="36"/>
          <w:szCs w:val="36"/>
          <w:highlight w:val="none"/>
          <w:lang w:val="zh-CN"/>
        </w:rPr>
        <w:t xml:space="preserve">第二章 投标须知</w:t>
      </w:r>
      <w:bookmarkEnd w:id="78"/>
      <w:r/>
      <w:r/>
    </w:p>
    <w:p>
      <w:pPr>
        <w:ind w:firstLine="422"/>
        <w:spacing w:line="360" w:lineRule="auto"/>
        <w:rPr>
          <w:rFonts w:hint="eastAsia" w:ascii="仿宋" w:hAnsi="仿宋" w:eastAsia="仿宋" w:cs="仿宋"/>
          <w:b/>
          <w:color w:val="auto"/>
          <w:highlight w:val="none"/>
          <w:lang w:val="zh-CN"/>
        </w:rPr>
        <w:outlineLvl w:val="1"/>
      </w:pPr>
      <w:r/>
      <w:bookmarkStart w:id="79" w:name="_Toc72"/>
      <w:r/>
      <w:bookmarkStart w:id="80" w:name="_Toc21690"/>
      <w:r/>
      <w:bookmarkStart w:id="81" w:name="_Toc12903"/>
      <w:r>
        <w:rPr>
          <w:rFonts w:hint="eastAsia" w:ascii="仿宋" w:hAnsi="仿宋" w:eastAsia="仿宋" w:cs="仿宋"/>
          <w:b/>
          <w:color w:val="auto"/>
          <w:highlight w:val="none"/>
          <w:lang w:val="zh-CN"/>
        </w:rPr>
        <w:t xml:space="preserve">一、总则</w:t>
      </w:r>
      <w:bookmarkEnd w:id="79"/>
      <w:r/>
      <w:bookmarkEnd w:id="80"/>
      <w:r/>
      <w:bookmarkEnd w:id="81"/>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1、适用法律</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2、定义</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2.1 “</w:t>
      </w:r>
      <w:r>
        <w:rPr>
          <w:rFonts w:hint="eastAsia" w:ascii="仿宋" w:hAnsi="仿宋" w:eastAsia="仿宋" w:cs="仿宋"/>
          <w:b/>
          <w:color w:val="auto"/>
          <w:highlight w:val="none"/>
          <w:lang w:val="zh-CN"/>
        </w:rPr>
        <w:t xml:space="preserve">供应商（</w:t>
      </w:r>
      <w:r>
        <w:rPr>
          <w:rFonts w:hint="eastAsia" w:ascii="仿宋" w:hAnsi="仿宋" w:eastAsia="仿宋" w:cs="仿宋"/>
          <w:b/>
          <w:color w:val="auto"/>
          <w:highlight w:val="none"/>
        </w:rPr>
        <w:t xml:space="preserve">投标人</w:t>
      </w:r>
      <w:r>
        <w:rPr>
          <w:rFonts w:hint="eastAsia" w:ascii="仿宋" w:hAnsi="仿宋" w:eastAsia="仿宋" w:cs="仿宋"/>
          <w:b/>
          <w:color w:val="auto"/>
          <w:highlight w:val="none"/>
          <w:lang w:val="zh-CN"/>
        </w:rPr>
        <w:t xml:space="preserve">）</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是指参加投标竞争，并符合招标文件规定资格条件的法人、其他组织或者自然人。</w:t>
      </w:r>
      <w:r/>
    </w:p>
    <w:p>
      <w:pPr>
        <w:ind w:firstLine="420"/>
        <w:spacing w:line="360" w:lineRule="auto"/>
        <w:rPr>
          <w:rFonts w:hint="eastAsia" w:ascii="仿宋" w:hAnsi="仿宋" w:eastAsia="仿宋" w:cs="仿宋"/>
          <w:b/>
          <w:color w:val="auto"/>
          <w:highlight w:val="none"/>
          <w:lang w:val="zh-CN"/>
        </w:rPr>
      </w:pPr>
      <w:r>
        <w:rPr>
          <w:rFonts w:hint="eastAsia" w:ascii="仿宋" w:hAnsi="仿宋" w:eastAsia="仿宋" w:cs="仿宋"/>
          <w:color w:val="auto"/>
          <w:highlight w:val="none"/>
          <w:lang w:val="zh-CN"/>
        </w:rPr>
        <w:t xml:space="preserve">2.2 “服务”指本招标文件中所述</w:t>
      </w:r>
      <w:r>
        <w:rPr>
          <w:rFonts w:hint="eastAsia" w:ascii="仿宋" w:hAnsi="仿宋" w:eastAsia="仿宋" w:cs="仿宋"/>
          <w:bCs/>
          <w:color w:val="auto"/>
          <w:highlight w:val="none"/>
          <w:lang w:val="zh-CN"/>
        </w:rPr>
        <w:t xml:space="preserve">产品</w:t>
      </w:r>
      <w:r>
        <w:rPr>
          <w:rFonts w:hint="eastAsia" w:ascii="仿宋" w:hAnsi="仿宋" w:eastAsia="仿宋" w:cs="仿宋"/>
          <w:color w:val="auto"/>
          <w:highlight w:val="none"/>
          <w:lang w:val="zh-CN"/>
        </w:rPr>
        <w:t xml:space="preserve">及相关服务。</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2.3 “用户或使用单位”是指使用服务的单位。</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3、政策功能</w:t>
      </w:r>
      <w:r/>
    </w:p>
    <w:p>
      <w:pPr>
        <w:pStyle w:val="917"/>
        <w:ind w:firstLine="420"/>
        <w:jc w:val="both"/>
        <w:rPr>
          <w:rFonts w:hint="eastAsia" w:ascii="仿宋" w:hAnsi="仿宋" w:eastAsia="仿宋" w:cs="仿宋"/>
          <w:color w:val="auto"/>
          <w:sz w:val="21"/>
          <w:szCs w:val="13"/>
          <w:highlight w:val="none"/>
        </w:rPr>
      </w:pPr>
      <w:r>
        <w:rPr>
          <w:rFonts w:hint="eastAsia" w:ascii="仿宋" w:hAnsi="仿宋" w:eastAsia="仿宋" w:cs="仿宋"/>
          <w:color w:val="auto"/>
          <w:sz w:val="21"/>
          <w:szCs w:val="13"/>
          <w:highlight w:val="none"/>
        </w:rPr>
        <w:t xml:space="preserve">3.1 中小企业政策</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（1）政府采购促进中小企业发展，在政府采购活动中，供应商提供的货物、工程或者服务符合《政府采购促进中小企业发展管理办法》（财库〔2020〕46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 号及《国家统计局关于印发&lt;统计上大中小微型企业划分办法（2017）&gt;的 通知》国统字〔2017〕213 号）</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（2）对于专门面向中小企业或小型、微型企业的项目，只面向中小企业或小型、微型企业采购。对于非专门面向中小企业的项目，对小型和微型企业的报价给予 10%的扣除，用扣除后的价格参与评审。参加政府采购活动的中小企业应当提供《中小企业声明函》。</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（3）以联合体形式参加政府采购活动的，联合体各方均为中小企业的，联合体视同中小企业。 其中，联合体各方均为小微企业的，联合体视同小微企业。</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（4）依据《政府采购促进中小企业发展管理办法》（财库〔2020〕46 号）规定的扶持政策获取政府采购合同后，小型、微型企业不得将合同分包给大型、中型企业，中型企业不得将合同分包给大型企业。</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3.2 支持监狱企业发展政策</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2）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3.3 促进残疾人就业政策</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（2）参加政府采购活动的残疾人福利性单位提供《残疾人福利性单位声明函》，残疾人福利性单位享受政府采购支持政策的要求详见《关于促进残疾人就业政府采购政策的通知》（财库〔2017〕141 号）。</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3.6提供的产品属于政府强制采购节能产品的，供应商应当选择依据国家标准中二级能效（水效）指标认证的节能产品投标，并提供有效的节能产品认证证书复印件。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3.7 提供的产品属于环境标志产品的，供应商应当选择依据相关标准的最新版本认证的环境标志产品投标，并提供有效的环境标志产品认证证书复印件 。</w:t>
      </w:r>
      <w:r/>
    </w:p>
    <w:p>
      <w:pPr>
        <w:ind w:firstLine="420"/>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3.8 未按要求提供相关材料的，不享受相关政策。</w:t>
      </w:r>
      <w:r/>
    </w:p>
    <w:p>
      <w:pPr>
        <w:ind w:firstLine="422"/>
        <w:spacing w:line="360" w:lineRule="auto"/>
        <w:rPr>
          <w:rFonts w:hint="eastAsia" w:ascii="仿宋" w:hAnsi="仿宋" w:eastAsia="仿宋" w:cs="仿宋"/>
          <w:b/>
          <w:color w:val="auto"/>
          <w:highlight w:val="none"/>
        </w:rPr>
        <w:outlineLvl w:val="1"/>
      </w:pPr>
      <w:r/>
      <w:bookmarkStart w:id="82" w:name="_Toc20170"/>
      <w:r/>
      <w:bookmarkStart w:id="83" w:name="_Toc7419"/>
      <w:r/>
      <w:bookmarkStart w:id="84" w:name="_Toc32013"/>
      <w:r>
        <w:rPr>
          <w:rFonts w:hint="eastAsia" w:ascii="仿宋" w:hAnsi="仿宋" w:eastAsia="仿宋" w:cs="仿宋"/>
          <w:b/>
          <w:color w:val="auto"/>
          <w:highlight w:val="none"/>
        </w:rPr>
        <w:t xml:space="preserve">二、招标文件</w:t>
      </w:r>
      <w:bookmarkEnd w:id="82"/>
      <w:r/>
      <w:bookmarkEnd w:id="83"/>
      <w:r/>
      <w:bookmarkEnd w:id="84"/>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4、招标文件组成</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4.1 招标文件组成：</w:t>
      </w:r>
      <w:r>
        <w:rPr>
          <w:rFonts w:hint="eastAsia" w:ascii="仿宋" w:hAnsi="仿宋" w:eastAsia="仿宋" w:cs="仿宋"/>
          <w:color w:val="auto"/>
          <w:highlight w:val="none"/>
        </w:rPr>
        <w:t xml:space="preserve">招标公告</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投标</w:t>
      </w:r>
      <w:r>
        <w:rPr>
          <w:rFonts w:hint="eastAsia" w:ascii="仿宋" w:hAnsi="仿宋" w:eastAsia="仿宋" w:cs="仿宋"/>
          <w:color w:val="auto"/>
          <w:highlight w:val="none"/>
          <w:lang w:val="zh-CN"/>
        </w:rPr>
        <w:t xml:space="preserve">须知、供应商应当提交的资格和资信证明文件、投标报价要求、投标文件编制要求和投标保证金缴纳方式、招标项目的技术规格、要求和数量、合同主要条款及合同签订方式、交货</w:t>
      </w:r>
      <w:r>
        <w:rPr>
          <w:rFonts w:hint="eastAsia" w:ascii="仿宋" w:hAnsi="仿宋" w:eastAsia="仿宋" w:cs="仿宋"/>
          <w:color w:val="auto"/>
          <w:highlight w:val="none"/>
          <w:lang w:val="en-US" w:eastAsia="zh-CN"/>
        </w:rPr>
        <w:t xml:space="preserve">或</w:t>
      </w:r>
      <w:r>
        <w:rPr>
          <w:rFonts w:hint="eastAsia" w:ascii="仿宋" w:hAnsi="仿宋" w:eastAsia="仿宋" w:cs="仿宋"/>
          <w:color w:val="auto"/>
          <w:highlight w:val="none"/>
          <w:lang w:val="zh-CN"/>
        </w:rPr>
        <w:t xml:space="preserve">提供服务的时间、付款条件、评标方法、评标标准、无效投标和废标条款、附件等。</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4.2 招标的最小单位是包（</w:t>
      </w:r>
      <w:r>
        <w:rPr>
          <w:rFonts w:hint="eastAsia" w:ascii="仿宋" w:hAnsi="仿宋" w:eastAsia="仿宋" w:cs="仿宋"/>
          <w:color w:val="auto"/>
          <w:highlight w:val="none"/>
        </w:rPr>
        <w:t xml:space="preserve">标段</w:t>
      </w:r>
      <w:r>
        <w:rPr>
          <w:rFonts w:hint="eastAsia" w:ascii="仿宋" w:hAnsi="仿宋" w:eastAsia="仿宋" w:cs="仿宋"/>
          <w:color w:val="auto"/>
          <w:highlight w:val="none"/>
          <w:lang w:val="zh-CN"/>
        </w:rPr>
        <w:t xml:space="preserve">）。招标服务数量及技术要求中未分包（</w:t>
      </w:r>
      <w:r>
        <w:rPr>
          <w:rFonts w:hint="eastAsia" w:ascii="仿宋" w:hAnsi="仿宋" w:eastAsia="仿宋" w:cs="仿宋"/>
          <w:color w:val="auto"/>
          <w:highlight w:val="none"/>
        </w:rPr>
        <w:t xml:space="preserve">标段</w:t>
      </w:r>
      <w:r>
        <w:rPr>
          <w:rFonts w:hint="eastAsia" w:ascii="仿宋" w:hAnsi="仿宋" w:eastAsia="仿宋" w:cs="仿宋"/>
          <w:color w:val="auto"/>
          <w:highlight w:val="none"/>
          <w:lang w:val="zh-CN"/>
        </w:rPr>
        <w:t xml:space="preserve">）的，供应商对要求提供的服务不得部分投标；招标服务数量及技术要求中已经分包（</w:t>
      </w:r>
      <w:r>
        <w:rPr>
          <w:rFonts w:hint="eastAsia" w:ascii="仿宋" w:hAnsi="仿宋" w:eastAsia="仿宋" w:cs="仿宋"/>
          <w:color w:val="auto"/>
          <w:highlight w:val="none"/>
        </w:rPr>
        <w:t xml:space="preserve">标段</w:t>
      </w:r>
      <w:r>
        <w:rPr>
          <w:rFonts w:hint="eastAsia" w:ascii="仿宋" w:hAnsi="仿宋" w:eastAsia="仿宋" w:cs="仿宋"/>
          <w:color w:val="auto"/>
          <w:highlight w:val="none"/>
          <w:lang w:val="zh-CN"/>
        </w:rPr>
        <w:t xml:space="preserve">）的，应当以包（</w:t>
      </w:r>
      <w:r>
        <w:rPr>
          <w:rFonts w:hint="eastAsia" w:ascii="仿宋" w:hAnsi="仿宋" w:eastAsia="仿宋" w:cs="仿宋"/>
          <w:color w:val="auto"/>
          <w:highlight w:val="none"/>
        </w:rPr>
        <w:t xml:space="preserve">标段</w:t>
      </w:r>
      <w:r>
        <w:rPr>
          <w:rFonts w:hint="eastAsia" w:ascii="仿宋" w:hAnsi="仿宋" w:eastAsia="仿宋" w:cs="仿宋"/>
          <w:color w:val="auto"/>
          <w:highlight w:val="none"/>
          <w:lang w:val="zh-CN"/>
        </w:rPr>
        <w:t xml:space="preserve">）为单位投标。</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4.3 招标文件如果要求供应商提交备选投标方案的，供应商可以提交备选方案；否则，备选方案将被拒绝。</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5、招标文件的澄清、修改</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5.1代理机构对已发出的招标文件进行必要澄清或者修改的，将在招标文件要求提交投标文件截止时间</w:t>
      </w:r>
      <w:r>
        <w:rPr>
          <w:rFonts w:hint="eastAsia" w:ascii="仿宋" w:hAnsi="仿宋" w:eastAsia="仿宋" w:cs="仿宋"/>
          <w:b/>
          <w:color w:val="auto"/>
          <w:highlight w:val="none"/>
          <w:u w:val="single"/>
          <w:lang w:val="zh-CN"/>
        </w:rPr>
        <w:t xml:space="preserve">十五日</w:t>
      </w:r>
      <w:r>
        <w:rPr>
          <w:rFonts w:hint="eastAsia" w:ascii="仿宋" w:hAnsi="仿宋" w:eastAsia="仿宋" w:cs="仿宋"/>
          <w:color w:val="auto"/>
          <w:highlight w:val="none"/>
          <w:lang w:val="zh-CN"/>
        </w:rPr>
        <w:t xml:space="preserve">前，在原招标公告媒体发布更正公告，该澄清或者修改的内容为招标文件的组成部分。</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5.2 代理机构在招标文件要求提交投标文件截止时间</w:t>
      </w:r>
      <w:r>
        <w:rPr>
          <w:rFonts w:hint="eastAsia" w:ascii="仿宋" w:hAnsi="仿宋" w:eastAsia="仿宋" w:cs="仿宋"/>
          <w:b/>
          <w:color w:val="auto"/>
          <w:highlight w:val="none"/>
          <w:u w:val="single"/>
          <w:lang w:val="zh-CN"/>
        </w:rPr>
        <w:t xml:space="preserve">三日</w:t>
      </w:r>
      <w:r>
        <w:rPr>
          <w:rFonts w:hint="eastAsia" w:ascii="仿宋" w:hAnsi="仿宋" w:eastAsia="仿宋" w:cs="仿宋"/>
          <w:color w:val="auto"/>
          <w:highlight w:val="none"/>
          <w:lang w:val="zh-CN"/>
        </w:rPr>
        <w:t xml:space="preserve">前，有权决定延长投标截止时间和开标时间，并</w:t>
      </w:r>
      <w:r>
        <w:rPr>
          <w:rFonts w:hint="eastAsia" w:ascii="仿宋" w:hAnsi="仿宋" w:eastAsia="仿宋" w:cs="仿宋"/>
          <w:color w:val="auto"/>
          <w:highlight w:val="none"/>
        </w:rPr>
        <w:t xml:space="preserve">在原采购信息发布媒体上发布变更公告。</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5</w:t>
      </w:r>
      <w:r>
        <w:rPr>
          <w:rFonts w:hint="eastAsia" w:ascii="仿宋" w:hAnsi="仿宋" w:eastAsia="仿宋" w:cs="仿宋"/>
          <w:color w:val="auto"/>
          <w:highlight w:val="none"/>
          <w:lang w:val="zh-CN"/>
        </w:rPr>
        <w:t xml:space="preserve">.3 供应商应在投标截止时间前关注</w:t>
      </w:r>
      <w:r>
        <w:rPr>
          <w:rFonts w:hint="eastAsia" w:ascii="仿宋" w:hAnsi="仿宋" w:eastAsia="仿宋" w:cs="仿宋"/>
          <w:color w:val="auto"/>
          <w:highlight w:val="none"/>
        </w:rPr>
        <w:t xml:space="preserve">原采购信息发布媒体上</w:t>
      </w:r>
      <w:r>
        <w:rPr>
          <w:rFonts w:hint="eastAsia" w:ascii="仿宋" w:hAnsi="仿宋" w:eastAsia="仿宋" w:cs="仿宋"/>
          <w:color w:val="auto"/>
          <w:highlight w:val="none"/>
          <w:lang w:val="zh-CN"/>
        </w:rPr>
        <w:t xml:space="preserve">有关本招标项目有无变更公告。</w:t>
      </w:r>
      <w:r/>
    </w:p>
    <w:p>
      <w:pPr>
        <w:ind w:firstLine="422"/>
        <w:spacing w:line="360" w:lineRule="auto"/>
        <w:rPr>
          <w:rFonts w:hint="eastAsia" w:ascii="仿宋" w:hAnsi="仿宋" w:eastAsia="仿宋" w:cs="仿宋"/>
          <w:b/>
          <w:color w:val="auto"/>
          <w:highlight w:val="none"/>
          <w:lang w:val="zh-CN"/>
        </w:rPr>
        <w:outlineLvl w:val="1"/>
      </w:pPr>
      <w:r/>
      <w:bookmarkStart w:id="85" w:name="_Toc8990"/>
      <w:r/>
      <w:bookmarkStart w:id="86" w:name="_Toc22768"/>
      <w:r/>
      <w:bookmarkStart w:id="87" w:name="_Toc11875"/>
      <w:r>
        <w:rPr>
          <w:rFonts w:hint="eastAsia" w:ascii="仿宋" w:hAnsi="仿宋" w:eastAsia="仿宋" w:cs="仿宋"/>
          <w:b/>
          <w:color w:val="auto"/>
          <w:highlight w:val="none"/>
          <w:lang w:val="zh-CN"/>
        </w:rPr>
        <w:t xml:space="preserve">三、投标</w:t>
      </w:r>
      <w:bookmarkEnd w:id="85"/>
      <w:r/>
      <w:bookmarkEnd w:id="86"/>
      <w:r/>
      <w:bookmarkEnd w:id="87"/>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6、投标文件的语言、计量单位、货币和编制</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6.2 供应商所使用的计量单位应为国家法定计量单位。</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6.3 供应商应用人民币报价。</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6.4 投标文件应字迹清楚、内容齐全、不得涂改。如有修改，修改处须有供应商公章和法定代表人或其授权的供应商代表签字。</w:t>
      </w:r>
      <w:r/>
    </w:p>
    <w:p>
      <w:pPr>
        <w:ind w:firstLine="420"/>
        <w:spacing w:line="360" w:lineRule="auto"/>
        <w:rPr>
          <w:rFonts w:hint="eastAsia" w:ascii="仿宋" w:hAnsi="仿宋" w:eastAsia="仿宋" w:cs="仿宋"/>
          <w:b/>
          <w:color w:val="auto"/>
          <w:szCs w:val="21"/>
          <w:highlight w:val="none"/>
          <w:lang w:val="zh-CN"/>
        </w:rPr>
      </w:pPr>
      <w:r>
        <w:rPr>
          <w:rFonts w:hint="eastAsia" w:ascii="仿宋" w:hAnsi="仿宋" w:eastAsia="仿宋" w:cs="仿宋"/>
          <w:color w:val="auto"/>
          <w:highlight w:val="none"/>
          <w:lang w:val="zh-CN"/>
        </w:rPr>
        <w:t xml:space="preserve">6.5</w:t>
      </w:r>
      <w:r>
        <w:rPr>
          <w:rFonts w:hint="eastAsia" w:ascii="仿宋" w:hAnsi="仿宋" w:eastAsia="仿宋" w:cs="仿宋"/>
          <w:b/>
          <w:color w:val="auto"/>
          <w:szCs w:val="21"/>
          <w:highlight w:val="none"/>
          <w:lang w:val="zh-CN"/>
        </w:rPr>
        <w:t xml:space="preserve">投标文件应按照招标文件规定的顺序，统一用A4规格幅面打印、装订成册并编制目录，由于编排混乱导致投标文件被误读或查找不到，责任由供应商承担。</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6.6 供应商应在投标文件中写清相应的项目编号、项目名称、供应商全称、地址、电话、传真等。</w:t>
      </w:r>
      <w:r/>
    </w:p>
    <w:p>
      <w:pPr>
        <w:ind w:firstLine="420"/>
        <w:spacing w:line="360" w:lineRule="auto"/>
        <w:rPr>
          <w:rFonts w:hint="eastAsia" w:ascii="仿宋" w:hAnsi="仿宋" w:eastAsia="仿宋" w:cs="仿宋"/>
          <w:b/>
          <w:color w:val="auto"/>
          <w:highlight w:val="none"/>
          <w:lang w:val="zh-CN"/>
        </w:rPr>
      </w:pPr>
      <w:r>
        <w:rPr>
          <w:rFonts w:hint="eastAsia" w:ascii="仿宋" w:hAnsi="仿宋" w:eastAsia="仿宋" w:cs="仿宋"/>
          <w:color w:val="auto"/>
          <w:highlight w:val="none"/>
          <w:lang w:val="zh-CN"/>
        </w:rPr>
        <w:t xml:space="preserve">7</w:t>
      </w:r>
      <w:r>
        <w:rPr>
          <w:rFonts w:hint="eastAsia" w:ascii="仿宋" w:hAnsi="仿宋" w:eastAsia="仿宋" w:cs="仿宋"/>
          <w:b/>
          <w:color w:val="auto"/>
          <w:highlight w:val="none"/>
          <w:lang w:val="zh-CN"/>
        </w:rPr>
        <w:t xml:space="preserve">、联合投标</w:t>
      </w:r>
      <w:r/>
    </w:p>
    <w:p>
      <w:pPr>
        <w:ind w:firstLine="420"/>
        <w:spacing w:line="360" w:lineRule="auto"/>
        <w:rPr>
          <w:rFonts w:hint="eastAsia" w:ascii="仿宋" w:hAnsi="仿宋" w:eastAsia="仿宋" w:cs="仿宋"/>
          <w:b/>
          <w:i/>
          <w:color w:val="auto"/>
          <w:highlight w:val="none"/>
        </w:rPr>
      </w:pPr>
      <w:r>
        <w:rPr>
          <w:rFonts w:hint="eastAsia" w:ascii="仿宋" w:hAnsi="仿宋" w:eastAsia="仿宋" w:cs="仿宋"/>
          <w:color w:val="auto"/>
          <w:highlight w:val="none"/>
        </w:rPr>
        <w:t xml:space="preserve">7.1</w:t>
      </w:r>
      <w:r>
        <w:rPr>
          <w:rFonts w:hint="eastAsia" w:ascii="仿宋" w:hAnsi="仿宋" w:eastAsia="仿宋" w:cs="仿宋"/>
          <w:b/>
          <w:color w:val="auto"/>
          <w:szCs w:val="21"/>
          <w:highlight w:val="none"/>
        </w:rPr>
        <w:t xml:space="preserve">本次招标不接受联合体投标。</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8、投标费用</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8.1 供应商应承担所有与准备和参加投标有关的费用。</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9、投标文件组成</w:t>
      </w:r>
      <w:r/>
    </w:p>
    <w:p>
      <w:pPr>
        <w:ind w:firstLine="420"/>
        <w:spacing w:line="360" w:lineRule="auto"/>
        <w:widowControl/>
        <w:rPr>
          <w:rFonts w:hint="eastAsia" w:ascii="仿宋" w:hAnsi="仿宋" w:eastAsia="仿宋" w:cs="仿宋"/>
          <w:b/>
          <w:color w:val="auto"/>
          <w:highlight w:val="none"/>
        </w:rPr>
      </w:pPr>
      <w:r>
        <w:rPr>
          <w:rFonts w:hint="eastAsia" w:ascii="仿宋" w:hAnsi="仿宋" w:eastAsia="仿宋" w:cs="仿宋"/>
          <w:color w:val="auto"/>
          <w:highlight w:val="none"/>
          <w:lang w:val="zh-CN"/>
        </w:rPr>
        <w:t xml:space="preserve">9.1</w:t>
      </w:r>
      <w:r>
        <w:rPr>
          <w:rFonts w:hint="eastAsia" w:ascii="仿宋" w:hAnsi="仿宋" w:eastAsia="仿宋" w:cs="仿宋"/>
          <w:color w:val="auto"/>
          <w:highlight w:val="none"/>
        </w:rPr>
        <w:t xml:space="preserve">供应商应当根据招标文件要求编制投标文件，投标文件应对招标文件提出的要求和条件作出实质性响应，</w:t>
      </w:r>
      <w:r>
        <w:rPr>
          <w:rFonts w:hint="eastAsia" w:ascii="仿宋" w:hAnsi="仿宋" w:eastAsia="仿宋" w:cs="仿宋"/>
          <w:b/>
          <w:color w:val="auto"/>
          <w:highlight w:val="none"/>
        </w:rPr>
        <w:t xml:space="preserve">对带星号（★）的技术条款必须在投标文件中提供技术支持资料（如白皮书、彩页、手册、检测报告等），未提供技术支持资料的，评审时不予认可。</w:t>
      </w:r>
      <w:r/>
    </w:p>
    <w:p>
      <w:pPr>
        <w:ind w:firstLine="420"/>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lang w:val="zh-CN"/>
        </w:rPr>
        <w:t xml:space="preserve">9.2 供应商根据招标文件载明的标的采购项目实际情况，拟在中标后将中标项目的非主体、非关键性工作交由他人完成的，应当在投标文件中载明。</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val="zh-CN"/>
        </w:rPr>
        <w:t xml:space="preserve">.3 投标文件由商务部分、技术部分、价格部分，以及其他部分组成。</w:t>
      </w:r>
      <w:r/>
    </w:p>
    <w:p>
      <w:pPr>
        <w:ind w:firstLine="422"/>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10、投标文件的商务部分</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10.1 商务部分是证明供应商有资格参加投标和中标后有能力履行合同的文件，</w:t>
      </w:r>
      <w:r>
        <w:rPr>
          <w:rFonts w:hint="eastAsia" w:ascii="仿宋" w:hAnsi="仿宋" w:eastAsia="仿宋" w:cs="仿宋"/>
          <w:color w:val="auto"/>
          <w:highlight w:val="none"/>
        </w:rPr>
        <w:t xml:space="preserve">这些文件应能满足招标的要求</w:t>
      </w:r>
      <w:r>
        <w:rPr>
          <w:rFonts w:hint="eastAsia" w:ascii="仿宋" w:hAnsi="仿宋" w:eastAsia="仿宋" w:cs="仿宋"/>
          <w:color w:val="auto"/>
          <w:highlight w:val="none"/>
          <w:lang w:val="zh-CN"/>
        </w:rPr>
        <w:t xml:space="preserve">，包括但不限于下列文件，</w:t>
      </w:r>
      <w:r>
        <w:rPr>
          <w:rFonts w:hint="eastAsia" w:ascii="仿宋" w:hAnsi="仿宋" w:eastAsia="仿宋" w:cs="仿宋"/>
          <w:b/>
          <w:color w:val="auto"/>
          <w:highlight w:val="none"/>
          <w:lang w:val="zh-CN"/>
        </w:rPr>
        <w:t xml:space="preserve">其中加</w:t>
      </w:r>
      <w:r>
        <w:rPr>
          <w:rFonts w:hint="eastAsia" w:ascii="仿宋" w:hAnsi="仿宋" w:eastAsia="仿宋" w:cs="仿宋"/>
          <w:b/>
          <w:color w:val="auto"/>
          <w:highlight w:val="none"/>
        </w:rPr>
        <w:t xml:space="preserve">★</w:t>
      </w:r>
      <w:r>
        <w:rPr>
          <w:rFonts w:hint="eastAsia" w:ascii="仿宋" w:hAnsi="仿宋" w:eastAsia="仿宋" w:cs="仿宋"/>
          <w:b/>
          <w:color w:val="auto"/>
          <w:highlight w:val="none"/>
          <w:lang w:val="zh-CN"/>
        </w:rPr>
        <w:t xml:space="preserve">项目不得有缺失或无效</w:t>
      </w:r>
      <w:r>
        <w:rPr>
          <w:rFonts w:hint="eastAsia" w:ascii="仿宋" w:hAnsi="仿宋" w:eastAsia="仿宋" w:cs="仿宋"/>
          <w:color w:val="auto"/>
          <w:highlight w:val="none"/>
          <w:lang w:val="zh-CN"/>
        </w:rPr>
        <w:t xml:space="preserve">。</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w:t>
      </w:r>
      <w:r>
        <w:rPr>
          <w:rFonts w:hint="eastAsia" w:ascii="仿宋" w:hAnsi="仿宋" w:eastAsia="仿宋" w:cs="仿宋"/>
          <w:b/>
          <w:color w:val="auto"/>
          <w:highlight w:val="none"/>
        </w:rPr>
        <w:t xml:space="preserve">★</w:t>
      </w:r>
      <w:r>
        <w:rPr>
          <w:rFonts w:hint="eastAsia" w:ascii="仿宋" w:hAnsi="仿宋" w:eastAsia="仿宋" w:cs="仿宋"/>
          <w:color w:val="auto"/>
          <w:szCs w:val="21"/>
          <w:highlight w:val="none"/>
          <w:lang w:val="zh-CN"/>
        </w:rPr>
        <w:t xml:space="preserve">投标申请及声明；</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w:t>
      </w:r>
      <w:r>
        <w:rPr>
          <w:rFonts w:hint="eastAsia" w:ascii="仿宋" w:hAnsi="仿宋" w:eastAsia="仿宋" w:cs="仿宋"/>
          <w:b/>
          <w:color w:val="auto"/>
          <w:highlight w:val="none"/>
        </w:rPr>
        <w:t xml:space="preserve">★</w:t>
      </w:r>
      <w:r>
        <w:rPr>
          <w:rFonts w:hint="eastAsia" w:ascii="仿宋" w:hAnsi="仿宋" w:eastAsia="仿宋" w:cs="仿宋"/>
          <w:color w:val="auto"/>
          <w:szCs w:val="21"/>
          <w:highlight w:val="none"/>
          <w:lang w:val="zh-CN"/>
        </w:rPr>
        <w:t xml:space="preserve">法定代表人授权委托书及委托代理人的身份证复印件； </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（3）</w:t>
      </w:r>
      <w:r>
        <w:rPr>
          <w:rFonts w:hint="eastAsia" w:ascii="仿宋" w:hAnsi="仿宋" w:eastAsia="仿宋" w:cs="仿宋"/>
          <w:b/>
          <w:color w:val="auto"/>
          <w:highlight w:val="none"/>
        </w:rPr>
        <w:t xml:space="preserve">★</w:t>
      </w:r>
      <w:r>
        <w:rPr>
          <w:rFonts w:hint="eastAsia" w:ascii="仿宋" w:hAnsi="仿宋" w:eastAsia="仿宋" w:cs="仿宋"/>
          <w:color w:val="auto"/>
          <w:szCs w:val="21"/>
          <w:highlight w:val="none"/>
        </w:rPr>
        <w:t xml:space="preserve">开标一览表</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（4）</w:t>
      </w:r>
      <w:r>
        <w:rPr>
          <w:rFonts w:hint="eastAsia" w:ascii="仿宋" w:hAnsi="仿宋" w:eastAsia="仿宋" w:cs="仿宋"/>
          <w:b/>
          <w:color w:val="auto"/>
          <w:highlight w:val="none"/>
        </w:rPr>
        <w:t xml:space="preserve">★</w:t>
      </w:r>
      <w:r>
        <w:rPr>
          <w:rFonts w:hint="eastAsia" w:ascii="仿宋" w:hAnsi="仿宋" w:eastAsia="仿宋" w:cs="仿宋"/>
          <w:color w:val="auto"/>
          <w:szCs w:val="21"/>
          <w:highlight w:val="none"/>
          <w:lang w:val="zh-CN"/>
        </w:rPr>
        <w:t xml:space="preserve">第一章中 </w:t>
      </w:r>
      <w:r>
        <w:rPr>
          <w:rFonts w:hint="eastAsia" w:ascii="仿宋" w:hAnsi="仿宋" w:eastAsia="仿宋" w:cs="仿宋"/>
          <w:color w:val="auto"/>
          <w:szCs w:val="21"/>
          <w:highlight w:val="none"/>
        </w:rPr>
        <w:t xml:space="preserve">二、</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一</w:t>
      </w:r>
      <w:r>
        <w:rPr>
          <w:rFonts w:hint="eastAsia" w:ascii="仿宋" w:hAnsi="仿宋" w:eastAsia="仿宋" w:cs="仿宋"/>
          <w:color w:val="auto"/>
          <w:szCs w:val="21"/>
          <w:highlight w:val="none"/>
          <w:lang w:val="zh-CN"/>
        </w:rPr>
        <w:t xml:space="preserve">）规定的资格条件证明文件；</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5</w:t>
      </w:r>
      <w:r>
        <w:rPr>
          <w:rFonts w:hint="eastAsia" w:ascii="仿宋" w:hAnsi="仿宋" w:eastAsia="仿宋" w:cs="仿宋"/>
          <w:color w:val="auto"/>
          <w:szCs w:val="21"/>
          <w:highlight w:val="none"/>
          <w:lang w:val="zh-CN"/>
        </w:rPr>
        <w:t xml:space="preserve">）</w:t>
      </w:r>
      <w:r>
        <w:rPr>
          <w:rFonts w:hint="eastAsia" w:ascii="仿宋" w:hAnsi="仿宋" w:eastAsia="仿宋" w:cs="仿宋"/>
          <w:b/>
          <w:color w:val="auto"/>
          <w:highlight w:val="none"/>
        </w:rPr>
        <w:t xml:space="preserve">★</w:t>
      </w:r>
      <w:r>
        <w:rPr>
          <w:rFonts w:hint="eastAsia" w:ascii="仿宋" w:hAnsi="仿宋" w:eastAsia="仿宋" w:cs="仿宋"/>
          <w:color w:val="auto"/>
          <w:szCs w:val="21"/>
          <w:highlight w:val="none"/>
          <w:lang w:val="zh-CN"/>
        </w:rPr>
        <w:t xml:space="preserve">第一章中 二、（</w:t>
      </w:r>
      <w:r>
        <w:rPr>
          <w:rFonts w:hint="eastAsia" w:ascii="仿宋" w:hAnsi="仿宋" w:eastAsia="仿宋" w:cs="仿宋"/>
          <w:color w:val="auto"/>
          <w:szCs w:val="21"/>
          <w:highlight w:val="none"/>
        </w:rPr>
        <w:t xml:space="preserve">三</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本项目特定资格要求</w:t>
      </w:r>
      <w:r>
        <w:rPr>
          <w:rFonts w:hint="eastAsia" w:ascii="仿宋" w:hAnsi="仿宋" w:eastAsia="仿宋" w:cs="仿宋"/>
          <w:color w:val="auto"/>
          <w:szCs w:val="21"/>
          <w:highlight w:val="none"/>
          <w:lang w:val="zh-CN"/>
        </w:rPr>
        <w:t xml:space="preserve">证明文件；</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6</w:t>
      </w:r>
      <w:r>
        <w:rPr>
          <w:rFonts w:hint="eastAsia" w:ascii="仿宋" w:hAnsi="仿宋" w:eastAsia="仿宋" w:cs="仿宋"/>
          <w:color w:val="auto"/>
          <w:szCs w:val="21"/>
          <w:highlight w:val="none"/>
          <w:lang w:val="zh-CN"/>
        </w:rPr>
        <w:t xml:space="preserve">）南京市政府采购供应商信用承诺书；</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7</w:t>
      </w:r>
      <w:r>
        <w:rPr>
          <w:rFonts w:hint="eastAsia" w:ascii="仿宋" w:hAnsi="仿宋" w:eastAsia="仿宋" w:cs="仿宋"/>
          <w:color w:val="auto"/>
          <w:szCs w:val="21"/>
          <w:highlight w:val="none"/>
          <w:lang w:val="zh-CN"/>
        </w:rPr>
        <w:t xml:space="preserve">）《</w:t>
      </w:r>
      <w:r>
        <w:rPr>
          <w:rFonts w:hint="eastAsia" w:ascii="仿宋" w:hAnsi="仿宋" w:eastAsia="仿宋" w:cs="仿宋"/>
          <w:b/>
          <w:bCs/>
          <w:color w:val="auto"/>
          <w:szCs w:val="21"/>
          <w:highlight w:val="none"/>
          <w:lang w:val="zh-CN"/>
        </w:rPr>
        <w:t xml:space="preserve">商务条款响应表</w:t>
      </w:r>
      <w:r>
        <w:rPr>
          <w:rFonts w:hint="eastAsia" w:ascii="仿宋" w:hAnsi="仿宋" w:eastAsia="仿宋" w:cs="仿宋"/>
          <w:color w:val="auto"/>
          <w:szCs w:val="21"/>
          <w:highlight w:val="none"/>
          <w:lang w:val="zh-CN"/>
        </w:rPr>
        <w:t xml:space="preserve">》；</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8</w:t>
      </w:r>
      <w:r>
        <w:rPr>
          <w:rFonts w:hint="eastAsia" w:ascii="仿宋" w:hAnsi="仿宋" w:eastAsia="仿宋" w:cs="仿宋"/>
          <w:color w:val="auto"/>
          <w:szCs w:val="21"/>
          <w:highlight w:val="none"/>
          <w:lang w:val="zh-CN"/>
        </w:rPr>
        <w:t xml:space="preserve">）合同草案条款；</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9</w:t>
      </w:r>
      <w:r>
        <w:rPr>
          <w:rFonts w:hint="eastAsia" w:ascii="仿宋" w:hAnsi="仿宋" w:eastAsia="仿宋" w:cs="仿宋"/>
          <w:color w:val="auto"/>
          <w:szCs w:val="21"/>
          <w:highlight w:val="none"/>
          <w:lang w:val="zh-CN"/>
        </w:rPr>
        <w:t xml:space="preserve">）供应商认为需要提供的其他资格证明文件和商务资料。</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11、投标文件的技术部分</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11.1 技术部分是证明</w:t>
      </w:r>
      <w:r>
        <w:rPr>
          <w:rFonts w:hint="eastAsia" w:ascii="仿宋" w:hAnsi="仿宋" w:eastAsia="仿宋" w:cs="仿宋"/>
          <w:color w:val="auto"/>
          <w:highlight w:val="none"/>
        </w:rPr>
        <w:t xml:space="preserve">供应商提供的产品和服务是合格的、并符合招标文件要求的证明文件，以及</w:t>
      </w:r>
      <w:r>
        <w:rPr>
          <w:rFonts w:hint="eastAsia" w:ascii="仿宋" w:hAnsi="仿宋" w:eastAsia="仿宋" w:cs="仿宋"/>
          <w:color w:val="auto"/>
          <w:highlight w:val="none"/>
          <w:lang w:val="zh-CN"/>
        </w:rPr>
        <w:t xml:space="preserve">对投标报价表中的服务的详细说明，这些文件可以是文字资料、图纸和数据等。</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11.2 若技术性能无特殊说明，则按国家有关部门最新颁布的标准及规范为准；</w:t>
      </w:r>
      <w:r/>
    </w:p>
    <w:p>
      <w:pPr>
        <w:ind w:firstLine="420"/>
        <w:spacing w:line="360" w:lineRule="auto"/>
        <w:rPr>
          <w:rFonts w:hint="eastAsia" w:ascii="仿宋" w:hAnsi="仿宋" w:eastAsia="仿宋" w:cs="仿宋"/>
          <w:b/>
          <w:color w:val="auto"/>
          <w:szCs w:val="21"/>
          <w:highlight w:val="none"/>
          <w:lang w:val="zh-CN"/>
        </w:rPr>
      </w:pPr>
      <w:r>
        <w:rPr>
          <w:rFonts w:hint="eastAsia" w:ascii="仿宋" w:hAnsi="仿宋" w:eastAsia="仿宋" w:cs="仿宋"/>
          <w:color w:val="auto"/>
          <w:highlight w:val="none"/>
          <w:lang w:val="zh-CN"/>
        </w:rPr>
        <w:t xml:space="preserve">11.</w:t>
      </w:r>
      <w:r>
        <w:rPr>
          <w:rFonts w:hint="eastAsia" w:ascii="仿宋" w:hAnsi="仿宋" w:eastAsia="仿宋" w:cs="仿宋"/>
          <w:color w:val="auto"/>
          <w:highlight w:val="none"/>
        </w:rPr>
        <w:t xml:space="preserve">3</w:t>
      </w:r>
      <w:r>
        <w:rPr>
          <w:rFonts w:hint="eastAsia" w:ascii="仿宋" w:hAnsi="仿宋" w:eastAsia="仿宋" w:cs="仿宋"/>
          <w:color w:val="auto"/>
          <w:highlight w:val="none"/>
          <w:lang w:val="zh-CN"/>
        </w:rPr>
        <w:t xml:space="preserve"> 投标文件应按照招标文件要求提供技术资料、文件和有关证明，包括但不限于</w:t>
      </w:r>
      <w:r>
        <w:rPr>
          <w:rFonts w:hint="eastAsia" w:ascii="仿宋" w:hAnsi="仿宋" w:eastAsia="仿宋" w:cs="仿宋"/>
          <w:b/>
          <w:color w:val="auto"/>
          <w:highlight w:val="none"/>
          <w:lang w:val="zh-CN"/>
        </w:rPr>
        <w:t xml:space="preserve">其中加</w:t>
      </w:r>
      <w:r>
        <w:rPr>
          <w:rFonts w:hint="eastAsia" w:ascii="仿宋" w:hAnsi="仿宋" w:eastAsia="仿宋" w:cs="仿宋"/>
          <w:b/>
          <w:color w:val="auto"/>
          <w:highlight w:val="none"/>
        </w:rPr>
        <w:t xml:space="preserve">★</w:t>
      </w:r>
      <w:r>
        <w:rPr>
          <w:rFonts w:hint="eastAsia" w:ascii="仿宋" w:hAnsi="仿宋" w:eastAsia="仿宋" w:cs="仿宋"/>
          <w:b/>
          <w:color w:val="auto"/>
          <w:highlight w:val="none"/>
          <w:lang w:val="zh-CN"/>
        </w:rPr>
        <w:t xml:space="preserve">项目不得有缺失或无效：</w:t>
      </w:r>
      <w:r/>
    </w:p>
    <w:p>
      <w:pPr>
        <w:ind w:firstLine="422"/>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（1）项目实施方案；</w:t>
      </w:r>
      <w:r/>
    </w:p>
    <w:p>
      <w:pPr>
        <w:ind w:firstLine="422"/>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（2）《技术条款偏离表》</w:t>
      </w:r>
      <w:r/>
    </w:p>
    <w:p>
      <w:pPr>
        <w:ind w:firstLine="422"/>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w:t>
      </w:r>
      <w:r>
        <w:rPr>
          <w:rFonts w:hint="eastAsia" w:ascii="仿宋" w:hAnsi="仿宋" w:eastAsia="仿宋" w:cs="仿宋"/>
          <w:b/>
          <w:color w:val="auto"/>
          <w:szCs w:val="21"/>
          <w:highlight w:val="none"/>
        </w:rPr>
        <w:t xml:space="preserve">3</w:t>
      </w:r>
      <w:r>
        <w:rPr>
          <w:rFonts w:hint="eastAsia" w:ascii="仿宋" w:hAnsi="仿宋" w:eastAsia="仿宋" w:cs="仿宋"/>
          <w:b/>
          <w:color w:val="auto"/>
          <w:szCs w:val="21"/>
          <w:highlight w:val="none"/>
          <w:lang w:val="zh-CN"/>
        </w:rPr>
        <w:t xml:space="preserve">）投标人实施本项目拟投入的专业人员一览表；</w:t>
      </w:r>
      <w:r/>
    </w:p>
    <w:p>
      <w:pPr>
        <w:ind w:firstLine="422"/>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w:t>
      </w:r>
      <w:r>
        <w:rPr>
          <w:rFonts w:hint="eastAsia" w:ascii="仿宋" w:hAnsi="仿宋" w:eastAsia="仿宋" w:cs="仿宋"/>
          <w:b/>
          <w:color w:val="auto"/>
          <w:szCs w:val="21"/>
          <w:highlight w:val="none"/>
        </w:rPr>
        <w:t xml:space="preserve">4</w:t>
      </w:r>
      <w:r>
        <w:rPr>
          <w:rFonts w:hint="eastAsia" w:ascii="仿宋" w:hAnsi="仿宋" w:eastAsia="仿宋" w:cs="仿宋"/>
          <w:b/>
          <w:color w:val="auto"/>
          <w:szCs w:val="21"/>
          <w:highlight w:val="none"/>
          <w:lang w:val="zh-CN"/>
        </w:rPr>
        <w:t xml:space="preserve">）服务承诺；</w:t>
      </w:r>
      <w:r/>
    </w:p>
    <w:p>
      <w:pPr>
        <w:ind w:firstLine="422"/>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w:t>
      </w:r>
      <w:r>
        <w:rPr>
          <w:rFonts w:hint="eastAsia" w:ascii="仿宋" w:hAnsi="仿宋" w:eastAsia="仿宋" w:cs="仿宋"/>
          <w:b/>
          <w:color w:val="auto"/>
          <w:szCs w:val="21"/>
          <w:highlight w:val="none"/>
        </w:rPr>
        <w:t xml:space="preserve">5</w:t>
      </w:r>
      <w:r>
        <w:rPr>
          <w:rFonts w:hint="eastAsia" w:ascii="仿宋" w:hAnsi="仿宋" w:eastAsia="仿宋" w:cs="仿宋"/>
          <w:b/>
          <w:color w:val="auto"/>
          <w:szCs w:val="21"/>
          <w:highlight w:val="none"/>
          <w:lang w:val="zh-CN"/>
        </w:rPr>
        <w:t xml:space="preserve">）</w:t>
      </w:r>
      <w:r>
        <w:rPr>
          <w:rFonts w:hint="eastAsia" w:ascii="仿宋" w:hAnsi="仿宋" w:eastAsia="仿宋" w:cs="仿宋"/>
          <w:b/>
          <w:color w:val="auto"/>
          <w:szCs w:val="21"/>
          <w:highlight w:val="none"/>
        </w:rPr>
        <w:t xml:space="preserve">投标人认为需要</w:t>
      </w:r>
      <w:r>
        <w:rPr>
          <w:rFonts w:hint="eastAsia" w:ascii="仿宋" w:hAnsi="仿宋" w:eastAsia="仿宋" w:cs="仿宋"/>
          <w:b/>
          <w:color w:val="auto"/>
          <w:szCs w:val="21"/>
          <w:highlight w:val="none"/>
          <w:lang w:val="zh-CN"/>
        </w:rPr>
        <w:t xml:space="preserve">提供的其他技术资料。</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12、投标文件的价格部分</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12.1 </w:t>
      </w:r>
      <w:r>
        <w:rPr>
          <w:rFonts w:hint="eastAsia" w:ascii="仿宋" w:hAnsi="仿宋" w:eastAsia="仿宋" w:cs="仿宋"/>
          <w:color w:val="auto"/>
          <w:highlight w:val="none"/>
          <w:lang w:val="zh-CN"/>
        </w:rPr>
        <w:t xml:space="preserve">价格部分是对服务价格构成的说明，</w:t>
      </w:r>
      <w:r>
        <w:rPr>
          <w:rFonts w:hint="eastAsia" w:ascii="仿宋" w:hAnsi="仿宋" w:eastAsia="仿宋" w:cs="仿宋"/>
          <w:color w:val="auto"/>
          <w:highlight w:val="none"/>
        </w:rPr>
        <w:t xml:space="preserve">招标</w:t>
      </w:r>
      <w:r>
        <w:rPr>
          <w:rFonts w:hint="eastAsia" w:ascii="仿宋" w:hAnsi="仿宋" w:eastAsia="仿宋" w:cs="仿宋"/>
          <w:color w:val="auto"/>
          <w:highlight w:val="none"/>
          <w:lang w:val="zh-CN"/>
        </w:rPr>
        <w:t xml:space="preserve">文件如没有特别说明的话，对每一项服务仅接受一个价格。</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12.2 </w:t>
      </w:r>
      <w:r>
        <w:rPr>
          <w:rFonts w:hint="eastAsia" w:ascii="仿宋" w:hAnsi="仿宋" w:eastAsia="仿宋" w:cs="仿宋"/>
          <w:color w:val="auto"/>
          <w:highlight w:val="none"/>
          <w:lang w:val="zh-CN"/>
        </w:rPr>
        <w:t xml:space="preserve">报价应包含完成本项目发生的所有含税费用、支付给员工的工资</w:t>
      </w:r>
      <w:r>
        <w:rPr>
          <w:rFonts w:hint="eastAsia" w:ascii="仿宋" w:hAnsi="仿宋" w:eastAsia="仿宋" w:cs="仿宋"/>
          <w:color w:val="auto"/>
          <w:highlight w:val="none"/>
          <w:lang w:val="en-US" w:eastAsia="zh-CN"/>
        </w:rPr>
        <w:t xml:space="preserve">和</w:t>
      </w:r>
      <w:r>
        <w:rPr>
          <w:rFonts w:hint="eastAsia" w:ascii="仿宋" w:hAnsi="仿宋" w:eastAsia="仿宋" w:cs="仿宋"/>
          <w:color w:val="auto"/>
          <w:highlight w:val="none"/>
          <w:lang w:val="zh-CN"/>
        </w:rPr>
        <w:t xml:space="preserve">国家强制缴纳的各种社会保障资金</w:t>
      </w:r>
      <w:r>
        <w:rPr>
          <w:rFonts w:hint="eastAsia" w:ascii="仿宋" w:hAnsi="仿宋" w:eastAsia="仿宋" w:cs="仿宋"/>
          <w:color w:val="auto"/>
          <w:highlight w:val="none"/>
        </w:rPr>
        <w:t xml:space="preserve">等供应商为完成相关服务所承担的全部费用。</w:t>
      </w:r>
      <w:r/>
    </w:p>
    <w:p>
      <w:pPr>
        <w:ind w:firstLine="420"/>
        <w:spacing w:line="360" w:lineRule="auto"/>
        <w:rPr>
          <w:rFonts w:hint="eastAsia" w:ascii="仿宋" w:hAnsi="仿宋" w:eastAsia="仿宋" w:cs="仿宋"/>
          <w:color w:val="auto"/>
          <w:highlight w:val="none"/>
        </w:rPr>
      </w:pPr>
      <w:r>
        <w:rPr>
          <w:rFonts w:hint="eastAsia" w:ascii="仿宋" w:hAnsi="仿宋" w:eastAsia="仿宋" w:cs="仿宋"/>
          <w:b/>
          <w:bCs/>
          <w:color w:val="auto"/>
          <w:highlight w:val="none"/>
        </w:rPr>
        <w:t xml:space="preserve">本项目采购代理服务费</w:t>
      </w:r>
      <w:bookmarkStart w:id="88" w:name="_Hlk168995390"/>
      <w:r>
        <w:rPr>
          <w:rFonts w:hint="eastAsia" w:ascii="仿宋" w:hAnsi="仿宋" w:eastAsia="仿宋" w:cs="仿宋"/>
          <w:b/>
          <w:bCs/>
          <w:color w:val="auto"/>
          <w:highlight w:val="none"/>
        </w:rPr>
        <w:t xml:space="preserve">参照《招标代理服务收费管理暂行办法》（国家发展计划委员会“计价格【2002】1980号”）代理招标收费基准费率收取(</w:t>
      </w:r>
      <w:r>
        <w:rPr>
          <w:rFonts w:hint="eastAsia" w:ascii="仿宋" w:hAnsi="仿宋" w:eastAsia="仿宋" w:cs="仿宋"/>
          <w:b/>
          <w:bCs/>
          <w:color w:val="auto"/>
          <w:highlight w:val="none"/>
          <w:lang w:val="en-US" w:eastAsia="zh-CN"/>
        </w:rPr>
        <w:t xml:space="preserve">最高按39000元计取</w:t>
      </w:r>
      <w:r>
        <w:rPr>
          <w:rFonts w:hint="eastAsia" w:ascii="仿宋" w:hAnsi="仿宋" w:eastAsia="仿宋" w:cs="仿宋"/>
          <w:b/>
          <w:bCs/>
          <w:color w:val="auto"/>
          <w:highlight w:val="none"/>
        </w:rPr>
        <w:t xml:space="preserve">)。</w:t>
      </w:r>
      <w:bookmarkEnd w:id="88"/>
      <w:r>
        <w:rPr>
          <w:rFonts w:hint="eastAsia" w:ascii="仿宋" w:hAnsi="仿宋" w:eastAsia="仿宋" w:cs="仿宋"/>
          <w:b/>
          <w:bCs/>
          <w:color w:val="auto"/>
          <w:highlight w:val="none"/>
          <w:lang w:val="en-US" w:eastAsia="zh-CN"/>
        </w:rPr>
        <w:t xml:space="preserve">由</w:t>
      </w:r>
      <w:r>
        <w:rPr>
          <w:rFonts w:hint="eastAsia" w:ascii="仿宋" w:hAnsi="仿宋" w:eastAsia="仿宋" w:cs="仿宋"/>
          <w:b/>
          <w:bCs/>
          <w:color w:val="auto"/>
          <w:highlight w:val="none"/>
        </w:rPr>
        <w:t xml:space="preserve">中标</w:t>
      </w:r>
      <w:r>
        <w:rPr>
          <w:rFonts w:hint="eastAsia" w:ascii="仿宋" w:hAnsi="仿宋" w:eastAsia="仿宋" w:cs="仿宋"/>
          <w:b/>
          <w:bCs/>
          <w:color w:val="auto"/>
          <w:highlight w:val="none"/>
          <w:lang w:val="en-US" w:eastAsia="zh-CN"/>
        </w:rPr>
        <w:t xml:space="preserve">人</w:t>
      </w:r>
      <w:r>
        <w:rPr>
          <w:rFonts w:hint="eastAsia" w:ascii="仿宋" w:hAnsi="仿宋" w:eastAsia="仿宋" w:cs="仿宋"/>
          <w:b/>
          <w:bCs/>
          <w:color w:val="auto"/>
          <w:highlight w:val="none"/>
        </w:rPr>
        <w:t xml:space="preserve">在领取中标通知书时支付给采购代理机构</w:t>
      </w:r>
      <w:r>
        <w:rPr>
          <w:rFonts w:hint="eastAsia" w:ascii="仿宋" w:hAnsi="仿宋" w:eastAsia="仿宋" w:cs="仿宋"/>
          <w:b/>
          <w:bCs/>
          <w:color w:val="auto"/>
          <w:highlight w:val="none"/>
          <w:lang w:eastAsia="zh-CN"/>
        </w:rPr>
        <w:t xml:space="preserve">。</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12.3 </w:t>
      </w:r>
      <w:r>
        <w:rPr>
          <w:rFonts w:hint="eastAsia" w:ascii="仿宋" w:hAnsi="仿宋" w:eastAsia="仿宋" w:cs="仿宋"/>
          <w:color w:val="auto"/>
          <w:highlight w:val="none"/>
          <w:lang w:val="zh-CN"/>
        </w:rPr>
        <w:t xml:space="preserve">供应商应充分考虑到市场价格变动，以及项目实施过程中的不可预见因素，一旦</w:t>
      </w:r>
      <w:r>
        <w:rPr>
          <w:rFonts w:hint="eastAsia" w:ascii="仿宋" w:hAnsi="仿宋" w:eastAsia="仿宋" w:cs="仿宋"/>
          <w:color w:val="auto"/>
          <w:highlight w:val="none"/>
        </w:rPr>
        <w:t xml:space="preserve">中标</w:t>
      </w:r>
      <w:r>
        <w:rPr>
          <w:rFonts w:hint="eastAsia" w:ascii="仿宋" w:hAnsi="仿宋" w:eastAsia="仿宋" w:cs="仿宋"/>
          <w:color w:val="auto"/>
          <w:highlight w:val="none"/>
          <w:lang w:val="zh-CN"/>
        </w:rPr>
        <w:t xml:space="preserve">，</w:t>
      </w:r>
      <w:r>
        <w:rPr>
          <w:rFonts w:hint="eastAsia" w:ascii="仿宋" w:hAnsi="仿宋" w:eastAsia="仿宋" w:cs="仿宋"/>
          <w:b/>
          <w:bCs/>
          <w:color w:val="auto"/>
          <w:highlight w:val="none"/>
        </w:rPr>
        <w:t xml:space="preserve">合同总价</w:t>
      </w:r>
      <w:r>
        <w:rPr>
          <w:rFonts w:hint="eastAsia" w:ascii="仿宋" w:hAnsi="仿宋" w:eastAsia="仿宋" w:cs="仿宋"/>
          <w:color w:val="auto"/>
          <w:highlight w:val="none"/>
          <w:lang w:val="zh-CN"/>
        </w:rPr>
        <w:t xml:space="preserve">不变。如果有漏项，视同让利。</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12.4 </w:t>
      </w:r>
      <w:r>
        <w:rPr>
          <w:rFonts w:hint="eastAsia" w:ascii="仿宋" w:hAnsi="仿宋" w:eastAsia="仿宋" w:cs="仿宋"/>
          <w:color w:val="auto"/>
          <w:highlight w:val="none"/>
          <w:lang w:val="zh-CN"/>
        </w:rPr>
        <w:t xml:space="preserve">供应商应按</w:t>
      </w:r>
      <w:r>
        <w:rPr>
          <w:rFonts w:hint="eastAsia" w:ascii="仿宋" w:hAnsi="仿宋" w:eastAsia="仿宋" w:cs="仿宋"/>
          <w:color w:val="auto"/>
          <w:highlight w:val="none"/>
        </w:rPr>
        <w:t xml:space="preserve">招标</w:t>
      </w:r>
      <w:r>
        <w:rPr>
          <w:rFonts w:hint="eastAsia" w:ascii="仿宋" w:hAnsi="仿宋" w:eastAsia="仿宋" w:cs="仿宋"/>
          <w:color w:val="auto"/>
          <w:highlight w:val="none"/>
          <w:lang w:val="zh-CN"/>
        </w:rPr>
        <w:t xml:space="preserve">文件的要求,并结合本企业的融资能力、管理水平和工程实际，参照各类费用标准和规范，结合</w:t>
      </w:r>
      <w:r>
        <w:rPr>
          <w:rFonts w:hint="eastAsia" w:ascii="仿宋" w:hAnsi="仿宋" w:eastAsia="仿宋" w:cs="仿宋"/>
          <w:color w:val="auto"/>
          <w:highlight w:val="none"/>
        </w:rPr>
        <w:t xml:space="preserve">项目</w:t>
      </w:r>
      <w:r>
        <w:rPr>
          <w:rFonts w:hint="eastAsia" w:ascii="仿宋" w:hAnsi="仿宋" w:eastAsia="仿宋" w:cs="仿宋"/>
          <w:color w:val="auto"/>
          <w:highlight w:val="none"/>
          <w:lang w:val="zh-CN"/>
        </w:rPr>
        <w:t xml:space="preserve">所在地的社会、政治、自然条件，综合考虑市场及政策风险因素自主报价。</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13、投标文件的其他部分</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13.1 其他部分由供应商根据编制投标文件需要提供的其他相关文件。</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14、投标保证金</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无</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15、投标有效期</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15.1 自开标之日起</w:t>
      </w:r>
      <w:r>
        <w:rPr>
          <w:rFonts w:hint="eastAsia" w:ascii="仿宋" w:hAnsi="仿宋" w:eastAsia="仿宋" w:cs="仿宋"/>
          <w:color w:val="auto"/>
          <w:highlight w:val="none"/>
        </w:rPr>
        <w:t xml:space="preserve">90</w:t>
      </w:r>
      <w:r>
        <w:rPr>
          <w:rFonts w:hint="eastAsia" w:ascii="仿宋" w:hAnsi="仿宋" w:eastAsia="仿宋" w:cs="仿宋"/>
          <w:color w:val="auto"/>
          <w:highlight w:val="none"/>
          <w:lang w:val="zh-CN"/>
        </w:rPr>
        <w:t xml:space="preserve">天内投标有效。</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15.2 在特殊情况下，在原投标有效期截止之前，代理机构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16、投标文件签署</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16.1 投标文件的由供应商法定代表人或经正式授权并对供应商有约束力的委托代理人签字。</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16</w:t>
      </w:r>
      <w:r>
        <w:rPr>
          <w:rFonts w:hint="eastAsia" w:ascii="仿宋" w:hAnsi="仿宋" w:eastAsia="仿宋" w:cs="仿宋"/>
          <w:color w:val="auto"/>
          <w:highlight w:val="none"/>
          <w:lang w:val="zh-CN"/>
        </w:rPr>
        <w:t xml:space="preserve">.2 如标书制作工具中格式和内容与“江苏政府采购网、中国政府采购网”发布的</w:t>
      </w:r>
      <w:r>
        <w:rPr>
          <w:rFonts w:hint="eastAsia" w:ascii="仿宋" w:hAnsi="仿宋" w:eastAsia="仿宋" w:cs="仿宋"/>
          <w:color w:val="auto"/>
          <w:highlight w:val="none"/>
        </w:rPr>
        <w:t xml:space="preserve">招标</w:t>
      </w:r>
      <w:r>
        <w:rPr>
          <w:rFonts w:hint="eastAsia" w:ascii="仿宋" w:hAnsi="仿宋" w:eastAsia="仿宋" w:cs="仿宋"/>
          <w:color w:val="auto"/>
          <w:highlight w:val="none"/>
          <w:lang w:val="zh-CN"/>
        </w:rPr>
        <w:t xml:space="preserve">文件不一致，以“江苏政府采购网、中国政府采购网”发布的</w:t>
      </w:r>
      <w:r>
        <w:rPr>
          <w:rFonts w:hint="eastAsia" w:ascii="仿宋" w:hAnsi="仿宋" w:eastAsia="仿宋" w:cs="仿宋"/>
          <w:color w:val="auto"/>
          <w:highlight w:val="none"/>
        </w:rPr>
        <w:t xml:space="preserve">招标</w:t>
      </w:r>
      <w:r>
        <w:rPr>
          <w:rFonts w:hint="eastAsia" w:ascii="仿宋" w:hAnsi="仿宋" w:eastAsia="仿宋" w:cs="仿宋"/>
          <w:color w:val="auto"/>
          <w:highlight w:val="none"/>
          <w:lang w:val="zh-CN"/>
        </w:rPr>
        <w:t xml:space="preserve">文件为准。</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17、投标文件的递交</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17.1 投标人应当按照《操作手册》规定，在招标公告规定的投标截止时间前制作并上传电子投标文件；</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17.2 投标人应充分考虑网络环境、网络带宽等因素可能对投标产生的影响，如因投标人自身原因造成的电子投标文件上传不成功的，按照本章第21.2.1条规定做无效投标处理。</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7</w:t>
      </w:r>
      <w:r>
        <w:rPr>
          <w:rFonts w:hint="eastAsia" w:ascii="仿宋" w:hAnsi="仿宋" w:eastAsia="仿宋" w:cs="仿宋"/>
          <w:color w:val="auto"/>
          <w:highlight w:val="none"/>
          <w:lang w:val="zh-CN"/>
        </w:rPr>
        <w:t xml:space="preserve">.3 采购代理机构可以按照规定，通过修改招标文件酌情延长投标截止时间，在此情况下，投标人的所有权利和义务均以延长后新的截止时间为准。</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18、有下列情形之一的投标文件将拒收：</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18.</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zh-CN"/>
        </w:rPr>
        <w:t xml:space="preserve"> 在招标文件要求提交投标文件的截止时间之后</w:t>
      </w:r>
      <w:r>
        <w:rPr>
          <w:rFonts w:hint="eastAsia" w:ascii="仿宋" w:hAnsi="仿宋" w:eastAsia="仿宋" w:cs="仿宋"/>
          <w:color w:val="auto"/>
          <w:highlight w:val="none"/>
        </w:rPr>
        <w:t xml:space="preserve">上传</w:t>
      </w:r>
      <w:r>
        <w:rPr>
          <w:rFonts w:hint="eastAsia" w:ascii="仿宋" w:hAnsi="仿宋" w:eastAsia="仿宋" w:cs="仿宋"/>
          <w:color w:val="auto"/>
          <w:highlight w:val="none"/>
          <w:lang w:val="zh-CN"/>
        </w:rPr>
        <w:t xml:space="preserve">的。</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19、投标文件的修改和撤回</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19.1 投标文件的撤回</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9</w:t>
      </w:r>
      <w:r>
        <w:rPr>
          <w:rFonts w:hint="eastAsia" w:ascii="仿宋" w:hAnsi="仿宋" w:eastAsia="仿宋" w:cs="仿宋"/>
          <w:color w:val="auto"/>
          <w:highlight w:val="none"/>
          <w:lang w:val="zh-CN"/>
        </w:rPr>
        <w:t xml:space="preserve">.1.1 投标人可在投标截止时间前撤回其电子投标文件，具体操作方法见《操作手册》。</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9</w:t>
      </w:r>
      <w:r>
        <w:rPr>
          <w:rFonts w:hint="eastAsia" w:ascii="仿宋" w:hAnsi="仿宋" w:eastAsia="仿宋" w:cs="仿宋"/>
          <w:color w:val="auto"/>
          <w:highlight w:val="none"/>
          <w:lang w:val="zh-CN"/>
        </w:rPr>
        <w:t xml:space="preserve">.1.2 投标人撤回电子投标文件，则认为其不再参与本项目投标活动。</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.2 投标文件的修改</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.2.1 投标人可在投标截止时间前对其电子投标文件进行修改，具体操作方法见《操作手册》。</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.2.2 投标截止时间之后，投标人不得对其电子投标文件作任何修改。</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.3 在投标截止时间至招标文件中规定的投标有效期满之间的这段时间内，投标人不得撤回其投标。</w:t>
      </w:r>
      <w:r/>
    </w:p>
    <w:p>
      <w:pPr>
        <w:ind w:firstLine="422"/>
        <w:spacing w:line="360" w:lineRule="auto"/>
        <w:rPr>
          <w:rFonts w:hint="eastAsia" w:ascii="仿宋" w:hAnsi="仿宋" w:eastAsia="仿宋" w:cs="仿宋"/>
          <w:b/>
          <w:color w:val="auto"/>
          <w:highlight w:val="none"/>
          <w:lang w:val="zh-CN"/>
        </w:rPr>
        <w:outlineLvl w:val="1"/>
      </w:pPr>
      <w:r/>
      <w:bookmarkStart w:id="89" w:name="_Toc11991"/>
      <w:r/>
      <w:bookmarkStart w:id="90" w:name="_Toc9661"/>
      <w:r/>
      <w:bookmarkStart w:id="91" w:name="_Toc19002"/>
      <w:r>
        <w:rPr>
          <w:rFonts w:hint="eastAsia" w:ascii="仿宋" w:hAnsi="仿宋" w:eastAsia="仿宋" w:cs="仿宋"/>
          <w:b/>
          <w:color w:val="auto"/>
          <w:highlight w:val="none"/>
          <w:lang w:val="zh-CN"/>
        </w:rPr>
        <w:t xml:space="preserve">四、开标、评标与确定中标人</w:t>
      </w:r>
      <w:bookmarkEnd w:id="89"/>
      <w:r/>
      <w:bookmarkEnd w:id="90"/>
      <w:r/>
      <w:bookmarkEnd w:id="91"/>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20、开标</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20.2 投标人在开标过程中涉及到的投标文件解密、开标结果确认等工作，应按照《操作手册》规定执行</w:t>
      </w:r>
      <w:r>
        <w:rPr>
          <w:rFonts w:hint="eastAsia" w:ascii="仿宋" w:hAnsi="仿宋" w:eastAsia="仿宋" w:cs="仿宋"/>
          <w:color w:val="auto"/>
          <w:highlight w:val="none"/>
        </w:rPr>
        <w:t xml:space="preserve">。</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20</w:t>
      </w:r>
      <w:r>
        <w:rPr>
          <w:rFonts w:hint="eastAsia" w:ascii="仿宋" w:hAnsi="仿宋" w:eastAsia="仿宋" w:cs="仿宋"/>
          <w:color w:val="auto"/>
          <w:highlight w:val="none"/>
          <w:lang w:val="zh-CN"/>
        </w:rPr>
        <w:t xml:space="preserve">.3投标人如果对开标过程和开标结果有疑义，应当根据《操作手册》规定提出，苏采云系统中《开标一览表》公布后5分钟内未提出的，视同认可开标结果。</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21、评标</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21.1 评标组织</w:t>
      </w:r>
      <w:r/>
    </w:p>
    <w:p>
      <w:pPr>
        <w:ind w:firstLine="422"/>
        <w:spacing w:line="360" w:lineRule="auto"/>
        <w:rPr>
          <w:rFonts w:hint="eastAsia" w:ascii="仿宋" w:hAnsi="仿宋" w:eastAsia="仿宋" w:cs="仿宋"/>
          <w:color w:val="auto"/>
          <w:highlight w:val="none"/>
        </w:rPr>
      </w:pPr>
      <w:r>
        <w:rPr>
          <w:rFonts w:hint="eastAsia" w:ascii="仿宋" w:hAnsi="仿宋" w:eastAsia="仿宋" w:cs="仿宋"/>
          <w:b/>
          <w:color w:val="auto"/>
          <w:highlight w:val="none"/>
          <w:lang w:val="zh-CN"/>
        </w:rPr>
        <w:t xml:space="preserve">21.1.1</w:t>
      </w:r>
      <w:r>
        <w:rPr>
          <w:rFonts w:hint="eastAsia" w:ascii="仿宋" w:hAnsi="仿宋" w:eastAsia="仿宋" w:cs="仿宋"/>
          <w:color w:val="auto"/>
          <w:highlight w:val="none"/>
          <w:lang w:val="zh-CN"/>
        </w:rPr>
        <w:t xml:space="preserve">评标工作由代理机构负责组织，具体评标事务由依法组建的评标委员会负责，并独立履行</w:t>
      </w:r>
      <w:r>
        <w:rPr>
          <w:rFonts w:hint="eastAsia" w:ascii="仿宋" w:hAnsi="仿宋" w:eastAsia="仿宋" w:cs="仿宋"/>
          <w:color w:val="auto"/>
          <w:highlight w:val="none"/>
        </w:rPr>
        <w:t xml:space="preserve">下列职责：</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（1）审查投标文件是否符合招标文件要求，并作出评价；</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（2）要求供应商对投标文件有关事项作出解释或者澄清；</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（3）推荐中标候选人名单，或者按照招标文件规定直接确定中标人；</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（4）向财政部门报告非法干预评标工作的行为。</w:t>
      </w:r>
      <w:r/>
    </w:p>
    <w:p>
      <w:pPr>
        <w:ind w:firstLine="422"/>
        <w:spacing w:line="360" w:lineRule="auto"/>
        <w:rPr>
          <w:rFonts w:hint="eastAsia" w:ascii="仿宋" w:hAnsi="仿宋" w:eastAsia="仿宋" w:cs="仿宋"/>
          <w:color w:val="auto"/>
          <w:highlight w:val="none"/>
          <w:lang w:val="zh-CN"/>
        </w:rPr>
      </w:pPr>
      <w:r>
        <w:rPr>
          <w:rFonts w:hint="eastAsia" w:ascii="仿宋" w:hAnsi="仿宋" w:eastAsia="仿宋" w:cs="仿宋"/>
          <w:b/>
          <w:color w:val="auto"/>
          <w:highlight w:val="none"/>
          <w:lang w:val="zh-CN"/>
        </w:rPr>
        <w:t xml:space="preserve">21.1.2 </w:t>
      </w:r>
      <w:r>
        <w:rPr>
          <w:rFonts w:hint="eastAsia" w:ascii="仿宋" w:hAnsi="仿宋" w:eastAsia="仿宋" w:cs="仿宋"/>
          <w:color w:val="auto"/>
          <w:highlight w:val="none"/>
          <w:lang w:val="zh-CN"/>
        </w:rPr>
        <w:t xml:space="preserve">评标委员会由采购人代表和有关技术、经济等方面的专家组成，独立开展评审工作。</w:t>
      </w:r>
      <w:r/>
    </w:p>
    <w:p>
      <w:pPr>
        <w:ind w:firstLine="422"/>
        <w:spacing w:line="360" w:lineRule="auto"/>
        <w:widowControl/>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21.2 评标程序</w:t>
      </w:r>
      <w:r/>
    </w:p>
    <w:p>
      <w:pPr>
        <w:ind w:firstLine="422"/>
        <w:spacing w:line="360" w:lineRule="auto"/>
        <w:widowControl/>
        <w:rPr>
          <w:rFonts w:hint="eastAsia" w:ascii="仿宋" w:hAnsi="仿宋" w:eastAsia="仿宋" w:cs="仿宋"/>
          <w:color w:val="auto"/>
          <w:highlight w:val="none"/>
          <w:lang w:val="zh-CN"/>
        </w:rPr>
      </w:pPr>
      <w:r>
        <w:rPr>
          <w:rFonts w:hint="eastAsia" w:ascii="仿宋" w:hAnsi="仿宋" w:eastAsia="仿宋" w:cs="仿宋"/>
          <w:b/>
          <w:color w:val="auto"/>
          <w:highlight w:val="none"/>
          <w:lang w:val="zh-CN"/>
        </w:rPr>
        <w:t xml:space="preserve">21.2.1 投标文件的资格性检查。</w:t>
      </w:r>
      <w:r>
        <w:rPr>
          <w:rFonts w:hint="eastAsia" w:ascii="仿宋" w:hAnsi="仿宋" w:eastAsia="仿宋" w:cs="仿宋"/>
          <w:color w:val="auto"/>
          <w:highlight w:val="none"/>
          <w:lang w:val="zh-CN"/>
        </w:rPr>
        <w:t xml:space="preserve">依据法律法规和招标文件的规定，对投标文件中资格证明、投标保证金等进行审查，以确定供应商是否具备投标资格。投标文件有下列情况之一的，在资格性、符合性检查时按照无效投标处理：</w:t>
      </w:r>
      <w:r/>
    </w:p>
    <w:p>
      <w:pPr>
        <w:ind w:firstLine="420"/>
        <w:jc w:val="left"/>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（1）投标人在苏采云系统规定的时间内未成功解密电子投标文件；</w:t>
      </w:r>
      <w:r/>
    </w:p>
    <w:p>
      <w:pPr>
        <w:ind w:firstLine="420"/>
        <w:jc w:val="left"/>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（2）投标人未按照招标文件要求上传电子投标文件；</w:t>
      </w:r>
      <w:r/>
    </w:p>
    <w:p>
      <w:pPr>
        <w:ind w:firstLine="420"/>
        <w:jc w:val="left"/>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（3）投标文件未按照招标文件要求加盖电子公章；</w:t>
      </w:r>
      <w:r/>
    </w:p>
    <w:p>
      <w:pPr>
        <w:ind w:firstLine="420"/>
        <w:jc w:val="left"/>
        <w:spacing w:line="360" w:lineRule="auto"/>
        <w:widowControl/>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zh-CN"/>
        </w:rPr>
        <w:t xml:space="preserve">）不具备招标文件中规定资格要求的；</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）不同供应商的投标文件由同一单位或者个人编制；</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）不同供应商委托同一单位或者个人办理投标事宜；</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）不同供应商的投标文件载明的项目管理成员或者联系人为同一人；</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）不同供应商的投标文件异常一致或者投标报价呈规律性差异；</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）不同供应商的投标文件具有相同mac地址的；</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）不同供应商的投标保证金从同一单位或者个人的账户转出；</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）不同供应商的法定代表人或委托代理人有夫妻、直系血亲关系的；</w:t>
      </w:r>
      <w:r/>
    </w:p>
    <w:p>
      <w:pPr>
        <w:ind w:firstLine="42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）不同供应商的负责人为同一人或者存在控股、管理关系的；</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投标报价超过最高限价的</w:t>
      </w:r>
      <w:r>
        <w:rPr>
          <w:rFonts w:hint="eastAsia" w:ascii="仿宋" w:hAnsi="仿宋" w:eastAsia="仿宋" w:cs="仿宋"/>
          <w:color w:val="auto"/>
          <w:highlight w:val="none"/>
          <w:lang w:val="zh-CN"/>
        </w:rPr>
        <w:t xml:space="preserve">；</w:t>
      </w:r>
      <w:r/>
    </w:p>
    <w:p>
      <w:pPr>
        <w:ind w:firstLine="420"/>
        <w:jc w:val="left"/>
        <w:spacing w:line="360" w:lineRule="auto"/>
        <w:widowControl/>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val="zh-CN"/>
        </w:rPr>
        <w:t xml:space="preserve">）服务承诺和付款条件未响应招标要求的；</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val="zh-CN"/>
        </w:rPr>
        <w:t xml:space="preserve">）不符合法律、法规和招标文件规定的其他实质性要求的等。</w:t>
      </w:r>
      <w:r/>
    </w:p>
    <w:p>
      <w:pPr>
        <w:ind w:firstLine="422"/>
        <w:spacing w:line="360" w:lineRule="auto"/>
        <w:rPr>
          <w:rFonts w:hint="eastAsia" w:ascii="仿宋" w:hAnsi="仿宋" w:eastAsia="仿宋" w:cs="仿宋"/>
          <w:color w:val="auto"/>
          <w:highlight w:val="none"/>
          <w:lang w:val="zh-CN"/>
        </w:rPr>
      </w:pPr>
      <w:r>
        <w:rPr>
          <w:rFonts w:hint="eastAsia" w:ascii="仿宋" w:hAnsi="仿宋" w:eastAsia="仿宋" w:cs="仿宋"/>
          <w:b/>
          <w:color w:val="auto"/>
          <w:highlight w:val="none"/>
          <w:lang w:val="zh-CN"/>
        </w:rPr>
        <w:t xml:space="preserve">21.2.2投标文件的符合性检查</w:t>
      </w:r>
      <w:r>
        <w:rPr>
          <w:rFonts w:hint="eastAsia" w:ascii="仿宋" w:hAnsi="仿宋" w:eastAsia="仿宋" w:cs="仿宋"/>
          <w:color w:val="auto"/>
          <w:highlight w:val="none"/>
          <w:lang w:val="zh-CN"/>
        </w:rPr>
        <w:t xml:space="preserve">。依据招标文件规定，从投标文件的有效性、完整性和对招标文件的响应程度进行审查。</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21.2.2.1  实质性要求是指本招标文件中用带星号（★）、“必须或须”或“应（应当）”等其他文字说明的商务和技术要求。</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color w:val="auto"/>
          <w:highlight w:val="none"/>
          <w:lang w:val="zh-CN"/>
        </w:rPr>
        <w:t xml:space="preserve">21.2.2.</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lang w:val="zh-CN"/>
        </w:rPr>
        <w:t xml:space="preserve"> </w:t>
      </w:r>
      <w:r>
        <w:rPr>
          <w:rFonts w:hint="eastAsia" w:ascii="仿宋" w:hAnsi="仿宋" w:eastAsia="仿宋" w:cs="仿宋"/>
          <w:b w:val="0"/>
          <w:bCs/>
          <w:color w:val="auto"/>
          <w:highlight w:val="none"/>
          <w:lang w:val="zh-CN"/>
        </w:rPr>
        <w:t xml:space="preserve">评标委员会启动异常低价投标审查的情形和具体要求</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color w:val="auto"/>
          <w:highlight w:val="none"/>
          <w:lang w:val="zh-CN"/>
        </w:rPr>
        <w:t xml:space="preserve">21.2.2.</w:t>
      </w:r>
      <w:r>
        <w:rPr>
          <w:rFonts w:hint="eastAsia" w:ascii="仿宋" w:hAnsi="仿宋" w:eastAsia="仿宋" w:cs="仿宋"/>
          <w:b/>
          <w:color w:val="auto"/>
          <w:highlight w:val="none"/>
          <w:lang w:val="en-US" w:eastAsia="zh-CN"/>
        </w:rPr>
        <w:t xml:space="preserve">2.1</w:t>
      </w:r>
      <w:r>
        <w:rPr>
          <w:rFonts w:hint="eastAsia" w:ascii="仿宋" w:hAnsi="仿宋" w:eastAsia="仿宋" w:cs="仿宋"/>
          <w:b w:val="0"/>
          <w:bCs/>
          <w:color w:val="auto"/>
          <w:highlight w:val="none"/>
          <w:lang w:val="zh-CN"/>
        </w:rPr>
        <w:t xml:space="preserve">评审过程中出现下列情形之一的，评标委员会应当启动异常低价响应审查程序： </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val="0"/>
          <w:bCs/>
          <w:color w:val="auto"/>
          <w:highlight w:val="none"/>
          <w:lang w:val="zh-CN"/>
        </w:rPr>
        <w:t xml:space="preserve">（1）投标报价低于全部通过符合性审查供应商投标报价平均值50%的，即投标报价&lt;全部通过符合性审查供应商投标报价平均值×50%；</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val="0"/>
          <w:bCs/>
          <w:color w:val="auto"/>
          <w:highlight w:val="none"/>
          <w:lang w:val="zh-CN"/>
        </w:rPr>
        <w:t xml:space="preserve">（2）投标报价低于通过符合性审查的次低供应商投标报价50%的，即投标报价&lt;通过符合性审查的次低供应商投标报价×50%；</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val="0"/>
          <w:bCs/>
          <w:color w:val="auto"/>
          <w:highlight w:val="none"/>
          <w:lang w:val="zh-CN"/>
        </w:rPr>
        <w:t xml:space="preserve">（3）投标报价低于采购项目最高限价50%的，即投标报价&lt;采购项目最高限价×50%；</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val="0"/>
          <w:bCs/>
          <w:color w:val="auto"/>
          <w:highlight w:val="none"/>
          <w:lang w:val="zh-CN"/>
        </w:rPr>
        <w:t xml:space="preserve">（4）评标委员会基于专业判断，认为供应商报价过低，有可能影响产品质量或者不能诚信履约的其他情形。</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color w:val="auto"/>
          <w:highlight w:val="none"/>
          <w:lang w:val="zh-CN"/>
        </w:rPr>
        <w:t xml:space="preserve">21.2.2.</w:t>
      </w:r>
      <w:r>
        <w:rPr>
          <w:rFonts w:hint="eastAsia" w:ascii="仿宋" w:hAnsi="仿宋" w:eastAsia="仿宋" w:cs="仿宋"/>
          <w:b/>
          <w:color w:val="auto"/>
          <w:highlight w:val="none"/>
          <w:lang w:val="en-US" w:eastAsia="zh-CN"/>
        </w:rPr>
        <w:t xml:space="preserve">2.2</w:t>
      </w:r>
      <w:r>
        <w:rPr>
          <w:rFonts w:hint="eastAsia" w:ascii="仿宋" w:hAnsi="仿宋" w:eastAsia="仿宋" w:cs="仿宋"/>
          <w:b w:val="0"/>
          <w:bCs/>
          <w:color w:val="auto"/>
          <w:highlight w:val="none"/>
          <w:lang w:val="zh-CN"/>
        </w:rPr>
        <w:t xml:space="preserve">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22"/>
        <w:spacing w:line="360" w:lineRule="auto"/>
        <w:rPr>
          <w:rFonts w:hint="eastAsia" w:ascii="仿宋" w:hAnsi="仿宋" w:eastAsia="仿宋" w:cs="仿宋"/>
          <w:b w:val="0"/>
          <w:bCs/>
          <w:color w:val="auto"/>
          <w:highlight w:val="none"/>
          <w:lang w:val="zh-CN"/>
        </w:rPr>
      </w:pPr>
      <w:r>
        <w:rPr>
          <w:rFonts w:hint="eastAsia" w:ascii="仿宋" w:hAnsi="仿宋" w:eastAsia="仿宋" w:cs="仿宋"/>
          <w:b w:val="0"/>
          <w:bCs/>
          <w:color w:val="auto"/>
          <w:highlight w:val="none"/>
          <w:lang w:val="zh-CN"/>
        </w:rPr>
        <w:t xml:space="preserve">评标委员会依据专业经验，参考同类项目</w:t>
      </w:r>
      <w:r>
        <w:rPr>
          <w:rFonts w:hint="eastAsia" w:ascii="仿宋" w:hAnsi="仿宋" w:eastAsia="仿宋" w:cs="仿宋"/>
          <w:b w:val="0"/>
          <w:bCs/>
          <w:color w:val="auto"/>
          <w:highlight w:val="none"/>
          <w:lang w:val="en-US" w:eastAsia="zh-CN"/>
        </w:rPr>
        <w:t xml:space="preserve">中标</w:t>
      </w:r>
      <w:r>
        <w:rPr>
          <w:rFonts w:hint="eastAsia" w:ascii="仿宋" w:hAnsi="仿宋" w:eastAsia="仿宋" w:cs="仿宋"/>
          <w:b w:val="0"/>
          <w:bCs/>
          <w:color w:val="auto"/>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投标处理。</w:t>
      </w:r>
      <w:r/>
    </w:p>
    <w:p>
      <w:pPr>
        <w:ind w:firstLine="422"/>
        <w:spacing w:line="360" w:lineRule="auto"/>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21.2.2.</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lang w:val="zh-CN"/>
        </w:rPr>
        <w:t xml:space="preserve"> </w:t>
      </w:r>
      <w:r>
        <w:rPr>
          <w:rFonts w:hint="eastAsia" w:ascii="仿宋" w:hAnsi="仿宋" w:eastAsia="仿宋" w:cs="仿宋"/>
          <w:color w:val="auto"/>
          <w:highlight w:val="none"/>
          <w:lang w:val="zh-CN"/>
        </w:rPr>
        <w:t xml:space="preserve">有下列情形之一的予以废标，同时将废标理由通知所有</w:t>
      </w:r>
      <w:r>
        <w:rPr>
          <w:rFonts w:hint="eastAsia" w:ascii="仿宋" w:hAnsi="仿宋" w:eastAsia="仿宋" w:cs="仿宋"/>
          <w:color w:val="auto"/>
          <w:highlight w:val="none"/>
        </w:rPr>
        <w:t xml:space="preserve">投标人</w:t>
      </w:r>
      <w:r>
        <w:rPr>
          <w:rFonts w:hint="eastAsia" w:ascii="仿宋" w:hAnsi="仿宋" w:eastAsia="仿宋" w:cs="仿宋"/>
          <w:color w:val="auto"/>
          <w:highlight w:val="none"/>
          <w:lang w:val="zh-CN"/>
        </w:rPr>
        <w:t xml:space="preserve">：</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（1）符合专业条件的供应商或者对招标文件作实质性响应的</w:t>
      </w:r>
      <w:r>
        <w:rPr>
          <w:rFonts w:hint="eastAsia" w:ascii="仿宋" w:hAnsi="仿宋" w:eastAsia="仿宋" w:cs="仿宋"/>
          <w:color w:val="auto"/>
          <w:highlight w:val="none"/>
        </w:rPr>
        <w:t xml:space="preserve">投标人</w:t>
      </w:r>
      <w:r>
        <w:rPr>
          <w:rFonts w:hint="eastAsia" w:ascii="仿宋" w:hAnsi="仿宋" w:eastAsia="仿宋" w:cs="仿宋"/>
          <w:color w:val="auto"/>
          <w:highlight w:val="none"/>
          <w:lang w:val="zh-CN"/>
        </w:rPr>
        <w:t xml:space="preserve">不足三家的；</w:t>
      </w:r>
      <w:r/>
    </w:p>
    <w:p>
      <w:pPr>
        <w:ind w:firstLine="420"/>
        <w:spacing w:line="360" w:lineRule="auto"/>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（2）出现影响采购公正的违法、违规行为的；</w:t>
      </w:r>
      <w:r/>
    </w:p>
    <w:p>
      <w:pPr>
        <w:ind w:firstLine="420"/>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（3）供应商的报价均超过了采购预算（</w:t>
      </w:r>
      <w:r>
        <w:rPr>
          <w:rFonts w:hint="eastAsia" w:ascii="仿宋" w:hAnsi="仿宋" w:eastAsia="仿宋" w:cs="仿宋"/>
          <w:color w:val="auto"/>
          <w:highlight w:val="none"/>
        </w:rPr>
        <w:t xml:space="preserve">最高限价</w:t>
      </w:r>
      <w:r>
        <w:rPr>
          <w:rFonts w:hint="eastAsia" w:ascii="仿宋" w:hAnsi="仿宋" w:eastAsia="仿宋" w:cs="仿宋"/>
          <w:color w:val="auto"/>
          <w:highlight w:val="none"/>
          <w:lang w:val="zh-CN"/>
        </w:rPr>
        <w:t xml:space="preserve">），采购人不能支付的；</w:t>
      </w:r>
      <w:r/>
    </w:p>
    <w:p>
      <w:pPr>
        <w:ind w:firstLine="420"/>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21.2.3 </w:t>
      </w:r>
      <w:r>
        <w:rPr>
          <w:rFonts w:hint="eastAsia" w:ascii="仿宋" w:hAnsi="仿宋" w:eastAsia="仿宋" w:cs="仿宋"/>
          <w:b/>
          <w:color w:val="auto"/>
          <w:highlight w:val="none"/>
          <w:lang w:val="zh-CN"/>
        </w:rPr>
        <w:t xml:space="preserve">澄清有关问题</w:t>
      </w:r>
      <w:r>
        <w:rPr>
          <w:rFonts w:hint="eastAsia" w:ascii="仿宋" w:hAnsi="仿宋" w:eastAsia="仿宋" w:cs="仿宋"/>
          <w:color w:val="auto"/>
          <w:highlight w:val="none"/>
          <w:lang w:val="zh-CN"/>
        </w:rPr>
        <w:t xml:space="preserve">。对投标文件中含义不明确、同类问题表述不一致或者明显文字和计算错误的内容，评标委员会可以要求供应商作出必要的澄清、说明或者补正。供应商的澄清、说明、补正应当采用书面形式，由其</w:t>
      </w:r>
      <w:r>
        <w:rPr>
          <w:rFonts w:hint="eastAsia" w:ascii="仿宋" w:hAnsi="仿宋" w:eastAsia="仿宋" w:cs="仿宋"/>
          <w:color w:val="auto"/>
          <w:highlight w:val="none"/>
        </w:rPr>
        <w:t xml:space="preserve">委托代理人</w:t>
      </w:r>
      <w:r>
        <w:rPr>
          <w:rFonts w:hint="eastAsia" w:ascii="仿宋" w:hAnsi="仿宋" w:eastAsia="仿宋" w:cs="仿宋"/>
          <w:color w:val="auto"/>
          <w:highlight w:val="none"/>
          <w:lang w:val="zh-CN"/>
        </w:rPr>
        <w:t xml:space="preserve">签字，但不得超出投标文件的范围或者改变投标文件的实质性内容。</w:t>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highlight w:val="none"/>
          <w:lang w:val="zh-CN"/>
        </w:rPr>
        <w:t xml:space="preserve">21.2.4 </w:t>
      </w:r>
      <w:r>
        <w:rPr>
          <w:rFonts w:hint="eastAsia" w:ascii="仿宋" w:hAnsi="仿宋" w:eastAsia="仿宋" w:cs="仿宋"/>
          <w:b/>
          <w:color w:val="auto"/>
          <w:highlight w:val="none"/>
          <w:lang w:val="zh-CN"/>
        </w:rPr>
        <w:t xml:space="preserve">比较与评价。</w:t>
      </w:r>
      <w:r>
        <w:rPr>
          <w:rFonts w:hint="eastAsia" w:ascii="仿宋" w:hAnsi="仿宋" w:eastAsia="仿宋" w:cs="仿宋"/>
          <w:color w:val="auto"/>
          <w:highlight w:val="none"/>
          <w:lang w:val="zh-CN"/>
        </w:rPr>
        <w:t xml:space="preserve">按照招标文件中规定的评标方法和标准，对资格性检查和符合性检查合格的投标文件进行商务和技术评估，综合比较与评价。</w:t>
      </w:r>
      <w:r/>
    </w:p>
    <w:p>
      <w:pPr>
        <w:ind w:firstLine="422"/>
        <w:jc w:val="left"/>
        <w:spacing w:line="360" w:lineRule="auto"/>
        <w:widowControl/>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21.3 评标方法和标准</w:t>
      </w:r>
      <w:r/>
    </w:p>
    <w:p>
      <w:pPr>
        <w:ind w:firstLine="422"/>
        <w:jc w:val="left"/>
        <w:spacing w:line="360" w:lineRule="auto"/>
        <w:widowControl/>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21.3.1 </w:t>
      </w:r>
      <w:r>
        <w:rPr>
          <w:rFonts w:hint="eastAsia" w:ascii="仿宋" w:hAnsi="仿宋" w:eastAsia="仿宋" w:cs="仿宋"/>
          <w:color w:val="auto"/>
          <w:szCs w:val="21"/>
          <w:highlight w:val="none"/>
          <w:lang w:val="zh-CN"/>
        </w:rPr>
        <w:t xml:space="preserve">采用综合评分法。即</w:t>
      </w:r>
      <w:r>
        <w:rPr>
          <w:rFonts w:hint="eastAsia" w:ascii="仿宋" w:hAnsi="仿宋" w:eastAsia="仿宋" w:cs="仿宋"/>
          <w:color w:val="auto"/>
          <w:szCs w:val="21"/>
          <w:highlight w:val="none"/>
        </w:rPr>
        <w:t xml:space="preserve">在最大限度地满足招标文件实质性要求前提下，按照招标文件中规定的各项因素进行综合评审后，以评标总得分最高的投标人作为中标候选人或者中标人的评标方法。</w:t>
      </w:r>
      <w:r/>
    </w:p>
    <w:p>
      <w:pPr>
        <w:ind w:firstLine="422"/>
        <w:spacing w:line="360" w:lineRule="auto"/>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lang w:val="zh-CN"/>
        </w:rPr>
        <w:t xml:space="preserve">21.3.2 </w:t>
      </w:r>
      <w:r>
        <w:rPr>
          <w:rFonts w:hint="eastAsia" w:ascii="仿宋" w:hAnsi="仿宋" w:eastAsia="仿宋" w:cs="仿宋"/>
          <w:color w:val="auto"/>
          <w:szCs w:val="21"/>
          <w:highlight w:val="none"/>
        </w:rPr>
        <w:t xml:space="preserve">综合评分的</w:t>
      </w:r>
      <w:r>
        <w:rPr>
          <w:rFonts w:hint="eastAsia" w:ascii="仿宋" w:hAnsi="仿宋" w:eastAsia="仿宋" w:cs="仿宋"/>
          <w:color w:val="auto"/>
          <w:szCs w:val="21"/>
          <w:highlight w:val="none"/>
          <w:lang w:val="zh-CN"/>
        </w:rPr>
        <w:t xml:space="preserve">主要因素是：</w:t>
      </w:r>
      <w:r>
        <w:rPr>
          <w:rFonts w:hint="eastAsia" w:ascii="仿宋" w:hAnsi="仿宋" w:eastAsia="仿宋" w:cs="仿宋"/>
          <w:b/>
          <w:color w:val="auto"/>
          <w:szCs w:val="21"/>
          <w:highlight w:val="none"/>
        </w:rPr>
        <w:t xml:space="preserve">评分标准详见第三章。</w:t>
      </w:r>
      <w:r/>
    </w:p>
    <w:p>
      <w:pPr>
        <w:ind w:firstLine="422"/>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2</w:t>
      </w:r>
      <w:r>
        <w:rPr>
          <w:rFonts w:hint="eastAsia" w:ascii="仿宋" w:hAnsi="仿宋" w:eastAsia="仿宋" w:cs="仿宋"/>
          <w:b/>
          <w:bCs/>
          <w:color w:val="auto"/>
          <w:highlight w:val="none"/>
        </w:rPr>
        <w:t xml:space="preserve">2</w:t>
      </w:r>
      <w:r>
        <w:rPr>
          <w:rFonts w:hint="eastAsia" w:ascii="仿宋" w:hAnsi="仿宋" w:eastAsia="仿宋" w:cs="仿宋"/>
          <w:b/>
          <w:bCs/>
          <w:color w:val="auto"/>
          <w:highlight w:val="none"/>
          <w:lang w:val="zh-CN"/>
        </w:rPr>
        <w:t xml:space="preserve">、确定中标</w:t>
      </w:r>
      <w:r>
        <w:rPr>
          <w:rFonts w:hint="eastAsia" w:ascii="仿宋" w:hAnsi="仿宋" w:eastAsia="仿宋" w:cs="仿宋"/>
          <w:b/>
          <w:bCs/>
          <w:color w:val="auto"/>
          <w:highlight w:val="none"/>
        </w:rPr>
        <w:t xml:space="preserve">人</w:t>
      </w:r>
      <w:r/>
    </w:p>
    <w:p>
      <w:pPr>
        <w:ind w:firstLine="420"/>
        <w:spacing w:line="360" w:lineRule="auto"/>
        <w:rPr>
          <w:rFonts w:hint="eastAsia" w:ascii="仿宋" w:hAnsi="仿宋" w:eastAsia="仿宋" w:cs="仿宋"/>
          <w:b/>
          <w:color w:val="auto"/>
          <w:szCs w:val="21"/>
          <w:highlight w:val="none"/>
          <w:lang w:val="zh-CN"/>
        </w:rPr>
      </w:pPr>
      <w:r>
        <w:rPr>
          <w:rFonts w:hint="eastAsia" w:ascii="仿宋" w:hAnsi="仿宋" w:eastAsia="仿宋" w:cs="仿宋"/>
          <w:color w:val="auto"/>
          <w:highlight w:val="none"/>
          <w:lang w:val="zh-CN"/>
        </w:rPr>
        <w:t xml:space="preserve">22.1  综合比较与评价后</w:t>
      </w:r>
      <w:r>
        <w:rPr>
          <w:rFonts w:hint="eastAsia" w:ascii="仿宋" w:hAnsi="仿宋" w:eastAsia="仿宋" w:cs="仿宋"/>
          <w:color w:val="auto"/>
          <w:szCs w:val="21"/>
          <w:highlight w:val="none"/>
          <w:lang w:val="zh-CN"/>
        </w:rPr>
        <w:t xml:space="preserve">按照得分高低顺序对供应商进行排列。</w:t>
      </w:r>
      <w:r>
        <w:rPr>
          <w:rFonts w:hint="eastAsia" w:ascii="仿宋" w:hAnsi="仿宋" w:eastAsia="仿宋" w:cs="仿宋"/>
          <w:color w:val="auto"/>
          <w:szCs w:val="21"/>
          <w:highlight w:val="none"/>
        </w:rPr>
        <w:t xml:space="preserve">得分相同的，按投标报价由低到高顺序排列。得分且投标报价相同的，按技术指标优劣顺序排列。</w:t>
      </w:r>
      <w:r>
        <w:rPr>
          <w:rFonts w:hint="eastAsia" w:ascii="仿宋" w:hAnsi="仿宋" w:eastAsia="仿宋" w:cs="仿宋"/>
          <w:b/>
          <w:color w:val="auto"/>
          <w:szCs w:val="21"/>
          <w:highlight w:val="none"/>
          <w:lang w:val="zh-CN"/>
        </w:rPr>
        <w:t xml:space="preserve">综合排名第一名的供应商确定为中标人。</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szCs w:val="21"/>
          <w:highlight w:val="none"/>
          <w:lang w:val="zh-CN"/>
        </w:rPr>
        <w:t xml:space="preserve">22</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中标人确定后，将在财政部门指定的政府采购信息发布媒体上公告，并向中标人发出中标通知书。</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22.</w:t>
      </w:r>
      <w:r>
        <w:rPr>
          <w:rFonts w:hint="eastAsia" w:ascii="仿宋" w:hAnsi="仿宋" w:eastAsia="仿宋" w:cs="仿宋"/>
          <w:color w:val="auto"/>
          <w:szCs w:val="21"/>
          <w:highlight w:val="none"/>
        </w:rPr>
        <w:t xml:space="preserve">3</w:t>
      </w:r>
      <w:r>
        <w:rPr>
          <w:rFonts w:hint="eastAsia" w:ascii="仿宋" w:hAnsi="仿宋" w:eastAsia="仿宋" w:cs="仿宋"/>
          <w:color w:val="auto"/>
          <w:szCs w:val="21"/>
          <w:highlight w:val="none"/>
          <w:lang w:val="zh-CN"/>
        </w:rPr>
        <w:t xml:space="preserve"> 中标通知书对采购人和中标人具有同等法律效力。</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22.</w:t>
      </w:r>
      <w:r>
        <w:rPr>
          <w:rFonts w:hint="eastAsia" w:ascii="仿宋" w:hAnsi="仿宋" w:eastAsia="仿宋" w:cs="仿宋"/>
          <w:color w:val="auto"/>
          <w:szCs w:val="21"/>
          <w:highlight w:val="none"/>
        </w:rPr>
        <w:t xml:space="preserve">4</w:t>
      </w:r>
      <w:r>
        <w:rPr>
          <w:rFonts w:hint="eastAsia" w:ascii="仿宋" w:hAnsi="仿宋" w:eastAsia="仿宋" w:cs="仿宋"/>
          <w:color w:val="auto"/>
          <w:szCs w:val="21"/>
          <w:highlight w:val="none"/>
          <w:lang w:val="zh-CN"/>
        </w:rPr>
        <w:t xml:space="preserve"> </w:t>
      </w:r>
      <w:r>
        <w:rPr>
          <w:rFonts w:hint="eastAsia" w:ascii="仿宋" w:hAnsi="仿宋" w:eastAsia="仿宋" w:cs="仿宋"/>
          <w:color w:val="auto"/>
          <w:szCs w:val="21"/>
          <w:highlight w:val="none"/>
        </w:rPr>
        <w:t xml:space="preserve">中标通知书发出后，采购人或中标人拒绝签订合同的，拒绝签订合同的一方应至少向另一方支付与投标保证金相等的补偿金，以及为招标、投标所发生的有关费用和双方商定的其他补偿。</w:t>
      </w:r>
      <w:r/>
    </w:p>
    <w:p>
      <w:pPr>
        <w:ind w:firstLine="422"/>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22.5 中标通知书发出后，中标人无正当理由不与采购人签订合同的；情节严重的，由财政部门将其列入不良行为记录名单，在一至三年内禁止参加南京市政府采购活动，并予以通报。</w:t>
      </w:r>
      <w:r/>
    </w:p>
    <w:p>
      <w:pPr>
        <w:ind w:firstLine="420"/>
        <w:spacing w:line="360" w:lineRule="auto"/>
        <w:tabs>
          <w:tab w:val="left" w:pos="126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22.6 代理机构对未中标的投标人不作未中标原因的解释。</w:t>
      </w:r>
      <w:r/>
    </w:p>
    <w:p>
      <w:pPr>
        <w:ind w:firstLine="420"/>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rPr>
        <w:t xml:space="preserve">22.7 所有投标文件都将作为档案保存，不论中标与否，代理机构均不退回。</w:t>
      </w:r>
      <w:r/>
    </w:p>
    <w:p>
      <w:pPr>
        <w:ind w:firstLine="422"/>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lang w:val="zh-CN"/>
        </w:rPr>
        <w:t xml:space="preserve">23、</w:t>
      </w:r>
      <w:r>
        <w:rPr>
          <w:rFonts w:hint="eastAsia" w:ascii="仿宋" w:hAnsi="仿宋" w:eastAsia="仿宋" w:cs="仿宋"/>
          <w:b/>
          <w:color w:val="auto"/>
          <w:highlight w:val="none"/>
        </w:rPr>
        <w:t xml:space="preserve">编写评标报告</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23.1 评标委员会根据全体评标成员签字的原始评标记录和评标结果编写评标报告。</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24、评标过程的保密性</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24.1 代理机构将采取必要措施，保证评标在严格保密的情况下进行。</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24.2 任何单位和个人不得非法干预、影响评标办法的确定，以及评标过程和结果。</w:t>
      </w:r>
      <w:r/>
    </w:p>
    <w:p>
      <w:pPr>
        <w:ind w:firstLine="420"/>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lang w:val="zh-CN"/>
        </w:rPr>
        <w:t xml:space="preserve">24.3 凡是与审查、澄清、评价和比较投标的有关资料等，均不向供应商及与评标无关的其他人员透露。</w:t>
      </w:r>
      <w:r/>
    </w:p>
    <w:p>
      <w:pPr>
        <w:ind w:firstLine="422"/>
        <w:spacing w:line="360" w:lineRule="auto"/>
        <w:rPr>
          <w:rFonts w:hint="eastAsia" w:ascii="仿宋" w:hAnsi="仿宋" w:eastAsia="仿宋" w:cs="仿宋"/>
          <w:b/>
          <w:color w:val="auto"/>
          <w:highlight w:val="none"/>
          <w:lang w:val="zh-CN"/>
        </w:rPr>
        <w:outlineLvl w:val="1"/>
      </w:pPr>
      <w:r/>
      <w:bookmarkStart w:id="92" w:name="_Toc8714"/>
      <w:r/>
      <w:bookmarkStart w:id="93" w:name="_Toc3556"/>
      <w:r/>
      <w:bookmarkStart w:id="94" w:name="_Toc26025"/>
      <w:r>
        <w:rPr>
          <w:rFonts w:hint="eastAsia" w:ascii="仿宋" w:hAnsi="仿宋" w:eastAsia="仿宋" w:cs="仿宋"/>
          <w:b/>
          <w:color w:val="auto"/>
          <w:highlight w:val="none"/>
          <w:lang w:val="zh-CN"/>
        </w:rPr>
        <w:t xml:space="preserve">五、签订合同</w:t>
      </w:r>
      <w:bookmarkEnd w:id="92"/>
      <w:r/>
      <w:bookmarkEnd w:id="93"/>
      <w:r/>
      <w:bookmarkEnd w:id="94"/>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25、签订合同</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25.1 中标人应当自中标通知书发出之日起三十日内，按照招标文件和中标人投标文件的约定与采购人签订采购合同，所签订的合同不得对招标文件和中标人投标文件作实质性修改。</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25.2</w:t>
      </w:r>
      <w:r>
        <w:rPr>
          <w:rFonts w:hint="eastAsia" w:ascii="仿宋" w:hAnsi="仿宋" w:eastAsia="仿宋" w:cs="仿宋"/>
          <w:color w:val="auto"/>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25.4 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hint="eastAsia" w:ascii="仿宋" w:hAnsi="仿宋" w:eastAsia="仿宋" w:cs="仿宋"/>
          <w:b/>
          <w:color w:val="auto"/>
          <w:highlight w:val="none"/>
          <w:lang w:val="zh-CN"/>
        </w:rPr>
        <w:outlineLvl w:val="1"/>
      </w:pPr>
      <w:r/>
      <w:bookmarkStart w:id="95" w:name="_Toc2822"/>
      <w:r/>
      <w:bookmarkStart w:id="96" w:name="_Toc22453"/>
      <w:r/>
      <w:bookmarkStart w:id="97" w:name="_Toc5170"/>
      <w:r>
        <w:rPr>
          <w:rFonts w:hint="eastAsia" w:ascii="仿宋" w:hAnsi="仿宋" w:eastAsia="仿宋" w:cs="仿宋"/>
          <w:b/>
          <w:color w:val="auto"/>
          <w:highlight w:val="none"/>
          <w:lang w:val="zh-CN"/>
        </w:rPr>
        <w:t xml:space="preserve">六、询问、质疑、投诉和诚实信用</w:t>
      </w:r>
      <w:bookmarkEnd w:id="95"/>
      <w:r/>
      <w:bookmarkEnd w:id="96"/>
      <w:r/>
      <w:bookmarkEnd w:id="97"/>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26、询问</w:t>
      </w:r>
      <w:r/>
    </w:p>
    <w:p>
      <w:pPr>
        <w:ind w:firstLine="420"/>
        <w:spacing w:line="360" w:lineRule="auto"/>
        <w:rPr>
          <w:rFonts w:hint="eastAsia" w:ascii="仿宋" w:hAnsi="仿宋" w:eastAsia="仿宋" w:cs="仿宋"/>
          <w:b/>
          <w:color w:val="auto"/>
          <w:highlight w:val="none"/>
          <w:lang w:val="zh-CN"/>
        </w:rPr>
      </w:pPr>
      <w:r>
        <w:rPr>
          <w:rFonts w:hint="eastAsia" w:ascii="仿宋" w:hAnsi="仿宋" w:eastAsia="仿宋" w:cs="仿宋"/>
          <w:color w:val="auto"/>
          <w:highlight w:val="none"/>
          <w:lang w:val="zh-CN"/>
        </w:rPr>
        <w:t xml:space="preserve">26.1 供应商对招标活动事项有疑问的，可以向代理机构或采购人提出询问，代理机构或采购人将在两个工作日内作出答复，但答复的内容不涉及商业秘密</w:t>
      </w:r>
      <w:r>
        <w:rPr>
          <w:rFonts w:hint="eastAsia" w:ascii="仿宋" w:hAnsi="仿宋" w:eastAsia="仿宋" w:cs="仿宋"/>
          <w:b/>
          <w:color w:val="auto"/>
          <w:highlight w:val="none"/>
          <w:lang w:val="zh-CN"/>
        </w:rPr>
        <w:t xml:space="preserve">。</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27、质疑</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27.1 供应商认为</w:t>
      </w:r>
      <w:r>
        <w:rPr>
          <w:rFonts w:hint="eastAsia" w:ascii="仿宋" w:hAnsi="仿宋" w:eastAsia="仿宋" w:cs="仿宋"/>
          <w:color w:val="auto"/>
          <w:highlight w:val="none"/>
        </w:rPr>
        <w:t xml:space="preserve">招标</w:t>
      </w:r>
      <w:r>
        <w:rPr>
          <w:rFonts w:hint="eastAsia" w:ascii="仿宋" w:hAnsi="仿宋" w:eastAsia="仿宋" w:cs="仿宋"/>
          <w:color w:val="auto"/>
          <w:highlight w:val="none"/>
          <w:lang w:val="zh-CN"/>
        </w:rPr>
        <w:t xml:space="preserve">文件、采购过程和中标结果使自己的合法权益受到损害的，可以在知道或者应当知道其权益受到损害之日起七个工作日内，</w:t>
      </w:r>
      <w:r>
        <w:rPr>
          <w:rFonts w:hint="eastAsia" w:ascii="仿宋" w:hAnsi="仿宋" w:eastAsia="仿宋" w:cs="仿宋"/>
          <w:color w:val="auto"/>
          <w:highlight w:val="none"/>
        </w:rPr>
        <w:t xml:space="preserve">一次性提出全部质疑并</w:t>
      </w:r>
      <w:r>
        <w:rPr>
          <w:rFonts w:hint="eastAsia" w:ascii="仿宋" w:hAnsi="仿宋" w:eastAsia="仿宋" w:cs="仿宋"/>
          <w:color w:val="auto"/>
          <w:highlight w:val="none"/>
          <w:lang w:val="zh-CN"/>
        </w:rPr>
        <w:t xml:space="preserve">将质疑文件原件送达</w:t>
      </w:r>
      <w:r>
        <w:rPr>
          <w:rFonts w:hint="eastAsia" w:ascii="仿宋" w:hAnsi="仿宋" w:eastAsia="仿宋" w:cs="仿宋"/>
          <w:color w:val="auto"/>
          <w:highlight w:val="none"/>
        </w:rPr>
        <w:t xml:space="preserve">代理机构。</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highlight w:val="none"/>
          <w:lang w:val="zh-CN"/>
        </w:rPr>
        <w:t xml:space="preserve">27.2 质疑文件应包括以下主要内容，并</w:t>
      </w:r>
      <w:r>
        <w:rPr>
          <w:rFonts w:hint="eastAsia" w:ascii="仿宋" w:hAnsi="仿宋" w:eastAsia="仿宋" w:cs="仿宋"/>
          <w:color w:val="auto"/>
          <w:highlight w:val="none"/>
        </w:rPr>
        <w:t xml:space="preserve">按照“谁主张、谁举证”的原则，附上相关证明材料。否则，代理机构或采购人不予受理：</w:t>
      </w:r>
      <w:r>
        <w:rPr>
          <w:rFonts w:hint="eastAsia" w:ascii="仿宋" w:hAnsi="仿宋" w:eastAsia="仿宋" w:cs="仿宋"/>
          <w:color w:val="auto"/>
          <w:sz w:val="32"/>
          <w:highlight w:val="none"/>
        </w:rPr>
        <w:t xml:space="preserve">　　</w:t>
      </w:r>
      <w:r>
        <w:rPr>
          <w:rFonts w:hint="eastAsia" w:ascii="仿宋" w:hAnsi="仿宋" w:eastAsia="仿宋" w:cs="仿宋"/>
          <w:color w:val="auto"/>
          <w:sz w:val="24"/>
          <w:highlight w:val="none"/>
        </w:rPr>
        <w:t xml:space="preserve">　　　　　</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（1）质疑项目名称、项目编号、包号、招标公告发布时间、开标时间；</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（2）提起质疑的日期、具体的质疑事项及事实根据（具体条款）；</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（3）认为自己合法权益受到损害或可能受到损害的相关证据材料。质疑相关证明材料中如涉及到产品功能或技术指标的，应出具相关制造商的证明文件（友情提示：</w:t>
      </w:r>
      <w:r>
        <w:rPr>
          <w:rFonts w:hint="eastAsia" w:ascii="仿宋" w:hAnsi="仿宋" w:eastAsia="仿宋" w:cs="仿宋"/>
          <w:color w:val="auto"/>
          <w:highlight w:val="none"/>
        </w:rPr>
        <w:t xml:space="preserve">供应商全部产品线中没有满足技术需求要求的产品才可以对招标产品提出质疑，并提出</w:t>
      </w:r>
      <w:r>
        <w:rPr>
          <w:rFonts w:hint="eastAsia" w:ascii="仿宋" w:hAnsi="仿宋" w:eastAsia="仿宋" w:cs="仿宋"/>
          <w:color w:val="auto"/>
          <w:highlight w:val="none"/>
          <w:lang w:val="zh-CN"/>
        </w:rPr>
        <w:t xml:space="preserve">修改理由和修改建议）；</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（4）质疑供应商名称、地址、邮编、联系人、联系电话</w:t>
      </w:r>
      <w:r>
        <w:rPr>
          <w:rFonts w:hint="eastAsia" w:ascii="仿宋" w:hAnsi="仿宋" w:eastAsia="仿宋" w:cs="仿宋"/>
          <w:color w:val="auto"/>
          <w:highlight w:val="none"/>
        </w:rPr>
        <w:t xml:space="preserve">（包括座机、手机、传真号码等）</w:t>
      </w:r>
      <w:r>
        <w:rPr>
          <w:rFonts w:hint="eastAsia" w:ascii="仿宋" w:hAnsi="仿宋" w:eastAsia="仿宋" w:cs="仿宋"/>
          <w:color w:val="auto"/>
          <w:highlight w:val="none"/>
          <w:lang w:val="zh-CN"/>
        </w:rPr>
        <w:t xml:space="preserve">；</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（6）供应商委托代理质疑的，应当向被质疑人提交授权委托书，并载明委托代理的具体权限和事项。</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27.3 质疑</w:t>
      </w:r>
      <w:r>
        <w:rPr>
          <w:rFonts w:hint="eastAsia" w:ascii="仿宋" w:hAnsi="仿宋" w:eastAsia="仿宋" w:cs="仿宋"/>
          <w:color w:val="auto"/>
          <w:highlight w:val="none"/>
        </w:rPr>
        <w:t xml:space="preserve">供应商是指直接参加本项目采购活动的供应商，供应商提出质疑时，须一次性提出全部问题及相关质疑资料；对招标文件提出质疑的，应自供应商获得招标文件之日起计算，且应当在投标截止之日前提出；对采购过程提出质疑的，自采购程序环节结束之日起计算；对中标结果提出质疑的，自中标结果公告之日起计算。</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27.4 </w:t>
      </w:r>
      <w:r>
        <w:rPr>
          <w:rFonts w:hint="eastAsia" w:ascii="仿宋" w:hAnsi="仿宋" w:eastAsia="仿宋" w:cs="仿宋"/>
          <w:color w:val="auto"/>
          <w:highlight w:val="none"/>
          <w:lang w:val="zh-CN"/>
        </w:rPr>
        <w:t xml:space="preserve">代理机构</w:t>
      </w:r>
      <w:r>
        <w:rPr>
          <w:rFonts w:hint="eastAsia" w:ascii="仿宋" w:hAnsi="仿宋" w:eastAsia="仿宋" w:cs="仿宋"/>
          <w:color w:val="auto"/>
          <w:highlight w:val="none"/>
        </w:rPr>
        <w:t xml:space="preserve">在收到供应商的书面质疑后将及时组织调查核实，在</w:t>
      </w:r>
      <w:r>
        <w:rPr>
          <w:rFonts w:hint="eastAsia" w:ascii="仿宋" w:hAnsi="仿宋" w:eastAsia="仿宋" w:cs="仿宋"/>
          <w:b/>
          <w:color w:val="auto"/>
          <w:highlight w:val="none"/>
          <w:lang w:val="zh-CN"/>
        </w:rPr>
        <w:t xml:space="preserve">七个工作日内</w:t>
      </w:r>
      <w:r>
        <w:rPr>
          <w:rFonts w:hint="eastAsia" w:ascii="仿宋" w:hAnsi="仿宋" w:eastAsia="仿宋" w:cs="仿宋"/>
          <w:color w:val="auto"/>
          <w:highlight w:val="none"/>
          <w:lang w:val="zh-CN"/>
        </w:rPr>
        <w:t xml:space="preserve">作出答复，并以书面或在网站公告形式通知质疑供应商和其他有关供应商，答复的内容不涉及商业秘密。代理机构</w:t>
      </w:r>
      <w:r>
        <w:rPr>
          <w:rFonts w:hint="eastAsia" w:ascii="仿宋" w:hAnsi="仿宋" w:eastAsia="仿宋" w:cs="仿宋"/>
          <w:color w:val="auto"/>
          <w:highlight w:val="none"/>
        </w:rPr>
        <w:t xml:space="preserve">遵循“谁过错谁负担”的原则，有过错的一方承担调查论证费用。</w:t>
      </w:r>
      <w:r/>
    </w:p>
    <w:p>
      <w:pPr>
        <w:ind w:firstLine="422"/>
        <w:spacing w:line="360" w:lineRule="auto"/>
        <w:rPr>
          <w:rFonts w:hint="eastAsia" w:ascii="仿宋" w:hAnsi="仿宋" w:eastAsia="仿宋" w:cs="仿宋"/>
          <w:color w:val="auto"/>
          <w:highlight w:val="none"/>
          <w:lang w:val="zh-CN"/>
        </w:rPr>
      </w:pPr>
      <w:r>
        <w:rPr>
          <w:rFonts w:hint="eastAsia" w:ascii="仿宋" w:hAnsi="仿宋" w:eastAsia="仿宋" w:cs="仿宋"/>
          <w:b/>
          <w:color w:val="auto"/>
          <w:highlight w:val="none"/>
          <w:lang w:val="zh-CN"/>
        </w:rPr>
        <w:t xml:space="preserve">28、投诉</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28.1质疑供应商对代理机构的答复不满意，或代理机构未在规定的时间内作出答复的，可以在答复期满后</w:t>
      </w:r>
      <w:r>
        <w:rPr>
          <w:rFonts w:hint="eastAsia" w:ascii="仿宋" w:hAnsi="仿宋" w:eastAsia="仿宋" w:cs="仿宋"/>
          <w:b/>
          <w:color w:val="auto"/>
          <w:highlight w:val="none"/>
          <w:lang w:val="zh-CN"/>
        </w:rPr>
        <w:t xml:space="preserve">十五个工作日内</w:t>
      </w:r>
      <w:r>
        <w:rPr>
          <w:rFonts w:hint="eastAsia" w:ascii="仿宋" w:hAnsi="仿宋" w:eastAsia="仿宋" w:cs="仿宋"/>
          <w:color w:val="auto"/>
          <w:highlight w:val="none"/>
          <w:lang w:val="zh-CN"/>
        </w:rPr>
        <w:t xml:space="preserve">向采购项目同级财政部门投诉。</w:t>
      </w:r>
      <w:r/>
    </w:p>
    <w:p>
      <w:pPr>
        <w:ind w:firstLine="422"/>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29、诚实信用</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29.1 供应商之间不得相互串通投标报价，不得妨碍其他供应商的公平竞争，不得损害采购人和其他供应商的合法权益。</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29.2 供应商不得以向代理机构工作人员、评标委员会成员行贿或者采取其他不正当手段谋取中标。经查实供应商有此行为的，</w:t>
      </w:r>
      <w:r>
        <w:rPr>
          <w:rFonts w:hint="eastAsia" w:ascii="仿宋" w:hAnsi="仿宋" w:eastAsia="仿宋" w:cs="仿宋"/>
          <w:color w:val="auto"/>
          <w:highlight w:val="none"/>
        </w:rPr>
        <w:t xml:space="preserve">政府采购管理部门将供应商列入不良行为记录名单，按照《政府采购法》有关规定处理。</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29.3 供应商不得虚假质疑和恶意质疑，并对质疑内容的真实性承担责任。</w:t>
      </w:r>
      <w:r>
        <w:rPr>
          <w:rFonts w:hint="eastAsia" w:ascii="仿宋" w:hAnsi="仿宋" w:eastAsia="仿宋" w:cs="仿宋"/>
          <w:color w:val="auto"/>
          <w:highlight w:val="none"/>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29.4 供应商不得虚假承诺，否则，按照提供虚假材料谋取中标处理。</w:t>
      </w:r>
      <w:r/>
    </w:p>
    <w:p>
      <w:pPr>
        <w:ind w:firstLine="420"/>
        <w:spacing w:line="360" w:lineRule="auto"/>
        <w:rPr>
          <w:rFonts w:hint="eastAsia" w:ascii="仿宋" w:hAnsi="仿宋" w:eastAsia="仿宋" w:cs="仿宋"/>
          <w:b/>
          <w:color w:val="auto"/>
          <w:sz w:val="36"/>
          <w:szCs w:val="36"/>
          <w:highlight w:val="none"/>
        </w:rPr>
      </w:pPr>
      <w:r>
        <w:rPr>
          <w:rFonts w:hint="eastAsia" w:ascii="仿宋" w:hAnsi="仿宋" w:eastAsia="仿宋" w:cs="仿宋"/>
          <w:color w:val="auto"/>
          <w:highlight w:val="none"/>
          <w:lang w:val="zh-CN"/>
        </w:rPr>
        <w:t xml:space="preserve">29.5 供应商应自觉遵守开标、评标纪律，扰乱开标评标现场秩序的，属于失信行为，根据《江苏省政府采购供应商监督管理暂行办法》，失信行为将被记入供应商诚信档案。</w:t>
      </w:r>
      <w:r/>
    </w:p>
    <w:p>
      <w:pP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400" w:lineRule="exact"/>
        <w:rPr>
          <w:rFonts w:hint="eastAsia" w:ascii="仿宋" w:hAnsi="仿宋" w:eastAsia="仿宋" w:cs="仿宋"/>
          <w:b/>
          <w:color w:val="auto"/>
          <w:sz w:val="36"/>
          <w:szCs w:val="36"/>
          <w:highlight w:val="none"/>
        </w:rPr>
        <w:outlineLvl w:val="0"/>
      </w:pPr>
      <w:r/>
      <w:bookmarkStart w:id="98" w:name="_Toc30240"/>
      <w:r/>
      <w:bookmarkStart w:id="99" w:name="_Toc400722722"/>
      <w:r/>
      <w:bookmarkStart w:id="100" w:name="_Toc402966376"/>
      <w:r>
        <w:rPr>
          <w:rFonts w:hint="eastAsia" w:ascii="仿宋" w:hAnsi="仿宋" w:eastAsia="仿宋" w:cs="仿宋"/>
          <w:b/>
          <w:color w:val="auto"/>
          <w:sz w:val="36"/>
          <w:szCs w:val="36"/>
          <w:highlight w:val="none"/>
        </w:rPr>
        <w:t xml:space="preserve">第三章 评标标准</w:t>
      </w:r>
      <w:bookmarkEnd w:id="98"/>
      <w:r/>
      <w:r/>
    </w:p>
    <w:p>
      <w:pPr>
        <w:ind w:firstLine="420"/>
        <w:spacing w:line="400" w:lineRule="exact"/>
        <w:rPr>
          <w:rFonts w:hint="eastAsia" w:ascii="仿宋" w:hAnsi="仿宋" w:eastAsia="仿宋" w:cs="仿宋"/>
          <w:b/>
          <w:bCs/>
          <w:color w:val="auto"/>
          <w:sz w:val="28"/>
          <w:szCs w:val="28"/>
          <w:highlight w:val="none"/>
        </w:rPr>
      </w:pPr>
      <w:r/>
      <w:bookmarkStart w:id="101" w:name="_Toc30519"/>
      <w:r>
        <w:rPr>
          <w:rFonts w:hint="eastAsia" w:ascii="仿宋" w:hAnsi="仿宋" w:eastAsia="仿宋" w:cs="仿宋"/>
          <w:b/>
          <w:bCs/>
          <w:color w:val="auto"/>
          <w:sz w:val="28"/>
          <w:szCs w:val="28"/>
          <w:highlight w:val="none"/>
        </w:rPr>
        <w:t xml:space="preserve">（一）评标方法</w:t>
      </w:r>
      <w:bookmarkEnd w:id="101"/>
      <w:r/>
      <w:r/>
    </w:p>
    <w:p>
      <w:pPr>
        <w:ind w:firstLine="420"/>
        <w:spacing w:line="400" w:lineRule="exact"/>
        <w:tabs>
          <w:tab w:val="left" w:pos="72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1）采用综合评分法。综合评分法是指在最大限度地满足招标文件实质性要求前提下，按照招标文件中规定的各项因素进行综合评审后，以评标总得分最高的供应商作为中标人的评标方法。</w:t>
      </w:r>
      <w:r/>
    </w:p>
    <w:p>
      <w:pPr>
        <w:ind w:firstLine="420"/>
        <w:spacing w:line="400" w:lineRule="exact"/>
        <w:tabs>
          <w:tab w:val="left" w:pos="72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2）综合比较与评价后，按得分由高到低顺序排列。得分相同的，按投标报价由低到高顺序排列。得分且投标报价相同的，按技术指标优劣顺序排列。</w:t>
      </w:r>
      <w:r/>
    </w:p>
    <w:p>
      <w:pPr>
        <w:ind w:firstLine="281"/>
        <w:spacing w:line="360" w:lineRule="auto"/>
        <w:rPr>
          <w:rFonts w:hint="eastAsia" w:ascii="仿宋" w:hAnsi="仿宋" w:eastAsia="仿宋" w:cs="仿宋"/>
          <w:b/>
          <w:bCs/>
          <w:color w:val="auto"/>
          <w:sz w:val="28"/>
          <w:szCs w:val="28"/>
          <w:highlight w:val="none"/>
        </w:rPr>
      </w:pPr>
      <w:r/>
      <w:bookmarkStart w:id="102" w:name="_Toc28112"/>
      <w:r>
        <w:rPr>
          <w:rFonts w:hint="eastAsia" w:ascii="仿宋" w:hAnsi="仿宋" w:eastAsia="仿宋" w:cs="仿宋"/>
          <w:b/>
          <w:bCs/>
          <w:color w:val="auto"/>
          <w:sz w:val="28"/>
          <w:szCs w:val="28"/>
          <w:highlight w:val="none"/>
        </w:rPr>
        <w:t xml:space="preserve">（二）评分标准</w:t>
      </w:r>
      <w:bookmarkEnd w:id="102"/>
      <w:r/>
      <w:r/>
    </w:p>
    <w:tbl>
      <w:tblPr>
        <w:tblStyle w:val="737"/>
        <w:tblW w:w="9558"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8"/>
        <w:gridCol w:w="651"/>
        <w:gridCol w:w="7107"/>
        <w:gridCol w:w="609"/>
        <w:gridCol w:w="643"/>
      </w:tblGrid>
      <w:tr>
        <w:trPr>
          <w:trHeight w:val="628"/>
        </w:trPr>
        <w:tc>
          <w:tcPr>
            <w:tcBorders>
              <w:bottom w:val="single" w:color="000000" w:sz="8" w:space="0"/>
            </w:tcBorders>
            <w:tcW w:w="0" w:type="auto"/>
            <w:textDirection w:val="lrTb"/>
            <w:noWrap w:val="false"/>
          </w:tcPr>
          <w:p>
            <w:pPr>
              <w:pStyle w:val="930"/>
              <w:ind w:left="112"/>
              <w:spacing w:before="90"/>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序号</w:t>
            </w:r>
            <w:r/>
          </w:p>
        </w:tc>
        <w:tc>
          <w:tcPr>
            <w:tcBorders>
              <w:bottom w:val="single" w:color="000000" w:sz="6" w:space="0"/>
            </w:tcBorders>
            <w:tcW w:w="651" w:type="dxa"/>
            <w:textDirection w:val="lrTb"/>
            <w:noWrap w:val="false"/>
          </w:tcPr>
          <w:p>
            <w:pPr>
              <w:pStyle w:val="930"/>
              <w:ind w:left="112"/>
              <w:spacing w:before="90"/>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评审因素</w:t>
            </w:r>
            <w:r/>
          </w:p>
        </w:tc>
        <w:tc>
          <w:tcPr>
            <w:tcBorders>
              <w:bottom w:val="single" w:color="000000" w:sz="8" w:space="0"/>
            </w:tcBorders>
            <w:tcW w:w="7107" w:type="dxa"/>
            <w:textDirection w:val="lrTb"/>
            <w:noWrap w:val="false"/>
          </w:tcPr>
          <w:p>
            <w:pPr>
              <w:pStyle w:val="930"/>
              <w:ind w:left="112"/>
              <w:jc w:val="center"/>
              <w:spacing w:before="90"/>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评审细则</w:t>
            </w:r>
            <w:r/>
          </w:p>
        </w:tc>
        <w:tc>
          <w:tcPr>
            <w:tcBorders>
              <w:bottom w:val="single" w:color="000000" w:sz="8" w:space="0"/>
            </w:tcBorders>
            <w:tcW w:w="609" w:type="dxa"/>
            <w:textDirection w:val="lrTb"/>
            <w:noWrap w:val="false"/>
          </w:tcPr>
          <w:p>
            <w:pPr>
              <w:pStyle w:val="930"/>
              <w:ind w:left="112"/>
              <w:spacing w:before="90"/>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分值</w:t>
            </w:r>
            <w:r/>
          </w:p>
        </w:tc>
        <w:tc>
          <w:tcPr>
            <w:tcBorders>
              <w:bottom w:val="single" w:color="000000" w:sz="8" w:space="0"/>
            </w:tcBorders>
            <w:tcW w:w="643" w:type="dxa"/>
            <w:textDirection w:val="lrTb"/>
            <w:noWrap w:val="false"/>
          </w:tcPr>
          <w:p>
            <w:pPr>
              <w:pStyle w:val="930"/>
              <w:ind w:left="112"/>
              <w:spacing w:before="90"/>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分值类型</w:t>
            </w:r>
            <w:r/>
          </w:p>
        </w:tc>
      </w:tr>
      <w:tr>
        <w:trPr>
          <w:trHeight w:val="368"/>
        </w:trPr>
        <w:tc>
          <w:tcPr>
            <w:gridSpan w:val="5"/>
            <w:tcBorders>
              <w:bottom w:val="single" w:color="000000" w:sz="8" w:space="0"/>
            </w:tcBorders>
            <w:tcW w:w="9558" w:type="dxa"/>
            <w:textDirection w:val="lrTb"/>
            <w:noWrap w:val="false"/>
          </w:tcPr>
          <w:p>
            <w:pPr>
              <w:pStyle w:val="930"/>
              <w:ind w:left="112"/>
              <w:spacing w:before="90"/>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1.价格</w:t>
            </w:r>
            <w:r/>
          </w:p>
        </w:tc>
      </w:tr>
      <w:tr>
        <w:trPr>
          <w:trHeight w:val="90"/>
        </w:trPr>
        <w:tc>
          <w:tcPr>
            <w:tcBorders>
              <w:top w:val="single" w:color="000000" w:sz="8" w:space="0"/>
            </w:tcBorders>
            <w:tcW w:w="0" w:type="auto"/>
            <w:textDirection w:val="lrTb"/>
            <w:noWrap w:val="false"/>
          </w:tcPr>
          <w:p>
            <w:pPr>
              <w:pStyle w:val="93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1.1</w:t>
            </w:r>
            <w:r/>
          </w:p>
        </w:tc>
        <w:tc>
          <w:tcPr>
            <w:tcBorders>
              <w:top w:val="single" w:color="000000" w:sz="8" w:space="0"/>
            </w:tcBorders>
            <w:tcW w:w="651" w:type="dxa"/>
            <w:textDirection w:val="lrTb"/>
            <w:noWrap w:val="false"/>
          </w:tcPr>
          <w:p>
            <w:pPr>
              <w:pStyle w:val="930"/>
              <w:spacing w:before="1"/>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left="101" w:right="7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价格分</w:t>
            </w:r>
            <w:r/>
          </w:p>
        </w:tc>
        <w:tc>
          <w:tcPr>
            <w:tcBorders>
              <w:top w:val="single" w:color="000000" w:sz="8" w:space="0"/>
            </w:tcBorders>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采用低价优先法计算，即满足招标文件要求且投标价格最低的投标报价为评标基准价，其价格分为满分。其他投标人的价格分统一按照下列公式计算：投标报价得分=(评标基准价/投标报价)×10</w:t>
            </w:r>
            <w:r/>
          </w:p>
        </w:tc>
        <w:tc>
          <w:tcPr>
            <w:tcBorders>
              <w:top w:val="single" w:color="000000" w:sz="8" w:space="0"/>
            </w:tcBorders>
            <w:tcW w:w="609" w:type="dxa"/>
            <w:vAlign w:val="center"/>
            <w:textDirection w:val="lrTb"/>
            <w:noWrap w:val="false"/>
          </w:tcPr>
          <w:p>
            <w:pPr>
              <w:pStyle w:val="930"/>
              <w:ind w:right="76"/>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10</w:t>
            </w:r>
            <w:r/>
          </w:p>
        </w:tc>
        <w:tc>
          <w:tcPr>
            <w:tcBorders>
              <w:top w:val="single" w:color="000000" w:sz="8" w:space="0"/>
            </w:tcBorders>
            <w:tcW w:w="643" w:type="dxa"/>
            <w:vAlign w:val="center"/>
            <w:textDirection w:val="lrTb"/>
            <w:noWrap w:val="false"/>
          </w:tcPr>
          <w:p>
            <w:pPr>
              <w:pStyle w:val="930"/>
              <w:jc w:val="center"/>
              <w:spacing w:before="4"/>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right="76"/>
              <w:jc w:val="center"/>
              <w:spacing w:line="25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自动计算</w:t>
            </w:r>
            <w:r/>
          </w:p>
        </w:tc>
      </w:tr>
      <w:tr>
        <w:trPr>
          <w:trHeight w:val="363"/>
        </w:trPr>
        <w:tc>
          <w:tcPr>
            <w:gridSpan w:val="5"/>
            <w:tcW w:w="9558" w:type="dxa"/>
            <w:textDirection w:val="lrTb"/>
            <w:noWrap w:val="false"/>
          </w:tcPr>
          <w:p>
            <w:pPr>
              <w:pStyle w:val="930"/>
              <w:ind w:left="112"/>
              <w:spacing w:before="90"/>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2.技术</w:t>
            </w:r>
            <w:r/>
          </w:p>
        </w:tc>
      </w:tr>
      <w:tr>
        <w:trPr>
          <w:trHeight w:val="2870"/>
        </w:trPr>
        <w:tc>
          <w:tcPr>
            <w:tcBorders>
              <w:top w:val="none" w:color="000000" w:sz="4" w:space="0"/>
              <w:bottom w:val="none" w:color="000000" w:sz="4" w:space="0"/>
            </w:tcBorders>
            <w:tcW w:w="0" w:type="auto"/>
            <w:textDirection w:val="lrTb"/>
            <w:noWrap w:val="false"/>
          </w:tcPr>
          <w:p>
            <w:pPr>
              <w:pStyle w:val="930"/>
              <w:ind w:left="157"/>
              <w:spacing w:before="151"/>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2.1</w:t>
            </w:r>
            <w:r/>
          </w:p>
        </w:tc>
        <w:tc>
          <w:tcPr>
            <w:tcBorders>
              <w:top w:val="none" w:color="000000" w:sz="4" w:space="0"/>
              <w:bottom w:val="none" w:color="000000" w:sz="4" w:space="0"/>
            </w:tcBorders>
            <w:tcW w:w="651" w:type="dxa"/>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需求分析报</w:t>
            </w:r>
            <w:r/>
          </w:p>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告</w:t>
            </w:r>
            <w:r/>
          </w:p>
        </w:tc>
        <w:tc>
          <w:tcPr>
            <w:tcBorders>
              <w:top w:val="none" w:color="000000" w:sz="4" w:space="0"/>
              <w:bottom w:val="none" w:color="000000" w:sz="4" w:space="0"/>
            </w:tcBorders>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评委根据投标人提供的需求分析报告（包括针对采购人现状及技术支持需求的分析报告，分析内容至少包含基础设施现状、数据现状、平台建设现状、应用现状等及技术支持的重点、难点、措施等）综合评分：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（1）对采购人现状及业务、技术需求有充分认识和理解，分析科学深入，对于重点、难点具有明确合理的应对措施，得5分；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（2）对采购人现状及业务、技术需求认识和理解较充分，分析较科学深入，对于重点、难点的应对措施考虑较全面，得3分；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（3）对采购人现状及业务、技术需求认识和理解不够充分，分析不够科学深入，对于重点、难点的应对措施考虑不全面或未提供的不得分。</w:t>
            </w:r>
            <w:r/>
          </w:p>
        </w:tc>
        <w:tc>
          <w:tcPr>
            <w:tcBorders>
              <w:top w:val="none" w:color="000000" w:sz="4" w:space="0"/>
              <w:bottom w:val="none" w:color="000000" w:sz="4" w:space="0"/>
            </w:tcBorders>
            <w:tcW w:w="609" w:type="dxa"/>
            <w:vAlign w:val="center"/>
            <w:textDirection w:val="lrTb"/>
            <w:noWrap w:val="false"/>
          </w:tcPr>
          <w:p>
            <w:pPr>
              <w:pStyle w:val="930"/>
              <w:jc w:val="center"/>
              <w:spacing w:before="151"/>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w:t>
            </w:r>
            <w:r/>
          </w:p>
        </w:tc>
        <w:tc>
          <w:tcPr>
            <w:tcBorders>
              <w:top w:val="none" w:color="000000" w:sz="4" w:space="0"/>
              <w:bottom w:val="none" w:color="000000" w:sz="4" w:space="0"/>
            </w:tcBorders>
            <w:tcW w:w="643" w:type="dxa"/>
            <w:vAlign w:val="center"/>
            <w:textDirection w:val="lrTb"/>
            <w:noWrap w:val="false"/>
          </w:tcPr>
          <w:p>
            <w:pPr>
              <w:pStyle w:val="930"/>
              <w:ind w:left="95" w:right="59"/>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主观分</w:t>
            </w:r>
            <w:r/>
          </w:p>
        </w:tc>
      </w:tr>
      <w:tr>
        <w:trPr>
          <w:trHeight w:val="2058"/>
        </w:trPr>
        <w:tc>
          <w:tcPr>
            <w:tcBorders>
              <w:top w:val="single" w:color="000000" w:sz="6" w:space="0"/>
              <w:bottom w:val="single" w:color="000000" w:sz="6" w:space="0"/>
            </w:tcBorders>
            <w:tcW w:w="0" w:type="auto"/>
            <w:textDirection w:val="lrTb"/>
            <w:noWrap w:val="false"/>
          </w:tcPr>
          <w:p>
            <w:pPr>
              <w:pStyle w:val="930"/>
              <w:spacing w:before="15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2.2</w:t>
            </w:r>
            <w:r/>
          </w:p>
        </w:tc>
        <w:tc>
          <w:tcPr>
            <w:tcBorders>
              <w:top w:val="single" w:color="000000" w:sz="6" w:space="0"/>
              <w:bottom w:val="single" w:color="000000" w:sz="6" w:space="0"/>
            </w:tcBorders>
            <w:tcW w:w="651" w:type="dxa"/>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市局门户网站技术支持方案</w:t>
            </w:r>
            <w:r/>
          </w:p>
        </w:tc>
        <w:tc>
          <w:tcPr>
            <w:tcBorders>
              <w:top w:val="single" w:color="000000" w:sz="6" w:space="0"/>
              <w:bottom w:val="single" w:color="000000" w:sz="6" w:space="0"/>
            </w:tcBorders>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评委根据投标人提供的市局门户网站技术支持方案（包括但不限于服务内容、人员安排、进度安排等）综合评分：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（1）方案具备科学性、规范性得6分；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（2）方案比较具备科学性、规范性得4分；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（3）方案基本科学、规范得2分。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（4）方案不科学、不规范或者未提供的不得分。</w:t>
            </w:r>
            <w:r/>
          </w:p>
        </w:tc>
        <w:tc>
          <w:tcPr>
            <w:tcBorders>
              <w:top w:val="single" w:color="000000" w:sz="6" w:space="0"/>
              <w:bottom w:val="single" w:color="000000" w:sz="6" w:space="0"/>
            </w:tcBorders>
            <w:tcW w:w="609" w:type="dxa"/>
            <w:vAlign w:val="center"/>
            <w:textDirection w:val="lrTb"/>
            <w:noWrap w:val="false"/>
          </w:tcPr>
          <w:p>
            <w:pPr>
              <w:pStyle w:val="930"/>
              <w:jc w:val="center"/>
              <w:spacing w:before="15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w:t>
            </w:r>
            <w:r/>
          </w:p>
        </w:tc>
        <w:tc>
          <w:tcPr>
            <w:tcBorders>
              <w:top w:val="single" w:color="000000" w:sz="6" w:space="0"/>
              <w:bottom w:val="single" w:color="000000" w:sz="6" w:space="0"/>
            </w:tcBorders>
            <w:tcW w:w="643" w:type="dxa"/>
            <w:vAlign w:val="center"/>
            <w:textDirection w:val="lrTb"/>
            <w:noWrap w:val="false"/>
          </w:tcPr>
          <w:p>
            <w:pPr>
              <w:pStyle w:val="930"/>
              <w:jc w:val="center"/>
              <w:spacing w:before="1"/>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right="76"/>
              <w:jc w:val="center"/>
              <w:spacing w:line="25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主观分</w:t>
            </w:r>
            <w:r/>
          </w:p>
        </w:tc>
      </w:tr>
      <w:tr>
        <w:trPr>
          <w:trHeight w:val="2058"/>
        </w:trPr>
        <w:tc>
          <w:tcPr>
            <w:tcBorders>
              <w:top w:val="single" w:color="000000" w:sz="6" w:space="0"/>
              <w:bottom w:val="single" w:color="000000" w:sz="6" w:space="0"/>
            </w:tcBorders>
            <w:tcW w:w="0" w:type="auto"/>
            <w:textDirection w:val="lrTb"/>
            <w:noWrap w:val="false"/>
          </w:tcPr>
          <w:p>
            <w:pPr>
              <w:pStyle w:val="930"/>
              <w:spacing w:before="165"/>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2.3</w:t>
            </w:r>
            <w:r/>
          </w:p>
        </w:tc>
        <w:tc>
          <w:tcPr>
            <w:tcBorders>
              <w:top w:val="single" w:color="000000" w:sz="6" w:space="0"/>
              <w:bottom w:val="single" w:color="000000" w:sz="6" w:space="0"/>
            </w:tcBorders>
            <w:tcW w:w="651" w:type="dxa"/>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一体化政务服务技术支持方案</w:t>
            </w:r>
            <w:r/>
          </w:p>
        </w:tc>
        <w:tc>
          <w:tcPr>
            <w:tcBorders>
              <w:top w:val="single" w:color="000000" w:sz="6" w:space="0"/>
              <w:bottom w:val="single" w:color="000000" w:sz="6" w:space="0"/>
            </w:tcBorders>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评委根据投标人提供的一体化政务服务技术支持方案（包括但不限于服务内容、人员安排、进度安排等）综合评分：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（1）方案具备科学性、规范性得8分；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（2）方案比较具备科学性、规范性得5分；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（3）方案基本科学、规范得2分。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（4）方案不科学、不规范或者未提供的不得分。</w:t>
            </w:r>
            <w:r/>
          </w:p>
        </w:tc>
        <w:tc>
          <w:tcPr>
            <w:tcBorders>
              <w:top w:val="single" w:color="000000" w:sz="6" w:space="0"/>
              <w:bottom w:val="single" w:color="000000" w:sz="6" w:space="0"/>
            </w:tcBorders>
            <w:tcW w:w="609" w:type="dxa"/>
            <w:vAlign w:val="center"/>
            <w:textDirection w:val="lrTb"/>
            <w:noWrap w:val="false"/>
          </w:tcPr>
          <w:p>
            <w:pPr>
              <w:pStyle w:val="930"/>
              <w:jc w:val="center"/>
              <w:spacing w:before="165"/>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w:t>
            </w:r>
            <w:r/>
          </w:p>
        </w:tc>
        <w:tc>
          <w:tcPr>
            <w:tcBorders>
              <w:top w:val="single" w:color="000000" w:sz="6" w:space="0"/>
              <w:bottom w:val="single" w:color="000000" w:sz="6" w:space="0"/>
            </w:tcBorders>
            <w:tcW w:w="643" w:type="dxa"/>
            <w:vAlign w:val="center"/>
            <w:textDirection w:val="lrTb"/>
            <w:noWrap w:val="false"/>
          </w:tcPr>
          <w:p>
            <w:pPr>
              <w:pStyle w:val="930"/>
              <w:jc w:val="center"/>
              <w:spacing w:before="2"/>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right="76"/>
              <w:jc w:val="center"/>
              <w:spacing w:line="25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主观分</w:t>
            </w:r>
            <w:r/>
          </w:p>
        </w:tc>
      </w:tr>
      <w:tr>
        <w:trPr>
          <w:trHeight w:val="90"/>
        </w:trPr>
        <w:tc>
          <w:tcPr>
            <w:tcBorders>
              <w:top w:val="single" w:color="000000" w:sz="6" w:space="0"/>
            </w:tcBorders>
            <w:tcW w:w="0" w:type="auto"/>
            <w:textDirection w:val="lrTb"/>
            <w:noWrap w:val="false"/>
          </w:tcPr>
          <w:p>
            <w:pPr>
              <w:pStyle w:val="930"/>
              <w:spacing w:before="165"/>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2.4</w:t>
            </w:r>
            <w:r/>
          </w:p>
        </w:tc>
        <w:tc>
          <w:tcPr>
            <w:tcBorders>
              <w:top w:val="single" w:color="000000" w:sz="6" w:space="0"/>
            </w:tcBorders>
            <w:tcW w:w="651" w:type="dxa"/>
            <w:textDirection w:val="lrTb"/>
            <w:noWrap w:val="false"/>
          </w:tcPr>
          <w:p>
            <w:pPr>
              <w:pStyle w:val="930"/>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智能预警塔基监控设备技术支持方案</w:t>
            </w:r>
            <w:r/>
          </w:p>
        </w:tc>
        <w:tc>
          <w:tcPr>
            <w:tcBorders>
              <w:top w:val="single" w:color="000000" w:sz="6" w:space="0"/>
            </w:tcBorders>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评委根据投标人提供的智能预警塔基监控设备技术支持方案（包括但不限于服务内容、人员安排、进度安排等）综合评分：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（1）方案具备科学性、规范性得6分；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（2）方案比较具备科学性、规范性得4分；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（3）方案基本科学、规范得2分。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（4）方案不科学、不规范或者未提供的不得分。</w:t>
            </w:r>
            <w:r/>
          </w:p>
        </w:tc>
        <w:tc>
          <w:tcPr>
            <w:tcBorders>
              <w:top w:val="single" w:color="000000" w:sz="6" w:space="0"/>
            </w:tcBorders>
            <w:tcW w:w="609" w:type="dxa"/>
            <w:vAlign w:val="center"/>
            <w:textDirection w:val="lrTb"/>
            <w:noWrap w:val="false"/>
          </w:tcPr>
          <w:p>
            <w:pPr>
              <w:pStyle w:val="930"/>
              <w:jc w:val="center"/>
              <w:spacing w:before="165"/>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w:t>
            </w:r>
            <w:r/>
          </w:p>
        </w:tc>
        <w:tc>
          <w:tcPr>
            <w:tcBorders>
              <w:top w:val="single" w:color="000000" w:sz="6" w:space="0"/>
            </w:tcBorders>
            <w:tcW w:w="643" w:type="dxa"/>
            <w:vAlign w:val="center"/>
            <w:textDirection w:val="lrTb"/>
            <w:noWrap w:val="false"/>
          </w:tcPr>
          <w:p>
            <w:pPr>
              <w:pStyle w:val="930"/>
              <w:jc w:val="center"/>
              <w:spacing w:before="2"/>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right="76"/>
              <w:jc w:val="center"/>
              <w:spacing w:line="25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主观分</w:t>
            </w:r>
            <w:r/>
          </w:p>
        </w:tc>
      </w:tr>
      <w:tr>
        <w:trPr>
          <w:trHeight w:val="2058"/>
        </w:trPr>
        <w:tc>
          <w:tcPr>
            <w:tcW w:w="0" w:type="auto"/>
            <w:textDirection w:val="lrTb"/>
            <w:noWrap w:val="false"/>
          </w:tcPr>
          <w:p>
            <w:pPr>
              <w:pStyle w:val="930"/>
              <w:spacing w:before="1"/>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2.5</w:t>
            </w:r>
            <w:r/>
          </w:p>
        </w:tc>
        <w:tc>
          <w:tcPr>
            <w:tcW w:w="651" w:type="dxa"/>
            <w:vAlign w:val="center"/>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机房管理技术支持方案</w:t>
            </w:r>
            <w:r/>
          </w:p>
        </w:tc>
        <w:tc>
          <w:tcPr>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评委根据投标人提供的机房技术支持方案（包括但不限于服务内容、人员安排、进度安排等）综合评分：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（1）方案具备科学性、规范性得6分；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（2）方案比较具备科学性、规范性得4分；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（3）方案基本科学、规范得2分。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（4）方案不科学、不规范或者未提供的不得分</w:t>
            </w:r>
            <w:r/>
          </w:p>
        </w:tc>
        <w:tc>
          <w:tcPr>
            <w:tcW w:w="609" w:type="dxa"/>
            <w:vAlign w:val="center"/>
            <w:textDirection w:val="lrTb"/>
            <w:noWrap w:val="false"/>
          </w:tcPr>
          <w:p>
            <w:pPr>
              <w:pStyle w:val="930"/>
              <w:ind w:right="11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w:t>
            </w:r>
            <w:r/>
          </w:p>
        </w:tc>
        <w:tc>
          <w:tcPr>
            <w:tcW w:w="643" w:type="dxa"/>
            <w:vAlign w:val="center"/>
            <w:textDirection w:val="lrTb"/>
            <w:noWrap w:val="false"/>
          </w:tcPr>
          <w:p>
            <w:pPr>
              <w:pStyle w:val="930"/>
              <w:jc w:val="center"/>
              <w:spacing w:before="7"/>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left="114" w:right="76"/>
              <w:jc w:val="center"/>
              <w:spacing w:line="25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主观分</w:t>
            </w:r>
            <w:r/>
          </w:p>
        </w:tc>
      </w:tr>
      <w:tr>
        <w:trPr>
          <w:trHeight w:val="405"/>
        </w:trPr>
        <w:tc>
          <w:tcPr>
            <w:tcW w:w="0" w:type="auto"/>
            <w:textDirection w:val="lrTb"/>
            <w:noWrap w:val="false"/>
          </w:tcPr>
          <w:p>
            <w:pPr>
              <w:pStyle w:val="930"/>
              <w:spacing w:before="135"/>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2.6</w:t>
            </w:r>
            <w:r/>
          </w:p>
        </w:tc>
        <w:tc>
          <w:tcPr>
            <w:tcW w:w="651" w:type="dxa"/>
            <w:vAlign w:val="center"/>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网络安全管理技术支持方案</w:t>
            </w:r>
            <w:r/>
          </w:p>
        </w:tc>
        <w:tc>
          <w:tcPr>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评委根据投标人提供的网络安全管理技术支持方案（包括但不限于数据服务内容、人员安排、进度安排等）综合评分：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（1）方案具备科学性、规范性得6分；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（2）方案比较具备科学性、规范性得4分；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（3）方案基本科学、规范得2分。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（4）方案不科学、不规范或者未提供的不得分。</w:t>
            </w:r>
            <w:r/>
          </w:p>
        </w:tc>
        <w:tc>
          <w:tcPr>
            <w:tcW w:w="609" w:type="dxa"/>
            <w:vAlign w:val="center"/>
            <w:textDirection w:val="lrTb"/>
            <w:noWrap w:val="false"/>
          </w:tcPr>
          <w:p>
            <w:pPr>
              <w:pStyle w:val="930"/>
              <w:jc w:val="center"/>
              <w:spacing w:before="135"/>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w:t>
            </w:r>
            <w:r/>
          </w:p>
        </w:tc>
        <w:tc>
          <w:tcPr>
            <w:tcW w:w="643" w:type="dxa"/>
            <w:vAlign w:val="center"/>
            <w:textDirection w:val="lrTb"/>
            <w:noWrap w:val="false"/>
          </w:tcPr>
          <w:p>
            <w:pPr>
              <w:pStyle w:val="930"/>
              <w:ind w:left="95" w:right="59"/>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主观分</w:t>
            </w:r>
            <w:r/>
          </w:p>
        </w:tc>
      </w:tr>
      <w:tr>
        <w:trPr>
          <w:trHeight w:val="90"/>
        </w:trPr>
        <w:tc>
          <w:tcPr>
            <w:tcW w:w="0" w:type="auto"/>
            <w:textDirection w:val="lrTb"/>
            <w:noWrap w:val="false"/>
          </w:tcPr>
          <w:p>
            <w:pPr>
              <w:pStyle w:val="93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2.7</w:t>
            </w:r>
            <w:r/>
          </w:p>
        </w:tc>
        <w:tc>
          <w:tcPr>
            <w:tcW w:w="651" w:type="dxa"/>
            <w:vAlign w:val="center"/>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规划资源“一张图”技术支持方案</w:t>
            </w:r>
            <w:r/>
          </w:p>
        </w:tc>
        <w:tc>
          <w:tcPr>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评委根据投标人提供的规划资源“一张图”技术支持方案（包括但不限于数据服务内容、人员安排、进度安排等）综合评分：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（1）方案具备科学性、规范性得8分；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（2）方案比较具备科学性、规范性得5分；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（3）方案基本科学、规范得2分。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（4）方案不科学、不规范或者未提供的不得分。</w:t>
            </w:r>
            <w:r/>
          </w:p>
        </w:tc>
        <w:tc>
          <w:tcPr>
            <w:tcW w:w="609" w:type="dxa"/>
            <w:vAlign w:val="center"/>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w:t>
            </w:r>
            <w:r/>
          </w:p>
        </w:tc>
        <w:tc>
          <w:tcPr>
            <w:tcW w:w="643" w:type="dxa"/>
            <w:vAlign w:val="center"/>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left="114" w:right="76"/>
              <w:jc w:val="center"/>
              <w:spacing w:line="25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主观分</w:t>
            </w:r>
            <w:r/>
          </w:p>
        </w:tc>
      </w:tr>
      <w:tr>
        <w:trPr>
          <w:trHeight w:val="2113"/>
        </w:trPr>
        <w:tc>
          <w:tcPr>
            <w:tcW w:w="0" w:type="auto"/>
            <w:textDirection w:val="lrTb"/>
            <w:noWrap w:val="false"/>
          </w:tcPr>
          <w:p>
            <w:pPr>
              <w:pStyle w:val="93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2.8</w:t>
            </w:r>
            <w:r/>
          </w:p>
        </w:tc>
        <w:tc>
          <w:tcPr>
            <w:tcW w:w="651" w:type="dxa"/>
            <w:vAlign w:val="center"/>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计算机终端、综合布线及会议系统运行保障方案</w:t>
            </w:r>
            <w:r/>
          </w:p>
        </w:tc>
        <w:tc>
          <w:tcPr>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评委根据投标人提供的计算机终端、综合布线及会议系统运行保障方案（包括但不限于服务内容、人员安排、进度安排等）综合评分：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（1）方案具备科学性、规范性得8分；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（2）方案比较具备科学性、规范性得5分；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（3）方案基本科学、规范得2分。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（4）方案不科学、不规范或者未提供的不得分。</w:t>
            </w:r>
            <w:r/>
          </w:p>
        </w:tc>
        <w:tc>
          <w:tcPr>
            <w:tcW w:w="609" w:type="dxa"/>
            <w:vAlign w:val="center"/>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w:t>
            </w:r>
            <w:r/>
          </w:p>
        </w:tc>
        <w:tc>
          <w:tcPr>
            <w:tcW w:w="643" w:type="dxa"/>
            <w:vAlign w:val="center"/>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主观分</w:t>
            </w:r>
            <w:r/>
          </w:p>
        </w:tc>
      </w:tr>
      <w:tr>
        <w:trPr>
          <w:cantSplit/>
          <w:trHeight w:val="369"/>
        </w:trPr>
        <w:tc>
          <w:tcPr>
            <w:gridSpan w:val="5"/>
            <w:tcW w:w="9558" w:type="dxa"/>
            <w:vAlign w:val="center"/>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3.服务</w:t>
            </w:r>
            <w:r/>
          </w:p>
        </w:tc>
      </w:tr>
      <w:tr>
        <w:trPr>
          <w:cantSplit/>
          <w:trHeight w:val="2560"/>
        </w:trPr>
        <w:tc>
          <w:tcPr>
            <w:tcW w:w="0" w:type="auto"/>
            <w:textDirection w:val="lrTb"/>
            <w:noWrap w:val="false"/>
          </w:tcPr>
          <w:p>
            <w:pPr>
              <w:pStyle w:val="930"/>
              <w:ind w:left="157"/>
              <w:spacing w:before="135"/>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3.1</w:t>
            </w:r>
            <w:r/>
          </w:p>
        </w:tc>
        <w:tc>
          <w:tcPr>
            <w:tcW w:w="651" w:type="dxa"/>
            <w:textDirection w:val="lrTb"/>
            <w:noWrap w:val="false"/>
          </w:tcPr>
          <w:p>
            <w:pPr>
              <w:pStyle w:val="930"/>
              <w:ind w:left="127"/>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项目负责人能力</w:t>
            </w:r>
            <w:r/>
          </w:p>
        </w:tc>
        <w:tc>
          <w:tcPr>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投标人拟投入本项目的项目负责人：</w:t>
            </w:r>
            <w:r/>
          </w:p>
          <w:p>
            <w:pPr>
              <w:pStyle w:val="930"/>
              <w:numPr>
                <w:ilvl w:val="0"/>
                <w:numId w:val="1"/>
              </w:numPr>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具有建设工程专业或土地专业或电子信息工程研究员级(正高)高级工程师职称证书的得3分；具有建设工程专业或土地专业或电子信息工程副研究员级(副高)高级工程师职称证书的得1分。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（2）具有5年相关工作经验得1分，6到9年相关工作经验得2分，10年及以上相关工作经验，得3分，其他不得分（提供合同业绩证明或服务单位证明材料，相关材料须体现人员姓名和服务日期情况）。</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（本项最多6分，需提供上述人员证书及投标人为其缴纳的2026年1月以来任意一个月的社保证明材料，证明材料缺项或未提供的不得分）</w:t>
            </w:r>
            <w:r/>
          </w:p>
        </w:tc>
        <w:tc>
          <w:tcPr>
            <w:tcW w:w="609" w:type="dxa"/>
            <w:vAlign w:val="center"/>
            <w:textDirection w:val="lrTb"/>
            <w:noWrap w:val="false"/>
          </w:tcPr>
          <w:p>
            <w:pPr>
              <w:pStyle w:val="930"/>
              <w:jc w:val="center"/>
              <w:spacing w:before="135"/>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w:t>
            </w:r>
            <w:r/>
          </w:p>
        </w:tc>
        <w:tc>
          <w:tcPr>
            <w:tcW w:w="643" w:type="dxa"/>
            <w:vAlign w:val="center"/>
            <w:textDirection w:val="lrTb"/>
            <w:noWrap w:val="false"/>
          </w:tcPr>
          <w:p>
            <w:pPr>
              <w:pStyle w:val="930"/>
              <w:ind w:left="95" w:right="59"/>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客观分</w:t>
            </w:r>
            <w:r/>
          </w:p>
        </w:tc>
      </w:tr>
      <w:tr>
        <w:trPr>
          <w:cantSplit/>
          <w:trHeight w:val="3684"/>
        </w:trPr>
        <w:tc>
          <w:tcPr>
            <w:tcW w:w="0" w:type="auto"/>
            <w:textDirection w:val="lrTb"/>
            <w:noWrap w:val="false"/>
          </w:tcPr>
          <w:p>
            <w:pPr>
              <w:pStyle w:val="930"/>
              <w:ind w:left="157"/>
              <w:spacing w:before="135"/>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3.2</w:t>
            </w:r>
            <w:r/>
          </w:p>
        </w:tc>
        <w:tc>
          <w:tcPr>
            <w:tcW w:w="651" w:type="dxa"/>
            <w:textDirection w:val="lrTb"/>
            <w:noWrap w:val="false"/>
          </w:tcPr>
          <w:p>
            <w:pPr>
              <w:pStyle w:val="930"/>
              <w:ind w:left="127"/>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维保人员能力</w:t>
            </w:r>
            <w:r/>
          </w:p>
        </w:tc>
        <w:tc>
          <w:tcPr>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投标人拟投入本项目的维保人员（项目负责人除外）：</w:t>
            </w:r>
            <w:r/>
          </w:p>
          <w:p>
            <w:pPr>
              <w:pStyle w:val="930"/>
              <w:numPr>
                <w:ilvl w:val="0"/>
                <w:numId w:val="2"/>
              </w:numPr>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具有建设工程专业</w:t>
            </w:r>
            <w:r>
              <w:rPr>
                <w:rFonts w:hint="eastAsia" w:ascii="仿宋" w:hAnsi="仿宋" w:eastAsia="仿宋" w:cs="仿宋"/>
                <w:color w:val="auto"/>
                <w:sz w:val="21"/>
                <w:szCs w:val="21"/>
                <w:highlight w:val="none"/>
                <w:lang w:val="en-US" w:eastAsia="zh-CN" w:bidi="ar-SA"/>
              </w:rPr>
              <w:t xml:space="preserve">研究员级(正高)高级工程师职称证书的得2分，最多得6分；具有建设工程专业高级工程师职称证书的得1分，最多得3分；本项最高得6分；</w:t>
            </w:r>
            <w:r/>
          </w:p>
          <w:p>
            <w:pPr>
              <w:pStyle w:val="930"/>
              <w:numPr>
                <w:ilvl w:val="0"/>
                <w:numId w:val="2"/>
              </w:numPr>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具有土地专业研究员级(正高)高级工程</w:t>
            </w:r>
            <w:r>
              <w:rPr>
                <w:rFonts w:hint="eastAsia" w:ascii="仿宋" w:hAnsi="仿宋" w:eastAsia="仿宋" w:cs="仿宋"/>
                <w:color w:val="auto"/>
                <w:sz w:val="21"/>
                <w:szCs w:val="21"/>
                <w:highlight w:val="none"/>
                <w:lang w:val="en-US" w:eastAsia="zh-CN" w:bidi="ar-SA"/>
              </w:rPr>
              <w:t xml:space="preserve">师职称证书的得2分，最多得6分；具有土地专业高级工程师职称证书的得1分，最多得3分；本项最高得6分；</w:t>
            </w:r>
            <w:r/>
          </w:p>
          <w:p>
            <w:pPr>
              <w:pStyle w:val="930"/>
              <w:numPr>
                <w:ilvl w:val="0"/>
                <w:numId w:val="2"/>
              </w:numPr>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具有注册信息安全专业人员证书（CISP）的，每提供一人得2分，最高4分。</w:t>
            </w:r>
            <w:r/>
          </w:p>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（本项最多16分，以上人员一人同时具有多证不重复得分，需提供上述人员证书及投标人为其缴纳的2026年1月以来任意一个月的社保证明材料，证明材料缺项或未提供的不得分）</w:t>
            </w:r>
            <w:r/>
          </w:p>
        </w:tc>
        <w:tc>
          <w:tcPr>
            <w:tcW w:w="609" w:type="dxa"/>
            <w:vAlign w:val="center"/>
            <w:textDirection w:val="lrTb"/>
            <w:noWrap w:val="false"/>
          </w:tcPr>
          <w:p>
            <w:pPr>
              <w:pStyle w:val="930"/>
              <w:ind w:left="3"/>
              <w:jc w:val="center"/>
              <w:spacing w:before="135"/>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16</w:t>
            </w:r>
            <w:r/>
          </w:p>
        </w:tc>
        <w:tc>
          <w:tcPr>
            <w:tcW w:w="643" w:type="dxa"/>
            <w:vAlign w:val="center"/>
            <w:textDirection w:val="lrTb"/>
            <w:noWrap w:val="false"/>
          </w:tcPr>
          <w:p>
            <w:pPr>
              <w:pStyle w:val="930"/>
              <w:ind w:left="95" w:right="59"/>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客观分</w:t>
            </w:r>
            <w:r/>
          </w:p>
        </w:tc>
      </w:tr>
      <w:tr>
        <w:trPr>
          <w:cantSplit/>
          <w:trHeight w:val="280"/>
        </w:trPr>
        <w:tc>
          <w:tcPr>
            <w:gridSpan w:val="5"/>
            <w:tcW w:w="9558" w:type="dxa"/>
            <w:vAlign w:val="center"/>
            <w:textDirection w:val="lrTb"/>
            <w:noWrap w:val="false"/>
          </w:tcPr>
          <w:p>
            <w:pPr>
              <w:pStyle w:val="930"/>
              <w:ind w:left="95" w:right="59"/>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4.业绩</w:t>
            </w:r>
            <w:r/>
          </w:p>
        </w:tc>
      </w:tr>
      <w:tr>
        <w:trPr>
          <w:cantSplit/>
          <w:trHeight w:val="678"/>
        </w:trPr>
        <w:tc>
          <w:tcPr>
            <w:tcW w:w="0" w:type="auto"/>
            <w:textDirection w:val="lrTb"/>
            <w:noWrap w:val="false"/>
          </w:tcPr>
          <w:p>
            <w:pPr>
              <w:pStyle w:val="930"/>
              <w:spacing w:before="1"/>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left="157"/>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4.1</w:t>
            </w:r>
            <w:r/>
          </w:p>
        </w:tc>
        <w:tc>
          <w:tcPr>
            <w:tcW w:w="651" w:type="dxa"/>
            <w:textDirection w:val="lrTb"/>
            <w:noWrap w:val="false"/>
          </w:tcPr>
          <w:p>
            <w:pPr>
              <w:pStyle w:val="930"/>
              <w:ind w:right="11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right="11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业绩</w:t>
            </w:r>
            <w:r/>
          </w:p>
        </w:tc>
        <w:tc>
          <w:tcPr>
            <w:tcW w:w="7107" w:type="dxa"/>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投标人提供自 2023年1月1日以来承担的类似项目的案例，每提供1个得3分，最多得9分，未提供不得分（提供合同，能反应关键信息）。</w:t>
            </w:r>
            <w:r/>
          </w:p>
        </w:tc>
        <w:tc>
          <w:tcPr>
            <w:tcW w:w="609" w:type="dxa"/>
            <w:vAlign w:val="center"/>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9</w:t>
            </w:r>
            <w:r/>
          </w:p>
        </w:tc>
        <w:tc>
          <w:tcPr>
            <w:tcW w:w="643" w:type="dxa"/>
            <w:textDirection w:val="lrTb"/>
            <w:noWrap w:val="false"/>
          </w:tcPr>
          <w:p>
            <w:pPr>
              <w:pStyle w:val="930"/>
              <w:ind w:left="114" w:right="76"/>
              <w:jc w:val="both"/>
              <w:spacing w:line="25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客观分</w:t>
            </w:r>
            <w:r/>
          </w:p>
        </w:tc>
      </w:tr>
      <w:tr>
        <w:trPr>
          <w:cantSplit/>
          <w:trHeight w:val="369"/>
        </w:trPr>
        <w:tc>
          <w:tcPr>
            <w:gridSpan w:val="5"/>
            <w:tcW w:w="9558" w:type="dxa"/>
            <w:vAlign w:val="center"/>
            <w:textDirection w:val="lrTb"/>
            <w:noWrap w:val="false"/>
          </w:tcPr>
          <w:p>
            <w:pPr>
              <w:pStyle w:val="930"/>
              <w:spacing w:before="90" w:line="24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5.履约能力</w:t>
            </w:r>
            <w:r/>
          </w:p>
        </w:tc>
      </w:tr>
      <w:tr>
        <w:trPr>
          <w:cantSplit/>
          <w:trHeight w:val="1471"/>
        </w:trPr>
        <w:tc>
          <w:tcPr>
            <w:tcW w:w="0" w:type="auto"/>
            <w:textDirection w:val="lrTb"/>
            <w:noWrap w:val="false"/>
          </w:tcPr>
          <w:p>
            <w:pPr>
              <w:pStyle w:val="93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spacing w:before="2"/>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left="157"/>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5.1</w:t>
            </w:r>
            <w:r/>
          </w:p>
        </w:tc>
        <w:tc>
          <w:tcPr>
            <w:tcW w:w="651" w:type="dxa"/>
            <w:textDirection w:val="lrTb"/>
            <w:noWrap w:val="false"/>
          </w:tcPr>
          <w:p>
            <w:pPr>
              <w:pStyle w:val="93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spacing w:before="2"/>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left="108" w:right="63"/>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履约能力 </w:t>
            </w:r>
            <w:r/>
          </w:p>
        </w:tc>
        <w:tc>
          <w:tcPr>
            <w:tcW w:w="7107" w:type="dxa"/>
            <w:textDirection w:val="lrTb"/>
            <w:noWrap w:val="false"/>
          </w:tcPr>
          <w:p>
            <w:pPr>
              <w:ind w:firstLine="420"/>
              <w:spacing w:line="26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项目团队除项目负责人外，驻场服务人员数量大于等于25人的得6分，大于等于20人小于25人的得4分，大于等于10人小于20人的得2分，小于10人的得1分，不提供驻场人员的不得分。 </w:t>
            </w:r>
            <w:r/>
          </w:p>
          <w:p>
            <w:pPr>
              <w:ind w:firstLine="420"/>
              <w:spacing w:line="26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（以上人员应为单位正式员工，提供投标人为其缴纳的 2026年1月以来任意1个月的社保缴纳证明材料）</w:t>
            </w:r>
            <w:r/>
          </w:p>
        </w:tc>
        <w:tc>
          <w:tcPr>
            <w:tcW w:w="609" w:type="dxa"/>
            <w:vAlign w:val="center"/>
            <w:textDirection w:val="lrTb"/>
            <w:noWrap w:val="false"/>
          </w:tcPr>
          <w:p>
            <w:pPr>
              <w:pStyle w:val="93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w:t>
            </w:r>
            <w:r/>
          </w:p>
        </w:tc>
        <w:tc>
          <w:tcPr>
            <w:tcW w:w="643" w:type="dxa"/>
            <w:textDirection w:val="lrTb"/>
            <w:noWrap w:val="false"/>
          </w:tcPr>
          <w:p>
            <w:pPr>
              <w:pStyle w:val="93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left="114" w:right="76"/>
              <w:spacing w:line="25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pStyle w:val="930"/>
              <w:ind w:right="76"/>
              <w:jc w:val="center"/>
              <w:spacing w:line="25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客观分</w:t>
            </w:r>
            <w:r/>
          </w:p>
        </w:tc>
      </w:tr>
      <w:tr>
        <w:trPr>
          <w:cantSplit/>
          <w:trHeight w:val="640"/>
        </w:trPr>
        <w:tc>
          <w:tcPr>
            <w:tcW w:w="0" w:type="auto"/>
            <w:vAlign w:val="center"/>
            <w:textDirection w:val="lrTb"/>
            <w:noWrap w:val="false"/>
          </w:tcPr>
          <w:p>
            <w:pPr>
              <w:pStyle w:val="930"/>
              <w:ind w:left="112"/>
              <w:spacing w:before="87"/>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合计</w:t>
            </w:r>
            <w:r/>
          </w:p>
        </w:tc>
        <w:tc>
          <w:tcPr>
            <w:tcW w:w="651" w:type="dxa"/>
            <w:vAlign w:val="center"/>
            <w:textDirection w:val="lrTb"/>
            <w:noWrap w:val="false"/>
          </w:tcPr>
          <w:p>
            <w:pPr>
              <w:pStyle w:val="93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7107" w:type="dxa"/>
            <w:vAlign w:val="center"/>
            <w:textDirection w:val="lrTb"/>
            <w:noWrap w:val="false"/>
          </w:tcPr>
          <w:p>
            <w:pPr>
              <w:pStyle w:val="930"/>
              <w:ind w:left="353"/>
              <w:spacing w:before="87"/>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609" w:type="dxa"/>
            <w:vAlign w:val="center"/>
            <w:textDirection w:val="lrTb"/>
            <w:noWrap w:val="false"/>
          </w:tcPr>
          <w:p>
            <w:pPr>
              <w:pStyle w:val="93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100 </w:t>
            </w:r>
            <w:r/>
          </w:p>
        </w:tc>
        <w:tc>
          <w:tcPr>
            <w:tcW w:w="643" w:type="dxa"/>
            <w:vAlign w:val="center"/>
            <w:textDirection w:val="lrTb"/>
            <w:noWrap w:val="false"/>
          </w:tcPr>
          <w:p>
            <w:pPr>
              <w:pStyle w:val="93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bl>
    <w:p>
      <w:pPr>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说明：</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1.小微企业价格扣除</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1.1 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2.监狱和戒毒企业的价格扣除</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2.1 本项目对监狱和戒毒企业，给予10%的价格扣除，用扣除后的价格参与评审。</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2.2 监狱企业需提供由省级以上监狱管理局、戒毒管理局（含新疆生产建设兵团）出具的属于监狱企业的证明文件。</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2.3 监狱企业标准请参照《关于政府采购支持监狱企业发展有关问题的通知》（财库〔2014〕68 号）。</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3.残疾人福利性单位的价格扣除</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3.1 本项目对残疾人福利性单位，给予10%的价格扣除，用扣除后的价格参与评审。</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3.2 残疾人福利性单位需提供《残疾人福利性单位声明函》</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3.3 残疾人福利性单位标准请参照《关于促进残疾人就业政府采购政策的通知》（财库〔2017〕141 号）。</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4.监狱企业、残疾人福利性单位属于小型、微型企业的，不重复享受政策。</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5.对国家认定的节能产品和环保产品分别给予投标价的5%的价格扣除，用扣除后的价格参与评审（节能、环保产品必须纳入“中国政府采购网 http://www.ccgp.gov.cn/”等官方网站“节能、环 保产品查询系统”，且以提供的证书扫描件为准）。</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pStyle w:val="927"/>
        <w:ind w:firstLine="803"/>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799"/>
        <w:spacing w:line="360" w:lineRule="auto"/>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r>
      <w:bookmarkEnd w:id="99"/>
      <w:r/>
      <w:bookmarkEnd w:id="100"/>
      <w:r/>
      <w:r/>
    </w:p>
    <w:p>
      <w:pPr>
        <w:jc w:val="center"/>
        <w:spacing w:line="400" w:lineRule="exact"/>
        <w:rPr>
          <w:rFonts w:hint="default" w:ascii="仿宋" w:hAnsi="仿宋" w:eastAsia="仿宋" w:cs="仿宋"/>
          <w:b/>
          <w:color w:val="auto"/>
          <w:spacing w:val="-10"/>
          <w:sz w:val="22"/>
          <w:szCs w:val="22"/>
          <w:highlight w:val="none"/>
          <w:lang w:val="en-US" w:eastAsia="zh-CN"/>
        </w:rPr>
        <w:outlineLvl w:val="0"/>
      </w:pPr>
      <w:r>
        <w:rPr>
          <w:rFonts w:hint="eastAsia" w:ascii="仿宋" w:hAnsi="仿宋" w:eastAsia="仿宋" w:cs="仿宋"/>
          <w:b/>
          <w:color w:val="auto"/>
          <w:sz w:val="36"/>
          <w:szCs w:val="36"/>
          <w:highlight w:val="none"/>
        </w:rPr>
        <w:br w:type="page" w:clear="all"/>
      </w:r>
      <w:bookmarkStart w:id="103" w:name="_Toc7346"/>
      <w:r>
        <w:rPr>
          <w:rFonts w:hint="eastAsia" w:ascii="仿宋" w:hAnsi="仿宋" w:eastAsia="仿宋" w:cs="仿宋"/>
          <w:b/>
          <w:color w:val="auto"/>
          <w:sz w:val="36"/>
          <w:szCs w:val="36"/>
          <w:highlight w:val="none"/>
        </w:rPr>
        <w:t xml:space="preserve">第四章 </w:t>
      </w:r>
      <w:bookmarkStart w:id="104" w:name="_Toc17452"/>
      <w:r/>
      <w:bookmarkStart w:id="105" w:name="_Toc30302"/>
      <w:r/>
      <w:bookmarkStart w:id="106" w:name="_Toc22390"/>
      <w:r/>
      <w:bookmarkStart w:id="107" w:name="_Toc3324"/>
      <w:r>
        <w:rPr>
          <w:rFonts w:hint="eastAsia" w:ascii="仿宋" w:hAnsi="仿宋" w:eastAsia="仿宋" w:cs="仿宋"/>
          <w:b/>
          <w:color w:val="auto"/>
          <w:sz w:val="36"/>
          <w:szCs w:val="36"/>
          <w:highlight w:val="none"/>
          <w:lang w:val="en-US" w:eastAsia="zh-CN"/>
        </w:rPr>
        <w:t xml:space="preserve">采购需求</w:t>
      </w:r>
      <w:bookmarkEnd w:id="103"/>
      <w:r/>
      <w:bookmarkEnd w:id="104"/>
      <w:r/>
      <w:bookmarkEnd w:id="105"/>
      <w:r/>
      <w:bookmarkEnd w:id="106"/>
      <w:r/>
      <w:bookmarkEnd w:id="107"/>
      <w:r/>
      <w:r/>
    </w:p>
    <w:p>
      <w:pPr>
        <w:pStyle w:val="908"/>
        <w:numPr>
          <w:ilvl w:val="0"/>
          <w:numId w:val="0"/>
        </w:numPr>
        <w:ind w:left="1272" w:hanging="720"/>
        <w:spacing w:before="0" w:after="0" w:line="360" w:lineRule="auto"/>
        <w:tabs>
          <w:tab w:val="left" w:pos="0" w:leader="none"/>
        </w:tabs>
        <w:rPr>
          <w:rFonts w:hint="eastAsia" w:ascii="仿宋" w:hAnsi="仿宋" w:eastAsia="仿宋" w:cs="仿宋"/>
          <w:b/>
          <w:bCs/>
          <w:color w:val="auto"/>
          <w:sz w:val="24"/>
          <w:szCs w:val="36"/>
          <w:highlight w:val="none"/>
          <w:lang w:val="en-US" w:eastAsia="zh-CN" w:bidi="ar-SA"/>
        </w:rPr>
      </w:pPr>
      <w:r/>
      <w:bookmarkStart w:id="108" w:name="_Toc9485"/>
      <w:r/>
      <w:bookmarkStart w:id="109" w:name="_Toc215"/>
      <w:r/>
      <w:bookmarkStart w:id="110" w:name="_Toc23314"/>
      <w:r/>
      <w:bookmarkStart w:id="111" w:name="_Toc24432"/>
      <w:r/>
      <w:bookmarkEnd w:id="108"/>
      <w:r/>
      <w:r/>
    </w:p>
    <w:p>
      <w:pPr>
        <w:pStyle w:val="740"/>
        <w:numPr>
          <w:ilvl w:val="0"/>
          <w:numId w:val="0"/>
        </w:numPr>
        <w:ind w:left="720" w:right="388" w:hanging="720"/>
        <w:spacing w:before="128" w:line="343" w:lineRule="auto"/>
        <w:rPr>
          <w:rFonts w:hint="eastAsia" w:ascii="仿宋" w:hAnsi="仿宋" w:eastAsia="仿宋" w:cs="仿宋"/>
          <w:b/>
          <w:color w:val="auto"/>
          <w:sz w:val="24"/>
          <w:szCs w:val="24"/>
          <w:highlight w:val="none"/>
          <w:lang w:eastAsia="zh-CN"/>
        </w:rPr>
      </w:pPr>
      <w:r>
        <w:rPr>
          <w:rFonts w:hint="default" w:ascii="仿宋" w:hAnsi="仿宋" w:eastAsia="仿宋" w:cs="仿宋"/>
          <w:b/>
          <w:color w:val="auto"/>
          <w:sz w:val="24"/>
          <w:szCs w:val="24"/>
          <w:highlight w:val="none"/>
          <w:lang w:val="en-US" w:eastAsia="zh-CN" w:bidi="ar-SA"/>
        </w:rPr>
        <w:t xml:space="preserve">一、</w:t>
      </w:r>
      <w:r>
        <w:rPr>
          <w:rFonts w:hint="eastAsia" w:ascii="仿宋" w:hAnsi="仿宋" w:eastAsia="仿宋" w:cs="仿宋"/>
          <w:b/>
          <w:color w:val="auto"/>
          <w:sz w:val="24"/>
          <w:szCs w:val="24"/>
          <w:highlight w:val="none"/>
          <w:lang w:eastAsia="zh-CN"/>
        </w:rPr>
        <w:t xml:space="preserve">项目概况</w:t>
      </w:r>
      <w:r/>
    </w:p>
    <w:p>
      <w:pPr>
        <w:pStyle w:val="740"/>
        <w:ind w:right="388"/>
        <w:spacing w:before="128" w:line="343"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1、项目背景</w:t>
      </w:r>
      <w:r/>
    </w:p>
    <w:p>
      <w:pPr>
        <w:pStyle w:val="740"/>
        <w:ind w:right="388" w:firstLine="480"/>
        <w:jc w:val="both"/>
        <w:spacing w:before="128" w:line="343"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南京市规划和自然资源局建设了南楼、北楼及档案楼机房，构建了覆盖市区两级的规划资源“一张网”，承载了智慧规划资源政务信息系统，建成了规划资源“一张图”，汇聚了现状、规划、管理、社会经济等数据资源。</w:t>
      </w:r>
      <w:r>
        <w:rPr>
          <w:rFonts w:hint="eastAsia" w:ascii="仿宋" w:hAnsi="仿宋" w:eastAsia="仿宋" w:cs="仿宋"/>
          <w:color w:val="auto"/>
          <w:sz w:val="24"/>
          <w:highlight w:val="none"/>
          <w:lang w:eastAsia="zh-CN"/>
        </w:rPr>
        <w:t xml:space="preserve">随着信息化应用的不断深入，业务系统对信息化依赖程度的不断提升，计算机终端（包括台式机、笔记本、打印机等）及配套的综合布线、网络交换、视频监控、会议系统等也已成为支撑政务服务工作的重要基础设施。</w:t>
      </w:r>
      <w:r>
        <w:rPr>
          <w:rFonts w:hint="eastAsia" w:ascii="仿宋" w:hAnsi="仿宋" w:eastAsia="仿宋" w:cs="仿宋"/>
          <w:color w:val="auto"/>
          <w:sz w:val="24"/>
          <w:szCs w:val="24"/>
          <w:highlight w:val="none"/>
          <w:lang w:eastAsia="zh-CN"/>
        </w:rPr>
        <w:t xml:space="preserve">为保障相关的网络基础设施配套系统安全稳定运行，有效支撑履行“两统一”职责，服务全市规划和自然资源高质量发展，需要</w:t>
      </w:r>
      <w:r>
        <w:rPr>
          <w:rFonts w:hint="eastAsia" w:ascii="仿宋" w:hAnsi="仿宋" w:eastAsia="仿宋" w:cs="仿宋"/>
          <w:color w:val="auto"/>
          <w:sz w:val="24"/>
          <w:highlight w:val="none"/>
          <w:lang w:eastAsia="zh-CN"/>
        </w:rPr>
        <w:t xml:space="preserve">通过专业化、规范化的日常技术支持保障其稳定、安全、持续运行</w:t>
      </w:r>
      <w:r>
        <w:rPr>
          <w:rFonts w:hint="eastAsia" w:ascii="仿宋" w:hAnsi="仿宋" w:eastAsia="仿宋" w:cs="仿宋"/>
          <w:color w:val="auto"/>
          <w:sz w:val="24"/>
          <w:szCs w:val="24"/>
          <w:highlight w:val="none"/>
          <w:lang w:eastAsia="zh-CN"/>
        </w:rPr>
        <w:t xml:space="preserve">。</w:t>
      </w:r>
      <w:r/>
    </w:p>
    <w:p>
      <w:pPr>
        <w:pStyle w:val="740"/>
        <w:ind w:right="388"/>
        <w:spacing w:before="128" w:line="343"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2、建设目标</w:t>
      </w:r>
      <w:r/>
    </w:p>
    <w:p>
      <w:pPr>
        <w:pStyle w:val="740"/>
        <w:ind w:right="388" w:firstLine="480"/>
        <w:jc w:val="both"/>
        <w:spacing w:before="128" w:line="343"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实际工作需求，开展并完成2026年度市局门户网站技术支持、一体化政务服务技术支持、智能预警塔基监控设备技术支持、机房管理技术支持、网络安全管理技术支持、规划资源“一张图”技术支持、局计算机终端、综合布线及会议系统运行保障等服务，确保市局门户网站符合网站测评各项指标要求、相关政务服务应用系统无故障率99%、机房设施设备巡检报修率100%、规划资源“一张图”任务完成率100%，计算机终端、综合布线和安防监控设备故障修复率100%、局会议系统和局楼宇信息发布技术支持响应及时率100%。</w:t>
      </w:r>
      <w:r/>
    </w:p>
    <w:p>
      <w:pPr>
        <w:pStyle w:val="925"/>
        <w:spacing w:before="240" w:after="240" w:line="306" w:lineRule="exact"/>
        <w:tabs>
          <w:tab w:val="left" w:pos="1978" w:leader="none"/>
          <w:tab w:val="left" w:pos="1979" w:leader="none"/>
        </w:tabs>
        <w:rPr>
          <w:rFonts w:hint="eastAsia" w:ascii="仿宋" w:hAnsi="仿宋" w:eastAsia="仿宋" w:cs="仿宋"/>
          <w:b/>
          <w:color w:val="auto"/>
          <w:sz w:val="24"/>
          <w:highlight w:val="none"/>
        </w:rPr>
      </w:pPr>
      <w:r/>
      <w:bookmarkStart w:id="112" w:name="4.2_产品清单"/>
      <w:r/>
      <w:bookmarkEnd w:id="112"/>
      <w:r>
        <w:rPr>
          <w:rFonts w:hint="eastAsia" w:ascii="仿宋" w:hAnsi="仿宋" w:eastAsia="仿宋" w:cs="仿宋"/>
          <w:b/>
          <w:color w:val="auto"/>
          <w:sz w:val="24"/>
          <w:highlight w:val="none"/>
        </w:rPr>
        <w:t xml:space="preserve">二、</w:t>
      </w:r>
      <w:r>
        <w:rPr>
          <w:rFonts w:hint="eastAsia" w:ascii="仿宋" w:hAnsi="仿宋" w:eastAsia="仿宋" w:cs="仿宋"/>
          <w:b/>
          <w:color w:val="auto"/>
          <w:sz w:val="24"/>
          <w:highlight w:val="none"/>
          <w:lang w:val="en-US" w:eastAsia="zh-CN"/>
        </w:rPr>
        <w:t xml:space="preserve">服务</w:t>
      </w:r>
      <w:r>
        <w:rPr>
          <w:rFonts w:hint="eastAsia" w:ascii="仿宋" w:hAnsi="仿宋" w:eastAsia="仿宋" w:cs="仿宋"/>
          <w:b/>
          <w:color w:val="auto"/>
          <w:sz w:val="24"/>
          <w:highlight w:val="none"/>
        </w:rPr>
        <w:t xml:space="preserve">清单</w:t>
      </w:r>
      <w:r/>
    </w:p>
    <w:tbl>
      <w:tblPr>
        <w:tblStyle w:val="737"/>
        <w:tblW w:w="5194" w:type="pct"/>
        <w:tblInd w:w="-1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32"/>
        <w:gridCol w:w="2006"/>
        <w:gridCol w:w="752"/>
        <w:gridCol w:w="740"/>
        <w:gridCol w:w="1221"/>
        <w:gridCol w:w="1103"/>
        <w:gridCol w:w="832"/>
        <w:gridCol w:w="1623"/>
        <w:gridCol w:w="902"/>
      </w:tblGrid>
      <w:tr>
        <w:trPr>
          <w:trHeight w:val="748"/>
        </w:trPr>
        <w:tc>
          <w:tcPr>
            <w:tcW w:w="369" w:type="pct"/>
            <w:textDirection w:val="lrTb"/>
            <w:noWrap w:val="false"/>
          </w:tcPr>
          <w:p>
            <w:pPr>
              <w:pStyle w:val="930"/>
              <w:ind w:left="112" w:right="110" w:hanging="1"/>
              <w:jc w:val="center"/>
              <w:spacing w:before="8" w:line="300" w:lineRule="exact"/>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序号</w:t>
            </w:r>
            <w:r/>
          </w:p>
        </w:tc>
        <w:tc>
          <w:tcPr>
            <w:tcW w:w="1011" w:type="pct"/>
            <w:textDirection w:val="lrTb"/>
            <w:noWrap w:val="false"/>
          </w:tcPr>
          <w:p>
            <w:pPr>
              <w:pStyle w:val="930"/>
              <w:ind w:left="112" w:right="110" w:hanging="1"/>
              <w:jc w:val="center"/>
              <w:spacing w:before="8" w:line="300" w:lineRule="exact"/>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名称</w:t>
            </w:r>
            <w:r/>
          </w:p>
        </w:tc>
        <w:tc>
          <w:tcPr>
            <w:tcW w:w="379" w:type="pct"/>
            <w:textDirection w:val="lrTb"/>
            <w:noWrap w:val="false"/>
          </w:tcPr>
          <w:p>
            <w:pPr>
              <w:pStyle w:val="930"/>
              <w:ind w:left="112" w:right="110" w:hanging="1"/>
              <w:jc w:val="center"/>
              <w:spacing w:before="8" w:line="300" w:lineRule="exact"/>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数量</w:t>
            </w:r>
            <w:r/>
          </w:p>
        </w:tc>
        <w:tc>
          <w:tcPr>
            <w:tcW w:w="373" w:type="pct"/>
            <w:textDirection w:val="lrTb"/>
            <w:noWrap w:val="false"/>
          </w:tcPr>
          <w:p>
            <w:pPr>
              <w:pStyle w:val="930"/>
              <w:ind w:left="112" w:right="110" w:hanging="1"/>
              <w:jc w:val="center"/>
              <w:spacing w:before="8" w:line="300" w:lineRule="exact"/>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单位</w:t>
            </w:r>
            <w:r/>
          </w:p>
        </w:tc>
        <w:tc>
          <w:tcPr>
            <w:tcW w:w="615" w:type="pct"/>
            <w:textDirection w:val="lrTb"/>
            <w:noWrap w:val="false"/>
          </w:tcPr>
          <w:p>
            <w:pPr>
              <w:pStyle w:val="930"/>
              <w:ind w:left="112" w:right="110" w:hanging="1"/>
              <w:jc w:val="center"/>
              <w:spacing w:before="8" w:line="300" w:lineRule="exact"/>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最高限价（万元）</w:t>
            </w:r>
            <w:r/>
          </w:p>
        </w:tc>
        <w:tc>
          <w:tcPr>
            <w:tcW w:w="556" w:type="pct"/>
            <w:textDirection w:val="lrTb"/>
            <w:noWrap w:val="false"/>
          </w:tcPr>
          <w:p>
            <w:pPr>
              <w:pStyle w:val="930"/>
              <w:ind w:left="112" w:right="110" w:hanging="1"/>
              <w:jc w:val="center"/>
              <w:spacing w:before="8" w:line="300" w:lineRule="exact"/>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是否接受进口</w:t>
            </w:r>
            <w:r/>
          </w:p>
        </w:tc>
        <w:tc>
          <w:tcPr>
            <w:tcW w:w="419" w:type="pct"/>
            <w:textDirection w:val="lrTb"/>
            <w:noWrap w:val="false"/>
          </w:tcPr>
          <w:p>
            <w:pPr>
              <w:pStyle w:val="930"/>
              <w:ind w:left="112" w:right="110" w:hanging="1"/>
              <w:jc w:val="center"/>
              <w:spacing w:before="8" w:line="300" w:lineRule="exact"/>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产品类型</w:t>
            </w:r>
            <w:r/>
          </w:p>
        </w:tc>
        <w:tc>
          <w:tcPr>
            <w:tcW w:w="818" w:type="pct"/>
            <w:textDirection w:val="lrTb"/>
            <w:noWrap w:val="false"/>
          </w:tcPr>
          <w:p>
            <w:pPr>
              <w:pStyle w:val="930"/>
              <w:ind w:left="112" w:right="110" w:hanging="1"/>
              <w:jc w:val="center"/>
              <w:spacing w:before="8" w:line="300" w:lineRule="exact"/>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所属类型</w:t>
            </w:r>
            <w:r/>
          </w:p>
        </w:tc>
        <w:tc>
          <w:tcPr>
            <w:tcW w:w="454" w:type="pct"/>
            <w:textDirection w:val="lrTb"/>
            <w:noWrap w:val="false"/>
          </w:tcPr>
          <w:p>
            <w:pPr>
              <w:pStyle w:val="930"/>
              <w:ind w:left="112" w:right="110" w:hanging="1"/>
              <w:jc w:val="center"/>
              <w:spacing w:before="8" w:line="300" w:lineRule="exact"/>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类型</w:t>
            </w:r>
            <w:r/>
          </w:p>
        </w:tc>
      </w:tr>
      <w:tr>
        <w:trPr>
          <w:trHeight w:val="936"/>
        </w:trPr>
        <w:tc>
          <w:tcPr>
            <w:tcW w:w="36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011"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市局门户网站技术支持</w:t>
            </w:r>
            <w:r/>
          </w:p>
        </w:tc>
        <w:tc>
          <w:tcPr>
            <w:tcW w:w="37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373"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w:t>
            </w:r>
            <w:r/>
          </w:p>
        </w:tc>
        <w:tc>
          <w:tcPr>
            <w:tcW w:w="615"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w:t>
            </w:r>
            <w:r/>
          </w:p>
        </w:tc>
        <w:tc>
          <w:tcPr>
            <w:tcW w:w="556"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W w:w="41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8"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W w:w="454"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w:t>
            </w:r>
            <w:r/>
          </w:p>
        </w:tc>
      </w:tr>
      <w:tr>
        <w:trPr>
          <w:trHeight w:val="936"/>
        </w:trPr>
        <w:tc>
          <w:tcPr>
            <w:tcW w:w="36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1011"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一体化政务服务技术支持</w:t>
            </w:r>
            <w:r/>
          </w:p>
        </w:tc>
        <w:tc>
          <w:tcPr>
            <w:tcW w:w="37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373"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w:t>
            </w:r>
            <w:r/>
          </w:p>
        </w:tc>
        <w:tc>
          <w:tcPr>
            <w:tcW w:w="615"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192</w:t>
            </w:r>
            <w:r/>
          </w:p>
        </w:tc>
        <w:tc>
          <w:tcPr>
            <w:tcW w:w="556"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W w:w="41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8"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W w:w="454"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w:t>
            </w:r>
            <w:r/>
          </w:p>
        </w:tc>
      </w:tr>
      <w:tr>
        <w:trPr>
          <w:trHeight w:val="936"/>
        </w:trPr>
        <w:tc>
          <w:tcPr>
            <w:tcW w:w="36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1011"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智能预警塔基监控设备技术支持</w:t>
            </w:r>
            <w:r/>
          </w:p>
        </w:tc>
        <w:tc>
          <w:tcPr>
            <w:tcW w:w="37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373"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w:t>
            </w:r>
            <w:r/>
          </w:p>
        </w:tc>
        <w:tc>
          <w:tcPr>
            <w:tcW w:w="615"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w:t>
            </w:r>
            <w:r/>
          </w:p>
        </w:tc>
        <w:tc>
          <w:tcPr>
            <w:tcW w:w="556"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W w:w="41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8"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W w:w="454"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w:t>
            </w:r>
            <w:r/>
          </w:p>
        </w:tc>
      </w:tr>
      <w:tr>
        <w:trPr>
          <w:trHeight w:val="570"/>
        </w:trPr>
        <w:tc>
          <w:tcPr>
            <w:tcW w:w="36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1011"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机房管理技术支持</w:t>
            </w:r>
            <w:r/>
          </w:p>
        </w:tc>
        <w:tc>
          <w:tcPr>
            <w:tcW w:w="37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373"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w:t>
            </w:r>
            <w:r/>
          </w:p>
        </w:tc>
        <w:tc>
          <w:tcPr>
            <w:tcW w:w="615"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556"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W w:w="41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8"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W w:w="454"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w:t>
            </w:r>
            <w:r/>
          </w:p>
        </w:tc>
      </w:tr>
      <w:tr>
        <w:trPr>
          <w:trHeight w:val="936"/>
        </w:trPr>
        <w:tc>
          <w:tcPr>
            <w:tcW w:w="36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011"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网络安全管理技术支持</w:t>
            </w:r>
            <w:r/>
          </w:p>
        </w:tc>
        <w:tc>
          <w:tcPr>
            <w:tcW w:w="37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373"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w:t>
            </w:r>
            <w:r/>
          </w:p>
        </w:tc>
        <w:tc>
          <w:tcPr>
            <w:tcW w:w="615"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w:t>
            </w:r>
            <w:r/>
          </w:p>
        </w:tc>
        <w:tc>
          <w:tcPr>
            <w:tcW w:w="556"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W w:w="41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8"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W w:w="454"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w:t>
            </w:r>
            <w:r/>
          </w:p>
        </w:tc>
      </w:tr>
      <w:tr>
        <w:trPr>
          <w:trHeight w:val="936"/>
        </w:trPr>
        <w:tc>
          <w:tcPr>
            <w:tcW w:w="36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1011"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规划资源“一张图”技术支持</w:t>
            </w:r>
            <w:r/>
          </w:p>
        </w:tc>
        <w:tc>
          <w:tcPr>
            <w:tcW w:w="37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373"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w:t>
            </w:r>
            <w:r/>
          </w:p>
        </w:tc>
        <w:tc>
          <w:tcPr>
            <w:tcW w:w="615"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200</w:t>
            </w:r>
            <w:r/>
          </w:p>
        </w:tc>
        <w:tc>
          <w:tcPr>
            <w:tcW w:w="556"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W w:w="419"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8"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W w:w="454" w:type="pct"/>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w:t>
            </w:r>
            <w:r/>
          </w:p>
        </w:tc>
      </w:tr>
      <w:tr>
        <w:trPr>
          <w:trHeight w:val="1335"/>
        </w:trPr>
        <w:tc>
          <w:tcPr>
            <w:tcW w:w="369" w:type="pct"/>
            <w:vAlign w:val="center"/>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1011" w:type="pct"/>
            <w:vAlign w:val="center"/>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局计算机终端、综合布线及会议系统运行保障</w:t>
            </w:r>
            <w:r/>
          </w:p>
        </w:tc>
        <w:tc>
          <w:tcPr>
            <w:tcW w:w="379" w:type="pct"/>
            <w:vAlign w:val="center"/>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373" w:type="pct"/>
            <w:vAlign w:val="center"/>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w:t>
            </w:r>
            <w:r/>
          </w:p>
        </w:tc>
        <w:tc>
          <w:tcPr>
            <w:tcW w:w="615" w:type="pct"/>
            <w:vAlign w:val="center"/>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188</w:t>
            </w:r>
            <w:r/>
          </w:p>
        </w:tc>
        <w:tc>
          <w:tcPr>
            <w:tcW w:w="556" w:type="pct"/>
            <w:vAlign w:val="center"/>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W w:w="419" w:type="pct"/>
            <w:vAlign w:val="center"/>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8" w:type="pct"/>
            <w:vAlign w:val="center"/>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W w:w="454" w:type="pct"/>
            <w:vAlign w:val="center"/>
            <w:textDirection w:val="lrTb"/>
            <w:noWrap w:val="false"/>
          </w:tcPr>
          <w:p>
            <w:pPr>
              <w:pStyle w:val="930"/>
              <w:ind w:left="30"/>
              <w:jc w:val="center"/>
              <w:spacing w:before="146"/>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w:t>
            </w:r>
            <w:r/>
          </w:p>
        </w:tc>
      </w:tr>
    </w:tbl>
    <w:p>
      <w:pPr>
        <w:pStyle w:val="925"/>
        <w:spacing w:line="306" w:lineRule="exact"/>
        <w:tabs>
          <w:tab w:val="left" w:pos="1978" w:leader="none"/>
          <w:tab w:val="left" w:pos="1979"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925"/>
        <w:ind w:left="0" w:firstLine="0"/>
        <w:spacing w:line="306" w:lineRule="exact"/>
        <w:tabs>
          <w:tab w:val="left" w:pos="1978" w:leader="none"/>
          <w:tab w:val="left" w:pos="1979"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三、功能、性能、配置要求</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0"/>
        <w:ind w:right="372"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1、市局门户网站技术支持（包含省、市外网网站）</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按照年度省、市关于市级政府自然资源门户网站测评指标体系的要求，理解并落实技术任务，对接省市技术管理部门，实施内部测评、开展整改和网站测评材料组织报送；结合省、市网站日常监测报告及时整改，协助市局主管部门组织分局开展整改并向省市主管部门反馈结果，做好相关的操作培训等其他技术支持工作；对接省、市网站建设主管部门，开展网站的模块、栏目、版面调整需求提供和成果测试；日常信息更新和上级网站平台信息推送；网站后台管理及日常功能技术支持，节假日及重要时期网站值班、网站应急处置等。</w:t>
      </w:r>
      <w:r/>
    </w:p>
    <w:p>
      <w:pPr>
        <w:pStyle w:val="740"/>
        <w:ind w:right="372"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2、一体化政务服务技术支持</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1）局内网日常技术支持，主要包括内网用户管理（增加用户、删除用户、调整用户、密码重置等）、权限、组织管理及维护配置等，实施内网门户的后台管理、日志分析，以及动态浮窗内容调整、新闻通告调整等日常现场技术服务，实施日常数据备份、恢复等，为用户在内网新闻采编发布、门户信息浏览查阅等操作中遇到的具体问题，提供技术指导和支持服务。</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2）为办文、办会、发文、阅件、诉讼复议、规划认定、信息公开、来信来访、内部联系、规划公示、建议提案、信息报送、工作日程、值班表等业务提供技术服务，主要包括数据调整、流程改签，以及人员组织管理、权限管理等日常维护，开展行政办公数据备份和恢复工作，为用户在公文登记阅办、会签会办、附件查阅等操作中遇到的具体问题，提供技术指导和支持服务。</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3）为业务审批系统（含用地预审与选址意见书、用地规划服务、规划条件（全要素）、规划条件（建筑工程）、规划条件（市政工程）、建设用地规划许可证、协议出让、工业用地招拍挂、经营性用地招拍挂、改变用地条件补办出让、临时用地规划许可、出让合同违约责任认定审批、规划设计方案审查（建筑工程）等40余个业务应用流程）和多规合一业务协同平台提供用户角色权限配置、问题数据处理等现场技术服务；为解决业务审批过程中遇到的各类问题提供现场技术服务；按需备份和恢复业务审批数据。</w:t>
      </w:r>
      <w:r/>
    </w:p>
    <w:p>
      <w:pPr>
        <w:pStyle w:val="740"/>
        <w:ind w:right="372"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4）为南京规划资源APP提供用户设备授权、角色权限配置、专题服务配置、系统消息编发、数据纠错核实与反馈、系统数据维护等现场技术服务；为解决南京规划资源APP应用中遇到的各类问题提供现场技术服务，如系统安装或登录异常、服务访问异常、设备兼容性等；按需备份和恢复移动办公数据。</w:t>
      </w:r>
      <w:r/>
    </w:p>
    <w:p>
      <w:pPr>
        <w:pStyle w:val="740"/>
        <w:ind w:right="372"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3、智能预警塔基监控设备技术支持</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1）对智能预警塔基监控设备开展设备状态日常检查、故障排查与技术支持，与运营商对接及时解决设备掉线、无法浏览、访问受限等故障，保障监控视频及相关信息能够被各分局和其他业务系统7*24小时不间断正常调用； </w:t>
      </w:r>
      <w:r/>
    </w:p>
    <w:p>
      <w:pPr>
        <w:pStyle w:val="740"/>
        <w:ind w:right="372"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（2）审核智能预警信息，更新电子围栏，进行数据分析与建模；为其他部门提供监控设备资源共享对接技术支持。</w:t>
      </w:r>
      <w:r/>
    </w:p>
    <w:p>
      <w:pPr>
        <w:pStyle w:val="740"/>
        <w:ind w:right="372"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4、机房管理技术支持</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按照规划资源局机房基础设施巡检规范相关要求，对南楼、北楼、档案楼机房进行每日巡检，发现设备故障和风险及时通知专业团队维修（过保设备的维修由局续保服务项目提供）；恶劣天气要安排人员在机房值班。</w:t>
      </w:r>
      <w:r/>
    </w:p>
    <w:p>
      <w:pPr>
        <w:pStyle w:val="740"/>
        <w:ind w:right="372"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5、网络安全管理技术支持</w:t>
      </w:r>
      <w:r/>
    </w:p>
    <w:p>
      <w:pPr>
        <w:pStyle w:val="740"/>
        <w:ind w:right="374"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（1）定期更新防病毒系统（EDR)的病毒库，负责计算机终端防病毒系统的客户端安装，监测防病毒系统运行状况；</w:t>
      </w:r>
      <w:r/>
    </w:p>
    <w:p>
      <w:pPr>
        <w:pStyle w:val="740"/>
        <w:ind w:right="374"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（2）为年度网络安全工作要点、网络安全工作报告、网络安全制度文件的编制提供技术支持;</w:t>
      </w:r>
      <w:r/>
    </w:p>
    <w:p>
      <w:pPr>
        <w:pStyle w:val="740"/>
        <w:ind w:right="374"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（3）为网络和数据安全宣传教育提供技术支持；</w:t>
      </w:r>
      <w:r/>
    </w:p>
    <w:p>
      <w:pPr>
        <w:pStyle w:val="740"/>
        <w:ind w:right="374"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（4）为网络资产普查、动态更新维护提供技术支持；</w:t>
      </w:r>
      <w:r/>
    </w:p>
    <w:p>
      <w:pPr>
        <w:pStyle w:val="740"/>
        <w:ind w:right="374"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（5）为网络安全事件处置提供技术支持；</w:t>
      </w:r>
      <w:r/>
    </w:p>
    <w:p>
      <w:pPr>
        <w:pStyle w:val="740"/>
        <w:ind w:right="374"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（6）为年度网络安全等级保护备案测评和密评提供技术支持。</w:t>
      </w:r>
      <w:r/>
    </w:p>
    <w:p>
      <w:pPr>
        <w:pStyle w:val="740"/>
        <w:ind w:right="372"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6、规划资源“一张图”技术支持</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（1）动态更新数据资源目录、数据清单及属性信息。</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2）基于南京市国土空间基础信息平台，对归集的各类数据进行质检、入库，对空间数据进行符号化配置、切瓦片并发布，更新元数据；对数据接口进行稳定性、一致性检查；注册、授权“一张图”数据服务；发布数据资源公告。</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（3）基于南京市国土空间基础信息平台，根据局领导、处室日常或紧急需求，进行“一张图”数据加工、统计分析、专题制图制作。</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（4）动态更新政务数据目录及属性信息，挂接数据资源，建立数据资源与数据目录的对应关系；根据政务部门的个性化需求，按需对数据进行处理或开发数据服务接口。</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（5）“一张图”数据备份及数据恢复应急演练。</w:t>
      </w:r>
      <w:r/>
    </w:p>
    <w:p>
      <w:pPr>
        <w:pStyle w:val="740"/>
        <w:ind w:right="372"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（6）根据局领导、处室要求，提供“一张图”演示服务、“一张图”应用技术支持；“一张图”服务状态日常巡查，及时解决运行中出现的问题。</w:t>
      </w:r>
      <w:r/>
    </w:p>
    <w:p>
      <w:pPr>
        <w:pStyle w:val="740"/>
        <w:ind w:right="372"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7、局计算机终端、综合布线及会议系统运行保障</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1）市局机关计算机、打印机、电子锁等办公通用设备的日常维护，包括故障排查、软件安装、配件维修更换等；南楼、北楼电话线路、网络线路及终端线路配套设备的巡检及维修更换（楼层接入间的过保交换机等设备维修由局续保服务项目提供）；弱电井巡检。</w:t>
      </w:r>
      <w:r/>
    </w:p>
    <w:p>
      <w:pPr>
        <w:pStyle w:val="740"/>
        <w:ind w:right="372" w:firstLine="472"/>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2）为局机关各类会议提供信息技术保障服务，包括视频联调联测、会议设备准备、会议期现场值守；按需录制会议音视频并提供；局内电视电话会议系统及相关硬件（大屏、投影、矩阵、音响、线路）等日常巡检、软件升级及硬件维修。</w:t>
      </w:r>
      <w:r/>
    </w:p>
    <w:p>
      <w:pPr>
        <w:pStyle w:val="740"/>
        <w:ind w:right="372" w:firstLine="472"/>
        <w:jc w:val="both"/>
        <w:spacing w:line="360" w:lineRule="auto"/>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（3）按需在南楼、北楼、档案楼的信息发布系统中发布视频等宣传资料；南楼、北楼安防监控系统中的录像机硬盘和摄像头等设备的维修更换。</w:t>
      </w:r>
      <w:r/>
    </w:p>
    <w:p>
      <w:pPr>
        <w:pStyle w:val="925"/>
        <w:ind w:left="0" w:firstLine="0"/>
        <w:spacing w:line="306" w:lineRule="exact"/>
        <w:tabs>
          <w:tab w:val="left" w:pos="1978" w:leader="none"/>
          <w:tab w:val="left" w:pos="1979"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四、实施要求</w:t>
      </w:r>
      <w:r/>
    </w:p>
    <w:p>
      <w:pPr>
        <w:pStyle w:val="925"/>
        <w:spacing w:line="306" w:lineRule="exact"/>
        <w:tabs>
          <w:tab w:val="left" w:pos="1978" w:leader="none"/>
          <w:tab w:val="left" w:pos="1979"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bl>
      <w:tblPr>
        <w:tblStyle w:val="737"/>
        <w:tblW w:w="518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24"/>
        <w:gridCol w:w="2091"/>
        <w:gridCol w:w="7079"/>
      </w:tblGrid>
      <w:tr>
        <w:trPr>
          <w:trHeight w:val="245"/>
        </w:trPr>
        <w:tc>
          <w:tcPr>
            <w:tcW w:w="365"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序号</w:t>
            </w:r>
            <w:r/>
          </w:p>
        </w:tc>
        <w:tc>
          <w:tcPr>
            <w:tcW w:w="1056"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名称</w:t>
            </w:r>
            <w:r/>
          </w:p>
        </w:tc>
        <w:tc>
          <w:tcPr>
            <w:tcW w:w="3577"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采购要求</w:t>
            </w:r>
            <w:r/>
          </w:p>
        </w:tc>
      </w:tr>
      <w:tr>
        <w:trPr>
          <w:trHeight w:val="947"/>
        </w:trPr>
        <w:tc>
          <w:tcPr>
            <w:tcW w:w="365" w:type="pct"/>
            <w:vAlign w:val="top"/>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p>
        </w:tc>
        <w:tc>
          <w:tcPr>
            <w:tcW w:w="1056"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验收要求(完全响应)</w:t>
            </w:r>
            <w:r/>
          </w:p>
        </w:tc>
        <w:tc>
          <w:tcPr>
            <w:tcW w:w="3577"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提供验收文档需包含但不限于：项目总结报告、工作记录。采购人可以邀请第三方专业机构及专家参与验收，中标供应商提供的服务不符合招标文件、响应文件和合同规定的，采购人有权拒收，并由中标供应商承担验收费用。</w:t>
            </w:r>
            <w:r/>
          </w:p>
        </w:tc>
      </w:tr>
      <w:tr>
        <w:trPr>
          <w:trHeight w:val="947"/>
        </w:trPr>
        <w:tc>
          <w:tcPr>
            <w:tcW w:w="365" w:type="pct"/>
            <w:vAlign w:val="top"/>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p>
        </w:tc>
        <w:tc>
          <w:tcPr>
            <w:tcW w:w="1056"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需求分析报告</w:t>
            </w:r>
            <w:r/>
          </w:p>
        </w:tc>
        <w:tc>
          <w:tcPr>
            <w:tcW w:w="3577"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投标人提供需求分析报告（包括针对采购人规划和自然资源信息化建设现状及技术需求的分析报告，分析内容至少包含基础设施现状、数据现状、平台建设现状、应用现状等及技术支持的重点、难点、措施等）。</w:t>
            </w:r>
            <w:r/>
          </w:p>
        </w:tc>
      </w:tr>
      <w:tr>
        <w:trPr>
          <w:trHeight w:val="479"/>
        </w:trPr>
        <w:tc>
          <w:tcPr>
            <w:tcW w:w="365" w:type="pct"/>
            <w:vAlign w:val="top"/>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tcW w:w="1056"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市局门户网站技术支持方案</w:t>
            </w:r>
            <w:r/>
          </w:p>
        </w:tc>
        <w:tc>
          <w:tcPr>
            <w:tcW w:w="3577"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投标人提供市局门户网站技术支持方案（包括但不限于服务内容、人员安排、进度安排等）。</w:t>
            </w:r>
            <w:r/>
          </w:p>
        </w:tc>
      </w:tr>
      <w:tr>
        <w:trPr>
          <w:trHeight w:val="479"/>
        </w:trPr>
        <w:tc>
          <w:tcPr>
            <w:tcW w:w="365" w:type="pct"/>
            <w:vAlign w:val="top"/>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tcW w:w="1056"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一体化政务服务技术支持方案</w:t>
            </w:r>
            <w:r/>
          </w:p>
        </w:tc>
        <w:tc>
          <w:tcPr>
            <w:tcW w:w="3577"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投标人提供一体化政务服务技术支持方案（包括但不限于服务内容、人员安排、进度安排等）。</w:t>
            </w:r>
            <w:r/>
          </w:p>
        </w:tc>
      </w:tr>
      <w:tr>
        <w:trPr>
          <w:trHeight w:val="523"/>
        </w:trPr>
        <w:tc>
          <w:tcPr>
            <w:tcW w:w="365" w:type="pct"/>
            <w:vAlign w:val="top"/>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tcW w:w="1056"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智能预警塔基监控设备技术支持方案</w:t>
            </w:r>
            <w:r/>
          </w:p>
        </w:tc>
        <w:tc>
          <w:tcPr>
            <w:tcW w:w="3577"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投标人智能预警塔基监控设备技术支持方案（包括但不限于服务内容、人员安排、进度安排等）。</w:t>
            </w:r>
            <w:r/>
          </w:p>
        </w:tc>
      </w:tr>
      <w:tr>
        <w:trPr>
          <w:trHeight w:val="490"/>
        </w:trPr>
        <w:tc>
          <w:tcPr>
            <w:tcW w:w="365" w:type="pct"/>
            <w:vAlign w:val="top"/>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tcW w:w="1056"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机房管理技术支持方案</w:t>
            </w:r>
            <w:r/>
          </w:p>
        </w:tc>
        <w:tc>
          <w:tcPr>
            <w:tcW w:w="3577"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投标人提供机房管理技术支持方案（包括但不限于服务内容、人员安排、进度安排等）。</w:t>
            </w:r>
            <w:r/>
          </w:p>
        </w:tc>
      </w:tr>
      <w:tr>
        <w:trPr>
          <w:trHeight w:val="479"/>
        </w:trPr>
        <w:tc>
          <w:tcPr>
            <w:tcW w:w="365"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tcW w:w="1056"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网络安全管理技术支持方案</w:t>
            </w:r>
            <w:r/>
          </w:p>
        </w:tc>
        <w:tc>
          <w:tcPr>
            <w:tcW w:w="3577"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投标人提供网络安全管理技术支持方案（包括但不限于服务内容、人员安排、进度安排等）。</w:t>
            </w:r>
            <w:r/>
          </w:p>
        </w:tc>
      </w:tr>
      <w:tr>
        <w:trPr>
          <w:trHeight w:val="559"/>
        </w:trPr>
        <w:tc>
          <w:tcPr>
            <w:tcW w:w="365"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tcW w:w="1056"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规划资源“一张图”技术支持方案</w:t>
            </w:r>
            <w:r/>
          </w:p>
        </w:tc>
        <w:tc>
          <w:tcPr>
            <w:tcW w:w="3577"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投标人提供规划资源“一张图”技术支持方案（包括但不限于数据服务内容、人员安排、进度安排等）。</w:t>
            </w:r>
            <w:r/>
          </w:p>
        </w:tc>
      </w:tr>
      <w:tr>
        <w:trPr>
          <w:trHeight w:val="713"/>
        </w:trPr>
        <w:tc>
          <w:tcPr>
            <w:tcW w:w="365"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tcW w:w="1056"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计算机终端、综合布线及会议系统运行保障方案</w:t>
            </w:r>
            <w:r/>
          </w:p>
        </w:tc>
        <w:tc>
          <w:tcPr>
            <w:tcW w:w="3577"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投标人提供计算机终端、综合布线及会议系统运行保障方案（包括但不限于服务内容、人员安排、进度安排等）。</w:t>
            </w:r>
            <w:r/>
          </w:p>
        </w:tc>
      </w:tr>
      <w:tr>
        <w:trPr>
          <w:trHeight w:val="958"/>
        </w:trPr>
        <w:tc>
          <w:tcPr>
            <w:tcW w:w="365" w:type="pct"/>
            <w:vAlign w:val="center"/>
            <w:textDirection w:val="lrTb"/>
            <w:noWrap w:val="false"/>
          </w:tcPr>
          <w:p>
            <w:pPr>
              <w:pStyle w:val="930"/>
              <w:jc w:val="center"/>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tcW w:w="1056" w:type="pct"/>
            <w:vAlign w:val="center"/>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服务成果要求(完全响应)</w:t>
            </w:r>
            <w:r/>
          </w:p>
        </w:tc>
        <w:tc>
          <w:tcPr>
            <w:tcW w:w="3577"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服务完成后，中标供应商须提交下列材料（包括不限于）：项目技术管理和服务工作实施方案、项目工作总结报告（含各子项服务工作的工作总结报告）、技术管理和服务工作台账（包括各类任务单、记录表以及其他能够反映服务工作的资料清 单）等。</w:t>
            </w:r>
            <w:r/>
          </w:p>
        </w:tc>
      </w:tr>
    </w:tbl>
    <w:p>
      <w:pPr>
        <w:pStyle w:val="925"/>
        <w:spacing w:line="306" w:lineRule="exact"/>
        <w:tabs>
          <w:tab w:val="left" w:pos="1978" w:leader="none"/>
          <w:tab w:val="left" w:pos="1979" w:leader="none"/>
        </w:tabs>
        <w:rPr>
          <w:rFonts w:hint="eastAsia" w:ascii="仿宋" w:hAnsi="仿宋" w:eastAsia="仿宋" w:cs="仿宋"/>
          <w:b/>
          <w:color w:val="auto"/>
          <w:sz w:val="24"/>
          <w:highlight w:val="none"/>
        </w:rPr>
      </w:pPr>
      <w:r/>
      <w:bookmarkStart w:id="113" w:name="4.5__服务"/>
      <w:r/>
      <w:bookmarkEnd w:id="113"/>
      <w:r/>
      <w:r/>
    </w:p>
    <w:p>
      <w:pPr>
        <w:pStyle w:val="925"/>
        <w:ind w:left="0" w:firstLine="0"/>
        <w:spacing w:line="306" w:lineRule="exact"/>
        <w:tabs>
          <w:tab w:val="left" w:pos="1978" w:leader="none"/>
          <w:tab w:val="left" w:pos="1979"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五、服务</w:t>
      </w:r>
      <w:r/>
    </w:p>
    <w:p>
      <w:pPr>
        <w:pStyle w:val="925"/>
        <w:spacing w:line="306" w:lineRule="exact"/>
        <w:tabs>
          <w:tab w:val="left" w:pos="1978" w:leader="none"/>
          <w:tab w:val="left" w:pos="1979"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bl>
      <w:tblPr>
        <w:tblStyle w:val="737"/>
        <w:tblW w:w="516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26"/>
        <w:gridCol w:w="1927"/>
        <w:gridCol w:w="7201"/>
      </w:tblGrid>
      <w:tr>
        <w:trPr>
          <w:trHeight w:val="295"/>
        </w:trPr>
        <w:tc>
          <w:tcPr>
            <w:tcW w:w="368"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序号</w:t>
            </w:r>
            <w:r/>
          </w:p>
        </w:tc>
        <w:tc>
          <w:tcPr>
            <w:tcW w:w="977"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名称</w:t>
            </w:r>
            <w:r/>
          </w:p>
        </w:tc>
        <w:tc>
          <w:tcPr>
            <w:tcW w:w="3653"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采购要求</w:t>
            </w:r>
            <w:r/>
          </w:p>
        </w:tc>
      </w:tr>
      <w:tr>
        <w:trPr>
          <w:trHeight w:val="1698"/>
        </w:trPr>
        <w:tc>
          <w:tcPr>
            <w:tcW w:w="368" w:type="pct"/>
            <w:textDirection w:val="lrTb"/>
            <w:noWrap w:val="false"/>
          </w:tcPr>
          <w:p>
            <w:pPr>
              <w:pStyle w:val="930"/>
              <w:jc w:val="center"/>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p>
        </w:tc>
        <w:tc>
          <w:tcPr>
            <w:tcW w:w="977"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项目负责人能力</w:t>
            </w:r>
            <w:r/>
          </w:p>
        </w:tc>
        <w:tc>
          <w:tcPr>
            <w:tcW w:w="3653"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投标人拟投入本项目的项目负责人：</w:t>
            </w:r>
            <w:r/>
          </w:p>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具有建设工程专业或土地专业或电子信息工程中级及以上工程师职称证书（提供证书）；   </w:t>
            </w:r>
            <w:r/>
          </w:p>
          <w:p>
            <w:pPr>
              <w:pStyle w:val="930"/>
              <w:jc w:val="left"/>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（2）具有 5 年及以上相关工作经验（提供服务单位出具的相关业绩证明材料）。提供上述证明材料及投标人为其缴纳的2026年1月以来任意一个月的社保缴纳证明材料。       </w:t>
            </w:r>
            <w:r/>
          </w:p>
        </w:tc>
      </w:tr>
      <w:tr>
        <w:trPr>
          <w:trHeight w:val="1698"/>
        </w:trPr>
        <w:tc>
          <w:tcPr>
            <w:tcW w:w="368" w:type="pct"/>
            <w:textDirection w:val="lrTb"/>
            <w:noWrap w:val="false"/>
          </w:tcPr>
          <w:p>
            <w:pPr>
              <w:pStyle w:val="930"/>
              <w:jc w:val="center"/>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p>
        </w:tc>
        <w:tc>
          <w:tcPr>
            <w:tcW w:w="977"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维保人员能力</w:t>
            </w:r>
            <w:r/>
          </w:p>
        </w:tc>
        <w:tc>
          <w:tcPr>
            <w:tcW w:w="3653"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投标人拟投入本项目的维保人员：</w:t>
            </w:r>
            <w:r/>
          </w:p>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具备完善的项目团队，健全的网络和数据安全保护机制，明确项目团队人员组成以及团队人员能力，团队人员为正式员工，并有专门的网络安全负责人。</w:t>
            </w:r>
            <w:r/>
          </w:p>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提供证书及投标人为其缴纳的2026年1月以来任意一个月的社保缴纳证明材料。</w:t>
            </w:r>
            <w:r/>
          </w:p>
        </w:tc>
      </w:tr>
      <w:tr>
        <w:trPr>
          <w:trHeight w:val="575"/>
        </w:trPr>
        <w:tc>
          <w:tcPr>
            <w:tcBorders>
              <w:bottom w:val="single" w:color="000000" w:sz="8" w:space="0"/>
            </w:tcBorders>
            <w:tcW w:w="368" w:type="pct"/>
            <w:textDirection w:val="lrTb"/>
            <w:noWrap w:val="false"/>
          </w:tcPr>
          <w:p>
            <w:pPr>
              <w:pStyle w:val="930"/>
              <w:jc w:val="center"/>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tcBorders>
              <w:bottom w:val="single" w:color="000000" w:sz="8" w:space="0"/>
            </w:tcBorders>
            <w:tcW w:w="977"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现场维护服务(完全响应)</w:t>
            </w:r>
            <w:r/>
          </w:p>
        </w:tc>
        <w:tc>
          <w:tcPr>
            <w:tcBorders>
              <w:bottom w:val="single" w:color="000000" w:sz="8" w:space="0"/>
            </w:tcBorders>
            <w:tcW w:w="3653"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中标供应商在合同履行期间承诺根据采购人需求提供现场维护服务。</w:t>
            </w:r>
            <w:r/>
          </w:p>
        </w:tc>
      </w:tr>
      <w:tr>
        <w:trPr>
          <w:trHeight w:val="1703"/>
        </w:trPr>
        <w:tc>
          <w:tcPr>
            <w:tcBorders>
              <w:top w:val="single" w:color="000000" w:sz="8" w:space="0"/>
            </w:tcBorders>
            <w:tcW w:w="368" w:type="pct"/>
            <w:textDirection w:val="lrTb"/>
            <w:noWrap w:val="false"/>
          </w:tcPr>
          <w:p>
            <w:pPr>
              <w:pStyle w:val="930"/>
              <w:jc w:val="center"/>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tcBorders>
              <w:top w:val="single" w:color="000000" w:sz="8" w:space="0"/>
            </w:tcBorders>
            <w:tcW w:w="977"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应急响应服务(完全响应)</w:t>
            </w:r>
            <w:r/>
          </w:p>
        </w:tc>
        <w:tc>
          <w:tcPr>
            <w:tcBorders>
              <w:top w:val="single" w:color="000000" w:sz="8" w:space="0"/>
            </w:tcBorders>
            <w:tcW w:w="3653"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本项目需提供 7×24 小时应急响应服务，达到100%的用户响应度。在系统、平台故障事件发生时及时进行事件处理，保护数据、业务功能免受重大故障或灾难的影响，故障解决率达到 95%以上。</w:t>
            </w:r>
            <w:r/>
          </w:p>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对系统、平台可能产生的一系列突发故障问题制定应急处置预案。如有条件可进行应急演练，演练前应做好充分的人员、数据、技术准备，以免造成重大影响及损失。</w:t>
            </w:r>
            <w:r/>
          </w:p>
        </w:tc>
      </w:tr>
      <w:tr>
        <w:trPr>
          <w:trHeight w:val="2261"/>
        </w:trPr>
        <w:tc>
          <w:tcPr>
            <w:tcW w:w="368" w:type="pct"/>
            <w:textDirection w:val="lrTb"/>
            <w:noWrap w:val="false"/>
          </w:tcPr>
          <w:p>
            <w:pPr>
              <w:pStyle w:val="930"/>
              <w:jc w:val="center"/>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tcW w:w="977"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知识产权(完全响应)</w:t>
            </w:r>
            <w:r/>
          </w:p>
        </w:tc>
        <w:tc>
          <w:tcPr>
            <w:tcW w:w="3653"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中标供应商应保证所提供的软件为正版产品，涉及到的知识产权是合法取得，并享有完整的知识产权，不会因为采购人的使用而被责令停止使用、追偿或要求赔偿损失，如出现此情况，一切经济和法律责任均由中标供应商承担，与采购人不涉， 如由此给采购人造成损失的，中标供应商应承担赔偿责任。</w:t>
            </w:r>
            <w:r/>
          </w:p>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中标供应商依据响应文件向采购人交付的服务和成果（包含委托开发相关的代码编写标准及源程序代码）的全部知识产权属于采购人，中标供应商应当协助采购人做好软件著作权等申报工作。</w:t>
            </w:r>
            <w:r/>
          </w:p>
        </w:tc>
      </w:tr>
      <w:tr>
        <w:trPr>
          <w:trHeight w:val="1431"/>
        </w:trPr>
        <w:tc>
          <w:tcPr>
            <w:tcW w:w="368" w:type="pct"/>
            <w:textDirection w:val="lrTb"/>
            <w:noWrap w:val="false"/>
          </w:tcPr>
          <w:p>
            <w:pPr>
              <w:pStyle w:val="930"/>
              <w:jc w:val="center"/>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tcW w:w="977" w:type="pct"/>
            <w:textDirection w:val="lrTb"/>
            <w:noWrap w:val="false"/>
          </w:tcPr>
          <w:p>
            <w:pPr>
              <w:pStyle w:val="930"/>
              <w:jc w:val="center"/>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保密要求(完全响应)</w:t>
            </w:r>
            <w:r/>
          </w:p>
        </w:tc>
        <w:tc>
          <w:tcPr>
            <w:tcW w:w="3653" w:type="pct"/>
            <w:textDirection w:val="lrTb"/>
            <w:noWrap w:val="false"/>
          </w:tcPr>
          <w:p>
            <w:pPr>
              <w:pStyle w:val="930"/>
              <w:jc w:val="lef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中标供应商对采购人提供的业务资料、技术资料应严格保密，不得扩散。中标供应商不得将任何平台存储管理的规划资源数据用于本项目以外的工作，不得以商业目的使用上述数据或者开发和生产其他产 品。未经主管部门的书面许可，不得以任何形式向第三方提供数据成果，不得将数据成果在互联网上传输、登载。</w:t>
            </w:r>
            <w:r/>
          </w:p>
        </w:tc>
      </w:tr>
    </w:tbl>
    <w:p>
      <w:pPr>
        <w:pStyle w:val="925"/>
        <w:spacing w:line="360" w:lineRule="auto"/>
        <w:tabs>
          <w:tab w:val="left" w:pos="1978" w:leader="none"/>
          <w:tab w:val="left" w:pos="1979" w:leader="none"/>
        </w:tabs>
        <w:rPr>
          <w:rFonts w:hint="eastAsia" w:ascii="仿宋" w:hAnsi="仿宋" w:eastAsia="仿宋" w:cs="仿宋"/>
          <w:b/>
          <w:color w:val="auto"/>
          <w:sz w:val="24"/>
          <w:highlight w:val="none"/>
        </w:rPr>
      </w:pPr>
      <w:r/>
      <w:bookmarkStart w:id="114" w:name="4.6_付款条件"/>
      <w:r/>
      <w:bookmarkEnd w:id="114"/>
      <w:r/>
      <w:r/>
    </w:p>
    <w:p>
      <w:pPr>
        <w:pStyle w:val="925"/>
        <w:ind w:left="0" w:firstLine="0"/>
        <w:spacing w:line="360" w:lineRule="auto"/>
        <w:tabs>
          <w:tab w:val="left" w:pos="1978" w:leader="none"/>
          <w:tab w:val="left" w:pos="1979"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六、付款条件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合同签订后，采购人支付中标供应商合同总价款的11%</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合同履行180天后，采购人支付中标供应商合同总价款的40%（根据财政预算下达情况确定是否按期支付）</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通过采购人验收、提交归档成果后，采购人支付中标供应商合同总价款的49%</w:t>
      </w:r>
      <w:r>
        <w:rPr>
          <w:rFonts w:hint="eastAsia" w:ascii="仿宋" w:hAnsi="仿宋" w:eastAsia="仿宋" w:cs="仿宋"/>
          <w:color w:val="auto"/>
          <w:sz w:val="24"/>
          <w:highlight w:val="none"/>
        </w:rPr>
        <w:t xml:space="preserve">。</w:t>
      </w:r>
      <w:r/>
    </w:p>
    <w:p>
      <w:pPr>
        <w:pStyle w:val="925"/>
        <w:ind w:left="0" w:firstLine="0"/>
        <w:spacing w:line="360" w:lineRule="auto"/>
        <w:tabs>
          <w:tab w:val="left" w:pos="1978" w:leader="none"/>
          <w:tab w:val="left" w:pos="1979" w:leader="none"/>
        </w:tabs>
        <w:rPr>
          <w:rFonts w:hint="eastAsia" w:ascii="仿宋" w:hAnsi="仿宋" w:eastAsia="仿宋" w:cs="仿宋"/>
          <w:b/>
          <w:color w:val="auto"/>
          <w:sz w:val="24"/>
          <w:highlight w:val="none"/>
        </w:rPr>
      </w:pPr>
      <w:r/>
      <w:bookmarkStart w:id="115" w:name="4.7_交货时间和地点"/>
      <w:r/>
      <w:bookmarkEnd w:id="115"/>
      <w:r>
        <w:rPr>
          <w:rFonts w:hint="eastAsia" w:ascii="仿宋" w:hAnsi="仿宋" w:eastAsia="仿宋" w:cs="仿宋"/>
          <w:b/>
          <w:color w:val="auto"/>
          <w:sz w:val="24"/>
          <w:highlight w:val="none"/>
        </w:rPr>
        <w:t xml:space="preserve">七、</w:t>
      </w:r>
      <w:r>
        <w:rPr>
          <w:rFonts w:hint="eastAsia" w:ascii="仿宋" w:hAnsi="仿宋" w:eastAsia="仿宋" w:cs="仿宋"/>
          <w:b/>
          <w:color w:val="auto"/>
          <w:sz w:val="24"/>
          <w:highlight w:val="none"/>
          <w:lang w:val="en-US" w:eastAsia="zh-CN"/>
        </w:rPr>
        <w:t xml:space="preserve">服务</w:t>
      </w:r>
      <w:r>
        <w:rPr>
          <w:rFonts w:hint="eastAsia" w:ascii="仿宋" w:hAnsi="仿宋" w:eastAsia="仿宋" w:cs="仿宋"/>
          <w:b/>
          <w:color w:val="auto"/>
          <w:sz w:val="24"/>
          <w:highlight w:val="none"/>
        </w:rPr>
        <w:t xml:space="preserve">时间和地点</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服务时间：1年。</w:t>
      </w:r>
      <w:bookmarkStart w:id="171" w:name="_GoBack"/>
      <w:r/>
      <w:bookmarkEnd w:id="171"/>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服务地点：采购人指定。</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firstLine="482"/>
        <w:keepLines w:val="0"/>
        <w:keepNext w:val="0"/>
        <w:pageBreakBefore w:val="0"/>
        <w:spacing w:after="0"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注：本章要求均为实质性要求，不允许负偏离，否则投标文件按照无效处理。</w:t>
      </w:r>
      <w:r/>
    </w:p>
    <w:p>
      <w:pPr>
        <w:jc w:val="center"/>
        <w:rPr>
          <w:rFonts w:hint="eastAsia" w:ascii="仿宋" w:hAnsi="仿宋" w:eastAsia="仿宋" w:cs="仿宋"/>
          <w:color w:val="auto"/>
          <w:sz w:val="24"/>
          <w:highlight w:val="none"/>
        </w:rPr>
        <w:sectPr>
          <w:footerReference w:type="default" r:id="rId12"/>
          <w:footnotePr/>
          <w:endnotePr/>
          <w:type w:val="nextPage"/>
          <w:pgSz w:w="11906" w:h="16838" w:orient="portrait"/>
          <w:pgMar w:top="1247" w:right="1134" w:bottom="1247" w:left="1247" w:header="851" w:footer="992" w:gutter="0"/>
          <w:pgNumType w:start="1"/>
          <w:cols w:num="1" w:sep="0" w:space="1701" w:equalWidth="1"/>
          <w:docGrid w:linePitch="360"/>
        </w:sectPr>
      </w:pPr>
      <w:r>
        <w:rPr>
          <w:rFonts w:hint="eastAsia" w:ascii="仿宋" w:hAnsi="仿宋" w:eastAsia="仿宋" w:cs="仿宋"/>
          <w:color w:val="auto"/>
          <w:sz w:val="24"/>
          <w:highlight w:val="none"/>
        </w:rPr>
      </w:r>
      <w:r/>
    </w:p>
    <w:p>
      <w:pPr>
        <w:jc w:val="center"/>
        <w:rPr>
          <w:rFonts w:hint="eastAsia" w:ascii="仿宋" w:hAnsi="仿宋" w:eastAsia="仿宋" w:cs="仿宋"/>
          <w:b/>
          <w:color w:val="auto"/>
          <w:sz w:val="30"/>
          <w:szCs w:val="30"/>
          <w:highlight w:val="none"/>
        </w:rPr>
      </w:pPr>
      <w:r/>
      <w:bookmarkStart w:id="116" w:name="_Toc15943"/>
      <w:r>
        <w:rPr>
          <w:rStyle w:val="913"/>
          <w:rFonts w:hint="eastAsia" w:ascii="仿宋" w:hAnsi="仿宋" w:eastAsia="仿宋" w:cs="仿宋"/>
          <w:color w:val="auto"/>
          <w:sz w:val="36"/>
          <w:szCs w:val="36"/>
          <w:highlight w:val="none"/>
        </w:rPr>
        <w:t xml:space="preserve">第五章 合同</w:t>
      </w:r>
      <w:r>
        <w:rPr>
          <w:rStyle w:val="913"/>
          <w:rFonts w:hint="eastAsia" w:ascii="仿宋" w:hAnsi="仿宋" w:eastAsia="仿宋" w:cs="仿宋"/>
          <w:color w:val="auto"/>
          <w:sz w:val="36"/>
          <w:szCs w:val="36"/>
          <w:highlight w:val="none"/>
          <w:lang w:val="en-US" w:eastAsia="zh-CN"/>
        </w:rPr>
        <w:t xml:space="preserve">条款及</w:t>
      </w:r>
      <w:r>
        <w:rPr>
          <w:rStyle w:val="913"/>
          <w:rFonts w:hint="eastAsia" w:ascii="仿宋" w:hAnsi="仿宋" w:eastAsia="仿宋" w:cs="仿宋"/>
          <w:color w:val="auto"/>
          <w:sz w:val="36"/>
          <w:szCs w:val="36"/>
          <w:highlight w:val="none"/>
        </w:rPr>
        <w:t xml:space="preserve">格式</w:t>
      </w:r>
      <w:bookmarkEnd w:id="109"/>
      <w:r/>
      <w:bookmarkEnd w:id="110"/>
      <w:r/>
      <w:bookmarkEnd w:id="111"/>
      <w:r/>
      <w:bookmarkEnd w:id="116"/>
      <w:r/>
      <w:r/>
    </w:p>
    <w:p>
      <w:pPr>
        <w:jc w:val="center"/>
        <w:rPr>
          <w:rStyle w:val="928"/>
          <w:rFonts w:hint="eastAsia" w:ascii="仿宋" w:hAnsi="仿宋" w:eastAsia="仿宋" w:cs="仿宋"/>
          <w:color w:val="auto"/>
          <w:sz w:val="52"/>
          <w:highlight w:val="none"/>
        </w:rPr>
      </w:pPr>
      <w:r>
        <w:rPr>
          <w:rFonts w:hint="eastAsia" w:ascii="仿宋" w:hAnsi="仿宋" w:eastAsia="仿宋" w:cs="仿宋"/>
          <w:color w:val="auto"/>
          <w:sz w:val="52"/>
          <w:highlight w:val="none"/>
        </w:rPr>
      </w:r>
      <w:r/>
    </w:p>
    <w:p>
      <w:pPr>
        <w:jc w:val="center"/>
        <w:rPr>
          <w:rStyle w:val="928"/>
          <w:rFonts w:hint="eastAsia" w:ascii="仿宋" w:hAnsi="仿宋" w:eastAsia="仿宋" w:cs="仿宋"/>
          <w:color w:val="auto"/>
          <w:sz w:val="52"/>
          <w:highlight w:val="none"/>
        </w:rPr>
      </w:pPr>
      <w:r>
        <w:rPr>
          <w:rFonts w:hint="eastAsia" w:ascii="仿宋" w:hAnsi="仿宋" w:eastAsia="仿宋" w:cs="仿宋"/>
          <w:color w:val="auto"/>
          <w:sz w:val="52"/>
          <w:highlight w:val="none"/>
        </w:rPr>
      </w:r>
      <w:r/>
    </w:p>
    <w:p>
      <w:pPr>
        <w:jc w:val="center"/>
        <w:rPr>
          <w:rStyle w:val="928"/>
          <w:rFonts w:hint="eastAsia" w:ascii="仿宋" w:hAnsi="仿宋" w:eastAsia="仿宋" w:cs="仿宋"/>
          <w:color w:val="auto"/>
          <w:sz w:val="52"/>
          <w:highlight w:val="none"/>
        </w:rPr>
      </w:pPr>
      <w:r>
        <w:rPr>
          <w:rFonts w:hint="eastAsia" w:ascii="仿宋" w:hAnsi="仿宋" w:eastAsia="仿宋" w:cs="仿宋"/>
          <w:color w:val="auto"/>
          <w:sz w:val="52"/>
          <w:highlight w:val="none"/>
        </w:rPr>
      </w:r>
      <w:r/>
    </w:p>
    <w:p>
      <w:pPr>
        <w:jc w:val="center"/>
        <w:rPr>
          <w:rFonts w:hint="eastAsia" w:ascii="仿宋" w:hAnsi="仿宋" w:eastAsia="仿宋" w:cs="仿宋"/>
          <w:b/>
          <w:bCs/>
          <w:color w:val="auto"/>
          <w:sz w:val="56"/>
          <w:szCs w:val="56"/>
          <w:highlight w:val="none"/>
        </w:rPr>
      </w:pPr>
      <w:r>
        <w:rPr>
          <w:rFonts w:hint="eastAsia" w:ascii="仿宋" w:hAnsi="仿宋" w:eastAsia="仿宋" w:cs="仿宋"/>
          <w:b/>
          <w:bCs/>
          <w:color w:val="auto"/>
          <w:sz w:val="56"/>
          <w:szCs w:val="56"/>
          <w:highlight w:val="none"/>
        </w:rPr>
        <w:t xml:space="preserve">南京市政府采购合同</w:t>
      </w:r>
      <w:r/>
    </w:p>
    <w:p>
      <w:pPr>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926"/>
        <w:rPr>
          <w:rFonts w:hint="eastAsia" w:ascii="仿宋" w:hAnsi="仿宋" w:eastAsia="仿宋" w:cs="仿宋"/>
          <w:color w:val="auto"/>
          <w:szCs w:val="20"/>
          <w:highlight w:val="none"/>
        </w:rPr>
      </w:pPr>
      <w:r>
        <w:rPr>
          <w:rFonts w:hint="eastAsia" w:ascii="仿宋" w:hAnsi="仿宋" w:eastAsia="仿宋" w:cs="仿宋"/>
          <w:color w:val="auto"/>
          <w:szCs w:val="20"/>
          <w:highlight w:val="none"/>
        </w:rPr>
      </w:r>
      <w:r/>
    </w:p>
    <w:p>
      <w:pPr>
        <w:pStyle w:val="926"/>
        <w:rPr>
          <w:rFonts w:hint="eastAsia" w:ascii="仿宋" w:hAnsi="仿宋" w:eastAsia="仿宋" w:cs="仿宋"/>
          <w:color w:val="auto"/>
          <w:szCs w:val="20"/>
          <w:highlight w:val="none"/>
        </w:rPr>
      </w:pPr>
      <w:r>
        <w:rPr>
          <w:rFonts w:hint="eastAsia" w:ascii="仿宋" w:hAnsi="仿宋" w:eastAsia="仿宋" w:cs="仿宋"/>
          <w:color w:val="auto"/>
          <w:szCs w:val="20"/>
          <w:highlight w:val="none"/>
        </w:rPr>
      </w:r>
      <w:r/>
    </w:p>
    <w:p>
      <w:pPr>
        <w:pStyle w:val="926"/>
        <w:rPr>
          <w:rFonts w:hint="eastAsia" w:ascii="仿宋" w:hAnsi="仿宋" w:eastAsia="仿宋" w:cs="仿宋"/>
          <w:color w:val="auto"/>
          <w:highlight w:val="none"/>
        </w:rPr>
      </w:pPr>
      <w:r>
        <w:rPr>
          <w:rFonts w:hint="eastAsia" w:ascii="仿宋" w:hAnsi="仿宋" w:eastAsia="仿宋" w:cs="仿宋"/>
          <w:color w:val="auto"/>
          <w:highlight w:val="none"/>
        </w:rPr>
      </w:r>
      <w:r/>
    </w:p>
    <w:p>
      <w:pPr>
        <w:pStyle w:val="926"/>
        <w:rPr>
          <w:rFonts w:hint="eastAsia" w:ascii="仿宋" w:hAnsi="仿宋" w:eastAsia="仿宋" w:cs="仿宋"/>
          <w:color w:val="auto"/>
          <w:szCs w:val="20"/>
          <w:highlight w:val="none"/>
        </w:rPr>
      </w:pPr>
      <w:r>
        <w:rPr>
          <w:rFonts w:hint="eastAsia" w:ascii="仿宋" w:hAnsi="仿宋" w:eastAsia="仿宋" w:cs="仿宋"/>
          <w:color w:val="auto"/>
          <w:szCs w:val="20"/>
          <w:highlight w:val="none"/>
        </w:rPr>
      </w:r>
      <w:r/>
    </w:p>
    <w:p>
      <w:pPr>
        <w:ind w:firstLine="720"/>
        <w:spacing w:before="408" w:line="600" w:lineRule="exact"/>
        <w:tabs>
          <w:tab w:val="left" w:pos="7713" w:leader="none"/>
        </w:tabs>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合同编号：</w:t>
      </w:r>
      <w:r>
        <w:rPr>
          <w:rFonts w:hint="eastAsia" w:ascii="仿宋" w:hAnsi="仿宋" w:eastAsia="仿宋" w:cs="仿宋"/>
          <w:color w:val="auto"/>
          <w:sz w:val="36"/>
          <w:szCs w:val="36"/>
          <w:highlight w:val="none"/>
          <w:u w:val="single"/>
        </w:rPr>
        <w:t xml:space="preserve">                             </w:t>
      </w:r>
      <w:r/>
    </w:p>
    <w:p>
      <w:pPr>
        <w:ind w:left="1798" w:hanging="1080"/>
        <w:spacing w:line="600" w:lineRule="exact"/>
        <w:tabs>
          <w:tab w:val="left" w:pos="7701" w:leader="none"/>
        </w:tabs>
        <w:rPr>
          <w:rFonts w:hint="eastAsia"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 xml:space="preserve">项目名称：</w:t>
      </w:r>
      <w:r>
        <w:rPr>
          <w:rFonts w:hint="eastAsia" w:ascii="仿宋" w:hAnsi="仿宋" w:eastAsia="仿宋" w:cs="仿宋"/>
          <w:color w:val="auto"/>
          <w:sz w:val="36"/>
          <w:szCs w:val="36"/>
          <w:highlight w:val="none"/>
          <w:u w:val="single"/>
        </w:rPr>
        <w:t xml:space="preserve">                             </w:t>
      </w:r>
      <w:r/>
    </w:p>
    <w:p>
      <w:pPr>
        <w:ind w:firstLine="720"/>
        <w:spacing w:line="600" w:lineRule="exact"/>
        <w:tabs>
          <w:tab w:val="left" w:pos="7701" w:leader="none"/>
        </w:tabs>
        <w:rPr>
          <w:rFonts w:hint="eastAsia"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lang w:val="en-US" w:eastAsia="zh-CN"/>
        </w:rPr>
        <w:t xml:space="preserve">采 购 人</w:t>
      </w:r>
      <w:r>
        <w:rPr>
          <w:rFonts w:hint="eastAsia" w:ascii="仿宋" w:hAnsi="仿宋" w:eastAsia="仿宋" w:cs="仿宋"/>
          <w:color w:val="auto"/>
          <w:sz w:val="36"/>
          <w:szCs w:val="36"/>
          <w:highlight w:val="none"/>
        </w:rPr>
        <w:t xml:space="preserve">：</w:t>
      </w:r>
      <w:r>
        <w:rPr>
          <w:rFonts w:hint="eastAsia" w:ascii="仿宋" w:hAnsi="仿宋" w:eastAsia="仿宋" w:cs="仿宋"/>
          <w:color w:val="auto"/>
          <w:sz w:val="36"/>
          <w:szCs w:val="36"/>
          <w:highlight w:val="none"/>
          <w:u w:val="single"/>
        </w:rPr>
        <w:t xml:space="preserve">                             </w:t>
      </w:r>
      <w:r/>
    </w:p>
    <w:p>
      <w:pPr>
        <w:ind w:firstLine="720"/>
        <w:spacing w:line="600" w:lineRule="exact"/>
        <w:tabs>
          <w:tab w:val="left" w:pos="7699" w:leader="none"/>
        </w:tabs>
        <w:rPr>
          <w:rFonts w:hint="eastAsia"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lang w:val="en-US" w:eastAsia="zh-CN"/>
        </w:rPr>
        <w:t xml:space="preserve">供 应 商</w:t>
      </w:r>
      <w:r>
        <w:rPr>
          <w:rFonts w:hint="eastAsia" w:ascii="仿宋" w:hAnsi="仿宋" w:eastAsia="仿宋" w:cs="仿宋"/>
          <w:color w:val="auto"/>
          <w:sz w:val="36"/>
          <w:szCs w:val="36"/>
          <w:highlight w:val="none"/>
        </w:rPr>
        <w:t xml:space="preserve">：</w:t>
      </w:r>
      <w:r>
        <w:rPr>
          <w:rFonts w:hint="eastAsia" w:ascii="仿宋" w:hAnsi="仿宋" w:eastAsia="仿宋" w:cs="仿宋"/>
          <w:color w:val="auto"/>
          <w:sz w:val="36"/>
          <w:szCs w:val="36"/>
          <w:highlight w:val="none"/>
          <w:u w:val="single"/>
        </w:rPr>
        <w:t xml:space="preserve">                             </w:t>
      </w:r>
      <w:r/>
    </w:p>
    <w:p>
      <w:pPr>
        <w:ind w:firstLine="720"/>
        <w:rPr>
          <w:rFonts w:hint="eastAsia" w:ascii="仿宋" w:hAnsi="仿宋" w:eastAsia="仿宋" w:cs="仿宋"/>
          <w:color w:val="auto"/>
          <w:sz w:val="18"/>
          <w:szCs w:val="18"/>
          <w:highlight w:val="none"/>
        </w:rPr>
      </w:pPr>
      <w:r>
        <w:rPr>
          <w:rFonts w:hint="eastAsia" w:ascii="仿宋" w:hAnsi="仿宋" w:eastAsia="仿宋" w:cs="仿宋"/>
          <w:color w:val="auto"/>
          <w:sz w:val="36"/>
          <w:szCs w:val="36"/>
          <w:highlight w:val="none"/>
        </w:rPr>
        <w:t xml:space="preserve">签订日期：</w:t>
      </w:r>
      <w:r>
        <w:rPr>
          <w:rFonts w:hint="eastAsia" w:ascii="仿宋" w:hAnsi="仿宋" w:eastAsia="仿宋" w:cs="仿宋"/>
          <w:color w:val="auto"/>
          <w:sz w:val="36"/>
          <w:szCs w:val="36"/>
          <w:highlight w:val="none"/>
          <w:u w:val="single"/>
        </w:rPr>
        <w:t xml:space="preserve">                             </w:t>
      </w:r>
      <w:r/>
    </w:p>
    <w:p>
      <w:pPr>
        <w:ind w:firstLine="1807"/>
        <w:rPr>
          <w:rFonts w:hint="eastAsia" w:ascii="仿宋" w:hAnsi="仿宋" w:eastAsia="仿宋" w:cs="仿宋"/>
          <w:b/>
          <w:color w:val="auto"/>
          <w:highlight w:val="none"/>
        </w:rPr>
      </w:pPr>
      <w:r>
        <w:rPr>
          <w:rFonts w:hint="eastAsia" w:ascii="仿宋" w:hAnsi="仿宋" w:eastAsia="仿宋" w:cs="仿宋"/>
          <w:b/>
          <w:color w:val="auto"/>
          <w:sz w:val="30"/>
          <w:highlight w:val="none"/>
        </w:rPr>
        <w:t xml:space="preserve">      </w:t>
      </w:r>
      <w:r/>
    </w:p>
    <w:p>
      <w:pPr>
        <w:ind w:firstLine="1505"/>
        <w:rPr>
          <w:rFonts w:hint="eastAsia" w:ascii="仿宋" w:hAnsi="仿宋" w:eastAsia="仿宋" w:cs="仿宋"/>
          <w:b/>
          <w:color w:val="auto"/>
          <w:highlight w:val="none"/>
        </w:rPr>
      </w:pPr>
      <w:r>
        <w:rPr>
          <w:rFonts w:hint="eastAsia" w:ascii="仿宋" w:hAnsi="仿宋" w:eastAsia="仿宋" w:cs="仿宋"/>
          <w:b/>
          <w:color w:val="auto"/>
          <w:highlight w:val="none"/>
        </w:rPr>
      </w:r>
      <w:r/>
    </w:p>
    <w:p>
      <w:pPr>
        <w:ind w:right="748"/>
        <w:jc w:val="both"/>
        <w:spacing w:line="360" w:lineRule="auto"/>
        <w:widowControl w:val="off"/>
        <w:tabs>
          <w:tab w:val="left" w:pos="7517" w:leader="none"/>
        </w:tabs>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2342" w:right="748"/>
        <w:jc w:val="both"/>
        <w:spacing w:line="360" w:lineRule="auto"/>
        <w:widowControl w:val="off"/>
        <w:tabs>
          <w:tab w:val="left" w:pos="7517" w:leader="none"/>
        </w:tabs>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2342" w:right="748"/>
        <w:jc w:val="both"/>
        <w:spacing w:line="360" w:lineRule="auto"/>
        <w:widowControl w:val="off"/>
        <w:tabs>
          <w:tab w:val="left" w:pos="7517" w:leader="none"/>
        </w:tabs>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bl>
      <w:tblPr>
        <w:tblStyle w:val="737"/>
        <w:tblW w:w="9240" w:type="dxa"/>
        <w:jc w:val="center"/>
        <w:tblLayout w:type="fixed"/>
        <w:tblCellMar>
          <w:left w:w="108" w:type="dxa"/>
          <w:top w:w="0" w:type="dxa"/>
          <w:right w:w="108" w:type="dxa"/>
          <w:bottom w:w="0" w:type="dxa"/>
        </w:tblCellMar>
        <w:tblLook w:val="04A0" w:firstRow="1" w:lastRow="0" w:firstColumn="1" w:lastColumn="0" w:noHBand="0" w:noVBand="1"/>
      </w:tblPr>
      <w:tblGrid>
        <w:gridCol w:w="4620"/>
        <w:gridCol w:w="4620"/>
      </w:tblGrid>
      <w:tr>
        <w:trPr>
          <w:jc w:val="center"/>
          <w:trHeight w:val="546"/>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供应商：（以下称乙方）</w:t>
            </w:r>
            <w:r/>
          </w:p>
        </w:tc>
      </w:tr>
      <w:tr>
        <w:trPr>
          <w:jc w:val="center"/>
          <w:trHeight w:val="599"/>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住所地：</w:t>
            </w:r>
            <w:r/>
          </w:p>
        </w:tc>
      </w:tr>
    </w:tbl>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根据《中华人民共和国政府采购法》、《中华人民共和国民法典》等法律法规的规定，甲乙双方按照本项目的采购结果签订本合同。</w:t>
      </w:r>
      <w:r/>
    </w:p>
    <w:p>
      <w:pPr>
        <w:spacing w:line="360" w:lineRule="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第一条 合同标的</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服务内容： </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rPr>
        <w:t xml:space="preserve">。</w:t>
      </w:r>
      <w:r/>
    </w:p>
    <w:p>
      <w:pPr>
        <w:numPr>
          <w:ilvl w:val="0"/>
          <w:numId w:val="3"/>
        </w:num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服务工作要求</w:t>
      </w:r>
      <w:r/>
    </w:p>
    <w:p>
      <w:pPr>
        <w:ind w:firstLine="480"/>
        <w:keepLines/>
        <w:keepNext/>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以招标文件、响应文件和甲乙双方确认的方案为准。</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第三条 服务期限</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1、本项目服务期限为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spacing w:line="360" w:lineRule="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第四条 </w:t>
      </w:r>
      <w:r>
        <w:rPr>
          <w:rFonts w:hint="eastAsia" w:ascii="仿宋" w:hAnsi="仿宋" w:eastAsia="仿宋" w:cs="仿宋"/>
          <w:b/>
          <w:color w:val="auto"/>
          <w:sz w:val="24"/>
          <w:highlight w:val="none"/>
          <w:lang w:val="zh-CN"/>
        </w:rPr>
        <w:t xml:space="preserve">合同总价款 </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1、本合同项下总价款为人民币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 xml:space="preserve">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 xml:space="preserve">(含税)。</w:t>
      </w:r>
      <w:r/>
    </w:p>
    <w:p>
      <w:pPr>
        <w:spacing w:line="360" w:lineRule="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第</w:t>
      </w:r>
      <w:r>
        <w:rPr>
          <w:rFonts w:hint="eastAsia" w:ascii="仿宋" w:hAnsi="仿宋" w:eastAsia="仿宋" w:cs="仿宋"/>
          <w:b/>
          <w:color w:val="auto"/>
          <w:sz w:val="24"/>
          <w:highlight w:val="none"/>
        </w:rPr>
        <w:t xml:space="preserve">五</w:t>
      </w:r>
      <w:r>
        <w:rPr>
          <w:rFonts w:hint="eastAsia" w:ascii="仿宋" w:hAnsi="仿宋" w:eastAsia="仿宋" w:cs="仿宋"/>
          <w:b/>
          <w:color w:val="auto"/>
          <w:sz w:val="24"/>
          <w:highlight w:val="none"/>
          <w:lang w:val="zh-CN"/>
        </w:rPr>
        <w:t xml:space="preserve">条 资金支付</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1、本合同项下所有款项均以人民币支付。</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2、本合同项下的采购资金由甲方自行支付，甲方每次付款前，乙方需先行提供符合法律规定的等额发票，否则甲方有权延迟付款。</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3、具体费用支付：</w:t>
      </w:r>
      <w:r/>
    </w:p>
    <w:p>
      <w:pPr>
        <w:pStyle w:val="925"/>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合同签订后，采购人支付中标供应商合同总价款的11%</w:t>
      </w: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eastAsia="zh-CN"/>
        </w:rPr>
        <w:t xml:space="preserve">合同履行180天后，采购人支付中标供应商合同总价款的40%（根据财政预算下达情况确定是否按期支付）</w:t>
      </w: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eastAsia="zh-CN"/>
        </w:rPr>
        <w:t xml:space="preserve">通过采购人验收、提交归档成果后，采购人支付中标供应商合同总价款的49%</w:t>
      </w:r>
      <w:r>
        <w:rPr>
          <w:rFonts w:hint="eastAsia" w:ascii="仿宋" w:hAnsi="仿宋" w:eastAsia="仿宋" w:cs="仿宋"/>
          <w:color w:val="auto"/>
          <w:sz w:val="24"/>
          <w:szCs w:val="21"/>
          <w:highlight w:val="none"/>
        </w:rPr>
        <w:t xml:space="preserve">。</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第六条 组成本合同的有关文件 </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下列关于南京市政府采购</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号招标文件和有关附件、组成本合同的有关文件是本合同不可分割的组成部分，与本合同具有同等法律效力。组成本合同的有关文件如有不一致之处，以甲方指定为准。</w:t>
      </w:r>
      <w:r/>
    </w:p>
    <w:p>
      <w:pPr>
        <w:pStyle w:val="916"/>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（1）乙方提供的投标响应文件和报价表； </w:t>
      </w:r>
      <w:r/>
    </w:p>
    <w:p>
      <w:pPr>
        <w:pStyle w:val="916"/>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（2）技术规格响应表； </w:t>
      </w:r>
      <w:r/>
    </w:p>
    <w:p>
      <w:pPr>
        <w:pStyle w:val="916"/>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（3）投标承诺/服务承诺；</w:t>
      </w:r>
      <w:r/>
    </w:p>
    <w:p>
      <w:pPr>
        <w:pStyle w:val="916"/>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（4）中标通知书； </w:t>
      </w:r>
      <w:r/>
    </w:p>
    <w:p>
      <w:pPr>
        <w:pStyle w:val="916"/>
        <w:spacing w:line="360" w:lineRule="auto"/>
        <w:rPr>
          <w:rFonts w:hint="eastAsia" w:ascii="仿宋" w:hAnsi="仿宋" w:eastAsia="仿宋" w:cs="仿宋"/>
          <w:color w:val="auto"/>
          <w:highlight w:val="none"/>
        </w:rPr>
      </w:pPr>
      <w:r>
        <w:rPr>
          <w:rFonts w:hint="eastAsia" w:ascii="仿宋" w:hAnsi="仿宋" w:eastAsia="仿宋" w:cs="仿宋"/>
          <w:color w:val="auto"/>
          <w:sz w:val="24"/>
          <w:szCs w:val="22"/>
          <w:highlight w:val="none"/>
        </w:rPr>
        <w:t xml:space="preserve">（5）甲乙双方商定的其他文件等。</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第七条 权利保证</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乙方应保证为甲方提供服务时任何一部分不受第三方提出侵犯其专利权、版权、商标权或其他权利的起诉。一旦出现侵权，乙方应承担全部责任。</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第八条 质量保证</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必须符合国家行业现行标准；技术指标和安全性能必须符合国家的相关要求和标准。</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第九条 交付使用和验收</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1、乙方应当在合同签订后按招标文件规定的天数内完成所有服务。</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rPr>
          <w:rFonts w:hint="eastAsia" w:ascii="仿宋" w:hAnsi="仿宋" w:eastAsia="仿宋" w:cs="仿宋"/>
          <w:color w:val="auto"/>
          <w:sz w:val="24"/>
          <w:highlight w:val="none"/>
        </w:rPr>
        <w:t xml:space="preserve">甲方验收按照乙方提供的配置清单和现场实际投放数量予以验收，甲方不得无故拒绝验收。</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3、甲方自行组织或视情邀请相关专家或国家认可的机构参加验收，乙方提供的服务不符合招标文件和合同规定的，甲方有权拒收，并由乙方承担验收费用等。</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第十条 违约责任</w:t>
      </w:r>
      <w:r>
        <w:rPr>
          <w:rFonts w:hint="eastAsia" w:ascii="仿宋" w:hAnsi="仿宋" w:eastAsia="仿宋" w:cs="仿宋"/>
          <w:b/>
          <w:color w:val="auto"/>
          <w:sz w:val="24"/>
          <w:highlight w:val="none"/>
        </w:rPr>
        <w:tab/>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１、甲方无正当理由拒绝验收或拒付款的，甲方向乙方偿付合同总价的5%违约金。</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２、甲方未按合同规定的期限向乙方支付合同款的，每逾期1天甲方向乙方偿付欠款总额的5‰滞纳金，逾期超过三十天以上时，乙方有权暂停履行下阶段工作，并书面通知甲方。</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３、如乙方不能按期交付服务的,乙方应向甲方支付合同总价10%的违约金。</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5、因甲方原因导致项目延期，与乙方无关，因甲方原因导致乙方重复服务，超出甲方招标文件和乙方响应文件响应内容所产生的费用，由甲方据实支付给乙方。</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6、乙方所交付的服务不符合合同约定的，甲方有权拒收；甲方拒收的，乙方应向甲方支付合同总价5%的违约金，并应在甲方限定期限内予以整改。</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7、乙方未能通过甲方的期末验收，甲方有权核减5%的合同尾款。</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第十一条 合同的变更和终止</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1、除《政府采购法》第50条第二款规定的情形外，本合同一经签订，甲乙双方不得擅自变更、中止或终止合同。</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2、除发生法律规定的不能预见、不能避免并不能克服的客观情况外，甲乙双方不得放弃或拒绝履行合同。乙方放弃或拒绝履行合同，在三年内不得参加南京市政府代理机构组织的政府采购活动。</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第十二条 合同的转让</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乙方不得擅自部分或全部转让其应履行的合同义务。否则甲方有权解除合同并按合同总价款的10%追究乙方的违约责任，解除合同的通知自到达乙方之日起生效。</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第十三条 争议的解决</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1、因履行本合同引起的或与本合同有关的争议，甲、乙双方应首先通过友好协商解决，如果协商不能解决争议，则采取以下第（1）种方式解决争议：</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（1）向甲方所在地有管辖权的人民法院提起诉讼；</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（2）向南京仲裁委员会按其仲裁规则申请仲裁。</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2、在诉讼期间，本合同应继续履行。</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第十四条 诚实信用</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乙方应诚实信用，严格按照招标文件要求和承诺履行合同，不向甲方进行商业贿赂或者提供不正当利益。</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第十五条 合同生效及其他</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1、本合同自签订之日起生效，本合同一式肆份，甲乙双方各执贰份，具有同等法律效力。</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2、本合同应按照中华人民共和国的现行法律进行解释。</w:t>
      </w:r>
      <w:r/>
    </w:p>
    <w:p>
      <w:pPr>
        <w:pStyle w:val="926"/>
        <w:rPr>
          <w:rFonts w:hint="eastAsia" w:ascii="仿宋" w:hAnsi="仿宋" w:eastAsia="仿宋" w:cs="仿宋"/>
          <w:color w:val="auto"/>
          <w:highlight w:val="none"/>
        </w:rPr>
      </w:pPr>
      <w:r>
        <w:rPr>
          <w:rFonts w:hint="eastAsia" w:ascii="仿宋" w:hAnsi="仿宋" w:eastAsia="仿宋" w:cs="仿宋"/>
          <w:color w:val="auto"/>
          <w:highlight w:val="none"/>
        </w:rPr>
      </w:r>
      <w:r/>
    </w:p>
    <w:p>
      <w:pPr>
        <w:pStyle w:val="926"/>
        <w:ind w:firstLine="0"/>
        <w:rPr>
          <w:rFonts w:hint="eastAsia" w:ascii="仿宋" w:hAnsi="仿宋" w:eastAsia="仿宋" w:cs="仿宋"/>
          <w:color w:val="auto"/>
          <w:highlight w:val="none"/>
        </w:rPr>
      </w:pPr>
      <w:r>
        <w:rPr>
          <w:rFonts w:hint="eastAsia" w:ascii="仿宋" w:hAnsi="仿宋" w:eastAsia="仿宋" w:cs="仿宋"/>
          <w:color w:val="auto"/>
          <w:highlight w:val="none"/>
        </w:rPr>
        <w:t xml:space="preserve">以下无合同正文</w:t>
      </w:r>
      <w:r/>
    </w:p>
    <w:p>
      <w:pPr>
        <w:pStyle w:val="926"/>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sz w:val="24"/>
          <w:highlight w:val="none"/>
          <w:lang w:val="zh-CN" w:bidi="ar"/>
        </w:rPr>
      </w:pPr>
      <w:r>
        <w:rPr>
          <w:rFonts w:hint="eastAsia" w:ascii="仿宋" w:hAnsi="仿宋" w:eastAsia="仿宋" w:cs="仿宋"/>
          <w:color w:val="auto"/>
          <w:sz w:val="24"/>
          <w:highlight w:val="none"/>
          <w:lang w:val="zh-CN" w:bidi="ar"/>
        </w:rPr>
        <w:t xml:space="preserve">甲方（采购人）：（盖章）       乙方（供应商）：（盖章）</w:t>
      </w:r>
      <w:r/>
    </w:p>
    <w:p>
      <w:pPr>
        <w:ind w:firstLine="480"/>
        <w:spacing w:line="360" w:lineRule="auto"/>
        <w:rPr>
          <w:rFonts w:hint="eastAsia" w:ascii="仿宋" w:hAnsi="仿宋" w:eastAsia="仿宋" w:cs="仿宋"/>
          <w:color w:val="auto"/>
          <w:sz w:val="24"/>
          <w:highlight w:val="none"/>
          <w:lang w:val="zh-CN" w:bidi="ar"/>
        </w:rPr>
      </w:pPr>
      <w:r>
        <w:rPr>
          <w:rFonts w:hint="eastAsia" w:ascii="仿宋" w:hAnsi="仿宋" w:eastAsia="仿宋" w:cs="仿宋"/>
          <w:color w:val="auto"/>
          <w:sz w:val="24"/>
          <w:highlight w:val="none"/>
          <w:lang w:bidi="ar"/>
        </w:rPr>
        <w:t xml:space="preserve">项目负责人</w:t>
      </w:r>
      <w:r>
        <w:rPr>
          <w:rFonts w:hint="eastAsia" w:ascii="仿宋" w:hAnsi="仿宋" w:eastAsia="仿宋" w:cs="仿宋"/>
          <w:color w:val="auto"/>
          <w:sz w:val="24"/>
          <w:highlight w:val="none"/>
          <w:lang w:val="zh-CN" w:bidi="ar"/>
        </w:rPr>
        <w:t xml:space="preserve">：                   </w:t>
      </w:r>
      <w:r>
        <w:rPr>
          <w:rFonts w:hint="eastAsia" w:ascii="仿宋" w:hAnsi="仿宋" w:eastAsia="仿宋" w:cs="仿宋"/>
          <w:color w:val="auto"/>
          <w:sz w:val="24"/>
          <w:highlight w:val="none"/>
          <w:lang w:bidi="ar"/>
        </w:rPr>
        <w:t xml:space="preserve">项目负责人</w:t>
      </w:r>
      <w:r>
        <w:rPr>
          <w:rFonts w:hint="eastAsia" w:ascii="仿宋" w:hAnsi="仿宋" w:eastAsia="仿宋" w:cs="仿宋"/>
          <w:color w:val="auto"/>
          <w:sz w:val="24"/>
          <w:highlight w:val="none"/>
          <w:lang w:val="zh-CN" w:bidi="ar"/>
        </w:rPr>
        <w:t xml:space="preserve">：</w:t>
      </w:r>
      <w:r/>
    </w:p>
    <w:p>
      <w:pPr>
        <w:ind w:firstLine="480"/>
        <w:spacing w:line="360" w:lineRule="auto"/>
        <w:rPr>
          <w:rFonts w:hint="eastAsia" w:ascii="仿宋" w:hAnsi="仿宋" w:eastAsia="仿宋" w:cs="仿宋"/>
          <w:color w:val="auto"/>
          <w:sz w:val="24"/>
          <w:highlight w:val="none"/>
          <w:lang w:val="zh-CN" w:bidi="ar"/>
        </w:rPr>
      </w:pPr>
      <w:r>
        <w:rPr>
          <w:rFonts w:hint="eastAsia" w:ascii="仿宋" w:hAnsi="仿宋" w:eastAsia="仿宋" w:cs="仿宋"/>
          <w:color w:val="auto"/>
          <w:sz w:val="24"/>
          <w:highlight w:val="none"/>
          <w:lang w:val="zh-CN" w:bidi="ar"/>
        </w:rPr>
        <w:t xml:space="preserve">电话：                         电话：</w:t>
      </w:r>
      <w:r/>
    </w:p>
    <w:p>
      <w:pPr>
        <w:ind w:firstLine="480"/>
        <w:spacing w:line="360" w:lineRule="auto"/>
        <w:rPr>
          <w:rFonts w:hint="eastAsia" w:ascii="仿宋" w:hAnsi="仿宋" w:eastAsia="仿宋" w:cs="仿宋"/>
          <w:color w:val="auto"/>
          <w:sz w:val="24"/>
          <w:highlight w:val="none"/>
          <w:lang w:val="zh-CN" w:bidi="ar"/>
        </w:rPr>
      </w:pPr>
      <w:r>
        <w:rPr>
          <w:rFonts w:hint="eastAsia" w:ascii="仿宋" w:hAnsi="仿宋" w:eastAsia="仿宋" w:cs="仿宋"/>
          <w:color w:val="auto"/>
          <w:sz w:val="24"/>
          <w:highlight w:val="none"/>
          <w:lang w:val="zh-CN" w:bidi="ar"/>
        </w:rPr>
        <w:t xml:space="preserve">开户银行：                     开户银行：</w:t>
      </w:r>
      <w:r/>
    </w:p>
    <w:p>
      <w:pPr>
        <w:ind w:firstLine="480"/>
        <w:spacing w:line="360" w:lineRule="auto"/>
        <w:rPr>
          <w:rFonts w:hint="eastAsia" w:ascii="仿宋" w:hAnsi="仿宋" w:eastAsia="仿宋" w:cs="仿宋"/>
          <w:color w:val="auto"/>
          <w:sz w:val="24"/>
          <w:highlight w:val="none"/>
          <w:lang w:val="zh-CN" w:bidi="ar"/>
        </w:rPr>
      </w:pPr>
      <w:r>
        <w:rPr>
          <w:rFonts w:hint="eastAsia" w:ascii="仿宋" w:hAnsi="仿宋" w:eastAsia="仿宋" w:cs="仿宋"/>
          <w:color w:val="auto"/>
          <w:sz w:val="24"/>
          <w:highlight w:val="none"/>
          <w:lang w:bidi="ar"/>
        </w:rPr>
        <w:t xml:space="preserve">账号：                         账号：</w:t>
      </w:r>
      <w:r/>
    </w:p>
    <w:p>
      <w:pPr>
        <w:ind w:firstLine="720"/>
        <w:jc w:val="both"/>
        <w:spacing w:line="360" w:lineRule="exact"/>
        <w:widowControl w:val="off"/>
        <w:rPr>
          <w:rFonts w:hint="eastAsia" w:ascii="宋体" w:hAnsi="宋体"/>
          <w:color w:val="auto"/>
          <w:sz w:val="21"/>
          <w:szCs w:val="21"/>
          <w:highlight w:val="none"/>
        </w:rPr>
      </w:pPr>
      <w:r>
        <w:rPr>
          <w:rFonts w:hint="eastAsia" w:ascii="仿宋" w:hAnsi="仿宋" w:eastAsia="仿宋" w:cs="仿宋"/>
          <w:color w:val="auto"/>
          <w:sz w:val="24"/>
          <w:highlight w:val="none"/>
          <w:lang w:val="zh-CN" w:bidi="ar"/>
        </w:rPr>
        <w:t xml:space="preserve">日期： </w:t>
      </w:r>
      <w:r>
        <w:rPr>
          <w:rFonts w:hint="eastAsia" w:ascii="仿宋" w:hAnsi="仿宋" w:eastAsia="仿宋" w:cs="仿宋"/>
          <w:color w:val="auto"/>
          <w:sz w:val="24"/>
          <w:highlight w:val="none"/>
          <w:lang w:bidi="ar"/>
        </w:rPr>
        <w:t xml:space="preserve">  </w:t>
      </w:r>
      <w:r>
        <w:rPr>
          <w:rFonts w:hint="eastAsia" w:ascii="仿宋" w:hAnsi="仿宋" w:eastAsia="仿宋" w:cs="仿宋"/>
          <w:color w:val="auto"/>
          <w:sz w:val="24"/>
          <w:highlight w:val="none"/>
          <w:lang w:val="zh-CN" w:bidi="ar"/>
        </w:rPr>
        <w:t xml:space="preserve">  年    月 </w:t>
      </w:r>
      <w:r>
        <w:rPr>
          <w:rFonts w:hint="eastAsia" w:ascii="仿宋" w:hAnsi="仿宋" w:eastAsia="仿宋" w:cs="仿宋"/>
          <w:color w:val="auto"/>
          <w:sz w:val="24"/>
          <w:highlight w:val="none"/>
          <w:lang w:bidi="ar"/>
        </w:rPr>
        <w:t xml:space="preserve"> </w:t>
      </w:r>
      <w:r>
        <w:rPr>
          <w:rFonts w:hint="eastAsia" w:ascii="仿宋" w:hAnsi="仿宋" w:eastAsia="仿宋" w:cs="仿宋"/>
          <w:color w:val="auto"/>
          <w:sz w:val="24"/>
          <w:highlight w:val="none"/>
          <w:lang w:val="zh-CN" w:bidi="ar"/>
        </w:rPr>
        <w:t xml:space="preserve">  日     </w:t>
      </w:r>
      <w:r>
        <w:rPr>
          <w:rFonts w:hint="eastAsia" w:ascii="仿宋" w:hAnsi="仿宋" w:eastAsia="仿宋" w:cs="仿宋"/>
          <w:color w:val="auto"/>
          <w:sz w:val="24"/>
          <w:highlight w:val="none"/>
          <w:lang w:bidi="ar"/>
        </w:rPr>
        <w:t xml:space="preserve"> </w:t>
      </w:r>
      <w:r>
        <w:rPr>
          <w:rFonts w:hint="eastAsia" w:ascii="仿宋" w:hAnsi="仿宋" w:eastAsia="仿宋" w:cs="仿宋"/>
          <w:color w:val="auto"/>
          <w:sz w:val="24"/>
          <w:highlight w:val="none"/>
          <w:lang w:val="zh-CN" w:bidi="ar"/>
        </w:rPr>
        <w:t xml:space="preserve">日期：   年  月    日  </w:t>
      </w:r>
      <w:r/>
    </w:p>
    <w:p>
      <w:pPr>
        <w:jc w:val="both"/>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908"/>
        <w:jc w:val="center"/>
        <w:spacing w:before="0" w:after="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zh-CN"/>
        </w:rPr>
        <w:br w:type="page" w:clear="all"/>
      </w:r>
      <w:bookmarkStart w:id="117" w:name="_Toc135"/>
      <w:r>
        <w:rPr>
          <w:rFonts w:hint="eastAsia" w:ascii="仿宋" w:hAnsi="仿宋" w:eastAsia="仿宋" w:cs="仿宋"/>
          <w:color w:val="auto"/>
          <w:highlight w:val="none"/>
          <w:lang w:val="zh-CN"/>
        </w:rPr>
        <w:t xml:space="preserve">第六章 </w:t>
      </w:r>
      <w:r>
        <w:rPr>
          <w:rFonts w:hint="eastAsia" w:ascii="仿宋" w:hAnsi="仿宋" w:eastAsia="仿宋" w:cs="仿宋"/>
          <w:color w:val="auto"/>
          <w:highlight w:val="none"/>
        </w:rPr>
        <w:t xml:space="preserve">投标文件</w:t>
      </w:r>
      <w:bookmarkEnd w:id="117"/>
      <w:r>
        <w:rPr>
          <w:rFonts w:hint="eastAsia" w:ascii="仿宋" w:hAnsi="仿宋" w:eastAsia="仿宋" w:cs="仿宋"/>
          <w:color w:val="auto"/>
          <w:highlight w:val="none"/>
          <w:lang w:val="en-US" w:eastAsia="zh-CN"/>
        </w:rPr>
        <w:t xml:space="preserve">格式</w:t>
      </w:r>
      <w:r/>
    </w:p>
    <w:p>
      <w:pPr>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360" w:lineRule="auto"/>
        <w:rPr>
          <w:rFonts w:hint="eastAsia" w:ascii="仿宋" w:hAnsi="仿宋" w:eastAsia="仿宋" w:cs="仿宋"/>
          <w:bCs/>
          <w:color w:val="auto"/>
          <w:sz w:val="84"/>
          <w:szCs w:val="84"/>
          <w:highlight w:val="none"/>
          <w:lang w:val="zh-CN"/>
        </w:rPr>
      </w:pPr>
      <w:r>
        <w:rPr>
          <w:rFonts w:hint="eastAsia" w:ascii="仿宋" w:hAnsi="仿宋" w:eastAsia="仿宋" w:cs="仿宋"/>
          <w:bCs/>
          <w:color w:val="auto"/>
          <w:sz w:val="84"/>
          <w:szCs w:val="84"/>
          <w:highlight w:val="none"/>
          <w:lang w:val="zh-CN"/>
        </w:rPr>
        <w:t xml:space="preserve">投 标 </w:t>
      </w:r>
      <w:r>
        <w:rPr>
          <w:rFonts w:hint="eastAsia" w:ascii="仿宋" w:hAnsi="仿宋" w:eastAsia="仿宋" w:cs="仿宋"/>
          <w:bCs/>
          <w:color w:val="auto"/>
          <w:sz w:val="84"/>
          <w:szCs w:val="84"/>
          <w:highlight w:val="none"/>
        </w:rPr>
        <w:t xml:space="preserve">文 件</w:t>
      </w:r>
      <w:r/>
    </w:p>
    <w:p>
      <w:pPr>
        <w:jc w:val="center"/>
        <w:spacing w:line="360" w:lineRule="auto"/>
        <w:rPr>
          <w:rFonts w:hint="eastAsia" w:ascii="仿宋" w:hAnsi="仿宋" w:eastAsia="仿宋" w:cs="仿宋"/>
          <w:b/>
          <w:bCs/>
          <w:color w:val="auto"/>
          <w:sz w:val="84"/>
          <w:szCs w:val="84"/>
          <w:highlight w:val="none"/>
          <w:lang w:val="zh-CN"/>
        </w:rPr>
      </w:pPr>
      <w:r>
        <w:rPr>
          <w:rFonts w:hint="eastAsia" w:ascii="仿宋" w:hAnsi="仿宋" w:eastAsia="仿宋" w:cs="仿宋"/>
          <w:b/>
          <w:bCs/>
          <w:color w:val="auto"/>
          <w:sz w:val="84"/>
          <w:szCs w:val="84"/>
          <w:highlight w:val="none"/>
          <w:lang w:val="zh-CN"/>
        </w:rPr>
      </w:r>
      <w:r/>
    </w:p>
    <w:p>
      <w:pPr>
        <w:jc w:val="center"/>
        <w:spacing w:line="360" w:lineRule="auto"/>
        <w:rPr>
          <w:rFonts w:hint="eastAsia" w:ascii="仿宋" w:hAnsi="仿宋" w:eastAsia="仿宋" w:cs="仿宋"/>
          <w:b/>
          <w:bCs/>
          <w:color w:val="auto"/>
          <w:sz w:val="84"/>
          <w:szCs w:val="84"/>
          <w:highlight w:val="none"/>
          <w:lang w:val="zh-CN"/>
        </w:rPr>
      </w:pPr>
      <w:r>
        <w:rPr>
          <w:rFonts w:hint="eastAsia" w:ascii="仿宋" w:hAnsi="仿宋" w:eastAsia="仿宋" w:cs="仿宋"/>
          <w:b/>
          <w:bCs/>
          <w:color w:val="auto"/>
          <w:sz w:val="84"/>
          <w:szCs w:val="84"/>
          <w:highlight w:val="none"/>
          <w:lang w:val="zh-CN"/>
        </w:rPr>
      </w:r>
      <w:r/>
    </w:p>
    <w:p>
      <w:pPr>
        <w:ind w:firstLine="195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w:t>
      </w:r>
      <w:r/>
    </w:p>
    <w:p>
      <w:pPr>
        <w:ind w:firstLine="195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项目编号：</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91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950"/>
        <w:spacing w:line="360" w:lineRule="auto"/>
        <w:rPr>
          <w:rFonts w:hint="eastAsia" w:ascii="仿宋" w:hAnsi="仿宋" w:eastAsia="仿宋" w:cs="仿宋"/>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投 标 人：</w:t>
      </w:r>
      <w:r>
        <w:rPr>
          <w:rFonts w:hint="eastAsia" w:ascii="仿宋" w:hAnsi="仿宋" w:eastAsia="仿宋" w:cs="仿宋"/>
          <w:bCs/>
          <w:color w:val="auto"/>
          <w:sz w:val="30"/>
          <w:szCs w:val="30"/>
          <w:highlight w:val="none"/>
          <w:u w:val="single"/>
          <w:lang w:val="zh-CN"/>
        </w:rPr>
        <w:t xml:space="preserve">（加盖电子公章）</w:t>
      </w:r>
      <w:r/>
    </w:p>
    <w:p>
      <w:pPr>
        <w:spacing w:line="360" w:lineRule="auto"/>
        <w:rPr>
          <w:rFonts w:hint="eastAsia" w:ascii="仿宋" w:hAnsi="仿宋" w:eastAsia="仿宋" w:cs="仿宋"/>
          <w:color w:val="auto"/>
          <w:sz w:val="36"/>
          <w:szCs w:val="36"/>
          <w:highlight w:val="none"/>
          <w:lang w:val="zh-CN"/>
        </w:rPr>
      </w:pPr>
      <w:r>
        <w:rPr>
          <w:rFonts w:hint="eastAsia" w:ascii="仿宋" w:hAnsi="仿宋" w:eastAsia="仿宋" w:cs="仿宋"/>
          <w:color w:val="auto"/>
          <w:sz w:val="36"/>
          <w:szCs w:val="36"/>
          <w:highlight w:val="none"/>
          <w:lang w:val="zh-CN"/>
        </w:rPr>
      </w:r>
      <w:r/>
    </w:p>
    <w:p>
      <w:pPr>
        <w:ind w:firstLine="1928"/>
        <w:spacing w:line="360" w:lineRule="auto"/>
        <w:rPr>
          <w:rFonts w:hint="eastAsia" w:ascii="仿宋" w:hAnsi="仿宋" w:eastAsia="仿宋" w:cs="仿宋"/>
          <w:b/>
          <w:color w:val="auto"/>
          <w:szCs w:val="21"/>
          <w:highlight w:val="none"/>
          <w:lang w:val="zh-CN"/>
        </w:rPr>
      </w:pPr>
      <w:r>
        <w:rPr>
          <w:rFonts w:hint="eastAsia" w:ascii="仿宋" w:hAnsi="仿宋" w:eastAsia="仿宋" w:cs="仿宋"/>
          <w:b/>
          <w:bCs/>
          <w:color w:val="auto"/>
          <w:sz w:val="32"/>
          <w:szCs w:val="32"/>
          <w:highlight w:val="none"/>
          <w:lang w:val="zh-CN"/>
        </w:rPr>
        <w:t xml:space="preserve"> 日      期 ：年</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 xml:space="preserve">月</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 xml:space="preserve">日</w:t>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jc w:val="center"/>
        <w:rPr>
          <w:rFonts w:hint="eastAsia" w:ascii="仿宋" w:hAnsi="仿宋" w:eastAsia="仿宋" w:cs="仿宋"/>
          <w:b/>
          <w:color w:val="auto"/>
          <w:sz w:val="30"/>
          <w:szCs w:val="30"/>
          <w:highlight w:val="none"/>
          <w:lang w:val="en-US" w:eastAsia="zh-CN"/>
        </w:rPr>
      </w:pPr>
      <w:r/>
      <w:bookmarkStart w:id="118" w:name="_Toc25362"/>
      <w:r/>
      <w:r/>
    </w:p>
    <w:p>
      <w:pPr>
        <w:jc w:val="center"/>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r>
      <w:r/>
    </w:p>
    <w:p>
      <w:pPr>
        <w:jc w:val="center"/>
        <w:rPr>
          <w:rFonts w:hint="eastAsia" w:ascii="仿宋" w:hAnsi="仿宋" w:eastAsia="仿宋" w:cs="仿宋"/>
          <w:color w:val="auto"/>
          <w:sz w:val="20"/>
          <w:szCs w:val="20"/>
          <w:highlight w:val="none"/>
          <w:lang w:eastAsia="zh-CN"/>
        </w:rPr>
      </w:pPr>
      <w:r>
        <w:rPr>
          <w:rFonts w:hint="eastAsia" w:ascii="仿宋" w:hAnsi="仿宋" w:eastAsia="仿宋" w:cs="仿宋"/>
          <w:b/>
          <w:color w:val="auto"/>
          <w:sz w:val="30"/>
          <w:szCs w:val="30"/>
          <w:highlight w:val="none"/>
          <w:lang w:val="en-US" w:eastAsia="zh-CN"/>
        </w:rPr>
        <w:t xml:space="preserve">目  录</w:t>
      </w:r>
      <w:r/>
    </w:p>
    <w:p>
      <w:pPr>
        <w:spacing w:line="360" w:lineRule="auto"/>
        <w:rPr>
          <w:rFonts w:ascii="宋体"/>
          <w:b/>
          <w:color w:val="auto"/>
          <w:szCs w:val="21"/>
          <w:highlight w:val="none"/>
        </w:rPr>
      </w:pPr>
      <w:r>
        <w:rPr>
          <w:rFonts w:ascii="宋体"/>
          <w:b/>
          <w:color w:val="auto"/>
          <w:szCs w:val="21"/>
          <w:highlight w:val="none"/>
        </w:rPr>
      </w:r>
      <w:r/>
    </w:p>
    <w:p>
      <w:pPr>
        <w:rPr>
          <w:rFonts w:hint="eastAsia" w:ascii="仿宋" w:hAnsi="仿宋" w:eastAsia="仿宋" w:cs="仿宋"/>
          <w:b/>
          <w:bCs/>
          <w:color w:val="auto"/>
          <w:highlight w:val="none"/>
          <w:lang w:val="zh-CN"/>
        </w:rPr>
        <w:outlineLvl w:val="1"/>
      </w:pPr>
      <w:r>
        <w:rPr>
          <w:rFonts w:hint="eastAsia" w:ascii="仿宋" w:hAnsi="仿宋" w:eastAsia="仿宋" w:cs="仿宋"/>
          <w:b/>
          <w:bCs/>
          <w:color w:val="auto"/>
          <w:highlight w:val="none"/>
          <w:lang w:val="zh-CN"/>
        </w:rPr>
      </w:r>
      <w:r/>
    </w:p>
    <w:p>
      <w:pPr>
        <w:rPr>
          <w:rFonts w:hint="eastAsia" w:ascii="仿宋" w:hAnsi="仿宋" w:eastAsia="仿宋" w:cs="仿宋"/>
          <w:b/>
          <w:color w:val="auto"/>
          <w:sz w:val="22"/>
          <w:szCs w:val="22"/>
          <w:highlight w:val="none"/>
          <w:lang w:val="zh-CN"/>
        </w:rPr>
      </w:pPr>
      <w:r>
        <w:rPr>
          <w:rFonts w:hint="eastAsia" w:ascii="仿宋" w:hAnsi="仿宋" w:eastAsia="仿宋" w:cs="仿宋"/>
          <w:b/>
          <w:color w:val="auto"/>
          <w:sz w:val="22"/>
          <w:szCs w:val="22"/>
          <w:highlight w:val="none"/>
          <w:lang w:val="zh-CN"/>
        </w:rPr>
        <w:br w:type="page" w:clear="all"/>
      </w:r>
      <w:r/>
    </w:p>
    <w:p>
      <w:pPr>
        <w:rPr>
          <w:rFonts w:hint="eastAsia" w:ascii="仿宋" w:hAnsi="仿宋" w:eastAsia="仿宋" w:cs="仿宋"/>
          <w:b/>
          <w:bCs/>
          <w:color w:val="auto"/>
          <w:highlight w:val="none"/>
          <w:lang w:val="zh-CN"/>
        </w:rPr>
        <w:outlineLvl w:val="1"/>
      </w:pPr>
      <w:r/>
      <w:bookmarkStart w:id="119" w:name="_Toc27981"/>
      <w:r>
        <w:rPr>
          <w:rFonts w:hint="eastAsia" w:ascii="仿宋" w:hAnsi="仿宋" w:eastAsia="仿宋" w:cs="仿宋"/>
          <w:b/>
          <w:color w:val="auto"/>
          <w:sz w:val="22"/>
          <w:szCs w:val="22"/>
          <w:highlight w:val="none"/>
          <w:lang w:val="zh-CN"/>
        </w:rPr>
        <w:t xml:space="preserve">一、投标申请及声明格式</w:t>
      </w:r>
      <w:bookmarkEnd w:id="118"/>
      <w:r/>
      <w:bookmarkEnd w:id="119"/>
      <w:r/>
      <w:r/>
    </w:p>
    <w:p>
      <w:pPr>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投标申请及声明</w:t>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致：</w:t>
      </w:r>
      <w:r/>
    </w:p>
    <w:p>
      <w:pPr>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根据贵方</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（项目名称）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（项目编号）投标邀请，正式授权下述签字人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(姓名和职务)代表投标人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（投标人名称），提交投标文件。</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据此函，签字人兹宣布声明和承诺如下：</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szCs w:val="21"/>
          <w:highlight w:val="none"/>
          <w:lang w:val="zh-CN"/>
        </w:rPr>
        <w:t xml:space="preserve">1、</w:t>
      </w:r>
      <w:r>
        <w:rPr>
          <w:rFonts w:hint="eastAsia" w:ascii="仿宋" w:hAnsi="仿宋" w:eastAsia="仿宋" w:cs="仿宋"/>
          <w:b/>
          <w:color w:val="auto"/>
          <w:szCs w:val="21"/>
          <w:highlight w:val="none"/>
          <w:lang w:val="zh-CN"/>
        </w:rPr>
        <w:t xml:space="preserve">我们的资格条件完全符合政府采购法和本次招标要求</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highlight w:val="none"/>
        </w:rPr>
        <w:t xml:space="preserve">我们</w:t>
      </w:r>
      <w:r>
        <w:rPr>
          <w:rFonts w:hint="eastAsia" w:ascii="仿宋" w:hAnsi="仿宋" w:eastAsia="仿宋" w:cs="仿宋"/>
          <w:color w:val="auto"/>
          <w:szCs w:val="21"/>
          <w:highlight w:val="none"/>
          <w:lang w:val="zh-CN"/>
        </w:rPr>
        <w:t xml:space="preserve">同意并向贵方提供了与投标有关的所有证据和资料。</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2、按招标要求，我们的投标总报价为（大写）</w:t>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元，小写¥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。项目负责人（姓名）：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3、我们已详细审核全部招标文件及其有效补充文件，我们放弃对招标文件任何误解的权利，提交投标文件后，</w:t>
      </w:r>
      <w:r>
        <w:rPr>
          <w:rFonts w:hint="eastAsia" w:ascii="仿宋" w:hAnsi="仿宋" w:eastAsia="仿宋" w:cs="仿宋"/>
          <w:b/>
          <w:color w:val="auto"/>
          <w:szCs w:val="21"/>
          <w:highlight w:val="none"/>
          <w:lang w:val="zh-CN"/>
        </w:rPr>
        <w:t xml:space="preserve">不对招标文件本身提出质疑</w:t>
      </w:r>
      <w:r>
        <w:rPr>
          <w:rFonts w:hint="eastAsia" w:ascii="仿宋" w:hAnsi="仿宋" w:eastAsia="仿宋" w:cs="仿宋"/>
          <w:color w:val="auto"/>
          <w:szCs w:val="21"/>
          <w:highlight w:val="none"/>
          <w:lang w:val="zh-CN"/>
        </w:rPr>
        <w:t xml:space="preserve">。</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5、一旦我方中标，我方将根据招标文件的规定严格履行合同，并保证于承诺的时间完成</w:t>
      </w:r>
      <w:r>
        <w:rPr>
          <w:rFonts w:hint="eastAsia" w:ascii="仿宋" w:hAnsi="仿宋" w:eastAsia="仿宋" w:cs="仿宋"/>
          <w:color w:val="auto"/>
          <w:szCs w:val="21"/>
          <w:highlight w:val="none"/>
        </w:rPr>
        <w:t xml:space="preserve">相关</w:t>
      </w:r>
      <w:r>
        <w:rPr>
          <w:rFonts w:hint="eastAsia" w:ascii="仿宋" w:hAnsi="仿宋" w:eastAsia="仿宋" w:cs="仿宋"/>
          <w:color w:val="auto"/>
          <w:szCs w:val="21"/>
          <w:highlight w:val="none"/>
          <w:lang w:val="zh-CN"/>
        </w:rPr>
        <w:t xml:space="preserve">服务，交付采购人验收、使用。</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6</w:t>
      </w:r>
      <w:r>
        <w:rPr>
          <w:rFonts w:hint="eastAsia" w:ascii="仿宋" w:hAnsi="仿宋" w:eastAsia="仿宋" w:cs="仿宋"/>
          <w:color w:val="auto"/>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7</w:t>
      </w:r>
      <w:r>
        <w:rPr>
          <w:rFonts w:hint="eastAsia" w:ascii="仿宋" w:hAnsi="仿宋" w:eastAsia="仿宋" w:cs="仿宋"/>
          <w:color w:val="auto"/>
          <w:szCs w:val="21"/>
          <w:highlight w:val="none"/>
          <w:lang w:val="zh-CN"/>
        </w:rPr>
        <w:t xml:space="preserve">、与本投标有关的正式联系方式为：</w:t>
      </w:r>
      <w:r/>
    </w:p>
    <w:p>
      <w:pPr>
        <w:ind w:firstLine="420"/>
        <w:spacing w:line="360" w:lineRule="auto"/>
        <w:rPr>
          <w:rFonts w:hint="eastAsia" w:ascii="仿宋" w:hAnsi="仿宋" w:eastAsia="仿宋" w:cs="仿宋"/>
          <w:color w:val="auto"/>
          <w:szCs w:val="21"/>
          <w:highlight w:val="none"/>
          <w:u w:val="single"/>
          <w:lang w:val="zh-CN"/>
        </w:rPr>
      </w:pPr>
      <w:r>
        <w:rPr>
          <w:rFonts w:hint="eastAsia" w:ascii="仿宋" w:hAnsi="仿宋" w:eastAsia="仿宋" w:cs="仿宋"/>
          <w:color w:val="auto"/>
          <w:szCs w:val="21"/>
          <w:highlight w:val="none"/>
          <w:lang w:val="zh-CN"/>
        </w:rPr>
        <w:t xml:space="preserve">地址：</w:t>
      </w:r>
      <w:r/>
    </w:p>
    <w:p>
      <w:pPr>
        <w:ind w:firstLine="420"/>
        <w:spacing w:line="360" w:lineRule="auto"/>
        <w:rPr>
          <w:rFonts w:hint="eastAsia" w:ascii="仿宋" w:hAnsi="仿宋" w:eastAsia="仿宋" w:cs="仿宋"/>
          <w:color w:val="auto"/>
          <w:szCs w:val="21"/>
          <w:highlight w:val="none"/>
          <w:u w:val="single"/>
          <w:lang w:val="zh-CN"/>
        </w:rPr>
      </w:pPr>
      <w:r>
        <w:rPr>
          <w:rFonts w:hint="eastAsia" w:ascii="仿宋" w:hAnsi="仿宋" w:eastAsia="仿宋" w:cs="仿宋"/>
          <w:color w:val="auto"/>
          <w:szCs w:val="21"/>
          <w:highlight w:val="none"/>
          <w:lang w:val="zh-CN"/>
        </w:rPr>
        <w:t xml:space="preserve">电话：</w:t>
      </w:r>
      <w:r/>
    </w:p>
    <w:p>
      <w:pPr>
        <w:ind w:firstLine="420"/>
        <w:spacing w:line="360" w:lineRule="auto"/>
        <w:rPr>
          <w:rFonts w:hint="eastAsia" w:ascii="仿宋" w:hAnsi="仿宋" w:eastAsia="仿宋" w:cs="仿宋"/>
          <w:color w:val="auto"/>
          <w:szCs w:val="21"/>
          <w:highlight w:val="none"/>
          <w:u w:val="single"/>
          <w:lang w:val="zh-CN"/>
        </w:rPr>
      </w:pPr>
      <w:r>
        <w:rPr>
          <w:rFonts w:hint="eastAsia" w:ascii="仿宋" w:hAnsi="仿宋" w:eastAsia="仿宋" w:cs="仿宋"/>
          <w:color w:val="auto"/>
          <w:szCs w:val="21"/>
          <w:highlight w:val="none"/>
          <w:lang w:val="zh-CN"/>
        </w:rPr>
        <w:t xml:space="preserve">传真：</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开户银行：</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银行账号：</w:t>
      </w:r>
      <w:r/>
    </w:p>
    <w:p>
      <w:pPr>
        <w:ind w:firstLine="420"/>
        <w:spacing w:line="360" w:lineRule="auto"/>
        <w:rPr>
          <w:rFonts w:hint="eastAsia" w:ascii="仿宋" w:hAnsi="仿宋" w:eastAsia="仿宋" w:cs="仿宋"/>
          <w:color w:val="auto"/>
          <w:szCs w:val="21"/>
          <w:highlight w:val="none"/>
          <w:u w:val="single"/>
          <w:lang w:val="zh-CN"/>
        </w:rPr>
      </w:pPr>
      <w:r>
        <w:rPr>
          <w:rFonts w:hint="eastAsia" w:ascii="仿宋" w:hAnsi="仿宋" w:eastAsia="仿宋" w:cs="仿宋"/>
          <w:color w:val="auto"/>
          <w:szCs w:val="21"/>
          <w:highlight w:val="none"/>
        </w:rPr>
        <w:t xml:space="preserve">投标人委托代理人姓名（签字）</w:t>
      </w:r>
      <w:r>
        <w:rPr>
          <w:rFonts w:hint="eastAsia" w:ascii="仿宋" w:hAnsi="仿宋" w:eastAsia="仿宋" w:cs="仿宋"/>
          <w:color w:val="auto"/>
          <w:szCs w:val="21"/>
          <w:highlight w:val="none"/>
          <w:lang w:val="zh-CN"/>
        </w:rPr>
        <w:t xml:space="preserve">：</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投标人名称：（盖章）</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日期：年</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zh-CN"/>
        </w:rPr>
        <w:t xml:space="preserve">月</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zh-CN"/>
        </w:rPr>
        <w:t xml:space="preserve">日</w:t>
      </w:r>
      <w:r/>
    </w:p>
    <w:p>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br w:type="page" w:clear="all"/>
      </w:r>
      <w:bookmarkStart w:id="120" w:name="_Toc11994"/>
      <w:r/>
      <w:bookmarkStart w:id="121" w:name="_Toc10780"/>
      <w:r>
        <w:rPr>
          <w:rStyle w:val="914"/>
          <w:rFonts w:hint="eastAsia" w:ascii="仿宋" w:hAnsi="仿宋" w:eastAsia="仿宋" w:cs="仿宋"/>
          <w:color w:val="auto"/>
          <w:sz w:val="22"/>
          <w:szCs w:val="22"/>
          <w:highlight w:val="none"/>
        </w:rPr>
        <w:t xml:space="preserve">二、法定代表人授权委托书格式</w:t>
      </w:r>
      <w:bookmarkEnd w:id="120"/>
      <w:r/>
      <w:bookmarkEnd w:id="121"/>
      <w:r/>
      <w:r/>
    </w:p>
    <w:p>
      <w:pPr>
        <w:ind w:firstLine="720"/>
        <w:jc w:val="center"/>
        <w:spacing w:line="360" w:lineRule="auto"/>
        <w:widowControl/>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法定代表人授权委托书</w:t>
      </w:r>
      <w:r/>
    </w:p>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南京市规划和自然资源局：</w:t>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    本授权书于    年  月  日签字生效，特此声明。</w:t>
      </w:r>
      <w:r/>
    </w:p>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    法定代表人</w:t>
      </w:r>
      <w:r>
        <w:rPr>
          <w:rFonts w:hint="eastAsia" w:ascii="仿宋" w:hAnsi="仿宋" w:eastAsia="仿宋" w:cs="仿宋"/>
          <w:color w:val="auto"/>
          <w:szCs w:val="21"/>
          <w:highlight w:val="none"/>
        </w:rPr>
        <w:t xml:space="preserve">（签字或盖章）</w:t>
      </w:r>
      <w:r>
        <w:rPr>
          <w:rFonts w:hint="eastAsia" w:ascii="仿宋" w:hAnsi="仿宋" w:eastAsia="仿宋" w:cs="仿宋"/>
          <w:color w:val="auto"/>
          <w:szCs w:val="21"/>
          <w:highlight w:val="none"/>
          <w:lang w:val="zh-CN"/>
        </w:rPr>
        <w:t xml:space="preserve">：</w:t>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委托代理人签字：  </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投标人名称：（盖章）</w:t>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                  </w:t>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日        期：        年    月    日</w:t>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（注：后附法定代表人</w:t>
      </w:r>
      <w:r>
        <w:rPr>
          <w:rFonts w:hint="eastAsia" w:ascii="仿宋" w:hAnsi="仿宋" w:eastAsia="仿宋" w:cs="仿宋"/>
          <w:color w:val="auto"/>
          <w:szCs w:val="21"/>
          <w:highlight w:val="none"/>
        </w:rPr>
        <w:t xml:space="preserve">及其委托代理人</w:t>
      </w:r>
      <w:r>
        <w:rPr>
          <w:rFonts w:hint="eastAsia" w:ascii="仿宋" w:hAnsi="仿宋" w:eastAsia="仿宋" w:cs="仿宋"/>
          <w:color w:val="auto"/>
          <w:szCs w:val="21"/>
          <w:highlight w:val="none"/>
          <w:lang w:val="zh-CN"/>
        </w:rPr>
        <w:t xml:space="preserve">身份证正反面复印件）</w:t>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jc w:val="left"/>
        <w:spacing w:line="360" w:lineRule="auto"/>
        <w:widowControl/>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jc w:val="left"/>
        <w:spacing w:line="360" w:lineRule="auto"/>
        <w:widowControl/>
        <w:rPr>
          <w:rFonts w:hint="eastAsia" w:ascii="仿宋" w:hAnsi="仿宋" w:eastAsia="仿宋" w:cs="仿宋"/>
          <w:b/>
          <w:color w:val="auto"/>
          <w:szCs w:val="21"/>
          <w:highlight w:val="none"/>
          <w:lang w:val="zh-CN"/>
        </w:rPr>
        <w:outlineLvl w:val="1"/>
      </w:pPr>
      <w:r>
        <w:rPr>
          <w:rFonts w:hint="eastAsia" w:ascii="仿宋" w:hAnsi="仿宋" w:eastAsia="仿宋" w:cs="仿宋"/>
          <w:b/>
          <w:color w:val="auto"/>
          <w:szCs w:val="21"/>
          <w:highlight w:val="none"/>
          <w:lang w:val="zh-CN"/>
        </w:rPr>
        <w:br w:type="page" w:clear="all"/>
      </w:r>
      <w:bookmarkStart w:id="122" w:name="_Toc11079"/>
      <w:r/>
      <w:bookmarkStart w:id="123" w:name="_Toc21592"/>
      <w:r>
        <w:rPr>
          <w:rFonts w:hint="eastAsia" w:ascii="仿宋" w:hAnsi="仿宋" w:eastAsia="仿宋" w:cs="仿宋"/>
          <w:b/>
          <w:color w:val="auto"/>
          <w:sz w:val="22"/>
          <w:szCs w:val="22"/>
          <w:highlight w:val="none"/>
          <w:lang w:val="zh-CN"/>
        </w:rPr>
        <w:t xml:space="preserve">三、开标一览表</w:t>
      </w:r>
      <w:bookmarkEnd w:id="122"/>
      <w:r/>
      <w:bookmarkEnd w:id="123"/>
      <w:r/>
      <w:r/>
    </w:p>
    <w:p>
      <w:pPr>
        <w:jc w:val="center"/>
        <w:spacing w:line="360" w:lineRule="auto"/>
        <w:widowControl/>
        <w:rPr>
          <w:rFonts w:hint="eastAsia"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开标一览表</w:t>
      </w:r>
      <w:r/>
    </w:p>
    <w:p>
      <w:pPr>
        <w:ind w:right="-756" w:firstLine="211"/>
        <w:jc w:val="left"/>
        <w:spacing w:line="44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right="-756" w:firstLine="211"/>
        <w:jc w:val="left"/>
        <w:spacing w:line="440" w:lineRule="exact"/>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项目名称</w:t>
      </w:r>
      <w:r>
        <w:rPr>
          <w:rFonts w:hint="eastAsia" w:ascii="仿宋" w:hAnsi="仿宋" w:eastAsia="仿宋" w:cs="仿宋"/>
          <w:b/>
          <w:color w:val="auto"/>
          <w:szCs w:val="21"/>
          <w:highlight w:val="none"/>
        </w:rPr>
        <w:t xml:space="preserve">：                                        </w:t>
      </w:r>
      <w:r>
        <w:rPr>
          <w:rFonts w:hint="eastAsia" w:ascii="仿宋" w:hAnsi="仿宋" w:eastAsia="仿宋" w:cs="仿宋"/>
          <w:b/>
          <w:color w:val="auto"/>
          <w:szCs w:val="21"/>
          <w:highlight w:val="none"/>
          <w:lang w:val="zh-CN"/>
        </w:rPr>
        <w:t xml:space="preserve">项目编号：</w:t>
      </w:r>
      <w:r>
        <w:rPr>
          <w:rFonts w:hint="eastAsia" w:ascii="仿宋" w:hAnsi="仿宋" w:eastAsia="仿宋" w:cs="仿宋"/>
          <w:b/>
          <w:color w:val="auto"/>
          <w:szCs w:val="21"/>
          <w:highlight w:val="none"/>
        </w:rPr>
        <w:t xml:space="preserve"> </w:t>
      </w:r>
      <w:r/>
    </w:p>
    <w:tbl>
      <w:tblPr>
        <w:tblStyle w:val="737"/>
        <w:tblW w:w="9118"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1"/>
        <w:gridCol w:w="6148"/>
        <w:gridCol w:w="1299"/>
      </w:tblGrid>
      <w:tr>
        <w:trPr>
          <w:cantSplit/>
          <w:trHeight w:val="634"/>
        </w:trPr>
        <w:tc>
          <w:tcPr>
            <w:tcW w:w="1671" w:type="dxa"/>
            <w:vAlign w:val="center"/>
            <w:vMerge w:val="restart"/>
            <w:textDirection w:val="lrTb"/>
            <w:noWrap w:val="false"/>
          </w:tcPr>
          <w:p>
            <w:pPr>
              <w:pStyle w:val="917"/>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投标报价</w:t>
            </w:r>
            <w:r/>
          </w:p>
        </w:tc>
        <w:tc>
          <w:tcPr>
            <w:tcW w:w="6148" w:type="dxa"/>
            <w:vAlign w:val="center"/>
            <w:textDirection w:val="lrTb"/>
            <w:noWrap w:val="false"/>
          </w:tcPr>
          <w:p>
            <w:pPr>
              <w:pStyle w:val="917"/>
              <w:jc w:val="both"/>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大写：  </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 元         </w:t>
            </w:r>
            <w:r/>
          </w:p>
        </w:tc>
        <w:tc>
          <w:tcPr>
            <w:tcW w:w="1299" w:type="dxa"/>
            <w:vAlign w:val="center"/>
            <w:vMerge w:val="restart"/>
            <w:textDirection w:val="lrTb"/>
            <w:noWrap w:val="false"/>
          </w:tcPr>
          <w:p>
            <w:pPr>
              <w:pStyle w:val="917"/>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备注</w:t>
            </w:r>
            <w:r/>
          </w:p>
        </w:tc>
      </w:tr>
      <w:tr>
        <w:trPr>
          <w:cantSplit/>
          <w:trHeight w:val="689"/>
        </w:trPr>
        <w:tc>
          <w:tcPr>
            <w:tcW w:w="1671" w:type="dxa"/>
            <w:vAlign w:val="center"/>
            <w:vMerge w:val="continue"/>
            <w:textDirection w:val="lrTb"/>
            <w:noWrap w:val="false"/>
          </w:tcPr>
          <w:p>
            <w:pPr>
              <w:pStyle w:val="917"/>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6148" w:type="dxa"/>
            <w:vAlign w:val="center"/>
            <w:textDirection w:val="lrTb"/>
            <w:noWrap w:val="false"/>
          </w:tcPr>
          <w:p>
            <w:pPr>
              <w:pStyle w:val="917"/>
              <w:jc w:val="both"/>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小写： ¥ </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 </w:t>
            </w:r>
            <w:r/>
          </w:p>
        </w:tc>
        <w:tc>
          <w:tcPr>
            <w:tcW w:w="1299" w:type="dxa"/>
            <w:vAlign w:val="center"/>
            <w:vMerge w:val="continue"/>
            <w:textDirection w:val="lrTb"/>
            <w:noWrap w:val="false"/>
          </w:tcPr>
          <w:p>
            <w:pPr>
              <w:pStyle w:val="917"/>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trHeight w:val="523"/>
        </w:trPr>
        <w:tc>
          <w:tcPr>
            <w:tcW w:w="1671" w:type="dxa"/>
            <w:vAlign w:val="center"/>
            <w:textDirection w:val="lrTb"/>
            <w:noWrap w:val="false"/>
          </w:tcPr>
          <w:p>
            <w:pPr>
              <w:pStyle w:val="917"/>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服务期限</w:t>
            </w:r>
            <w:r/>
          </w:p>
        </w:tc>
        <w:tc>
          <w:tcPr>
            <w:tcW w:w="6148" w:type="dxa"/>
            <w:vAlign w:val="center"/>
            <w:textDirection w:val="lrTb"/>
            <w:noWrap w:val="false"/>
          </w:tcPr>
          <w:p>
            <w:pPr>
              <w:pStyle w:val="917"/>
              <w:jc w:val="both"/>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99" w:type="dxa"/>
            <w:vAlign w:val="center"/>
            <w:textDirection w:val="lrTb"/>
            <w:noWrap w:val="false"/>
          </w:tcPr>
          <w:p>
            <w:pPr>
              <w:pStyle w:val="917"/>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trHeight w:val="590"/>
        </w:trPr>
        <w:tc>
          <w:tcPr>
            <w:tcW w:w="1671" w:type="dxa"/>
            <w:vAlign w:val="center"/>
            <w:textDirection w:val="lrTb"/>
            <w:noWrap w:val="false"/>
          </w:tcPr>
          <w:p>
            <w:pPr>
              <w:pStyle w:val="917"/>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项目负责人</w:t>
            </w:r>
            <w:r/>
          </w:p>
        </w:tc>
        <w:tc>
          <w:tcPr>
            <w:tcW w:w="6148" w:type="dxa"/>
            <w:vAlign w:val="center"/>
            <w:textDirection w:val="lrTb"/>
            <w:noWrap w:val="false"/>
          </w:tcPr>
          <w:p>
            <w:pPr>
              <w:pStyle w:val="917"/>
              <w:jc w:val="both"/>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299" w:type="dxa"/>
            <w:vAlign w:val="center"/>
            <w:textDirection w:val="lrTb"/>
            <w:noWrap w:val="false"/>
          </w:tcPr>
          <w:p>
            <w:pPr>
              <w:pStyle w:val="917"/>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trHeight w:val="798"/>
        </w:trPr>
        <w:tc>
          <w:tcPr>
            <w:tcW w:w="1671" w:type="dxa"/>
            <w:vAlign w:val="center"/>
            <w:textDirection w:val="lrTb"/>
            <w:noWrap w:val="false"/>
          </w:tcPr>
          <w:p>
            <w:pPr>
              <w:pStyle w:val="916"/>
              <w:ind w:firstLine="0"/>
              <w:jc w:val="center"/>
              <w:spacing w:line="360" w:lineRule="exact"/>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 xml:space="preserve">供应商是否属于</w:t>
            </w:r>
            <w:r>
              <w:rPr>
                <w:rFonts w:hint="eastAsia" w:ascii="仿宋" w:hAnsi="仿宋" w:eastAsia="仿宋" w:cs="仿宋"/>
                <w:color w:val="auto"/>
                <w:szCs w:val="21"/>
                <w:highlight w:val="none"/>
                <w:lang w:val="zh-CN"/>
              </w:rPr>
              <w:t xml:space="preserve">小、</w:t>
            </w:r>
            <w:r>
              <w:rPr>
                <w:rFonts w:hint="eastAsia" w:ascii="仿宋" w:hAnsi="仿宋" w:eastAsia="仿宋" w:cs="仿宋"/>
                <w:color w:val="auto"/>
                <w:szCs w:val="21"/>
                <w:highlight w:val="none"/>
              </w:rPr>
              <w:t xml:space="preserve">微型</w:t>
            </w:r>
            <w:r>
              <w:rPr>
                <w:rFonts w:hint="eastAsia" w:ascii="仿宋" w:hAnsi="仿宋" w:eastAsia="仿宋" w:cs="仿宋"/>
                <w:color w:val="auto"/>
                <w:szCs w:val="21"/>
                <w:highlight w:val="none"/>
                <w:lang w:val="zh-CN"/>
              </w:rPr>
              <w:t xml:space="preserve">企</w:t>
            </w:r>
            <w:r>
              <w:rPr>
                <w:rFonts w:hint="eastAsia" w:ascii="仿宋" w:hAnsi="仿宋" w:eastAsia="仿宋" w:cs="仿宋"/>
                <w:color w:val="auto"/>
                <w:szCs w:val="21"/>
                <w:highlight w:val="none"/>
              </w:rPr>
              <w:t xml:space="preserve">业</w:t>
            </w:r>
            <w:r/>
          </w:p>
        </w:tc>
        <w:tc>
          <w:tcPr>
            <w:tcW w:w="6148" w:type="dxa"/>
            <w:vAlign w:val="center"/>
            <w:textDirection w:val="lrTb"/>
            <w:noWrap w:val="false"/>
          </w:tcPr>
          <w:p>
            <w:pPr>
              <w:pStyle w:val="916"/>
              <w:ind w:firstLine="472"/>
              <w:jc w:val="center"/>
              <w:spacing w:line="360" w:lineRule="auto"/>
              <w:rPr>
                <w:rFonts w:hint="eastAsia" w:ascii="仿宋" w:hAnsi="仿宋" w:eastAsia="仿宋" w:cs="仿宋"/>
                <w:bCs/>
                <w:color w:val="auto"/>
                <w:szCs w:val="21"/>
                <w:highlight w:val="none"/>
                <w:lang w:val="zh-CN"/>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zh-CN"/>
              </w:rPr>
              <w:t xml:space="preserve">填写“是”或“否</w:t>
            </w:r>
            <w:r>
              <w:rPr>
                <w:rFonts w:hint="eastAsia" w:ascii="仿宋" w:hAnsi="仿宋" w:eastAsia="仿宋" w:cs="仿宋"/>
                <w:color w:val="auto"/>
                <w:szCs w:val="21"/>
                <w:highlight w:val="none"/>
              </w:rPr>
              <w:t xml:space="preserve">）</w:t>
            </w:r>
            <w:r/>
          </w:p>
        </w:tc>
        <w:tc>
          <w:tcPr>
            <w:tcW w:w="1299" w:type="dxa"/>
            <w:vAlign w:val="center"/>
            <w:textDirection w:val="lrTb"/>
            <w:noWrap w:val="false"/>
          </w:tcPr>
          <w:p>
            <w:pPr>
              <w:pStyle w:val="917"/>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trHeight w:val="1192"/>
        </w:trPr>
        <w:tc>
          <w:tcPr>
            <w:tcW w:w="1671" w:type="dxa"/>
            <w:vAlign w:val="center"/>
            <w:textDirection w:val="lrTb"/>
            <w:noWrap w:val="false"/>
          </w:tcPr>
          <w:p>
            <w:pPr>
              <w:pStyle w:val="916"/>
              <w:ind w:firstLine="0"/>
              <w:jc w:val="center"/>
              <w:spacing w:line="360" w:lineRule="exact"/>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 xml:space="preserve">供应商是否属于残疾人福利性单位</w:t>
            </w:r>
            <w:r/>
          </w:p>
        </w:tc>
        <w:tc>
          <w:tcPr>
            <w:tcW w:w="6148" w:type="dxa"/>
            <w:vAlign w:val="center"/>
            <w:textDirection w:val="lrTb"/>
            <w:noWrap w:val="false"/>
          </w:tcPr>
          <w:p>
            <w:pPr>
              <w:pStyle w:val="916"/>
              <w:ind w:firstLine="472"/>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zh-CN"/>
              </w:rPr>
              <w:t xml:space="preserve">填写“是”或“否</w:t>
            </w:r>
            <w:r>
              <w:rPr>
                <w:rFonts w:hint="eastAsia" w:ascii="仿宋" w:hAnsi="仿宋" w:eastAsia="仿宋" w:cs="仿宋"/>
                <w:color w:val="auto"/>
                <w:szCs w:val="21"/>
                <w:highlight w:val="none"/>
              </w:rPr>
              <w:t xml:space="preserve">）</w:t>
            </w:r>
            <w:r/>
          </w:p>
        </w:tc>
        <w:tc>
          <w:tcPr>
            <w:tcW w:w="1299" w:type="dxa"/>
            <w:vAlign w:val="center"/>
            <w:textDirection w:val="lrTb"/>
            <w:noWrap w:val="false"/>
          </w:tcPr>
          <w:p>
            <w:pPr>
              <w:pStyle w:val="917"/>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trHeight w:val="798"/>
        </w:trPr>
        <w:tc>
          <w:tcPr>
            <w:tcW w:w="1671" w:type="dxa"/>
            <w:vAlign w:val="center"/>
            <w:textDirection w:val="lrTb"/>
            <w:noWrap w:val="false"/>
          </w:tcPr>
          <w:p>
            <w:pPr>
              <w:pStyle w:val="916"/>
              <w:ind w:firstLine="0"/>
              <w:jc w:val="center"/>
              <w:spacing w:line="360" w:lineRule="exact"/>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 xml:space="preserve">供应商是否属于监狱企业</w:t>
            </w:r>
            <w:r/>
          </w:p>
        </w:tc>
        <w:tc>
          <w:tcPr>
            <w:tcW w:w="6148" w:type="dxa"/>
            <w:vAlign w:val="center"/>
            <w:textDirection w:val="lrTb"/>
            <w:noWrap w:val="false"/>
          </w:tcPr>
          <w:p>
            <w:pPr>
              <w:pStyle w:val="916"/>
              <w:ind w:firstLine="472"/>
              <w:jc w:val="center"/>
              <w:spacing w:line="360" w:lineRule="auto"/>
              <w:rPr>
                <w:rFonts w:hint="eastAsia" w:ascii="仿宋" w:hAnsi="仿宋" w:eastAsia="仿宋" w:cs="仿宋"/>
                <w:bCs/>
                <w:color w:val="auto"/>
                <w:szCs w:val="21"/>
                <w:highlight w:val="none"/>
                <w:lang w:val="zh-CN"/>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zh-CN"/>
              </w:rPr>
              <w:t xml:space="preserve">填写“是”或“否</w:t>
            </w:r>
            <w:r>
              <w:rPr>
                <w:rFonts w:hint="eastAsia" w:ascii="仿宋" w:hAnsi="仿宋" w:eastAsia="仿宋" w:cs="仿宋"/>
                <w:color w:val="auto"/>
                <w:szCs w:val="21"/>
                <w:highlight w:val="none"/>
              </w:rPr>
              <w:t xml:space="preserve">）</w:t>
            </w:r>
            <w:r/>
          </w:p>
        </w:tc>
        <w:tc>
          <w:tcPr>
            <w:tcW w:w="1299" w:type="dxa"/>
            <w:vAlign w:val="center"/>
            <w:textDirection w:val="lrTb"/>
            <w:noWrap w:val="false"/>
          </w:tcPr>
          <w:p>
            <w:pPr>
              <w:pStyle w:val="917"/>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trHeight w:val="601"/>
        </w:trPr>
        <w:tc>
          <w:tcPr>
            <w:tcW w:w="1671" w:type="dxa"/>
            <w:vAlign w:val="center"/>
            <w:textDirection w:val="lrTb"/>
            <w:noWrap w:val="false"/>
          </w:tcPr>
          <w:p>
            <w:pPr>
              <w:pStyle w:val="917"/>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其它</w:t>
            </w:r>
            <w:r/>
          </w:p>
        </w:tc>
        <w:tc>
          <w:tcPr>
            <w:tcW w:w="6148" w:type="dxa"/>
            <w:vAlign w:val="center"/>
            <w:textDirection w:val="lrTb"/>
            <w:noWrap w:val="false"/>
          </w:tcPr>
          <w:p>
            <w:pPr>
              <w:pStyle w:val="917"/>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lang w:val="zh-CN"/>
              </w:rPr>
              <w:t xml:space="preserve">（如有优惠条件须在此注明）</w:t>
            </w:r>
            <w:r/>
          </w:p>
        </w:tc>
        <w:tc>
          <w:tcPr>
            <w:tcW w:w="1299" w:type="dxa"/>
            <w:vAlign w:val="center"/>
            <w:textDirection w:val="lrTb"/>
            <w:noWrap w:val="false"/>
          </w:tcPr>
          <w:p>
            <w:pPr>
              <w:pStyle w:val="917"/>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投标人名称（盖章）：</w:t>
      </w:r>
      <w:r/>
    </w:p>
    <w:p>
      <w:pPr>
        <w:jc w:val="left"/>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法定代表人或其委托代理人（签字或盖章）：</w:t>
      </w:r>
      <w:r/>
    </w:p>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日期：    年    月    日  </w:t>
      </w:r>
      <w:r/>
    </w:p>
    <w:p>
      <w:pPr>
        <w:jc w:val="left"/>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说明：</w:t>
      </w:r>
      <w:r/>
    </w:p>
    <w:p>
      <w:pPr>
        <w:ind w:firstLine="420"/>
        <w:jc w:val="left"/>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zh-CN"/>
        </w:rPr>
        <w:t xml:space="preserve">、“供应商是否属于小、微型企业” “供应商是否属于残疾人福利性单位” “供应商是否属于监狱企业”栏内填写“是”或“否”。如填写“是”，供应商须提供《中小企业声明函》、《残疾人福利性单位声明函》、《属于监狱企业的证明文件》。</w:t>
      </w:r>
      <w:r/>
    </w:p>
    <w:p>
      <w:pPr>
        <w:ind w:firstLine="420"/>
        <w:jc w:val="left"/>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val="zh-CN"/>
        </w:rPr>
        <w:t xml:space="preserve">、《开标一览表》一式两份，一份装订在投标文件中，一份单独封装，并标明“开标一览表”字样，随投标文件一并递交，以便唱标时使用。</w:t>
      </w:r>
      <w:r/>
    </w:p>
    <w:p>
      <w:pPr>
        <w:jc w:val="left"/>
        <w:spacing w:line="480" w:lineRule="exact"/>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jc w:val="left"/>
        <w:spacing w:line="480" w:lineRule="exact"/>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jc w:val="left"/>
        <w:spacing w:line="480" w:lineRule="exact"/>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jc w:val="left"/>
        <w:spacing w:line="480" w:lineRule="exact"/>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pStyle w:val="925"/>
        <w:rPr>
          <w:rFonts w:hint="eastAsia" w:ascii="仿宋" w:hAnsi="仿宋" w:eastAsia="仿宋" w:cs="仿宋"/>
          <w:b/>
          <w:color w:val="auto"/>
          <w:szCs w:val="21"/>
          <w:highlight w:val="none"/>
          <w:lang w:val="zh-CN" w:eastAsia="zh-CN"/>
        </w:rPr>
      </w:pPr>
      <w:r>
        <w:rPr>
          <w:rFonts w:hint="eastAsia" w:ascii="仿宋" w:hAnsi="仿宋" w:eastAsia="仿宋" w:cs="仿宋"/>
          <w:b/>
          <w:color w:val="auto"/>
          <w:szCs w:val="21"/>
          <w:highlight w:val="none"/>
          <w:lang w:val="zh-CN" w:eastAsia="zh-CN"/>
        </w:rPr>
      </w:r>
      <w:r/>
    </w:p>
    <w:p>
      <w:pPr>
        <w:pStyle w:val="925"/>
        <w:rPr>
          <w:rFonts w:hint="eastAsia" w:ascii="仿宋" w:hAnsi="仿宋" w:eastAsia="仿宋" w:cs="仿宋"/>
          <w:b/>
          <w:color w:val="auto"/>
          <w:szCs w:val="21"/>
          <w:highlight w:val="none"/>
          <w:lang w:val="zh-CN" w:eastAsia="zh-CN"/>
        </w:rPr>
      </w:pPr>
      <w:r>
        <w:rPr>
          <w:rFonts w:hint="eastAsia" w:ascii="仿宋" w:hAnsi="仿宋" w:eastAsia="仿宋" w:cs="仿宋"/>
          <w:b/>
          <w:color w:val="auto"/>
          <w:szCs w:val="21"/>
          <w:highlight w:val="none"/>
          <w:lang w:val="zh-CN" w:eastAsia="zh-CN"/>
        </w:rPr>
      </w:r>
      <w:r/>
    </w:p>
    <w:p>
      <w:pPr>
        <w:pStyle w:val="925"/>
        <w:rPr>
          <w:rFonts w:hint="eastAsia" w:ascii="仿宋" w:hAnsi="仿宋" w:eastAsia="仿宋" w:cs="仿宋"/>
          <w:b/>
          <w:color w:val="auto"/>
          <w:szCs w:val="21"/>
          <w:highlight w:val="none"/>
          <w:lang w:val="zh-CN" w:eastAsia="zh-CN"/>
        </w:rPr>
      </w:pPr>
      <w:r>
        <w:rPr>
          <w:rFonts w:hint="eastAsia" w:ascii="仿宋" w:hAnsi="仿宋" w:eastAsia="仿宋" w:cs="仿宋"/>
          <w:b/>
          <w:color w:val="auto"/>
          <w:szCs w:val="21"/>
          <w:highlight w:val="none"/>
          <w:lang w:val="zh-CN" w:eastAsia="zh-CN"/>
        </w:rPr>
      </w:r>
      <w:r/>
    </w:p>
    <w:p>
      <w:pPr>
        <w:jc w:val="left"/>
        <w:spacing w:line="480" w:lineRule="exact"/>
        <w:rPr>
          <w:rFonts w:hint="eastAsia" w:ascii="仿宋" w:hAnsi="仿宋" w:eastAsia="仿宋" w:cs="仿宋"/>
          <w:b/>
          <w:color w:val="auto"/>
          <w:sz w:val="22"/>
          <w:szCs w:val="22"/>
          <w:highlight w:val="none"/>
        </w:rPr>
        <w:outlineLvl w:val="1"/>
      </w:pPr>
      <w:r/>
      <w:bookmarkStart w:id="124" w:name="_Toc10419"/>
      <w:r/>
      <w:bookmarkStart w:id="125" w:name="_Toc2889"/>
      <w:r>
        <w:rPr>
          <w:rFonts w:hint="eastAsia" w:ascii="仿宋" w:hAnsi="仿宋" w:eastAsia="仿宋" w:cs="仿宋"/>
          <w:b/>
          <w:color w:val="auto"/>
          <w:sz w:val="22"/>
          <w:szCs w:val="22"/>
          <w:highlight w:val="none"/>
          <w:lang w:val="zh-CN"/>
        </w:rPr>
        <w:t xml:space="preserve">四、</w:t>
      </w:r>
      <w:r>
        <w:rPr>
          <w:rFonts w:hint="eastAsia" w:ascii="仿宋" w:hAnsi="仿宋" w:eastAsia="仿宋" w:cs="仿宋"/>
          <w:b/>
          <w:color w:val="auto"/>
          <w:sz w:val="22"/>
          <w:szCs w:val="22"/>
          <w:highlight w:val="none"/>
        </w:rPr>
        <w:t xml:space="preserve">分项报价表（参考）</w:t>
      </w:r>
      <w:bookmarkEnd w:id="124"/>
      <w:r/>
      <w:bookmarkEnd w:id="125"/>
      <w:r/>
      <w:r/>
    </w:p>
    <w:p>
      <w:pPr>
        <w:ind w:firstLine="281"/>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分项报价表</w:t>
      </w:r>
      <w:r/>
    </w:p>
    <w:p>
      <w:pPr>
        <w:jc w:val="left"/>
        <w:spacing w:line="360" w:lineRule="auto"/>
        <w:rPr>
          <w:rStyle w:val="928"/>
          <w:rFonts w:hint="eastAsia" w:ascii="仿宋" w:hAnsi="仿宋" w:eastAsia="仿宋" w:cs="仿宋"/>
          <w:color w:val="auto"/>
          <w:highlight w:val="none"/>
          <w:lang w:val="zh-CN"/>
        </w:rPr>
      </w:pPr>
      <w:r>
        <w:rPr>
          <w:rFonts w:hint="eastAsia" w:ascii="仿宋" w:hAnsi="仿宋" w:eastAsia="仿宋" w:cs="仿宋"/>
          <w:color w:val="auto"/>
          <w:szCs w:val="21"/>
          <w:highlight w:val="none"/>
          <w:lang w:val="zh-CN"/>
        </w:rPr>
        <w:t xml:space="preserve">项目名称</w:t>
      </w:r>
      <w:r>
        <w:rPr>
          <w:rStyle w:val="928"/>
          <w:rFonts w:hint="eastAsia" w:ascii="仿宋" w:hAnsi="仿宋" w:eastAsia="仿宋" w:cs="仿宋"/>
          <w:color w:val="auto"/>
          <w:sz w:val="24"/>
          <w:szCs w:val="22"/>
          <w:highlight w:val="none"/>
          <w:lang w:val="zh-CN"/>
        </w:rPr>
        <w:t xml:space="preserve">：                </w:t>
      </w:r>
      <w:r>
        <w:rPr>
          <w:rStyle w:val="928"/>
          <w:rFonts w:hint="eastAsia" w:ascii="仿宋" w:hAnsi="仿宋" w:eastAsia="仿宋" w:cs="仿宋"/>
          <w:color w:val="auto"/>
          <w:sz w:val="24"/>
          <w:szCs w:val="22"/>
          <w:highlight w:val="none"/>
        </w:rPr>
        <w:t xml:space="preserve">        </w:t>
      </w:r>
      <w:r>
        <w:rPr>
          <w:rStyle w:val="928"/>
          <w:rFonts w:hint="eastAsia" w:ascii="仿宋" w:hAnsi="仿宋" w:eastAsia="仿宋" w:cs="仿宋"/>
          <w:color w:val="auto"/>
          <w:sz w:val="24"/>
          <w:szCs w:val="22"/>
          <w:highlight w:val="none"/>
          <w:lang w:val="zh-CN"/>
        </w:rPr>
        <w:t xml:space="preserve">                </w:t>
      </w:r>
      <w:r>
        <w:rPr>
          <w:rStyle w:val="928"/>
          <w:rFonts w:hint="eastAsia" w:ascii="仿宋" w:hAnsi="仿宋" w:eastAsia="仿宋" w:cs="仿宋"/>
          <w:color w:val="auto"/>
          <w:szCs w:val="20"/>
          <w:highlight w:val="none"/>
          <w:lang w:val="zh-CN"/>
        </w:rPr>
        <w:t xml:space="preserve"> 项目编号：</w:t>
      </w:r>
      <w:r>
        <w:rPr>
          <w:rStyle w:val="928"/>
          <w:rFonts w:hint="eastAsia" w:ascii="仿宋" w:hAnsi="仿宋" w:eastAsia="仿宋" w:cs="仿宋"/>
          <w:color w:val="auto"/>
          <w:highlight w:val="none"/>
          <w:lang w:val="zh-CN"/>
        </w:rPr>
        <w:t xml:space="preserve">                  </w:t>
      </w:r>
      <w:r/>
    </w:p>
    <w:tbl>
      <w:tblPr>
        <w:tblStyle w:val="73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6"/>
        <w:gridCol w:w="1046"/>
        <w:gridCol w:w="1930"/>
        <w:gridCol w:w="1047"/>
        <w:gridCol w:w="1417"/>
        <w:gridCol w:w="1417"/>
        <w:gridCol w:w="1417"/>
      </w:tblGrid>
      <w:tr>
        <w:trPr/>
        <w:tc>
          <w:tcPr>
            <w:tcW w:w="856" w:type="dxa"/>
            <w:vAlign w:val="center"/>
            <w:textDirection w:val="lrTb"/>
            <w:noWrap w:val="false"/>
          </w:tcPr>
          <w:p>
            <w:pPr>
              <w:jc w:val="center"/>
              <w:rPr>
                <w:rStyle w:val="928"/>
                <w:rFonts w:hint="eastAsia" w:ascii="仿宋" w:hAnsi="仿宋" w:eastAsia="仿宋" w:cs="仿宋"/>
                <w:color w:val="auto"/>
                <w:highlight w:val="none"/>
                <w:lang w:val="zh-CN"/>
              </w:rPr>
            </w:pPr>
            <w:r>
              <w:rPr>
                <w:rStyle w:val="928"/>
                <w:rFonts w:hint="eastAsia" w:ascii="仿宋" w:hAnsi="仿宋" w:eastAsia="仿宋" w:cs="仿宋"/>
                <w:color w:val="auto"/>
                <w:highlight w:val="none"/>
                <w:lang w:val="zh-CN"/>
              </w:rPr>
              <w:t xml:space="preserve">序号</w:t>
            </w:r>
            <w:r/>
          </w:p>
        </w:tc>
        <w:tc>
          <w:tcPr>
            <w:tcW w:w="1046" w:type="dxa"/>
            <w:vAlign w:val="center"/>
            <w:textDirection w:val="lrTb"/>
            <w:noWrap w:val="false"/>
          </w:tcPr>
          <w:p>
            <w:pPr>
              <w:jc w:val="center"/>
              <w:rPr>
                <w:rStyle w:val="928"/>
                <w:rFonts w:hint="eastAsia" w:ascii="仿宋" w:hAnsi="仿宋" w:eastAsia="仿宋" w:cs="仿宋"/>
                <w:color w:val="auto"/>
                <w:highlight w:val="none"/>
                <w:lang w:val="zh-CN"/>
              </w:rPr>
            </w:pPr>
            <w:r>
              <w:rPr>
                <w:rStyle w:val="928"/>
                <w:rFonts w:hint="eastAsia" w:ascii="仿宋" w:hAnsi="仿宋" w:eastAsia="仿宋" w:cs="仿宋"/>
                <w:color w:val="auto"/>
                <w:highlight w:val="none"/>
                <w:lang w:val="zh-CN"/>
              </w:rPr>
              <w:t xml:space="preserve">名称</w:t>
            </w:r>
            <w:r/>
          </w:p>
        </w:tc>
        <w:tc>
          <w:tcPr>
            <w:tcW w:w="1930" w:type="dxa"/>
            <w:vAlign w:val="center"/>
            <w:textDirection w:val="lrTb"/>
            <w:noWrap w:val="false"/>
          </w:tcPr>
          <w:p>
            <w:pPr>
              <w:jc w:val="center"/>
              <w:rPr>
                <w:rStyle w:val="928"/>
                <w:rFonts w:hint="eastAsia" w:ascii="仿宋" w:hAnsi="仿宋" w:eastAsia="仿宋" w:cs="仿宋"/>
                <w:color w:val="auto"/>
                <w:highlight w:val="none"/>
                <w:lang w:val="zh-CN"/>
              </w:rPr>
            </w:pPr>
            <w:r>
              <w:rPr>
                <w:rStyle w:val="928"/>
                <w:rFonts w:hint="eastAsia" w:ascii="仿宋" w:hAnsi="仿宋" w:eastAsia="仿宋" w:cs="仿宋"/>
                <w:color w:val="auto"/>
                <w:highlight w:val="none"/>
                <w:lang w:val="zh-CN"/>
              </w:rPr>
              <w:t xml:space="preserve">数量</w:t>
            </w:r>
            <w:r/>
          </w:p>
        </w:tc>
        <w:tc>
          <w:tcPr>
            <w:tcW w:w="1047" w:type="dxa"/>
            <w:vAlign w:val="center"/>
            <w:textDirection w:val="lrTb"/>
            <w:noWrap w:val="false"/>
          </w:tcPr>
          <w:p>
            <w:pPr>
              <w:jc w:val="center"/>
              <w:rPr>
                <w:rStyle w:val="928"/>
                <w:rFonts w:hint="eastAsia" w:ascii="仿宋" w:hAnsi="仿宋" w:eastAsia="仿宋" w:cs="仿宋"/>
                <w:color w:val="auto"/>
                <w:highlight w:val="none"/>
                <w:lang w:val="zh-CN"/>
              </w:rPr>
            </w:pPr>
            <w:r>
              <w:rPr>
                <w:rStyle w:val="928"/>
                <w:rFonts w:hint="eastAsia" w:ascii="仿宋" w:hAnsi="仿宋" w:eastAsia="仿宋" w:cs="仿宋"/>
                <w:color w:val="auto"/>
                <w:highlight w:val="none"/>
                <w:lang w:val="zh-CN"/>
              </w:rPr>
              <w:t xml:space="preserve">单位</w:t>
            </w:r>
            <w:r/>
          </w:p>
        </w:tc>
        <w:tc>
          <w:tcPr>
            <w:tcW w:w="1417" w:type="dxa"/>
            <w:vAlign w:val="center"/>
            <w:textDirection w:val="lrTb"/>
            <w:noWrap w:val="false"/>
          </w:tcPr>
          <w:p>
            <w:pPr>
              <w:jc w:val="center"/>
              <w:rPr>
                <w:rStyle w:val="928"/>
                <w:rFonts w:hint="eastAsia" w:ascii="仿宋" w:hAnsi="仿宋" w:eastAsia="仿宋" w:cs="仿宋"/>
                <w:color w:val="auto"/>
                <w:highlight w:val="none"/>
                <w:lang w:val="zh-CN"/>
              </w:rPr>
            </w:pPr>
            <w:r>
              <w:rPr>
                <w:rStyle w:val="928"/>
                <w:rFonts w:hint="eastAsia" w:ascii="仿宋" w:hAnsi="仿宋" w:eastAsia="仿宋" w:cs="仿宋"/>
                <w:color w:val="auto"/>
                <w:highlight w:val="none"/>
                <w:lang w:val="zh-CN"/>
              </w:rPr>
              <w:t xml:space="preserve">单价</w:t>
            </w:r>
            <w:r>
              <w:rPr>
                <w:rStyle w:val="928"/>
                <w:rFonts w:hint="eastAsia" w:ascii="仿宋" w:hAnsi="仿宋" w:eastAsia="仿宋" w:cs="仿宋"/>
                <w:color w:val="auto"/>
                <w:highlight w:val="none"/>
              </w:rPr>
              <w:t xml:space="preserve">（元）</w:t>
            </w:r>
            <w:r/>
          </w:p>
        </w:tc>
        <w:tc>
          <w:tcPr>
            <w:tcW w:w="1417" w:type="dxa"/>
            <w:vAlign w:val="center"/>
            <w:textDirection w:val="lrTb"/>
            <w:noWrap w:val="false"/>
          </w:tcPr>
          <w:p>
            <w:pPr>
              <w:jc w:val="center"/>
              <w:rPr>
                <w:rStyle w:val="928"/>
                <w:rFonts w:hint="eastAsia" w:ascii="仿宋" w:hAnsi="仿宋" w:eastAsia="仿宋" w:cs="仿宋"/>
                <w:color w:val="auto"/>
                <w:highlight w:val="none"/>
                <w:lang w:val="zh-CN"/>
              </w:rPr>
            </w:pPr>
            <w:r>
              <w:rPr>
                <w:rStyle w:val="928"/>
                <w:rFonts w:hint="eastAsia" w:ascii="仿宋" w:hAnsi="仿宋" w:eastAsia="仿宋" w:cs="仿宋"/>
                <w:color w:val="auto"/>
                <w:highlight w:val="none"/>
              </w:rPr>
              <w:t xml:space="preserve">合</w:t>
            </w:r>
            <w:r>
              <w:rPr>
                <w:rStyle w:val="928"/>
                <w:rFonts w:hint="eastAsia" w:ascii="仿宋" w:hAnsi="仿宋" w:eastAsia="仿宋" w:cs="仿宋"/>
                <w:color w:val="auto"/>
                <w:highlight w:val="none"/>
                <w:lang w:val="zh-CN"/>
              </w:rPr>
              <w:t xml:space="preserve">价（元）</w:t>
            </w:r>
            <w:r/>
          </w:p>
        </w:tc>
        <w:tc>
          <w:tcPr>
            <w:tcW w:w="1417" w:type="dxa"/>
            <w:vAlign w:val="center"/>
            <w:textDirection w:val="lrTb"/>
            <w:noWrap w:val="false"/>
          </w:tcPr>
          <w:p>
            <w:pPr>
              <w:jc w:val="center"/>
              <w:rPr>
                <w:rStyle w:val="928"/>
                <w:rFonts w:hint="eastAsia" w:ascii="仿宋" w:hAnsi="仿宋" w:eastAsia="仿宋" w:cs="仿宋"/>
                <w:color w:val="auto"/>
                <w:highlight w:val="none"/>
                <w:lang w:val="zh-CN"/>
              </w:rPr>
            </w:pPr>
            <w:r>
              <w:rPr>
                <w:rStyle w:val="928"/>
                <w:rFonts w:hint="eastAsia" w:ascii="仿宋" w:hAnsi="仿宋" w:eastAsia="仿宋" w:cs="仿宋"/>
                <w:b/>
                <w:bCs/>
                <w:color w:val="auto"/>
                <w:highlight w:val="none"/>
              </w:rPr>
              <w:t xml:space="preserve">是否属于小、微型企业的产品</w:t>
            </w:r>
            <w:r/>
          </w:p>
        </w:tc>
      </w:tr>
      <w:tr>
        <w:trPr/>
        <w:tc>
          <w:tcPr>
            <w:tcW w:w="85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930"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tc>
          <w:tcPr>
            <w:tcW w:w="85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930"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tc>
          <w:tcPr>
            <w:tcW w:w="85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930"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tc>
          <w:tcPr>
            <w:tcW w:w="85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930"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tc>
          <w:tcPr>
            <w:tcW w:w="85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930"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tc>
          <w:tcPr>
            <w:tcW w:w="85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930"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tc>
          <w:tcPr>
            <w:tcW w:w="85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6"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930"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04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1417"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trHeight w:val="437"/>
        </w:trPr>
        <w:tc>
          <w:tcPr>
            <w:gridSpan w:val="2"/>
            <w:tcW w:w="1902" w:type="dxa"/>
            <w:vAlign w:val="top"/>
            <w:textDirection w:val="lrTb"/>
            <w:noWrap w:val="false"/>
          </w:tcPr>
          <w:p>
            <w:pPr>
              <w:jc w:val="left"/>
              <w:rPr>
                <w:rStyle w:val="928"/>
                <w:rFonts w:hint="eastAsia" w:ascii="仿宋" w:hAnsi="仿宋" w:eastAsia="仿宋" w:cs="仿宋"/>
                <w:color w:val="auto"/>
                <w:highlight w:val="none"/>
                <w:lang w:val="zh-CN"/>
              </w:rPr>
            </w:pPr>
            <w:r>
              <w:rPr>
                <w:rStyle w:val="928"/>
                <w:rFonts w:hint="eastAsia" w:ascii="仿宋" w:hAnsi="仿宋" w:eastAsia="仿宋" w:cs="仿宋"/>
                <w:color w:val="auto"/>
                <w:highlight w:val="none"/>
                <w:lang w:val="zh-CN"/>
              </w:rPr>
              <w:t xml:space="preserve">总价：</w:t>
            </w:r>
            <w:r/>
          </w:p>
        </w:tc>
        <w:tc>
          <w:tcPr>
            <w:gridSpan w:val="5"/>
            <w:tcW w:w="7228" w:type="dxa"/>
            <w:vAlign w:val="top"/>
            <w:textDirection w:val="lrTb"/>
            <w:noWrap w:val="false"/>
          </w:tcPr>
          <w:p>
            <w:pPr>
              <w:rPr>
                <w:rStyle w:val="928"/>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bl>
    <w:p>
      <w:pPr>
        <w:spacing w:line="360" w:lineRule="auto"/>
        <w:rPr>
          <w:rStyle w:val="928"/>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r>
      <w:r/>
    </w:p>
    <w:p>
      <w:pPr>
        <w:spacing w:line="360" w:lineRule="auto"/>
        <w:rPr>
          <w:rStyle w:val="928"/>
          <w:rFonts w:hint="eastAsia" w:ascii="仿宋" w:hAnsi="仿宋" w:eastAsia="仿宋" w:cs="仿宋"/>
          <w:color w:val="auto"/>
          <w:sz w:val="24"/>
          <w:szCs w:val="22"/>
          <w:highlight w:val="none"/>
          <w:lang w:val="zh-CN"/>
        </w:rPr>
      </w:pPr>
      <w:r>
        <w:rPr>
          <w:rStyle w:val="928"/>
          <w:rFonts w:hint="eastAsia" w:ascii="仿宋" w:hAnsi="仿宋" w:eastAsia="仿宋" w:cs="仿宋"/>
          <w:color w:val="auto"/>
          <w:sz w:val="24"/>
          <w:szCs w:val="22"/>
          <w:highlight w:val="none"/>
        </w:rPr>
        <w:t xml:space="preserve">投标人</w:t>
      </w:r>
      <w:r>
        <w:rPr>
          <w:rStyle w:val="928"/>
          <w:rFonts w:hint="eastAsia" w:ascii="仿宋" w:hAnsi="仿宋" w:eastAsia="仿宋" w:cs="仿宋"/>
          <w:color w:val="auto"/>
          <w:sz w:val="24"/>
          <w:szCs w:val="22"/>
          <w:highlight w:val="none"/>
          <w:lang w:val="zh-CN"/>
        </w:rPr>
        <w:t xml:space="preserve">名称：</w:t>
      </w:r>
      <w:r>
        <w:rPr>
          <w:rStyle w:val="928"/>
          <w:rFonts w:hint="eastAsia" w:ascii="仿宋" w:hAnsi="仿宋" w:eastAsia="仿宋" w:cs="仿宋"/>
          <w:color w:val="auto"/>
          <w:sz w:val="24"/>
          <w:szCs w:val="22"/>
          <w:highlight w:val="none"/>
          <w:u w:val="single"/>
          <w:lang w:val="zh-CN"/>
        </w:rPr>
        <w:t xml:space="preserve">                                            </w:t>
      </w:r>
      <w:r>
        <w:rPr>
          <w:rStyle w:val="928"/>
          <w:rFonts w:hint="eastAsia" w:ascii="仿宋" w:hAnsi="仿宋" w:eastAsia="仿宋" w:cs="仿宋"/>
          <w:color w:val="auto"/>
          <w:sz w:val="24"/>
          <w:szCs w:val="22"/>
          <w:highlight w:val="none"/>
          <w:lang w:val="zh-CN"/>
        </w:rPr>
        <w:t xml:space="preserve">（盖章）</w:t>
      </w:r>
      <w:r/>
    </w:p>
    <w:p>
      <w:pPr>
        <w:spacing w:line="360" w:lineRule="auto"/>
        <w:rPr>
          <w:rStyle w:val="928"/>
          <w:rFonts w:hint="eastAsia" w:ascii="仿宋" w:hAnsi="仿宋" w:eastAsia="仿宋" w:cs="仿宋"/>
          <w:color w:val="auto"/>
          <w:sz w:val="24"/>
          <w:szCs w:val="22"/>
          <w:highlight w:val="none"/>
          <w:lang w:val="zh-CN"/>
        </w:rPr>
      </w:pPr>
      <w:r>
        <w:rPr>
          <w:rStyle w:val="928"/>
          <w:rFonts w:hint="eastAsia" w:ascii="仿宋" w:hAnsi="仿宋" w:eastAsia="仿宋" w:cs="仿宋"/>
          <w:color w:val="auto"/>
          <w:sz w:val="24"/>
          <w:szCs w:val="22"/>
          <w:highlight w:val="none"/>
          <w:lang w:val="zh-CN"/>
        </w:rPr>
        <w:t xml:space="preserve">说明：1、如果行数不够，请自行增加。</w:t>
      </w:r>
      <w:r/>
    </w:p>
    <w:p>
      <w:pPr>
        <w:jc w:val="left"/>
        <w:spacing w:line="480" w:lineRule="exact"/>
        <w:rPr>
          <w:rFonts w:hint="eastAsia" w:ascii="仿宋" w:hAnsi="仿宋" w:eastAsia="仿宋" w:cs="仿宋"/>
          <w:b/>
          <w:color w:val="auto"/>
          <w:szCs w:val="21"/>
          <w:highlight w:val="none"/>
        </w:rPr>
      </w:pPr>
      <w:r>
        <w:rPr>
          <w:rStyle w:val="928"/>
          <w:rFonts w:hint="eastAsia" w:ascii="仿宋" w:hAnsi="仿宋" w:eastAsia="仿宋" w:cs="仿宋"/>
          <w:color w:val="auto"/>
          <w:sz w:val="24"/>
          <w:szCs w:val="22"/>
          <w:highlight w:val="none"/>
          <w:lang w:val="zh-CN"/>
        </w:rPr>
        <w:t xml:space="preserve">2、“投标标的是否全部由小微企业提供”栏内填写“是”或“否”。如填写“是”，投标人需提供《中小企业声明函》、《残疾人福利性单位声明函》、《属于监狱企业的证明文件》。 如未按要求提供、填写，或相关内容表述不清前后矛盾的，不享受价格扣除。</w:t>
      </w:r>
      <w:r/>
    </w:p>
    <w:p>
      <w:pPr>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pStyle w:val="919"/>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outlineLvl w:val="1"/>
      </w:pPr>
      <w:r>
        <w:rPr>
          <w:rFonts w:hint="eastAsia" w:ascii="仿宋" w:hAnsi="仿宋" w:eastAsia="仿宋" w:cs="仿宋"/>
          <w:b/>
          <w:color w:val="auto"/>
          <w:szCs w:val="21"/>
          <w:highlight w:val="none"/>
          <w:lang w:val="zh-CN"/>
        </w:rPr>
        <w:br w:type="page" w:clear="all"/>
      </w:r>
      <w:bookmarkStart w:id="126" w:name="_Toc30345"/>
      <w:r/>
      <w:bookmarkStart w:id="127" w:name="_Toc27256"/>
      <w:r>
        <w:rPr>
          <w:rFonts w:hint="eastAsia" w:ascii="仿宋" w:hAnsi="仿宋" w:eastAsia="仿宋" w:cs="仿宋"/>
          <w:b/>
          <w:color w:val="auto"/>
          <w:sz w:val="22"/>
          <w:szCs w:val="22"/>
          <w:highlight w:val="none"/>
        </w:rPr>
        <w:t xml:space="preserve">五</w:t>
      </w:r>
      <w:r>
        <w:rPr>
          <w:rFonts w:hint="eastAsia" w:ascii="仿宋" w:hAnsi="仿宋" w:eastAsia="仿宋" w:cs="仿宋"/>
          <w:b/>
          <w:color w:val="auto"/>
          <w:sz w:val="22"/>
          <w:szCs w:val="22"/>
          <w:highlight w:val="none"/>
          <w:lang w:val="zh-CN"/>
        </w:rPr>
        <w:t xml:space="preserve">、</w:t>
      </w:r>
      <w:r>
        <w:rPr>
          <w:rFonts w:hint="eastAsia" w:ascii="仿宋" w:hAnsi="仿宋" w:eastAsia="仿宋" w:cs="仿宋"/>
          <w:b/>
          <w:color w:val="auto"/>
          <w:sz w:val="22"/>
          <w:szCs w:val="28"/>
          <w:highlight w:val="none"/>
        </w:rPr>
        <w:t xml:space="preserve">项目实施方案</w:t>
      </w:r>
      <w:r>
        <w:rPr>
          <w:rFonts w:hint="eastAsia" w:ascii="仿宋" w:hAnsi="仿宋" w:eastAsia="仿宋" w:cs="仿宋"/>
          <w:b/>
          <w:color w:val="auto"/>
          <w:sz w:val="22"/>
          <w:szCs w:val="22"/>
          <w:highlight w:val="none"/>
          <w:lang w:val="zh-CN"/>
        </w:rPr>
        <w:t xml:space="preserve">（格式自拟）</w:t>
      </w:r>
      <w:bookmarkEnd w:id="126"/>
      <w:r/>
      <w:bookmarkEnd w:id="127"/>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shd w:val="clear" w:color="auto" w:fill="ffffff"/>
        <w:widowControl/>
        <w:rPr>
          <w:rFonts w:hint="eastAsia" w:ascii="仿宋" w:hAnsi="仿宋" w:eastAsia="仿宋" w:cs="仿宋"/>
          <w:b/>
          <w:bCs/>
          <w:color w:val="auto"/>
          <w:szCs w:val="21"/>
          <w:highlight w:val="none"/>
          <w:lang w:val="zh-CN"/>
        </w:rPr>
        <w:outlineLvl w:val="1"/>
      </w:pPr>
      <w:r>
        <w:rPr>
          <w:rFonts w:hint="eastAsia" w:ascii="仿宋" w:hAnsi="仿宋" w:eastAsia="仿宋" w:cs="仿宋"/>
          <w:b/>
          <w:bCs/>
          <w:color w:val="auto"/>
          <w:szCs w:val="21"/>
          <w:highlight w:val="none"/>
        </w:rPr>
        <w:br w:type="page" w:clear="all"/>
      </w:r>
      <w:bookmarkStart w:id="128" w:name="_Toc4627"/>
      <w:r/>
      <w:bookmarkStart w:id="129" w:name="_Toc8231"/>
      <w:r>
        <w:rPr>
          <w:rFonts w:hint="eastAsia" w:ascii="仿宋" w:hAnsi="仿宋" w:eastAsia="仿宋" w:cs="仿宋"/>
          <w:b/>
          <w:bCs/>
          <w:color w:val="auto"/>
          <w:sz w:val="22"/>
          <w:szCs w:val="22"/>
          <w:highlight w:val="none"/>
        </w:rPr>
        <w:t xml:space="preserve">六、</w:t>
      </w:r>
      <w:r>
        <w:rPr>
          <w:rFonts w:hint="eastAsia" w:ascii="仿宋" w:hAnsi="仿宋" w:eastAsia="仿宋" w:cs="仿宋"/>
          <w:b/>
          <w:color w:val="auto"/>
          <w:sz w:val="22"/>
          <w:szCs w:val="22"/>
          <w:highlight w:val="none"/>
        </w:rPr>
        <w:t xml:space="preserve">拟</w:t>
      </w:r>
      <w:r>
        <w:rPr>
          <w:rFonts w:hint="eastAsia" w:ascii="仿宋" w:hAnsi="仿宋" w:eastAsia="仿宋" w:cs="仿宋"/>
          <w:b/>
          <w:bCs/>
          <w:color w:val="auto"/>
          <w:sz w:val="22"/>
          <w:szCs w:val="22"/>
          <w:highlight w:val="none"/>
          <w:lang w:val="zh-CN"/>
        </w:rPr>
        <w:t xml:space="preserve">投入本项目人员情况一览表</w:t>
      </w:r>
      <w:bookmarkEnd w:id="128"/>
      <w:r/>
      <w:bookmarkEnd w:id="129"/>
      <w:r/>
      <w:r/>
    </w:p>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rPr>
          <w:rFonts w:hint="eastAsia" w:ascii="仿宋" w:hAnsi="仿宋" w:eastAsia="仿宋" w:cs="仿宋"/>
          <w:b/>
          <w:bCs/>
          <w:color w:val="auto"/>
          <w:szCs w:val="21"/>
          <w:highlight w:val="none"/>
          <w:lang w:val="zh-CN"/>
        </w:rPr>
      </w:pPr>
      <w:r>
        <w:rPr>
          <w:rFonts w:hint="eastAsia" w:ascii="仿宋" w:hAnsi="仿宋" w:eastAsia="仿宋" w:cs="仿宋"/>
          <w:b/>
          <w:color w:val="auto"/>
          <w:szCs w:val="21"/>
          <w:highlight w:val="none"/>
        </w:rPr>
        <w:t xml:space="preserve">拟</w:t>
      </w:r>
      <w:r>
        <w:rPr>
          <w:rFonts w:hint="eastAsia" w:ascii="仿宋" w:hAnsi="仿宋" w:eastAsia="仿宋" w:cs="仿宋"/>
          <w:b/>
          <w:bCs/>
          <w:color w:val="auto"/>
          <w:szCs w:val="21"/>
          <w:highlight w:val="none"/>
          <w:lang w:val="zh-CN"/>
        </w:rPr>
        <w:t xml:space="preserve">参与本项目人员情况一览表</w:t>
      </w:r>
      <w:r/>
    </w:p>
    <w:p>
      <w:pPr>
        <w:jc w:val="center"/>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rPr>
          <w:rFonts w:hint="eastAsia" w:ascii="仿宋" w:hAnsi="仿宋" w:eastAsia="仿宋" w:cs="仿宋"/>
          <w:b/>
          <w:color w:val="auto"/>
          <w:szCs w:val="21"/>
          <w:highlight w:val="none"/>
          <w:u w:val="single"/>
        </w:rPr>
      </w:pPr>
      <w:r>
        <w:rPr>
          <w:rFonts w:hint="eastAsia" w:ascii="仿宋" w:hAnsi="仿宋" w:eastAsia="仿宋" w:cs="仿宋"/>
          <w:b/>
          <w:color w:val="auto"/>
          <w:szCs w:val="21"/>
          <w:highlight w:val="none"/>
          <w:lang w:val="zh-CN"/>
        </w:rPr>
        <w:t xml:space="preserve">项目名称</w:t>
      </w:r>
      <w:r>
        <w:rPr>
          <w:rFonts w:hint="eastAsia" w:ascii="仿宋" w:hAnsi="仿宋" w:eastAsia="仿宋" w:cs="仿宋"/>
          <w:b/>
          <w:color w:val="auto"/>
          <w:szCs w:val="21"/>
          <w:highlight w:val="none"/>
        </w:rPr>
        <w:t xml:space="preserve">：                                         </w:t>
      </w:r>
      <w:r>
        <w:rPr>
          <w:rFonts w:hint="eastAsia" w:ascii="仿宋" w:hAnsi="仿宋" w:eastAsia="仿宋" w:cs="仿宋"/>
          <w:b/>
          <w:bCs/>
          <w:color w:val="auto"/>
          <w:szCs w:val="21"/>
          <w:highlight w:val="none"/>
        </w:rPr>
        <w:t xml:space="preserve">项目编号：</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026"/>
        <w:gridCol w:w="1027"/>
        <w:gridCol w:w="1027"/>
        <w:gridCol w:w="1027"/>
        <w:gridCol w:w="1200"/>
        <w:gridCol w:w="2976"/>
      </w:tblGrid>
      <w:tr>
        <w:trPr>
          <w:jc w:val="center"/>
          <w:trHeight w:val="57"/>
          <w:tblHeader/>
        </w:trPr>
        <w:tc>
          <w:tcPr>
            <w:tcW w:w="1356" w:type="dxa"/>
            <w:vAlign w:val="center"/>
            <w:textDirection w:val="lrTb"/>
            <w:noWrap w:val="false"/>
          </w:tcPr>
          <w:p>
            <w:pPr>
              <w:jc w:val="center"/>
              <w:spacing w:line="520" w:lineRule="exact"/>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人员类别</w:t>
            </w:r>
            <w:r/>
          </w:p>
        </w:tc>
        <w:tc>
          <w:tcPr>
            <w:tcW w:w="1026" w:type="dxa"/>
            <w:vAlign w:val="center"/>
            <w:textDirection w:val="lrTb"/>
            <w:noWrap w:val="false"/>
          </w:tcPr>
          <w:p>
            <w:pPr>
              <w:jc w:val="center"/>
              <w:spacing w:before="120"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027" w:type="dxa"/>
            <w:vAlign w:val="center"/>
            <w:textDirection w:val="lrTb"/>
            <w:noWrap w:val="false"/>
          </w:tcPr>
          <w:p>
            <w:pPr>
              <w:jc w:val="center"/>
              <w:spacing w:before="120"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年龄</w:t>
            </w:r>
            <w:r/>
          </w:p>
        </w:tc>
        <w:tc>
          <w:tcPr>
            <w:tcW w:w="1027" w:type="dxa"/>
            <w:vAlign w:val="center"/>
            <w:textDirection w:val="lrTb"/>
            <w:noWrap w:val="false"/>
          </w:tcPr>
          <w:p>
            <w:pPr>
              <w:jc w:val="center"/>
              <w:spacing w:before="120"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性别</w:t>
            </w:r>
            <w:r/>
          </w:p>
        </w:tc>
        <w:tc>
          <w:tcPr>
            <w:tcW w:w="1027" w:type="dxa"/>
            <w:vAlign w:val="center"/>
            <w:textDirection w:val="lrTb"/>
            <w:noWrap w:val="false"/>
          </w:tcPr>
          <w:p>
            <w:pPr>
              <w:jc w:val="center"/>
              <w:spacing w:before="120"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职称</w:t>
            </w:r>
            <w:r/>
          </w:p>
        </w:tc>
        <w:tc>
          <w:tcPr>
            <w:tcW w:w="1200" w:type="dxa"/>
            <w:vAlign w:val="center"/>
            <w:textDirection w:val="lrTb"/>
            <w:noWrap w:val="false"/>
          </w:tcPr>
          <w:p>
            <w:pPr>
              <w:jc w:val="center"/>
              <w:spacing w:before="50"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执业资格</w:t>
            </w:r>
            <w:r/>
          </w:p>
        </w:tc>
        <w:tc>
          <w:tcPr>
            <w:tcW w:w="2976" w:type="dxa"/>
            <w:vAlign w:val="center"/>
            <w:textDirection w:val="lrTb"/>
            <w:noWrap w:val="false"/>
          </w:tcPr>
          <w:p>
            <w:pPr>
              <w:jc w:val="center"/>
              <w:spacing w:before="50"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专业经验及拟在</w:t>
            </w:r>
            <w:r/>
          </w:p>
          <w:p>
            <w:pPr>
              <w:jc w:val="center"/>
              <w:spacing w:before="50"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本项目中承担分工</w:t>
            </w:r>
            <w:r/>
          </w:p>
        </w:tc>
      </w:tr>
      <w:tr>
        <w:trPr>
          <w:jc w:val="center"/>
        </w:trPr>
        <w:tc>
          <w:tcPr>
            <w:tcW w:w="1356"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项目负责人</w:t>
            </w:r>
            <w:r/>
          </w:p>
        </w:tc>
        <w:tc>
          <w:tcPr>
            <w:tcW w:w="1026"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200"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2976"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Pr>
        <w:tc>
          <w:tcPr>
            <w:tcW w:w="1356"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c>
          <w:tcPr>
            <w:tcW w:w="1026"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200"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2976"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Pr>
        <w:tc>
          <w:tcPr>
            <w:tcW w:w="1356"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c>
          <w:tcPr>
            <w:tcW w:w="1026"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200"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2976"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Pr>
        <w:tc>
          <w:tcPr>
            <w:tcW w:w="1356"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c>
          <w:tcPr>
            <w:tcW w:w="1026"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200"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2976"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Pr>
        <w:tc>
          <w:tcPr>
            <w:tcW w:w="1356"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c>
          <w:tcPr>
            <w:tcW w:w="1026"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jc w:val="cente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027"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200"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2976" w:type="dxa"/>
            <w:vAlign w:val="center"/>
            <w:textDirection w:val="lrTb"/>
            <w:noWrap w:val="false"/>
          </w:tcPr>
          <w:p>
            <w:pPr>
              <w:spacing w:line="5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bl>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投标人名称（盖章）：</w:t>
      </w:r>
      <w:r/>
    </w:p>
    <w:p>
      <w:pPr>
        <w:jc w:val="left"/>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法定代表人或其委托代理人（签字或盖章） ：                           日    期   年  月  日</w:t>
      </w:r>
      <w:r/>
    </w:p>
    <w:p>
      <w:pPr>
        <w:jc w:val="left"/>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说明：</w:t>
      </w:r>
      <w:r/>
    </w:p>
    <w:p>
      <w:pPr>
        <w:rPr>
          <w:rFonts w:hint="eastAsia" w:ascii="仿宋" w:hAnsi="仿宋" w:eastAsia="仿宋" w:cs="仿宋"/>
          <w:b/>
          <w:color w:val="auto"/>
          <w:szCs w:val="21"/>
          <w:highlight w:val="none"/>
          <w:lang w:val="zh-CN"/>
        </w:rPr>
      </w:pPr>
      <w:r>
        <w:rPr>
          <w:rFonts w:hint="eastAsia" w:ascii="仿宋" w:hAnsi="仿宋" w:eastAsia="仿宋" w:cs="仿宋"/>
          <w:color w:val="auto"/>
          <w:szCs w:val="21"/>
          <w:highlight w:val="none"/>
          <w:lang w:val="zh-CN"/>
        </w:rPr>
        <w:t xml:space="preserve">1、如果行、列数不够，请自行增加。</w:t>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2、“备注”栏，可填写该人员擅长的工程（或工作）种类；</w:t>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3、请同时提供以上人员的相关专业、职称或执业资格等证明材料复印件</w:t>
      </w:r>
      <w:r>
        <w:rPr>
          <w:rFonts w:hint="eastAsia" w:ascii="仿宋" w:hAnsi="仿宋" w:eastAsia="仿宋" w:cs="仿宋"/>
          <w:b/>
          <w:color w:val="auto"/>
          <w:szCs w:val="21"/>
          <w:highlight w:val="none"/>
        </w:rPr>
        <w:t xml:space="preserve">加盖公章</w:t>
      </w:r>
      <w:r>
        <w:rPr>
          <w:rFonts w:hint="eastAsia" w:ascii="仿宋" w:hAnsi="仿宋" w:eastAsia="仿宋" w:cs="仿宋"/>
          <w:b/>
          <w:color w:val="auto"/>
          <w:szCs w:val="21"/>
          <w:highlight w:val="none"/>
          <w:lang w:val="zh-CN"/>
        </w:rPr>
        <w:t xml:space="preserve">。</w:t>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val="zh-CN"/>
        </w:rPr>
        <w:br w:type="page" w:clear="all"/>
      </w:r>
      <w:r/>
    </w:p>
    <w:p>
      <w:pPr>
        <w:jc w:val="left"/>
        <w:spacing w:line="360" w:lineRule="auto"/>
        <w:rPr>
          <w:rFonts w:hint="eastAsia" w:ascii="仿宋" w:hAnsi="仿宋" w:eastAsia="仿宋" w:cs="仿宋"/>
          <w:b/>
          <w:bCs/>
          <w:color w:val="auto"/>
          <w:sz w:val="22"/>
          <w:szCs w:val="22"/>
          <w:highlight w:val="none"/>
          <w:lang w:val="zh-CN"/>
        </w:rPr>
        <w:outlineLvl w:val="1"/>
      </w:pPr>
      <w:r/>
      <w:bookmarkStart w:id="130" w:name="_Toc13321"/>
      <w:r/>
      <w:bookmarkStart w:id="131" w:name="_Toc6201"/>
      <w:r/>
      <w:bookmarkStart w:id="132" w:name="_Toc31133"/>
      <w:r>
        <w:rPr>
          <w:rFonts w:hint="eastAsia" w:ascii="仿宋" w:hAnsi="仿宋" w:eastAsia="仿宋" w:cs="仿宋"/>
          <w:b/>
          <w:bCs/>
          <w:color w:val="auto"/>
          <w:sz w:val="22"/>
          <w:szCs w:val="22"/>
          <w:highlight w:val="none"/>
        </w:rPr>
        <w:t xml:space="preserve">七</w:t>
      </w:r>
      <w:r>
        <w:rPr>
          <w:rFonts w:hint="eastAsia" w:ascii="仿宋" w:hAnsi="仿宋" w:eastAsia="仿宋" w:cs="仿宋"/>
          <w:b/>
          <w:bCs/>
          <w:color w:val="auto"/>
          <w:sz w:val="22"/>
          <w:szCs w:val="22"/>
          <w:highlight w:val="none"/>
          <w:lang w:val="zh-CN"/>
        </w:rPr>
        <w:t xml:space="preserve">、商务条款响应表</w:t>
      </w:r>
      <w:bookmarkEnd w:id="130"/>
      <w:r/>
      <w:bookmarkEnd w:id="131"/>
      <w:r/>
      <w:bookmarkEnd w:id="132"/>
      <w:r/>
      <w:r/>
    </w:p>
    <w:p>
      <w:pPr>
        <w:jc w:val="center"/>
        <w:spacing w:line="360" w:lineRule="auto"/>
        <w:rPr>
          <w:rFonts w:hint="eastAsia" w:ascii="仿宋" w:hAnsi="仿宋" w:eastAsia="仿宋" w:cs="仿宋"/>
          <w:color w:val="auto"/>
          <w:sz w:val="24"/>
          <w:szCs w:val="32"/>
          <w:highlight w:val="none"/>
        </w:rPr>
      </w:pPr>
      <w:r>
        <w:rPr>
          <w:rFonts w:hint="eastAsia" w:ascii="仿宋" w:hAnsi="仿宋" w:eastAsia="仿宋" w:cs="仿宋"/>
          <w:b/>
          <w:bCs/>
          <w:color w:val="auto"/>
          <w:sz w:val="24"/>
          <w:highlight w:val="none"/>
          <w:lang w:val="zh-CN"/>
        </w:rPr>
        <w:t xml:space="preserve">商务条款响应表</w:t>
      </w:r>
      <w:r/>
    </w:p>
    <w:p>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Cs w:val="21"/>
          <w:highlight w:val="none"/>
          <w:lang w:val="zh-CN"/>
        </w:rPr>
        <w:t xml:space="preserve">项目名称</w:t>
      </w:r>
      <w:r>
        <w:rPr>
          <w:rFonts w:hint="eastAsia" w:ascii="仿宋" w:hAnsi="仿宋" w:eastAsia="仿宋" w:cs="仿宋"/>
          <w:color w:val="auto"/>
          <w:highlight w:val="none"/>
        </w:rPr>
        <w:t xml:space="preserve">：                                            项目编号： </w:t>
      </w:r>
      <w:r/>
    </w:p>
    <w:tbl>
      <w:tblPr>
        <w:tblStyle w:val="737"/>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jc w:val="cente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招标文件的商务条款</w:t>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投标文件的商务条款</w:t>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jc w:val="cente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说  明</w:t>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投标</w:t>
            </w:r>
            <w:r>
              <w:rPr>
                <w:rFonts w:hint="eastAsia" w:ascii="仿宋" w:hAnsi="仿宋" w:eastAsia="仿宋" w:cs="仿宋"/>
                <w:color w:val="auto"/>
                <w:szCs w:val="21"/>
                <w:highlight w:val="none"/>
              </w:rPr>
              <w:t xml:space="preserve">申请及声明</w:t>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法定代表人授权委托书</w:t>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3291" w:type="dxa"/>
            <w:vAlign w:val="bottom"/>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r>
      <w:tr>
        <w:trPr>
          <w:jc w:val="center"/>
          <w:trHeight w:val="43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r>
      <w:tr>
        <w:trPr>
          <w:jc w:val="center"/>
          <w:trHeight w:val="13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r>
      <w:tr>
        <w:trPr>
          <w:jc w:val="center"/>
          <w:trHeight w:val="240"/>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w:t>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w:t>
            </w:r>
            <w:r/>
          </w:p>
        </w:tc>
      </w:tr>
      <w:tr>
        <w:trPr>
          <w:jc w:val="center"/>
          <w:trHeight w:val="34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（行数不够，自行添加）</w:t>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ind w:firstLine="420"/>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tc>
      </w:tr>
    </w:tbl>
    <w:p>
      <w:pPr>
        <w:pStyle w:val="917"/>
        <w:ind w:firstLine="210"/>
        <w:jc w:val="righ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 xml:space="preserve">投标人名称</w:t>
      </w:r>
      <w:r>
        <w:rPr>
          <w:rFonts w:hint="eastAsia" w:ascii="仿宋" w:hAnsi="仿宋" w:eastAsia="仿宋" w:cs="仿宋"/>
          <w:color w:val="auto"/>
          <w:sz w:val="21"/>
          <w:szCs w:val="21"/>
          <w:highlight w:val="none"/>
        </w:rPr>
        <w:t xml:space="preserve">（盖章）：               </w:t>
      </w:r>
      <w:r/>
    </w:p>
    <w:p>
      <w:pPr>
        <w:pStyle w:val="917"/>
        <w:ind w:firstLine="210"/>
        <w:jc w:val="righ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法定代表人或其委托代理人（签字或盖章）：               </w:t>
      </w:r>
      <w:r/>
    </w:p>
    <w:p>
      <w:pPr>
        <w:pStyle w:val="917"/>
        <w:ind w:right="105" w:firstLine="210"/>
        <w:jc w:val="righ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    期：        年    月   日</w:t>
      </w:r>
      <w:r/>
    </w:p>
    <w:p>
      <w:pP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color w:val="auto"/>
          <w:highlight w:val="none"/>
        </w:rPr>
        <w:t xml:space="preserve">注：请投标人根据实际情况填写。</w:t>
      </w:r>
      <w:bookmarkStart w:id="133" w:name="_Toc506291471"/>
      <w:r/>
      <w:bookmarkStart w:id="134" w:name="_Toc496104189"/>
      <w:r/>
      <w:r/>
    </w:p>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both"/>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left"/>
        <w:spacing w:line="360" w:lineRule="auto"/>
        <w:rPr>
          <w:rFonts w:hint="eastAsia" w:ascii="仿宋" w:hAnsi="仿宋" w:eastAsia="仿宋" w:cs="仿宋"/>
          <w:b/>
          <w:bCs/>
          <w:color w:val="auto"/>
          <w:sz w:val="22"/>
          <w:szCs w:val="22"/>
          <w:highlight w:val="none"/>
          <w:lang w:val="zh-CN"/>
        </w:rPr>
        <w:outlineLvl w:val="1"/>
      </w:pPr>
      <w:r>
        <w:rPr>
          <w:rFonts w:hint="eastAsia" w:ascii="仿宋" w:hAnsi="仿宋" w:eastAsia="仿宋" w:cs="仿宋"/>
          <w:b/>
          <w:bCs/>
          <w:color w:val="auto"/>
          <w:sz w:val="22"/>
          <w:szCs w:val="22"/>
          <w:highlight w:val="none"/>
          <w:lang w:val="zh-CN"/>
        </w:rPr>
      </w:r>
      <w:r/>
    </w:p>
    <w:p>
      <w:pPr>
        <w:jc w:val="left"/>
        <w:spacing w:line="360" w:lineRule="auto"/>
        <w:rPr>
          <w:rFonts w:hint="eastAsia" w:ascii="仿宋" w:hAnsi="仿宋" w:eastAsia="仿宋" w:cs="仿宋"/>
          <w:b/>
          <w:bCs/>
          <w:color w:val="auto"/>
          <w:sz w:val="22"/>
          <w:szCs w:val="22"/>
          <w:highlight w:val="none"/>
          <w:lang w:val="zh-CN"/>
        </w:rPr>
        <w:outlineLvl w:val="1"/>
      </w:pPr>
      <w:r>
        <w:rPr>
          <w:rFonts w:hint="eastAsia" w:ascii="仿宋" w:hAnsi="仿宋" w:eastAsia="仿宋" w:cs="仿宋"/>
          <w:b/>
          <w:bCs/>
          <w:color w:val="auto"/>
          <w:sz w:val="22"/>
          <w:szCs w:val="22"/>
          <w:highlight w:val="none"/>
          <w:lang w:val="zh-CN"/>
        </w:rPr>
      </w:r>
      <w:r/>
    </w:p>
    <w:p>
      <w:pPr>
        <w:jc w:val="left"/>
        <w:spacing w:line="360" w:lineRule="auto"/>
        <w:rPr>
          <w:rFonts w:hint="eastAsia" w:ascii="仿宋" w:hAnsi="仿宋" w:eastAsia="仿宋" w:cs="仿宋"/>
          <w:b/>
          <w:bCs/>
          <w:color w:val="auto"/>
          <w:sz w:val="22"/>
          <w:szCs w:val="22"/>
          <w:highlight w:val="none"/>
          <w:lang w:val="zh-CN"/>
        </w:rPr>
        <w:outlineLvl w:val="1"/>
      </w:pPr>
      <w:r>
        <w:rPr>
          <w:rFonts w:hint="eastAsia" w:ascii="仿宋" w:hAnsi="仿宋" w:eastAsia="仿宋" w:cs="仿宋"/>
          <w:b/>
          <w:bCs/>
          <w:color w:val="auto"/>
          <w:sz w:val="22"/>
          <w:szCs w:val="22"/>
          <w:highlight w:val="none"/>
          <w:lang w:val="zh-CN"/>
        </w:rPr>
      </w:r>
      <w:r/>
    </w:p>
    <w:p>
      <w:pPr>
        <w:jc w:val="left"/>
        <w:spacing w:line="360" w:lineRule="auto"/>
        <w:rPr>
          <w:rFonts w:hint="eastAsia" w:ascii="仿宋" w:hAnsi="仿宋" w:eastAsia="仿宋" w:cs="仿宋"/>
          <w:b/>
          <w:bCs/>
          <w:color w:val="auto"/>
          <w:sz w:val="22"/>
          <w:szCs w:val="22"/>
          <w:highlight w:val="none"/>
          <w:lang w:val="zh-CN"/>
        </w:rPr>
        <w:outlineLvl w:val="1"/>
      </w:pPr>
      <w:r>
        <w:rPr>
          <w:rFonts w:hint="eastAsia" w:ascii="仿宋" w:hAnsi="仿宋" w:eastAsia="仿宋" w:cs="仿宋"/>
          <w:b/>
          <w:bCs/>
          <w:color w:val="auto"/>
          <w:sz w:val="22"/>
          <w:szCs w:val="22"/>
          <w:highlight w:val="none"/>
          <w:lang w:val="zh-CN"/>
        </w:rPr>
      </w:r>
      <w:r/>
    </w:p>
    <w:p>
      <w:pPr>
        <w:jc w:val="left"/>
        <w:spacing w:line="360" w:lineRule="auto"/>
        <w:rPr>
          <w:rFonts w:hint="eastAsia" w:ascii="仿宋" w:hAnsi="仿宋" w:eastAsia="仿宋" w:cs="仿宋"/>
          <w:b/>
          <w:bCs/>
          <w:color w:val="auto"/>
          <w:sz w:val="22"/>
          <w:szCs w:val="22"/>
          <w:highlight w:val="none"/>
          <w:lang w:val="zh-CN"/>
        </w:rPr>
        <w:outlineLvl w:val="1"/>
      </w:pPr>
      <w:r/>
      <w:bookmarkStart w:id="135" w:name="_Toc27027"/>
      <w:r/>
      <w:bookmarkStart w:id="136" w:name="_Toc31549"/>
      <w:r/>
      <w:bookmarkStart w:id="137" w:name="_Toc8937"/>
      <w:r>
        <w:rPr>
          <w:rFonts w:hint="eastAsia" w:ascii="仿宋" w:hAnsi="仿宋" w:eastAsia="仿宋" w:cs="仿宋"/>
          <w:b/>
          <w:bCs/>
          <w:color w:val="auto"/>
          <w:sz w:val="22"/>
          <w:szCs w:val="22"/>
          <w:highlight w:val="none"/>
        </w:rPr>
        <w:t xml:space="preserve">八</w:t>
      </w:r>
      <w:r>
        <w:rPr>
          <w:rFonts w:hint="eastAsia" w:ascii="仿宋" w:hAnsi="仿宋" w:eastAsia="仿宋" w:cs="仿宋"/>
          <w:b/>
          <w:bCs/>
          <w:color w:val="auto"/>
          <w:sz w:val="22"/>
          <w:szCs w:val="22"/>
          <w:highlight w:val="none"/>
          <w:lang w:val="zh-CN"/>
        </w:rPr>
        <w:t xml:space="preserve">、技术规格偏离表</w:t>
      </w:r>
      <w:bookmarkEnd w:id="133"/>
      <w:r/>
      <w:bookmarkEnd w:id="134"/>
      <w:r/>
      <w:bookmarkEnd w:id="135"/>
      <w:r/>
      <w:bookmarkEnd w:id="136"/>
      <w:r/>
      <w:bookmarkEnd w:id="137"/>
      <w:r/>
      <w:r/>
    </w:p>
    <w:p>
      <w:pPr>
        <w:jc w:val="center"/>
        <w:spacing w:line="360" w:lineRule="auto"/>
        <w:rPr>
          <w:rFonts w:hint="eastAsia"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技术规格偏离表</w:t>
      </w:r>
      <w:r/>
    </w:p>
    <w:p>
      <w:pPr>
        <w:jc w:val="cente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（由投标人据实提交）</w:t>
      </w:r>
      <w:r/>
    </w:p>
    <w:p>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highlight w:val="none"/>
        </w:rPr>
        <w:t xml:space="preserve">   </w:t>
      </w:r>
      <w:r>
        <w:rPr>
          <w:rFonts w:hint="eastAsia" w:ascii="仿宋" w:hAnsi="仿宋" w:eastAsia="仿宋" w:cs="仿宋"/>
          <w:color w:val="auto"/>
          <w:szCs w:val="21"/>
          <w:highlight w:val="none"/>
          <w:lang w:val="zh-CN"/>
        </w:rPr>
        <w:t xml:space="preserve">项目名称</w:t>
      </w:r>
      <w:r>
        <w:rPr>
          <w:rFonts w:hint="eastAsia" w:ascii="仿宋" w:hAnsi="仿宋" w:eastAsia="仿宋" w:cs="仿宋"/>
          <w:color w:val="auto"/>
          <w:highlight w:val="none"/>
        </w:rPr>
        <w:t xml:space="preserve">：                                                  项目编号：</w:t>
      </w:r>
      <w:r/>
    </w:p>
    <w:tbl>
      <w:tblPr>
        <w:tblStyle w:val="737"/>
        <w:tblW w:w="0" w:type="auto"/>
        <w:tblInd w:w="105" w:type="dxa"/>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val="false"/>
          </w:tcPr>
          <w:p>
            <w:pPr>
              <w:jc w:val="cente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jc w:val="cente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招标要求参数</w:t>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jc w:val="cente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投标实际参数</w:t>
            </w:r>
            <w:r/>
          </w:p>
        </w:tc>
        <w:tc>
          <w:tcPr>
            <w:tcBorders>
              <w:top w:val="single" w:color="000000" w:sz="6" w:space="0"/>
              <w:left w:val="single" w:color="000000" w:sz="6" w:space="0"/>
              <w:bottom w:val="single" w:color="000000" w:sz="6" w:space="0"/>
              <w:right w:val="single" w:color="000000" w:sz="6" w:space="0"/>
            </w:tcBorders>
            <w:tcW w:w="2205" w:type="dxa"/>
            <w:vAlign w:val="center"/>
            <w:textDirection w:val="lrTb"/>
            <w:noWrap w:val="false"/>
          </w:tcPr>
          <w:p>
            <w:pPr>
              <w:jc w:val="cente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符合/正偏离/负偏离</w:t>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jc w:val="cente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备注</w:t>
            </w:r>
            <w:r/>
          </w:p>
        </w:tc>
      </w:tr>
      <w:tr>
        <w:trPr>
          <w:trHeight w:val="264"/>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r>
      <w:tr>
        <w:trPr>
          <w:trHeight w:val="254"/>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r>
      <w:tr>
        <w:trPr>
          <w:trHeight w:val="244"/>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r>
      <w:tr>
        <w:trPr>
          <w:trHeight w:val="234"/>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r>
      <w:tr>
        <w:trPr>
          <w:trHeight w:val="234"/>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r>
      <w:tr>
        <w:trPr>
          <w:trHeight w:val="234"/>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r>
      <w:tr>
        <w:trPr>
          <w:trHeight w:val="234"/>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r>
      <w:tr>
        <w:trPr>
          <w:trHeight w:val="304"/>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r>
      <w:tr>
        <w:trPr>
          <w:trHeight w:val="294"/>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tc>
      </w:tr>
    </w:tbl>
    <w:p>
      <w:pPr>
        <w:pStyle w:val="917"/>
        <w:ind w:firstLine="210"/>
        <w:jc w:val="righ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 xml:space="preserve">投标人名称</w:t>
      </w:r>
      <w:r>
        <w:rPr>
          <w:rFonts w:hint="eastAsia" w:ascii="仿宋" w:hAnsi="仿宋" w:eastAsia="仿宋" w:cs="仿宋"/>
          <w:color w:val="auto"/>
          <w:sz w:val="21"/>
          <w:szCs w:val="21"/>
          <w:highlight w:val="none"/>
        </w:rPr>
        <w:t xml:space="preserve">（盖章）：               </w:t>
      </w:r>
      <w:r/>
    </w:p>
    <w:p>
      <w:pPr>
        <w:pStyle w:val="917"/>
        <w:ind w:firstLine="210"/>
        <w:jc w:val="righ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法定代表人或其委托代理人（签字或盖章）：               </w:t>
      </w:r>
      <w:r/>
    </w:p>
    <w:p>
      <w:pPr>
        <w:pStyle w:val="917"/>
        <w:ind w:firstLine="210"/>
        <w:jc w:val="righ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    期：        年    月   日</w:t>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 w:val="24"/>
          <w:highlight w:val="none"/>
          <w:lang w:val="zh-CN"/>
        </w:rPr>
        <w:t xml:space="preserve">注：</w:t>
      </w:r>
      <w:r>
        <w:rPr>
          <w:rFonts w:hint="eastAsia" w:ascii="仿宋" w:hAnsi="仿宋" w:eastAsia="仿宋" w:cs="仿宋"/>
          <w:color w:val="auto"/>
          <w:szCs w:val="21"/>
          <w:highlight w:val="none"/>
          <w:lang w:val="zh-CN"/>
        </w:rPr>
        <w:t xml:space="preserve">1.按照项目需求中的要求详细填列。</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2.行数不够，可自行添加。</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3.</w:t>
      </w:r>
      <w:r>
        <w:rPr>
          <w:rFonts w:hint="eastAsia" w:ascii="仿宋" w:hAnsi="仿宋" w:eastAsia="仿宋" w:cs="仿宋"/>
          <w:b/>
          <w:bCs/>
          <w:color w:val="auto"/>
          <w:szCs w:val="21"/>
          <w:highlight w:val="none"/>
          <w:lang w:val="zh-CN"/>
        </w:rPr>
        <w:t xml:space="preserve">请如实填写偏离表，如果虚假响应，将被暂停进入南京市政府采购活动。</w:t>
      </w:r>
      <w:r/>
    </w:p>
    <w:p>
      <w:pPr>
        <w:ind w:firstLine="420"/>
        <w:spacing w:line="360" w:lineRule="auto"/>
        <w:rPr>
          <w:rFonts w:hint="eastAsia" w:ascii="仿宋" w:hAnsi="仿宋" w:eastAsia="仿宋" w:cs="仿宋"/>
          <w:b/>
          <w:color w:val="auto"/>
          <w:szCs w:val="21"/>
          <w:highlight w:val="none"/>
          <w:lang w:val="zh-CN"/>
        </w:rPr>
      </w:pPr>
      <w:r>
        <w:rPr>
          <w:rFonts w:hint="eastAsia" w:ascii="仿宋" w:hAnsi="仿宋" w:eastAsia="仿宋" w:cs="仿宋"/>
          <w:color w:val="auto"/>
          <w:szCs w:val="21"/>
          <w:highlight w:val="none"/>
          <w:lang w:val="zh-CN"/>
        </w:rPr>
        <w:t xml:space="preserve">4.投标人可根据各个需求表的内容填报技术规格响应表，但技术规格响应表的内容必须对其相对应的</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需求的内容全部响应，否则，该投标将可能被视为非实质性响应性投标而被拒绝。</w:t>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pStyle w:val="927"/>
        <w:ind w:firstLine="480"/>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br w:type="page" w:clear="all"/>
      </w:r>
      <w:r/>
    </w:p>
    <w:p>
      <w:pPr>
        <w:pStyle w:val="909"/>
        <w:spacing w:before="240" w:after="240"/>
        <w:tabs>
          <w:tab w:val="left" w:pos="1440" w:leader="none"/>
          <w:tab w:val="left" w:pos="5670" w:leader="none"/>
        </w:tabs>
        <w:rPr>
          <w:rFonts w:hint="eastAsia" w:ascii="仿宋" w:hAnsi="仿宋" w:eastAsia="仿宋" w:cs="仿宋"/>
          <w:color w:val="auto"/>
          <w:sz w:val="21"/>
          <w:szCs w:val="21"/>
          <w:highlight w:val="none"/>
          <w:lang w:val="zh-CN"/>
        </w:rPr>
      </w:pPr>
      <w:r/>
      <w:bookmarkStart w:id="138" w:name="_Toc728"/>
      <w:r/>
      <w:bookmarkStart w:id="139" w:name="_Toc3902"/>
      <w:r/>
      <w:bookmarkStart w:id="140" w:name="_Toc31251"/>
      <w:r/>
      <w:bookmarkStart w:id="141" w:name="_Toc23402"/>
      <w:r/>
      <w:bookmarkStart w:id="142" w:name="_Toc22918"/>
      <w:r>
        <w:rPr>
          <w:rFonts w:hint="eastAsia" w:ascii="仿宋" w:hAnsi="仿宋" w:eastAsia="仿宋" w:cs="仿宋"/>
          <w:b/>
          <w:bCs/>
          <w:color w:val="auto"/>
          <w:sz w:val="22"/>
          <w:szCs w:val="22"/>
          <w:highlight w:val="none"/>
        </w:rPr>
        <w:t xml:space="preserve">九</w:t>
      </w:r>
      <w:bookmarkEnd w:id="138"/>
      <w:r/>
      <w:bookmarkEnd w:id="139"/>
      <w:r/>
      <w:bookmarkEnd w:id="140"/>
      <w:r/>
      <w:bookmarkEnd w:id="141"/>
      <w:r/>
      <w:bookmarkStart w:id="143" w:name="_Toc14392"/>
      <w:r/>
      <w:bookmarkStart w:id="144" w:name="_Toc27418"/>
      <w:r/>
      <w:bookmarkStart w:id="145" w:name="_Toc5792"/>
      <w:r/>
      <w:bookmarkStart w:id="146" w:name="_Toc28173"/>
      <w:r>
        <w:rPr>
          <w:rFonts w:hint="eastAsia" w:ascii="仿宋" w:hAnsi="仿宋" w:eastAsia="仿宋" w:cs="仿宋"/>
          <w:color w:val="auto"/>
          <w:sz w:val="22"/>
          <w:szCs w:val="22"/>
          <w:highlight w:val="none"/>
          <w:lang w:val="zh-CN"/>
        </w:rPr>
        <w:t xml:space="preserve">、资格证明文件</w:t>
      </w:r>
      <w:bookmarkEnd w:id="142"/>
      <w:r/>
      <w:bookmarkEnd w:id="143"/>
      <w:r/>
      <w:bookmarkEnd w:id="144"/>
      <w:r/>
      <w:bookmarkEnd w:id="145"/>
      <w:r/>
      <w:bookmarkEnd w:id="146"/>
      <w:r/>
      <w:r/>
    </w:p>
    <w:p>
      <w:pPr>
        <w:jc w:val="center"/>
        <w:spacing w:line="360" w:lineRule="auto"/>
        <w:rPr>
          <w:rFonts w:hint="eastAsia" w:ascii="仿宋" w:hAnsi="仿宋" w:eastAsia="仿宋" w:cs="仿宋"/>
          <w:b/>
          <w:bCs/>
          <w:color w:val="auto"/>
          <w:sz w:val="32"/>
          <w:szCs w:val="32"/>
          <w:highlight w:val="none"/>
        </w:rPr>
      </w:pPr>
      <w:r/>
      <w:bookmarkStart w:id="147" w:name="_Toc489655335"/>
      <w:r>
        <w:rPr>
          <w:rFonts w:hint="eastAsia" w:ascii="仿宋" w:hAnsi="仿宋" w:eastAsia="仿宋" w:cs="仿宋"/>
          <w:b/>
          <w:bCs/>
          <w:color w:val="auto"/>
          <w:sz w:val="32"/>
          <w:szCs w:val="32"/>
          <w:highlight w:val="none"/>
        </w:rPr>
        <w:t xml:space="preserve">资格证明文件</w:t>
      </w:r>
      <w:bookmarkEnd w:id="147"/>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color w:val="auto"/>
          <w:szCs w:val="21"/>
          <w:highlight w:val="none"/>
        </w:rPr>
      </w:pPr>
      <w:r>
        <w:rPr>
          <w:rFonts w:hint="eastAsia" w:ascii="仿宋" w:hAnsi="仿宋" w:eastAsia="仿宋" w:cs="仿宋"/>
          <w:color w:val="auto"/>
          <w:sz w:val="24"/>
          <w:highlight w:val="none"/>
        </w:rPr>
        <w:t xml:space="preserve">····</w:t>
      </w:r>
      <w:r/>
    </w:p>
    <w:p>
      <w:pPr>
        <w:jc w:val="lef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lef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lef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lef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lef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pStyle w:val="919"/>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pStyle w:val="919"/>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jc w:val="lef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lef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lef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jc w:val="left"/>
        <w:rPr>
          <w:rFonts w:hint="eastAsia" w:ascii="仿宋" w:hAnsi="仿宋" w:eastAsia="仿宋" w:cs="仿宋"/>
          <w:b/>
          <w:bCs/>
          <w:color w:val="auto"/>
          <w:sz w:val="22"/>
          <w:szCs w:val="22"/>
          <w:highlight w:val="none"/>
        </w:rPr>
      </w:pPr>
      <w:r/>
      <w:bookmarkStart w:id="148" w:name="_Toc5975"/>
      <w:r/>
      <w:bookmarkStart w:id="149" w:name="_Toc18085"/>
      <w:r/>
      <w:bookmarkStart w:id="150" w:name="_Toc30396"/>
      <w:r>
        <w:rPr>
          <w:rFonts w:hint="eastAsia" w:ascii="仿宋" w:hAnsi="仿宋" w:eastAsia="仿宋" w:cs="仿宋"/>
          <w:b/>
          <w:bCs/>
          <w:color w:val="auto"/>
          <w:sz w:val="22"/>
          <w:szCs w:val="22"/>
          <w:highlight w:val="none"/>
        </w:rPr>
        <w:t xml:space="preserve">十、投标需要的其他证明文件及材料</w:t>
      </w:r>
      <w:bookmarkEnd w:id="148"/>
      <w:r/>
      <w:bookmarkEnd w:id="149"/>
      <w:r/>
      <w:bookmarkEnd w:id="150"/>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投标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lang w:val="zh-CN"/>
        </w:rPr>
        <w:t xml:space="preserve">认为需要递交的其他证明文件及材料</w:t>
      </w:r>
      <w:r/>
    </w:p>
    <w:p>
      <w:pPr>
        <w:rPr>
          <w:rFonts w:hint="eastAsia" w:ascii="仿宋" w:hAnsi="仿宋" w:eastAsia="仿宋" w:cs="仿宋"/>
          <w:color w:val="auto"/>
          <w:sz w:val="22"/>
          <w:szCs w:val="22"/>
          <w:highlight w:val="none"/>
        </w:rPr>
      </w:pPr>
      <w:r/>
      <w:bookmarkStart w:id="151" w:name="_Toc4428"/>
      <w:r/>
      <w:bookmarkStart w:id="152" w:name="_Toc877"/>
      <w:r/>
      <w:bookmarkStart w:id="153" w:name="_Toc24549"/>
      <w:r/>
      <w:bookmarkStart w:id="154" w:name="_Toc8468"/>
      <w:r>
        <w:rPr>
          <w:rFonts w:hint="eastAsia" w:ascii="仿宋" w:hAnsi="仿宋" w:eastAsia="仿宋" w:cs="仿宋"/>
          <w:color w:val="auto"/>
          <w:sz w:val="22"/>
          <w:szCs w:val="22"/>
          <w:highlight w:val="none"/>
        </w:rPr>
        <w:br w:type="page" w:clear="all"/>
      </w:r>
      <w:r/>
    </w:p>
    <w:p>
      <w:pPr>
        <w:pStyle w:val="908"/>
        <w:spacing w:before="240" w:after="240"/>
        <w:tabs>
          <w:tab w:val="left" w:pos="1440" w:leader="none"/>
          <w:tab w:val="left" w:pos="5670" w:leader="none"/>
        </w:tabs>
        <w:rPr>
          <w:rFonts w:hint="eastAsia" w:ascii="仿宋" w:hAnsi="仿宋" w:eastAsia="仿宋" w:cs="仿宋"/>
          <w:color w:val="auto"/>
          <w:szCs w:val="22"/>
          <w:highlight w:val="none"/>
        </w:rPr>
      </w:pPr>
      <w:r/>
      <w:bookmarkStart w:id="155" w:name="_Toc11673"/>
      <w:r>
        <w:rPr>
          <w:rFonts w:hint="eastAsia" w:ascii="仿宋" w:hAnsi="仿宋" w:eastAsia="仿宋" w:cs="仿宋"/>
          <w:color w:val="auto"/>
          <w:sz w:val="22"/>
          <w:szCs w:val="13"/>
          <w:highlight w:val="none"/>
          <w:lang w:val="en-US" w:eastAsia="zh-CN"/>
        </w:rPr>
        <w:t xml:space="preserve">附件</w:t>
      </w:r>
      <w:r>
        <w:rPr>
          <w:rFonts w:hint="eastAsia" w:ascii="仿宋" w:hAnsi="仿宋" w:eastAsia="仿宋" w:cs="仿宋"/>
          <w:color w:val="auto"/>
          <w:sz w:val="22"/>
          <w:szCs w:val="13"/>
          <w:highlight w:val="none"/>
        </w:rPr>
        <w:t xml:space="preserve">一、</w:t>
      </w:r>
      <w:bookmarkStart w:id="156" w:name="_Toc469583074"/>
      <w:r/>
      <w:bookmarkStart w:id="157" w:name="_Toc524964900"/>
      <w:r/>
      <w:bookmarkStart w:id="158" w:name="_Toc447021131"/>
      <w:r>
        <w:rPr>
          <w:rFonts w:hint="eastAsia" w:ascii="仿宋" w:hAnsi="仿宋" w:eastAsia="仿宋" w:cs="仿宋"/>
          <w:color w:val="auto"/>
          <w:sz w:val="22"/>
          <w:szCs w:val="13"/>
          <w:highlight w:val="none"/>
        </w:rPr>
        <w:t xml:space="preserve">政府采购政策</w:t>
      </w:r>
      <w:bookmarkEnd w:id="151"/>
      <w:r/>
      <w:bookmarkEnd w:id="152"/>
      <w:r/>
      <w:bookmarkEnd w:id="153"/>
      <w:r/>
      <w:bookmarkEnd w:id="154"/>
      <w:r/>
      <w:bookmarkEnd w:id="155"/>
      <w:r/>
      <w:r/>
    </w:p>
    <w:p>
      <w:pPr>
        <w:spacing w:line="360" w:lineRule="auto"/>
        <w:rPr>
          <w:rFonts w:hint="eastAsia" w:ascii="仿宋" w:hAnsi="仿宋" w:eastAsia="仿宋" w:cs="仿宋"/>
          <w:b/>
          <w:bCs/>
          <w:color w:val="auto"/>
          <w:sz w:val="22"/>
          <w:szCs w:val="21"/>
          <w:highlight w:val="none"/>
        </w:rPr>
      </w:pPr>
      <w:r>
        <w:rPr>
          <w:rFonts w:hint="eastAsia" w:ascii="仿宋" w:hAnsi="仿宋" w:eastAsia="仿宋" w:cs="仿宋"/>
          <w:b/>
          <w:bCs/>
          <w:color w:val="auto"/>
          <w:sz w:val="22"/>
          <w:szCs w:val="21"/>
          <w:highlight w:val="none"/>
        </w:rPr>
        <w:t xml:space="preserve">（一）、政府采购促进中小企业发展政策</w:t>
      </w:r>
      <w:bookmarkEnd w:id="156"/>
      <w:r/>
      <w:bookmarkEnd w:id="157"/>
      <w:r/>
      <w:bookmarkEnd w:id="158"/>
      <w:r/>
      <w:r/>
    </w:p>
    <w:p>
      <w:pPr>
        <w:jc w:val="center"/>
        <w:spacing w:line="360" w:lineRule="auto"/>
        <w:widowControl/>
        <w:rPr>
          <w:rFonts w:hint="eastAsia" w:ascii="仿宋" w:hAnsi="仿宋" w:eastAsia="仿宋" w:cs="仿宋"/>
          <w:color w:val="auto"/>
          <w:highlight w:val="none"/>
        </w:rPr>
      </w:pPr>
      <w:r>
        <w:rPr>
          <w:rFonts w:hint="eastAsia" w:ascii="仿宋" w:hAnsi="仿宋" w:eastAsia="仿宋" w:cs="仿宋"/>
          <w:b/>
          <w:bCs/>
          <w:color w:val="auto"/>
          <w:sz w:val="32"/>
          <w:szCs w:val="32"/>
          <w:highlight w:val="none"/>
          <w:lang w:bidi="ar"/>
        </w:rPr>
        <w:t xml:space="preserve">中小企业声明函（工程、服务）</w:t>
      </w:r>
      <w:r/>
    </w:p>
    <w:p>
      <w:pPr>
        <w:ind w:firstLine="72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本公司（联合体）郑重声明，根据《政府采购促进中小企业发展管理办法》（财库﹝2020﹞46 号）的规定，本公司（联合体）参加</w:t>
      </w:r>
      <w:r>
        <w:rPr>
          <w:rFonts w:hint="eastAsia" w:ascii="仿宋" w:hAnsi="仿宋" w:eastAsia="仿宋" w:cs="仿宋"/>
          <w:i/>
          <w:iCs/>
          <w:color w:val="auto"/>
          <w:sz w:val="24"/>
          <w:highlight w:val="none"/>
          <w:u w:val="single"/>
          <w:lang w:bidi="ar"/>
        </w:rPr>
        <w:t xml:space="preserve">（单位名称）</w:t>
      </w:r>
      <w:r>
        <w:rPr>
          <w:rFonts w:hint="eastAsia" w:ascii="仿宋" w:hAnsi="仿宋" w:eastAsia="仿宋" w:cs="仿宋"/>
          <w:color w:val="auto"/>
          <w:sz w:val="24"/>
          <w:highlight w:val="none"/>
          <w:lang w:bidi="ar"/>
        </w:rPr>
        <w:t xml:space="preserve">的</w:t>
      </w:r>
      <w:r>
        <w:rPr>
          <w:rFonts w:hint="eastAsia" w:ascii="仿宋" w:hAnsi="仿宋" w:eastAsia="仿宋" w:cs="仿宋"/>
          <w:i/>
          <w:iCs/>
          <w:color w:val="auto"/>
          <w:sz w:val="24"/>
          <w:highlight w:val="none"/>
          <w:u w:val="single"/>
          <w:lang w:bidi="ar"/>
        </w:rPr>
        <w:t xml:space="preserve">（项目名称）</w:t>
      </w:r>
      <w:r>
        <w:rPr>
          <w:rFonts w:hint="eastAsia" w:ascii="仿宋" w:hAnsi="仿宋" w:eastAsia="仿宋" w:cs="仿宋"/>
          <w:color w:val="auto"/>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 </w:t>
      </w:r>
      <w:r>
        <w:rPr>
          <w:rFonts w:hint="eastAsia" w:ascii="仿宋" w:hAnsi="仿宋" w:eastAsia="仿宋" w:cs="仿宋"/>
          <w:color w:val="auto"/>
          <w:sz w:val="24"/>
          <w:highlight w:val="none"/>
          <w:u w:val="single"/>
          <w:lang w:bidi="ar"/>
        </w:rPr>
        <w:t xml:space="preserve">（标的名称） </w:t>
      </w:r>
      <w:r>
        <w:rPr>
          <w:rFonts w:hint="eastAsia" w:ascii="仿宋" w:hAnsi="仿宋" w:eastAsia="仿宋" w:cs="仿宋"/>
          <w:color w:val="auto"/>
          <w:sz w:val="24"/>
          <w:highlight w:val="none"/>
          <w:lang w:bidi="ar"/>
        </w:rPr>
        <w:t xml:space="preserve">，属于</w:t>
      </w:r>
      <w:r>
        <w:rPr>
          <w:rFonts w:hint="eastAsia" w:ascii="仿宋" w:hAnsi="仿宋" w:eastAsia="仿宋" w:cs="仿宋"/>
          <w:color w:val="auto"/>
          <w:sz w:val="24"/>
          <w:highlight w:val="none"/>
          <w:u w:val="single"/>
          <w:lang w:bidi="ar"/>
        </w:rPr>
        <w:t xml:space="preserve">（软件和信息技术服务业）</w:t>
      </w:r>
      <w:r>
        <w:rPr>
          <w:rFonts w:hint="eastAsia" w:ascii="仿宋" w:hAnsi="仿宋" w:eastAsia="仿宋" w:cs="仿宋"/>
          <w:color w:val="auto"/>
          <w:sz w:val="24"/>
          <w:highlight w:val="none"/>
          <w:lang w:bidi="ar"/>
        </w:rPr>
        <w:t xml:space="preserve">；承建（承接）企业为</w:t>
      </w:r>
      <w:r>
        <w:rPr>
          <w:rFonts w:hint="eastAsia" w:ascii="仿宋" w:hAnsi="仿宋" w:eastAsia="仿宋" w:cs="仿宋"/>
          <w:color w:val="auto"/>
          <w:sz w:val="24"/>
          <w:highlight w:val="none"/>
          <w:u w:val="single"/>
          <w:lang w:bidi="ar"/>
        </w:rPr>
        <w:t xml:space="preserve">（企业名称）</w:t>
      </w:r>
      <w:r>
        <w:rPr>
          <w:rFonts w:hint="eastAsia" w:ascii="仿宋" w:hAnsi="仿宋" w:eastAsia="仿宋" w:cs="仿宋"/>
          <w:color w:val="auto"/>
          <w:sz w:val="24"/>
          <w:highlight w:val="none"/>
          <w:lang w:bidi="ar"/>
        </w:rPr>
        <w:t xml:space="preserve">，从业人员</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人，营业 收入为</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万元，资产总额为</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万元，属于</w:t>
      </w:r>
      <w:r>
        <w:rPr>
          <w:rFonts w:hint="eastAsia" w:ascii="仿宋" w:hAnsi="仿宋" w:eastAsia="仿宋" w:cs="仿宋"/>
          <w:color w:val="auto"/>
          <w:sz w:val="24"/>
          <w:highlight w:val="none"/>
          <w:u w:val="single"/>
          <w:lang w:bidi="ar"/>
        </w:rPr>
        <w:t xml:space="preserve">（中型企业、小型企业、微型企业）</w:t>
      </w:r>
      <w:r>
        <w:rPr>
          <w:rFonts w:hint="eastAsia" w:ascii="仿宋" w:hAnsi="仿宋" w:eastAsia="仿宋" w:cs="仿宋"/>
          <w:color w:val="auto"/>
          <w:sz w:val="24"/>
          <w:highlight w:val="none"/>
          <w:lang w:bidi="ar"/>
        </w:rPr>
        <w:t xml:space="preserve">； </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 </w:t>
      </w:r>
      <w:r>
        <w:rPr>
          <w:rFonts w:hint="eastAsia" w:ascii="仿宋" w:hAnsi="仿宋" w:eastAsia="仿宋" w:cs="仿宋"/>
          <w:color w:val="auto"/>
          <w:sz w:val="24"/>
          <w:highlight w:val="none"/>
          <w:u w:val="single"/>
          <w:lang w:bidi="ar"/>
        </w:rPr>
        <w:t xml:space="preserve">（标的名称）</w:t>
      </w:r>
      <w:r>
        <w:rPr>
          <w:rFonts w:hint="eastAsia" w:ascii="仿宋" w:hAnsi="仿宋" w:eastAsia="仿宋" w:cs="仿宋"/>
          <w:color w:val="auto"/>
          <w:sz w:val="24"/>
          <w:highlight w:val="none"/>
          <w:lang w:bidi="ar"/>
        </w:rPr>
        <w:t xml:space="preserve">，属于</w:t>
      </w:r>
      <w:r>
        <w:rPr>
          <w:rFonts w:hint="eastAsia" w:ascii="仿宋" w:hAnsi="仿宋" w:eastAsia="仿宋" w:cs="仿宋"/>
          <w:color w:val="auto"/>
          <w:sz w:val="24"/>
          <w:highlight w:val="none"/>
          <w:u w:val="single"/>
          <w:lang w:bidi="ar"/>
        </w:rPr>
        <w:t xml:space="preserve">（软件和信息技术服务业）</w:t>
      </w:r>
      <w:r>
        <w:rPr>
          <w:rFonts w:hint="eastAsia" w:ascii="仿宋" w:hAnsi="仿宋" w:eastAsia="仿宋" w:cs="仿宋"/>
          <w:color w:val="auto"/>
          <w:sz w:val="24"/>
          <w:highlight w:val="none"/>
          <w:lang w:bidi="ar"/>
        </w:rPr>
        <w:t xml:space="preserve">； 承建（承接）企业为</w:t>
      </w:r>
      <w:r>
        <w:rPr>
          <w:rFonts w:hint="eastAsia" w:ascii="仿宋" w:hAnsi="仿宋" w:eastAsia="仿宋" w:cs="仿宋"/>
          <w:color w:val="auto"/>
          <w:sz w:val="24"/>
          <w:highlight w:val="none"/>
          <w:u w:val="single"/>
          <w:lang w:bidi="ar"/>
        </w:rPr>
        <w:t xml:space="preserve">（企业名称）</w:t>
      </w:r>
      <w:r>
        <w:rPr>
          <w:rFonts w:hint="eastAsia" w:ascii="仿宋" w:hAnsi="仿宋" w:eastAsia="仿宋" w:cs="仿宋"/>
          <w:color w:val="auto"/>
          <w:sz w:val="24"/>
          <w:highlight w:val="none"/>
          <w:lang w:bidi="ar"/>
        </w:rPr>
        <w:t xml:space="preserve">，从业人员</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人，营业 收入为</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万元，资产总额为</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万元，属于</w:t>
      </w:r>
      <w:r>
        <w:rPr>
          <w:rFonts w:hint="eastAsia" w:ascii="仿宋" w:hAnsi="仿宋" w:eastAsia="仿宋" w:cs="仿宋"/>
          <w:color w:val="auto"/>
          <w:sz w:val="24"/>
          <w:highlight w:val="none"/>
          <w:u w:val="single"/>
          <w:lang w:bidi="ar"/>
        </w:rPr>
        <w:t xml:space="preserve">（中型企业、小型企业、微型企业）</w:t>
      </w:r>
      <w:r>
        <w:rPr>
          <w:rFonts w:hint="eastAsia" w:ascii="仿宋" w:hAnsi="仿宋" w:eastAsia="仿宋" w:cs="仿宋"/>
          <w:color w:val="auto"/>
          <w:sz w:val="24"/>
          <w:highlight w:val="none"/>
          <w:lang w:bidi="ar"/>
        </w:rPr>
        <w:t xml:space="preserve">； </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p>
    <w:p>
      <w:pPr>
        <w:ind w:left="239" w:firstLine="24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本企业对上述声明内容的真实性负责。如有虚假，将依法承担相应责任。 </w:t>
      </w:r>
      <w:r/>
    </w:p>
    <w:p>
      <w:pPr>
        <w:ind w:firstLine="384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企业名称（盖章）： </w:t>
      </w:r>
      <w:r/>
    </w:p>
    <w:p>
      <w:pPr>
        <w:ind w:firstLine="384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日            期：   年  月  日</w:t>
      </w:r>
      <w:r/>
    </w:p>
    <w:p>
      <w:pPr>
        <w:jc w:val="left"/>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注：（1）从业人员、营业收入、资产总额填报上一年度数据，无上一年度数据的新成立企业可不填报。</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（2）供应商如不提供此声明函，价格将不做相应扣除。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（3）由省级以上监狱管理局戒毒管理局(含新疆生产建设兵团)出具的属于监狱企业的证明文件或</w:t>
      </w:r>
      <w:r>
        <w:rPr>
          <w:rFonts w:hint="eastAsia" w:ascii="仿宋" w:hAnsi="仿宋" w:eastAsia="仿宋" w:cs="仿宋"/>
          <w:color w:val="auto"/>
          <w:sz w:val="24"/>
          <w:highlight w:val="none"/>
          <w:lang w:val="zh-CN"/>
        </w:rPr>
        <w:t xml:space="preserve">残疾人福利性单位</w:t>
      </w:r>
      <w:r>
        <w:rPr>
          <w:rFonts w:hint="eastAsia" w:ascii="仿宋" w:hAnsi="仿宋" w:eastAsia="仿宋" w:cs="仿宋"/>
          <w:color w:val="auto"/>
          <w:sz w:val="24"/>
          <w:highlight w:val="none"/>
        </w:rPr>
        <w:t xml:space="preserve">提供《残疾人福利性单位声明函》，均享受小微企业价格扣除。</w:t>
      </w:r>
      <w:r/>
    </w:p>
    <w:p>
      <w:pPr>
        <w:jc w:val="both"/>
        <w:spacing w:line="360" w:lineRule="auto"/>
        <w:rPr>
          <w:rFonts w:hint="eastAsia" w:ascii="仿宋" w:hAnsi="仿宋" w:eastAsia="仿宋" w:cs="仿宋"/>
          <w:color w:val="auto"/>
          <w:sz w:val="22"/>
          <w:szCs w:val="22"/>
          <w:highlight w:val="none"/>
        </w:rPr>
      </w:pPr>
      <w:r/>
      <w:bookmarkStart w:id="159" w:name="_Toc21361"/>
      <w:r/>
      <w:bookmarkStart w:id="160" w:name="_Toc23442"/>
      <w:r/>
      <w:bookmarkStart w:id="161" w:name="_Toc9440"/>
      <w:r/>
      <w:bookmarkStart w:id="162" w:name="_Toc15614"/>
      <w:r>
        <w:rPr>
          <w:rFonts w:hint="eastAsia" w:ascii="仿宋" w:hAnsi="仿宋" w:eastAsia="仿宋" w:cs="仿宋"/>
          <w:color w:val="auto"/>
          <w:sz w:val="22"/>
          <w:szCs w:val="22"/>
          <w:highlight w:val="none"/>
        </w:rPr>
        <w:br w:type="page" w:clear="all"/>
      </w:r>
      <w:r/>
    </w:p>
    <w:p>
      <w:pPr>
        <w:pStyle w:val="908"/>
        <w:spacing w:before="240" w:after="240"/>
        <w:tabs>
          <w:tab w:val="left" w:pos="1440" w:leader="none"/>
          <w:tab w:val="left" w:pos="5670" w:leader="none"/>
        </w:tabs>
        <w:rPr>
          <w:rFonts w:hint="eastAsia" w:ascii="仿宋" w:hAnsi="仿宋" w:eastAsia="仿宋" w:cs="仿宋"/>
          <w:color w:val="auto"/>
          <w:highlight w:val="none"/>
        </w:rPr>
      </w:pPr>
      <w:r/>
      <w:bookmarkStart w:id="163" w:name="_Toc23368"/>
      <w:r>
        <w:rPr>
          <w:rFonts w:hint="eastAsia" w:ascii="仿宋" w:hAnsi="仿宋" w:eastAsia="仿宋" w:cs="仿宋"/>
          <w:color w:val="auto"/>
          <w:sz w:val="22"/>
          <w:szCs w:val="22"/>
          <w:highlight w:val="none"/>
          <w:lang w:val="en-US" w:eastAsia="zh-CN"/>
        </w:rPr>
        <w:t xml:space="preserve">附件</w:t>
      </w:r>
      <w:r>
        <w:rPr>
          <w:rFonts w:hint="eastAsia" w:ascii="仿宋" w:hAnsi="仿宋" w:eastAsia="仿宋" w:cs="仿宋"/>
          <w:color w:val="auto"/>
          <w:sz w:val="22"/>
          <w:szCs w:val="22"/>
          <w:highlight w:val="none"/>
        </w:rPr>
        <w:t xml:space="preserve">二、无重大违法记录声明格式</w:t>
      </w:r>
      <w:bookmarkEnd w:id="159"/>
      <w:r/>
      <w:bookmarkEnd w:id="160"/>
      <w:r/>
      <w:bookmarkEnd w:id="161"/>
      <w:r/>
      <w:bookmarkEnd w:id="162"/>
      <w:r/>
      <w:bookmarkEnd w:id="163"/>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无重大违法记录声明</w:t>
      </w:r>
      <w:r/>
    </w:p>
    <w:p>
      <w:pPr>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szCs w:val="21"/>
          <w:highlight w:val="none"/>
          <w:lang w:val="zh-CN"/>
        </w:rPr>
        <w:t xml:space="preserve">南京市规划和自然资源局</w:t>
      </w:r>
      <w:r>
        <w:rPr>
          <w:rFonts w:hint="eastAsia" w:ascii="仿宋" w:hAnsi="仿宋" w:eastAsia="仿宋" w:cs="仿宋"/>
          <w:color w:val="auto"/>
          <w:sz w:val="24"/>
          <w:highlight w:val="none"/>
        </w:rPr>
        <w:t xml:space="preserve">：</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（供应商名称）郑重声明：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参加政府采购活动前3年内在经营活动中</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（在下划线上如实填写：有或没有）重大违法记录。</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声明人（公章）：</w:t>
      </w:r>
      <w:r/>
    </w:p>
    <w:p>
      <w:pPr>
        <w:ind w:firstLine="4560"/>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日期：   年   月   日</w:t>
      </w:r>
      <w:r/>
    </w:p>
    <w:p>
      <w:pPr>
        <w:pStyle w:val="908"/>
        <w:spacing w:before="240" w:after="240"/>
        <w:tabs>
          <w:tab w:val="left" w:pos="1440" w:leader="none"/>
          <w:tab w:val="left" w:pos="5670" w:leader="none"/>
        </w:tabs>
        <w:rPr>
          <w:rStyle w:val="915"/>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Style w:val="915"/>
          <w:rFonts w:hint="eastAsia" w:ascii="仿宋" w:hAnsi="仿宋" w:eastAsia="仿宋" w:cs="仿宋"/>
          <w:color w:val="auto"/>
          <w:highlight w:val="none"/>
        </w:rPr>
      </w:pPr>
      <w:r>
        <w:rPr>
          <w:rFonts w:hint="eastAsia" w:ascii="仿宋" w:hAnsi="仿宋" w:eastAsia="仿宋" w:cs="仿宋"/>
          <w:color w:val="auto"/>
          <w:highlight w:val="none"/>
        </w:rPr>
      </w:r>
      <w:r/>
    </w:p>
    <w:p>
      <w:pPr>
        <w:pStyle w:val="925"/>
        <w:ind w:firstLine="422"/>
        <w:rPr>
          <w:rStyle w:val="915"/>
          <w:rFonts w:hint="eastAsia" w:ascii="仿宋" w:hAnsi="仿宋" w:eastAsia="仿宋" w:cs="仿宋"/>
          <w:color w:val="auto"/>
          <w:highlight w:val="none"/>
        </w:rPr>
      </w:pPr>
      <w:r>
        <w:rPr>
          <w:rFonts w:hint="eastAsia" w:ascii="仿宋" w:hAnsi="仿宋" w:eastAsia="仿宋" w:cs="仿宋"/>
          <w:color w:val="auto"/>
          <w:highlight w:val="none"/>
        </w:rPr>
      </w:r>
      <w:r/>
    </w:p>
    <w:p>
      <w:pPr>
        <w:pStyle w:val="925"/>
        <w:ind w:firstLine="422"/>
        <w:rPr>
          <w:rStyle w:val="915"/>
          <w:rFonts w:hint="eastAsia" w:ascii="仿宋" w:hAnsi="仿宋" w:eastAsia="仿宋" w:cs="仿宋"/>
          <w:color w:val="auto"/>
          <w:highlight w:val="none"/>
        </w:rPr>
      </w:pPr>
      <w:r>
        <w:rPr>
          <w:rFonts w:hint="eastAsia" w:ascii="仿宋" w:hAnsi="仿宋" w:eastAsia="仿宋" w:cs="仿宋"/>
          <w:color w:val="auto"/>
          <w:highlight w:val="none"/>
        </w:rPr>
      </w:r>
      <w:r/>
    </w:p>
    <w:p>
      <w:pPr>
        <w:pStyle w:val="925"/>
        <w:ind w:firstLine="422"/>
        <w:rPr>
          <w:rStyle w:val="915"/>
          <w:rFonts w:hint="eastAsia" w:ascii="仿宋" w:hAnsi="仿宋" w:eastAsia="仿宋" w:cs="仿宋"/>
          <w:color w:val="auto"/>
          <w:highlight w:val="none"/>
        </w:rPr>
      </w:pPr>
      <w:r>
        <w:rPr>
          <w:rFonts w:hint="eastAsia" w:ascii="仿宋" w:hAnsi="仿宋" w:eastAsia="仿宋" w:cs="仿宋"/>
          <w:color w:val="auto"/>
          <w:highlight w:val="none"/>
        </w:rPr>
      </w:r>
      <w:r/>
    </w:p>
    <w:p>
      <w:pPr>
        <w:pStyle w:val="925"/>
        <w:ind w:firstLine="422"/>
        <w:rPr>
          <w:rStyle w:val="915"/>
          <w:rFonts w:hint="eastAsia" w:ascii="仿宋" w:hAnsi="仿宋" w:eastAsia="仿宋" w:cs="仿宋"/>
          <w:color w:val="auto"/>
          <w:highlight w:val="none"/>
        </w:rPr>
      </w:pPr>
      <w:r>
        <w:rPr>
          <w:rFonts w:hint="eastAsia" w:ascii="仿宋" w:hAnsi="仿宋" w:eastAsia="仿宋" w:cs="仿宋"/>
          <w:color w:val="auto"/>
          <w:highlight w:val="none"/>
        </w:rPr>
      </w:r>
      <w:r/>
    </w:p>
    <w:p>
      <w:pPr>
        <w:pStyle w:val="925"/>
        <w:ind w:firstLine="422"/>
        <w:rPr>
          <w:rStyle w:val="915"/>
          <w:rFonts w:hint="eastAsia" w:ascii="仿宋" w:hAnsi="仿宋" w:eastAsia="仿宋" w:cs="仿宋"/>
          <w:color w:val="auto"/>
          <w:highlight w:val="none"/>
        </w:rPr>
      </w:pPr>
      <w:r>
        <w:rPr>
          <w:rFonts w:hint="eastAsia" w:ascii="仿宋" w:hAnsi="仿宋" w:eastAsia="仿宋" w:cs="仿宋"/>
          <w:color w:val="auto"/>
          <w:highlight w:val="none"/>
        </w:rPr>
      </w:r>
      <w:r/>
    </w:p>
    <w:p>
      <w:pPr>
        <w:pStyle w:val="925"/>
        <w:ind w:firstLine="422"/>
        <w:rPr>
          <w:rStyle w:val="915"/>
          <w:rFonts w:hint="eastAsia" w:ascii="仿宋" w:hAnsi="仿宋" w:eastAsia="仿宋" w:cs="仿宋"/>
          <w:color w:val="auto"/>
          <w:highlight w:val="none"/>
        </w:rPr>
      </w:pPr>
      <w:r>
        <w:rPr>
          <w:rFonts w:hint="eastAsia" w:ascii="仿宋" w:hAnsi="仿宋" w:eastAsia="仿宋" w:cs="仿宋"/>
          <w:color w:val="auto"/>
          <w:highlight w:val="none"/>
        </w:rPr>
      </w:r>
      <w:r/>
    </w:p>
    <w:p>
      <w:pPr>
        <w:rPr>
          <w:rStyle w:val="915"/>
          <w:rFonts w:hint="eastAsia" w:ascii="仿宋" w:hAnsi="仿宋" w:eastAsia="仿宋" w:cs="仿宋"/>
          <w:b/>
          <w:bCs/>
          <w:color w:val="auto"/>
          <w:sz w:val="22"/>
          <w:szCs w:val="22"/>
          <w:highlight w:val="none"/>
        </w:rPr>
      </w:pPr>
      <w:r/>
      <w:bookmarkStart w:id="164" w:name="_Toc1360"/>
      <w:r>
        <w:rPr>
          <w:rStyle w:val="915"/>
          <w:rFonts w:hint="eastAsia" w:ascii="仿宋" w:hAnsi="仿宋" w:eastAsia="仿宋" w:cs="仿宋"/>
          <w:b/>
          <w:bCs/>
          <w:color w:val="auto"/>
          <w:sz w:val="22"/>
          <w:szCs w:val="22"/>
          <w:highlight w:val="none"/>
        </w:rPr>
        <w:br w:type="page" w:clear="all"/>
      </w:r>
      <w:r/>
    </w:p>
    <w:p>
      <w:pPr>
        <w:pStyle w:val="908"/>
        <w:spacing w:before="240" w:after="240"/>
        <w:tabs>
          <w:tab w:val="left" w:pos="1440" w:leader="none"/>
          <w:tab w:val="left" w:pos="5670" w:leader="none"/>
        </w:tabs>
        <w:rPr>
          <w:rFonts w:hint="eastAsia" w:ascii="仿宋" w:hAnsi="仿宋" w:eastAsia="仿宋" w:cs="仿宋"/>
          <w:b/>
          <w:bCs/>
          <w:color w:val="auto"/>
          <w:sz w:val="32"/>
          <w:szCs w:val="32"/>
          <w:highlight w:val="none"/>
        </w:rPr>
      </w:pPr>
      <w:r/>
      <w:bookmarkStart w:id="165" w:name="_Toc12408"/>
      <w:r>
        <w:rPr>
          <w:rStyle w:val="915"/>
          <w:rFonts w:hint="eastAsia" w:ascii="仿宋" w:hAnsi="仿宋" w:eastAsia="仿宋" w:cs="仿宋"/>
          <w:b/>
          <w:bCs/>
          <w:color w:val="auto"/>
          <w:sz w:val="22"/>
          <w:szCs w:val="22"/>
          <w:highlight w:val="none"/>
          <w:lang w:val="en-US" w:eastAsia="zh-CN"/>
        </w:rPr>
        <w:t xml:space="preserve">附件</w:t>
      </w:r>
      <w:r>
        <w:rPr>
          <w:rStyle w:val="915"/>
          <w:rFonts w:hint="eastAsia" w:ascii="仿宋" w:hAnsi="仿宋" w:eastAsia="仿宋" w:cs="仿宋"/>
          <w:b/>
          <w:bCs/>
          <w:color w:val="auto"/>
          <w:sz w:val="22"/>
          <w:szCs w:val="22"/>
          <w:highlight w:val="none"/>
        </w:rPr>
        <w:t xml:space="preserve">三、具备履行合同所必需的设备和专业技术能力的声明格式</w:t>
      </w:r>
      <w:bookmarkEnd w:id="164"/>
      <w:r/>
      <w:bookmarkEnd w:id="165"/>
      <w:r/>
      <w:r/>
    </w:p>
    <w:p>
      <w:pPr>
        <w:pStyle w:val="917"/>
        <w:rPr>
          <w:rFonts w:hint="eastAsia" w:ascii="仿宋" w:hAnsi="仿宋" w:eastAsia="仿宋" w:cs="仿宋"/>
          <w:b/>
          <w:bCs/>
          <w:color w:val="auto"/>
          <w:sz w:val="32"/>
          <w:szCs w:val="21"/>
          <w:highlight w:val="none"/>
          <w:lang w:val="zh-CN"/>
        </w:rPr>
      </w:pPr>
      <w:r>
        <w:rPr>
          <w:rFonts w:hint="eastAsia" w:ascii="仿宋" w:hAnsi="仿宋" w:eastAsia="仿宋" w:cs="仿宋"/>
          <w:b/>
          <w:bCs/>
          <w:color w:val="auto"/>
          <w:sz w:val="32"/>
          <w:szCs w:val="21"/>
          <w:highlight w:val="none"/>
        </w:rPr>
        <w:t xml:space="preserve">具备履行合同所必需的设备和专业技术能力的声明</w:t>
      </w:r>
      <w:r/>
    </w:p>
    <w:p>
      <w:pPr>
        <w:rPr>
          <w:rFonts w:hint="eastAsia" w:ascii="仿宋" w:hAnsi="仿宋" w:eastAsia="仿宋" w:cs="仿宋"/>
          <w:b/>
          <w:color w:val="auto"/>
          <w:sz w:val="24"/>
          <w:szCs w:val="21"/>
          <w:highlight w:val="none"/>
          <w:lang w:val="zh-CN"/>
        </w:rPr>
      </w:pPr>
      <w:r>
        <w:rPr>
          <w:rFonts w:hint="eastAsia" w:ascii="仿宋" w:hAnsi="仿宋" w:eastAsia="仿宋" w:cs="仿宋"/>
          <w:b/>
          <w:color w:val="auto"/>
          <w:sz w:val="24"/>
          <w:szCs w:val="21"/>
          <w:highlight w:val="none"/>
          <w:lang w:val="zh-CN"/>
        </w:rPr>
      </w:r>
      <w:r/>
    </w:p>
    <w:p>
      <w:pPr>
        <w:rPr>
          <w:rFonts w:hint="eastAsia" w:ascii="仿宋" w:hAnsi="仿宋" w:eastAsia="仿宋" w:cs="仿宋"/>
          <w:color w:val="auto"/>
          <w:highlight w:val="none"/>
        </w:rPr>
      </w:pPr>
      <w:r>
        <w:rPr>
          <w:rFonts w:hint="eastAsia" w:ascii="仿宋" w:hAnsi="仿宋" w:eastAsia="仿宋" w:cs="仿宋"/>
          <w:b/>
          <w:color w:val="auto"/>
          <w:sz w:val="24"/>
          <w:szCs w:val="21"/>
          <w:highlight w:val="none"/>
          <w:lang w:val="zh-CN"/>
        </w:rPr>
        <w:t xml:space="preserve">南京市规划和自然资源局</w:t>
      </w:r>
      <w:r>
        <w:rPr>
          <w:rFonts w:hint="eastAsia" w:ascii="仿宋" w:hAnsi="仿宋" w:eastAsia="仿宋" w:cs="仿宋"/>
          <w:color w:val="auto"/>
          <w:sz w:val="24"/>
          <w:highlight w:val="none"/>
        </w:rPr>
        <w:t xml:space="preserve">：</w:t>
      </w:r>
      <w:r/>
    </w:p>
    <w:p>
      <w:pPr>
        <w:pStyle w:val="917"/>
        <w:ind w:left="119" w:firstLine="480"/>
        <w:jc w:val="both"/>
        <w:spacing w:before="266" w:line="360" w:lineRule="auto"/>
        <w:tabs>
          <w:tab w:val="left" w:pos="520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w:t>
      </w:r>
      <w:r>
        <w:rPr>
          <w:rFonts w:hint="eastAsia" w:ascii="仿宋" w:hAnsi="仿宋" w:eastAsia="仿宋" w:cs="仿宋"/>
          <w:color w:val="auto"/>
          <w:spacing w:val="-3"/>
          <w:sz w:val="24"/>
          <w:szCs w:val="24"/>
          <w:highlight w:val="none"/>
        </w:rPr>
        <w:t xml:space="preserve">位</w:t>
      </w:r>
      <w:r>
        <w:rPr>
          <w:rFonts w:hint="eastAsia" w:ascii="仿宋" w:hAnsi="仿宋" w:eastAsia="仿宋" w:cs="仿宋"/>
          <w:color w:val="auto"/>
          <w:spacing w:val="-3"/>
          <w:sz w:val="24"/>
          <w:szCs w:val="24"/>
          <w:highlight w:val="none"/>
          <w:u w:val="singl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z w:val="24"/>
          <w:szCs w:val="24"/>
          <w:highlight w:val="none"/>
        </w:rPr>
        <w:t xml:space="preserve">供</w:t>
      </w:r>
      <w:r>
        <w:rPr>
          <w:rFonts w:hint="eastAsia" w:ascii="仿宋" w:hAnsi="仿宋" w:eastAsia="仿宋" w:cs="仿宋"/>
          <w:color w:val="auto"/>
          <w:spacing w:val="-3"/>
          <w:sz w:val="24"/>
          <w:szCs w:val="24"/>
          <w:highlight w:val="none"/>
        </w:rPr>
        <w:t xml:space="preserve">应</w:t>
      </w:r>
      <w:r>
        <w:rPr>
          <w:rFonts w:hint="eastAsia" w:ascii="仿宋" w:hAnsi="仿宋" w:eastAsia="仿宋" w:cs="仿宋"/>
          <w:color w:val="auto"/>
          <w:sz w:val="24"/>
          <w:szCs w:val="24"/>
          <w:highlight w:val="none"/>
        </w:rPr>
        <w:t xml:space="preserve">商</w:t>
      </w:r>
      <w:r>
        <w:rPr>
          <w:rFonts w:hint="eastAsia" w:ascii="仿宋" w:hAnsi="仿宋" w:eastAsia="仿宋" w:cs="仿宋"/>
          <w:color w:val="auto"/>
          <w:spacing w:val="-3"/>
          <w:sz w:val="24"/>
          <w:szCs w:val="24"/>
          <w:highlight w:val="none"/>
        </w:rPr>
        <w:t xml:space="preserve">名</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pacing w:val="-3"/>
          <w:sz w:val="24"/>
          <w:szCs w:val="24"/>
          <w:highlight w:val="none"/>
        </w:rPr>
        <w:t xml:space="preserve">郑</w:t>
      </w:r>
      <w:r>
        <w:rPr>
          <w:rFonts w:hint="eastAsia" w:ascii="仿宋" w:hAnsi="仿宋" w:eastAsia="仿宋" w:cs="仿宋"/>
          <w:color w:val="auto"/>
          <w:sz w:val="24"/>
          <w:szCs w:val="24"/>
          <w:highlight w:val="none"/>
        </w:rPr>
        <w:t xml:space="preserve">重</w:t>
      </w:r>
      <w:r>
        <w:rPr>
          <w:rFonts w:hint="eastAsia" w:ascii="仿宋" w:hAnsi="仿宋" w:eastAsia="仿宋" w:cs="仿宋"/>
          <w:color w:val="auto"/>
          <w:spacing w:val="-3"/>
          <w:sz w:val="24"/>
          <w:szCs w:val="24"/>
          <w:highlight w:val="none"/>
        </w:rPr>
        <w:t xml:space="preserve">声</w:t>
      </w:r>
      <w:r>
        <w:rPr>
          <w:rFonts w:hint="eastAsia" w:ascii="仿宋" w:hAnsi="仿宋" w:eastAsia="仿宋" w:cs="仿宋"/>
          <w:color w:val="auto"/>
          <w:sz w:val="24"/>
          <w:szCs w:val="24"/>
          <w:highlight w:val="none"/>
        </w:rPr>
        <w:t xml:space="preserve">明：</w:t>
      </w:r>
      <w:r/>
    </w:p>
    <w:p>
      <w:pPr>
        <w:pStyle w:val="917"/>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我公司具备履行本项采购合同所必需的设备和专业技术能力，为履行本项采购合同我单位具备如下主要设备和主要专业技术能力：</w:t>
      </w:r>
      <w:r/>
    </w:p>
    <w:p>
      <w:pPr>
        <w:pStyle w:val="917"/>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7"/>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主要设备：  （若有）</w:t>
      </w:r>
      <w:r/>
    </w:p>
    <w:p>
      <w:pPr>
        <w:pStyle w:val="917"/>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主要专业技术能力：  （若有）</w:t>
      </w:r>
      <w:r/>
    </w:p>
    <w:p>
      <w:pPr>
        <w:pStyle w:val="917"/>
        <w:spacing w:before="6"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7"/>
        <w:ind w:firstLine="50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声明人（盖章）：</w:t>
      </w:r>
      <w:r/>
    </w:p>
    <w:p>
      <w:pPr>
        <w:pStyle w:val="917"/>
        <w:ind w:firstLine="5040"/>
        <w:spacing w:line="360" w:lineRule="auto"/>
        <w:tabs>
          <w:tab w:val="left" w:pos="7234" w:leader="none"/>
          <w:tab w:val="left" w:pos="8284" w:leader="none"/>
          <w:tab w:val="left" w:pos="8809" w:leader="none"/>
          <w:tab w:val="left" w:pos="933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年   月  日</w:t>
      </w:r>
      <w:r/>
    </w:p>
    <w:p>
      <w:pPr>
        <w:pStyle w:val="908"/>
        <w:jc w:val="left"/>
        <w:spacing w:before="240" w:after="240" w:line="240" w:lineRule="auto"/>
        <w:tabs>
          <w:tab w:val="left" w:pos="1440" w:leader="none"/>
          <w:tab w:val="left" w:pos="5670" w:leader="none"/>
        </w:tabs>
        <w:rPr>
          <w:rFonts w:hint="eastAsia" w:ascii="仿宋" w:hAnsi="仿宋" w:eastAsia="仿宋" w:cs="仿宋"/>
          <w:color w:val="auto"/>
          <w:sz w:val="36"/>
          <w:szCs w:val="36"/>
          <w:highlight w:val="none"/>
          <w:lang w:val="zh-CN"/>
        </w:rPr>
      </w:pPr>
      <w:r>
        <w:rPr>
          <w:rFonts w:hint="eastAsia" w:ascii="仿宋" w:hAnsi="仿宋" w:eastAsia="仿宋" w:cs="仿宋"/>
          <w:color w:val="auto"/>
          <w:highlight w:val="none"/>
        </w:rPr>
        <w:br w:type="page" w:clear="all"/>
      </w:r>
      <w:bookmarkStart w:id="166" w:name="_Toc16991"/>
      <w:r/>
      <w:bookmarkStart w:id="167" w:name="_Toc10017"/>
      <w:r/>
      <w:bookmarkStart w:id="168" w:name="_Toc28917"/>
      <w:r/>
      <w:bookmarkStart w:id="169" w:name="_Toc24180"/>
      <w:r/>
      <w:bookmarkStart w:id="170" w:name="_Toc12676"/>
      <w:r>
        <w:rPr>
          <w:rFonts w:hint="eastAsia" w:ascii="仿宋" w:hAnsi="仿宋" w:eastAsia="仿宋" w:cs="仿宋"/>
          <w:color w:val="auto"/>
          <w:sz w:val="22"/>
          <w:szCs w:val="22"/>
          <w:highlight w:val="none"/>
          <w:lang w:val="en-US" w:eastAsia="zh-CN"/>
        </w:rPr>
        <w:t xml:space="preserve">附件四</w:t>
      </w:r>
      <w:r>
        <w:rPr>
          <w:rFonts w:hint="eastAsia" w:ascii="仿宋" w:hAnsi="仿宋" w:eastAsia="仿宋" w:cs="仿宋"/>
          <w:color w:val="auto"/>
          <w:sz w:val="22"/>
          <w:szCs w:val="22"/>
          <w:highlight w:val="none"/>
          <w:lang w:val="zh-CN"/>
        </w:rPr>
        <w:t xml:space="preserve">、</w:t>
      </w:r>
      <w:bookmarkEnd w:id="166"/>
      <w:r/>
      <w:bookmarkEnd w:id="167"/>
      <w:r/>
      <w:bookmarkEnd w:id="168"/>
      <w:r/>
      <w:bookmarkEnd w:id="169"/>
      <w:r/>
      <w:bookmarkEnd w:id="170"/>
      <w:r>
        <w:rPr>
          <w:rFonts w:hint="eastAsia" w:ascii="仿宋" w:hAnsi="仿宋" w:eastAsia="仿宋" w:cs="仿宋"/>
          <w:color w:val="auto"/>
          <w:sz w:val="22"/>
          <w:szCs w:val="22"/>
          <w:highlight w:val="none"/>
          <w:lang w:val="zh-CN"/>
        </w:rPr>
        <w:t xml:space="preserve">南京市政府采购供应商信用承诺书</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ascii="仿宋" w:hAnsi="仿宋" w:eastAsia="仿宋" w:cs="仿宋"/>
          <w:b/>
          <w:bCs/>
          <w:color w:val="auto"/>
          <w:sz w:val="32"/>
          <w:szCs w:val="40"/>
          <w:highlight w:val="none"/>
        </w:rPr>
      </w:pPr>
      <w:r>
        <w:rPr>
          <w:rFonts w:hint="eastAsia" w:ascii="仿宋" w:hAnsi="仿宋" w:eastAsia="仿宋" w:cs="仿宋"/>
          <w:b/>
          <w:bCs/>
          <w:color w:val="auto"/>
          <w:sz w:val="32"/>
          <w:szCs w:val="40"/>
          <w:highlight w:val="none"/>
        </w:rPr>
        <w:t xml:space="preserve">南京市政府采购供应商信用承诺书</w:t>
      </w:r>
      <w:r/>
    </w:p>
    <w:p>
      <w:pPr>
        <w:jc w:val="righ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XXXX年XX月XX日</w:t>
      </w:r>
      <w:r/>
    </w:p>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bl>
      <w:tblPr>
        <w:tblStyle w:val="737"/>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shd w:val="clear" w:color="auto" w:fill="auto"/>
            <w:tcW w:w="2148" w:type="dxa"/>
            <w:vAlign w:val="center"/>
            <w:textDirection w:val="lrTb"/>
            <w:noWrap w:val="false"/>
          </w:tcPr>
          <w:p>
            <w:pPr>
              <w:ind w:left="-420"/>
              <w:jc w:val="center"/>
              <w:tabs>
                <w:tab w:val="left" w:pos="252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单位名称</w:t>
            </w:r>
            <w:r/>
          </w:p>
        </w:tc>
        <w:tc>
          <w:tcPr>
            <w:shd w:val="clear" w:color="auto" w:fill="auto"/>
            <w:tcW w:w="22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1833"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shd w:val="clear" w:color="auto" w:fill="auto"/>
            <w:tcW w:w="3331" w:type="dxa"/>
            <w:vAlign w:val="center"/>
            <w:textDirection w:val="lrTb"/>
            <w:noWrap w:val="false"/>
          </w:tcPr>
          <w:p>
            <w:pPr>
              <w:ind w:right="-678"/>
              <w:jc w:val="center"/>
              <w:tabs>
                <w:tab w:val="left" w:pos="232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67"/>
        </w:trPr>
        <w:tc>
          <w:tcPr>
            <w:shd w:val="clear" w:color="auto" w:fill="auto"/>
            <w:tcW w:w="214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shd w:val="clear" w:color="auto" w:fill="auto"/>
            <w:tcW w:w="22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1833"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shd w:val="clear" w:color="auto" w:fill="auto"/>
            <w:tcW w:w="333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67"/>
        </w:trPr>
        <w:tc>
          <w:tcPr>
            <w:shd w:val="clear" w:color="auto" w:fill="auto"/>
            <w:tcW w:w="214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联系地址</w:t>
            </w:r>
            <w:r/>
          </w:p>
        </w:tc>
        <w:tc>
          <w:tcPr>
            <w:shd w:val="clear" w:color="auto" w:fill="auto"/>
            <w:tcW w:w="22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1833"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shd w:val="clear" w:color="auto" w:fill="auto"/>
            <w:tcW w:w="333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560"/>
        </w:trPr>
        <w:tc>
          <w:tcPr>
            <w:shd w:val="clear" w:color="auto" w:fill="auto"/>
            <w:tcW w:w="214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信用承诺</w:t>
            </w:r>
            <w:r/>
          </w:p>
        </w:tc>
        <w:tc>
          <w:tcPr>
            <w:gridSpan w:val="3"/>
            <w:shd w:val="clear" w:color="auto" w:fill="auto"/>
            <w:tcW w:w="7448" w:type="dxa"/>
            <w:vAlign w:val="center"/>
            <w:textDirection w:val="lrTb"/>
            <w:noWrap w:val="false"/>
          </w:tcPr>
          <w:p>
            <w:pPr>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我公司自愿参加贵中心（公司）组织的本次采购活动，严格遵守《中华人民共和国政府采购法》及相关</w:t>
            </w:r>
            <w:r>
              <w:rPr>
                <w:rFonts w:hint="eastAsia" w:ascii="仿宋" w:hAnsi="仿宋" w:eastAsia="仿宋" w:cs="仿宋"/>
                <w:color w:val="auto"/>
                <w:sz w:val="24"/>
                <w:szCs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供应商名称（盖章）：</w:t>
            </w:r>
            <w:r/>
          </w:p>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w:t>
            </w:r>
            <w:r/>
          </w:p>
          <w:p>
            <w:pPr>
              <w:ind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XXXX年XX月XX日</w:t>
            </w:r>
            <w:r/>
          </w:p>
        </w:tc>
      </w:tr>
    </w:tbl>
    <w:p>
      <w:pP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sectPr>
      <w:footnotePr/>
      <w:endnotePr/>
      <w:type w:val="nextPage"/>
      <w:pgSz w:w="11906" w:h="16838" w:orient="portrait"/>
      <w:pgMar w:top="1247" w:right="1134"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方正大黑简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left"/>
      <w:pBdr>
        <w:bottom w:val="none" w:color="000000" w:sz="0" w:space="0"/>
      </w:pBdr>
    </w:pPr>
    <w:r>
      <mc:AlternateContent>
        <mc:Choice Requires="wpg">
          <w:drawing>
            <wp:inline xmlns:wp="http://schemas.openxmlformats.org/drawingml/2006/wordprocessingDrawing" distT="0" distB="0" distL="0" distR="0">
              <wp:extent cx="2326005" cy="4241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2600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1pt;height:33.4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left"/>
      <w:pBdr>
        <w:bottom w:val="none" w:color="000000" w:sz="0" w:space="0"/>
      </w:pBdr>
    </w:pPr>
    <w:r>
      <mc:AlternateContent>
        <mc:Choice Requires="wpg">
          <w:drawing>
            <wp:inline xmlns:wp="http://schemas.openxmlformats.org/drawingml/2006/wordprocessingDrawing" distT="0" distB="0" distL="0" distR="0">
              <wp:extent cx="2326005" cy="42418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2600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1pt;height:33.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70" w:hanging="57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9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761"/>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2"/>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3"/>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4"/>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5"/>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68"/>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69"/>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Caption"/>
    <w:basedOn w:val="726"/>
    <w:next w:val="726"/>
    <w:uiPriority w:val="35"/>
    <w:semiHidden/>
    <w:unhideWhenUsed/>
    <w:qFormat/>
    <w:pPr>
      <w:spacing w:line="276" w:lineRule="auto"/>
    </w:pPr>
    <w:rPr>
      <w:b/>
      <w:bCs/>
      <w:color w:val="4f81bd" w:themeColor="accent1"/>
      <w:sz w:val="18"/>
      <w:szCs w:val="18"/>
    </w:rPr>
  </w:style>
  <w:style w:type="paragraph" w:styleId="740">
    <w:name w:val="Body Text"/>
    <w:basedOn w:val="726"/>
    <w:uiPriority w:val="0"/>
    <w:qFormat/>
    <w:pPr>
      <w:jc w:val="left"/>
      <w:widowControl/>
    </w:pPr>
    <w:rPr>
      <w:rFonts w:ascii="宋体" w:hAnsi="宋体" w:cs="宋体"/>
      <w:color w:val="000000"/>
      <w:sz w:val="80"/>
      <w:szCs w:val="80"/>
      <w:lang w:eastAsia="en-US"/>
    </w:rPr>
  </w:style>
  <w:style w:type="paragraph" w:styleId="741">
    <w:name w:val="toc 5"/>
    <w:basedOn w:val="726"/>
    <w:next w:val="726"/>
    <w:uiPriority w:val="39"/>
    <w:unhideWhenUsed/>
    <w:qFormat/>
    <w:pPr>
      <w:ind w:left="1134" w:right="0" w:firstLine="0"/>
      <w:spacing w:after="57"/>
    </w:pPr>
  </w:style>
  <w:style w:type="paragraph" w:styleId="742">
    <w:name w:val="toc 3"/>
    <w:basedOn w:val="726"/>
    <w:next w:val="726"/>
    <w:uiPriority w:val="39"/>
    <w:unhideWhenUsed/>
    <w:qFormat/>
    <w:pPr>
      <w:ind w:left="567" w:right="0" w:firstLine="0"/>
      <w:spacing w:after="57"/>
    </w:pPr>
  </w:style>
  <w:style w:type="paragraph" w:styleId="743">
    <w:name w:val="toc 8"/>
    <w:basedOn w:val="726"/>
    <w:next w:val="726"/>
    <w:uiPriority w:val="39"/>
    <w:unhideWhenUsed/>
    <w:qFormat/>
    <w:pPr>
      <w:ind w:left="1984" w:right="0" w:firstLine="0"/>
      <w:spacing w:after="57"/>
    </w:pPr>
  </w:style>
  <w:style w:type="paragraph" w:styleId="744">
    <w:name w:val="endnote text"/>
    <w:basedOn w:val="726"/>
    <w:link w:val="906"/>
    <w:uiPriority w:val="99"/>
    <w:semiHidden/>
    <w:unhideWhenUsed/>
    <w:qFormat/>
    <w:pPr>
      <w:spacing w:after="0" w:line="240" w:lineRule="auto"/>
    </w:pPr>
    <w:rPr>
      <w:sz w:val="20"/>
    </w:rPr>
  </w:style>
  <w:style w:type="paragraph" w:styleId="745">
    <w:name w:val="Footer"/>
    <w:basedOn w:val="726"/>
    <w:link w:val="779"/>
    <w:uiPriority w:val="99"/>
    <w:unhideWhenUsed/>
    <w:qFormat/>
    <w:pPr>
      <w:spacing w:after="0" w:line="240" w:lineRule="auto"/>
      <w:tabs>
        <w:tab w:val="center" w:pos="7143" w:leader="none"/>
        <w:tab w:val="right" w:pos="14287" w:leader="none"/>
      </w:tabs>
    </w:pPr>
  </w:style>
  <w:style w:type="paragraph" w:styleId="746">
    <w:name w:val="Header"/>
    <w:basedOn w:val="726"/>
    <w:link w:val="777"/>
    <w:uiPriority w:val="99"/>
    <w:unhideWhenUsed/>
    <w:qFormat/>
    <w:pPr>
      <w:spacing w:after="0" w:line="240" w:lineRule="auto"/>
      <w:tabs>
        <w:tab w:val="center" w:pos="7143" w:leader="none"/>
        <w:tab w:val="right" w:pos="14287" w:leader="none"/>
      </w:tabs>
    </w:pPr>
  </w:style>
  <w:style w:type="paragraph" w:styleId="747">
    <w:name w:val="toc 1"/>
    <w:basedOn w:val="726"/>
    <w:next w:val="726"/>
    <w:uiPriority w:val="39"/>
    <w:unhideWhenUsed/>
    <w:qFormat/>
    <w:pPr>
      <w:ind w:left="0" w:right="0" w:firstLine="0"/>
      <w:spacing w:after="57"/>
    </w:pPr>
  </w:style>
  <w:style w:type="paragraph" w:styleId="748">
    <w:name w:val="toc 4"/>
    <w:basedOn w:val="726"/>
    <w:next w:val="726"/>
    <w:uiPriority w:val="39"/>
    <w:unhideWhenUsed/>
    <w:qFormat/>
    <w:pPr>
      <w:ind w:left="850" w:right="0" w:firstLine="0"/>
      <w:spacing w:after="57"/>
    </w:pPr>
  </w:style>
  <w:style w:type="paragraph" w:styleId="749">
    <w:name w:val="Subtitle"/>
    <w:basedOn w:val="726"/>
    <w:next w:val="726"/>
    <w:link w:val="772"/>
    <w:uiPriority w:val="11"/>
    <w:qFormat/>
    <w:pPr>
      <w:spacing w:before="200" w:after="200"/>
    </w:pPr>
    <w:rPr>
      <w:sz w:val="24"/>
      <w:szCs w:val="24"/>
    </w:rPr>
  </w:style>
  <w:style w:type="paragraph" w:styleId="750">
    <w:name w:val="footnote text"/>
    <w:basedOn w:val="726"/>
    <w:link w:val="905"/>
    <w:uiPriority w:val="99"/>
    <w:semiHidden/>
    <w:unhideWhenUsed/>
    <w:qFormat/>
    <w:pPr>
      <w:spacing w:after="40" w:line="240" w:lineRule="auto"/>
    </w:pPr>
    <w:rPr>
      <w:sz w:val="18"/>
    </w:rPr>
  </w:style>
  <w:style w:type="paragraph" w:styleId="751">
    <w:name w:val="toc 6"/>
    <w:basedOn w:val="726"/>
    <w:next w:val="726"/>
    <w:uiPriority w:val="39"/>
    <w:unhideWhenUsed/>
    <w:qFormat/>
    <w:pPr>
      <w:ind w:left="1417" w:right="0" w:firstLine="0"/>
      <w:spacing w:after="57"/>
    </w:pPr>
  </w:style>
  <w:style w:type="paragraph" w:styleId="752">
    <w:name w:val="table of figures"/>
    <w:basedOn w:val="726"/>
    <w:next w:val="726"/>
    <w:uiPriority w:val="99"/>
    <w:unhideWhenUsed/>
    <w:qFormat/>
    <w:pPr>
      <w:spacing w:after="0" w:afterAutospacing="0"/>
    </w:pPr>
  </w:style>
  <w:style w:type="paragraph" w:styleId="753">
    <w:name w:val="toc 2"/>
    <w:basedOn w:val="726"/>
    <w:next w:val="726"/>
    <w:uiPriority w:val="39"/>
    <w:unhideWhenUsed/>
    <w:qFormat/>
    <w:pPr>
      <w:ind w:left="283" w:right="0" w:firstLine="0"/>
      <w:spacing w:after="57"/>
    </w:pPr>
  </w:style>
  <w:style w:type="paragraph" w:styleId="754">
    <w:name w:val="toc 9"/>
    <w:basedOn w:val="726"/>
    <w:next w:val="726"/>
    <w:uiPriority w:val="39"/>
    <w:unhideWhenUsed/>
    <w:qFormat/>
    <w:pPr>
      <w:ind w:left="2268" w:right="0" w:firstLine="0"/>
      <w:spacing w:after="57"/>
    </w:pPr>
  </w:style>
  <w:style w:type="paragraph" w:styleId="755">
    <w:name w:val="Normal (Web)"/>
    <w:basedOn w:val="726"/>
    <w:uiPriority w:val="99"/>
    <w:semiHidden/>
    <w:unhideWhenUsed/>
    <w:qFormat/>
    <w:pPr>
      <w:ind w:left="0" w:right="0"/>
      <w:jc w:val="left"/>
      <w:spacing w:before="0" w:beforeAutospacing="1" w:after="0" w:afterAutospacing="1"/>
    </w:pPr>
    <w:rPr>
      <w:sz w:val="24"/>
      <w:lang w:val="en-US" w:eastAsia="zh-CN" w:bidi="ar"/>
    </w:rPr>
  </w:style>
  <w:style w:type="paragraph" w:styleId="756">
    <w:name w:val="Title"/>
    <w:basedOn w:val="726"/>
    <w:next w:val="726"/>
    <w:link w:val="771"/>
    <w:uiPriority w:val="10"/>
    <w:qFormat/>
    <w:pPr>
      <w:contextualSpacing/>
      <w:spacing w:before="300" w:after="200"/>
    </w:pPr>
    <w:rPr>
      <w:sz w:val="48"/>
      <w:szCs w:val="48"/>
    </w:rPr>
  </w:style>
  <w:style w:type="table" w:styleId="7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Hyperlink"/>
    <w:uiPriority w:val="99"/>
    <w:unhideWhenUsed/>
    <w:qFormat/>
    <w:rPr>
      <w:color w:val="0000ff" w:themeColor="hyperlink"/>
      <w:u w:val="single"/>
    </w:rPr>
  </w:style>
  <w:style w:type="character" w:styleId="760">
    <w:name w:val="footnote reference"/>
    <w:uiPriority w:val="99"/>
    <w:unhideWhenUsed/>
    <w:qFormat/>
    <w:rPr>
      <w:vertAlign w:val="superscript"/>
    </w:rPr>
  </w:style>
  <w:style w:type="character" w:styleId="761" w:customStyle="1">
    <w:name w:val="Heading 1 Char"/>
    <w:link w:val="727"/>
    <w:uiPriority w:val="9"/>
    <w:qFormat/>
    <w:rPr>
      <w:rFonts w:ascii="Arial" w:hAnsi="Arial" w:eastAsia="Arial" w:cs="Arial"/>
      <w:sz w:val="40"/>
      <w:szCs w:val="40"/>
    </w:rPr>
  </w:style>
  <w:style w:type="character" w:styleId="762" w:customStyle="1">
    <w:name w:val="Heading 2 Char"/>
    <w:link w:val="728"/>
    <w:uiPriority w:val="9"/>
    <w:qFormat/>
    <w:rPr>
      <w:rFonts w:ascii="Arial" w:hAnsi="Arial" w:eastAsia="Arial" w:cs="Arial"/>
      <w:sz w:val="34"/>
    </w:rPr>
  </w:style>
  <w:style w:type="character" w:styleId="763" w:customStyle="1">
    <w:name w:val="Heading 3 Char"/>
    <w:link w:val="729"/>
    <w:uiPriority w:val="9"/>
    <w:qFormat/>
    <w:rPr>
      <w:rFonts w:ascii="Arial" w:hAnsi="Arial" w:eastAsia="Arial" w:cs="Arial"/>
      <w:sz w:val="30"/>
      <w:szCs w:val="30"/>
    </w:rPr>
  </w:style>
  <w:style w:type="character" w:styleId="764" w:customStyle="1">
    <w:name w:val="Heading 4 Char"/>
    <w:link w:val="730"/>
    <w:uiPriority w:val="9"/>
    <w:qFormat/>
    <w:rPr>
      <w:rFonts w:ascii="Arial" w:hAnsi="Arial" w:eastAsia="Arial" w:cs="Arial"/>
      <w:b/>
      <w:bCs/>
      <w:sz w:val="26"/>
      <w:szCs w:val="26"/>
    </w:rPr>
  </w:style>
  <w:style w:type="character" w:styleId="765" w:customStyle="1">
    <w:name w:val="Heading 5 Char"/>
    <w:link w:val="731"/>
    <w:uiPriority w:val="9"/>
    <w:qFormat/>
    <w:rPr>
      <w:rFonts w:ascii="Arial" w:hAnsi="Arial" w:eastAsia="Arial" w:cs="Arial"/>
      <w:b/>
      <w:bCs/>
      <w:sz w:val="24"/>
      <w:szCs w:val="24"/>
    </w:rPr>
  </w:style>
  <w:style w:type="character" w:styleId="766" w:customStyle="1">
    <w:name w:val="Heading 6 Char"/>
    <w:link w:val="732"/>
    <w:uiPriority w:val="9"/>
    <w:qFormat/>
    <w:rPr>
      <w:rFonts w:ascii="Arial" w:hAnsi="Arial" w:eastAsia="Arial" w:cs="Arial"/>
      <w:b/>
      <w:bCs/>
      <w:sz w:val="22"/>
      <w:szCs w:val="22"/>
    </w:rPr>
  </w:style>
  <w:style w:type="character" w:styleId="767" w:customStyle="1">
    <w:name w:val="Heading 7 Char"/>
    <w:link w:val="733"/>
    <w:uiPriority w:val="9"/>
    <w:qFormat/>
    <w:rPr>
      <w:rFonts w:ascii="Arial" w:hAnsi="Arial" w:eastAsia="Arial" w:cs="Arial"/>
      <w:b/>
      <w:bCs/>
      <w:i/>
      <w:iCs/>
      <w:sz w:val="22"/>
      <w:szCs w:val="22"/>
    </w:rPr>
  </w:style>
  <w:style w:type="character" w:styleId="768" w:customStyle="1">
    <w:name w:val="Heading 8 Char"/>
    <w:link w:val="734"/>
    <w:uiPriority w:val="9"/>
    <w:qFormat/>
    <w:rPr>
      <w:rFonts w:ascii="Arial" w:hAnsi="Arial" w:eastAsia="Arial" w:cs="Arial"/>
      <w:i/>
      <w:iCs/>
      <w:sz w:val="22"/>
      <w:szCs w:val="22"/>
    </w:rPr>
  </w:style>
  <w:style w:type="character" w:styleId="769" w:customStyle="1">
    <w:name w:val="Heading 9 Char"/>
    <w:link w:val="735"/>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Calibri" w:hAnsi="Calibri" w:eastAsia="宋体" w:cs="Times New Roman"/>
    </w:rPr>
  </w:style>
  <w:style w:type="character" w:styleId="771" w:customStyle="1">
    <w:name w:val="Title Char"/>
    <w:link w:val="756"/>
    <w:uiPriority w:val="10"/>
    <w:qFormat/>
    <w:rPr>
      <w:sz w:val="48"/>
      <w:szCs w:val="48"/>
    </w:rPr>
  </w:style>
  <w:style w:type="character" w:styleId="772" w:customStyle="1">
    <w:name w:val="Subtitle Char"/>
    <w:link w:val="749"/>
    <w:uiPriority w:val="11"/>
    <w:qFormat/>
    <w:rPr>
      <w:sz w:val="24"/>
      <w:szCs w:val="24"/>
    </w:rPr>
  </w:style>
  <w:style w:type="paragraph" w:styleId="773">
    <w:name w:val="Quote"/>
    <w:basedOn w:val="726"/>
    <w:next w:val="726"/>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26"/>
    <w:next w:val="726"/>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6"/>
    <w:uiPriority w:val="99"/>
    <w:qFormat/>
  </w:style>
  <w:style w:type="character" w:styleId="778" w:customStyle="1">
    <w:name w:val="Footer Char"/>
    <w:link w:val="745"/>
    <w:uiPriority w:val="99"/>
    <w:qFormat/>
  </w:style>
  <w:style w:type="character" w:styleId="779" w:customStyle="1">
    <w:name w:val="Caption Char"/>
    <w:link w:val="745"/>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50"/>
    <w:uiPriority w:val="99"/>
    <w:qFormat/>
    <w:rPr>
      <w:sz w:val="18"/>
    </w:rPr>
  </w:style>
  <w:style w:type="character" w:styleId="906" w:customStyle="1">
    <w:name w:val="Endnote Text Char"/>
    <w:link w:val="744"/>
    <w:uiPriority w:val="99"/>
    <w:qFormat/>
    <w:rPr>
      <w:sz w:val="20"/>
    </w:rPr>
  </w:style>
  <w:style w:type="paragraph" w:styleId="907" w:customStyle="1">
    <w:name w:val="TOC Heading"/>
    <w:uiPriority w:val="39"/>
    <w:unhideWhenUsed/>
    <w:qFormat/>
    <w:rPr>
      <w:rFonts w:hint="default" w:ascii="Calibri" w:hAnsi="Calibri" w:eastAsia="宋体" w:cs="Times New Roman"/>
    </w:rPr>
  </w:style>
  <w:style w:type="paragraph" w:styleId="908" w:customStyle="1">
    <w:name w:val="标题 11"/>
    <w:basedOn w:val="726"/>
    <w:next w:val="726"/>
    <w:link w:val="913"/>
    <w:uiPriority w:val="0"/>
    <w:qFormat/>
    <w:pPr>
      <w:keepLines/>
      <w:keepNext/>
      <w:spacing w:before="340" w:after="330" w:line="576" w:lineRule="auto"/>
      <w:outlineLvl w:val="0"/>
    </w:pPr>
    <w:rPr>
      <w:b/>
      <w:bCs/>
      <w:sz w:val="44"/>
      <w:szCs w:val="44"/>
    </w:rPr>
  </w:style>
  <w:style w:type="paragraph" w:styleId="909" w:customStyle="1">
    <w:name w:val="标题 21"/>
    <w:basedOn w:val="726"/>
    <w:next w:val="726"/>
    <w:link w:val="914"/>
    <w:uiPriority w:val="0"/>
    <w:qFormat/>
    <w:pPr>
      <w:keepLines/>
      <w:keepNext/>
      <w:spacing w:before="260" w:after="260" w:line="413" w:lineRule="auto"/>
      <w:outlineLvl w:val="1"/>
    </w:pPr>
    <w:rPr>
      <w:rFonts w:ascii="Arial" w:hAnsi="Arial" w:eastAsia="黑体"/>
      <w:b/>
      <w:bCs/>
      <w:sz w:val="32"/>
      <w:szCs w:val="32"/>
    </w:rPr>
  </w:style>
  <w:style w:type="paragraph" w:styleId="910" w:customStyle="1">
    <w:name w:val="标题 31"/>
    <w:basedOn w:val="726"/>
    <w:next w:val="726"/>
    <w:link w:val="915"/>
    <w:uiPriority w:val="0"/>
    <w:qFormat/>
    <w:pPr>
      <w:keepLines/>
      <w:keepNext/>
      <w:spacing w:before="260" w:after="260" w:line="413" w:lineRule="auto"/>
      <w:outlineLvl w:val="2"/>
    </w:pPr>
    <w:rPr>
      <w:b/>
      <w:bCs/>
      <w:sz w:val="32"/>
      <w:szCs w:val="32"/>
    </w:rPr>
  </w:style>
  <w:style w:type="character" w:styleId="911" w:customStyle="1">
    <w:name w:val="默认段落字体1"/>
    <w:link w:val="726"/>
    <w:uiPriority w:val="0"/>
    <w:semiHidden/>
    <w:qFormat/>
  </w:style>
  <w:style w:type="table" w:styleId="912" w:customStyle="1">
    <w:name w:val="普通表格1"/>
    <w:uiPriority w:val="0"/>
    <w:semiHidden/>
    <w:qFormat/>
    <w:tblPr/>
  </w:style>
  <w:style w:type="character" w:styleId="913" w:customStyle="1">
    <w:name w:val="标题 1 字符"/>
    <w:link w:val="908"/>
    <w:uiPriority w:val="0"/>
    <w:qFormat/>
    <w:rPr>
      <w:b/>
      <w:bCs/>
      <w:sz w:val="44"/>
      <w:szCs w:val="44"/>
    </w:rPr>
  </w:style>
  <w:style w:type="character" w:styleId="914" w:customStyle="1">
    <w:name w:val="标题 2 字符"/>
    <w:link w:val="909"/>
    <w:uiPriority w:val="0"/>
    <w:semiHidden/>
    <w:qFormat/>
    <w:rPr>
      <w:rFonts w:ascii="Arial" w:hAnsi="Arial" w:eastAsia="黑体"/>
      <w:b/>
      <w:bCs/>
      <w:sz w:val="32"/>
      <w:szCs w:val="32"/>
    </w:rPr>
  </w:style>
  <w:style w:type="character" w:styleId="915" w:customStyle="1">
    <w:name w:val="标题 3 字符"/>
    <w:link w:val="910"/>
    <w:uiPriority w:val="0"/>
    <w:qFormat/>
    <w:rPr>
      <w:b/>
      <w:bCs/>
      <w:sz w:val="32"/>
      <w:szCs w:val="32"/>
    </w:rPr>
  </w:style>
  <w:style w:type="paragraph" w:styleId="916" w:customStyle="1">
    <w:name w:val="正文缩进1"/>
    <w:basedOn w:val="726"/>
    <w:next w:val="726"/>
    <w:uiPriority w:val="0"/>
    <w:qFormat/>
    <w:pPr>
      <w:ind w:firstLine="420"/>
    </w:pPr>
    <w:rPr>
      <w:szCs w:val="20"/>
    </w:rPr>
  </w:style>
  <w:style w:type="paragraph" w:styleId="917" w:customStyle="1">
    <w:name w:val="正文文本1"/>
    <w:basedOn w:val="726"/>
    <w:uiPriority w:val="0"/>
    <w:qFormat/>
    <w:pPr>
      <w:jc w:val="center"/>
    </w:pPr>
    <w:rPr>
      <w:rFonts w:ascii="方正大黑简体" w:eastAsia="方正大黑简体"/>
      <w:position w:val="6"/>
      <w:sz w:val="30"/>
      <w:szCs w:val="20"/>
    </w:rPr>
  </w:style>
  <w:style w:type="paragraph" w:styleId="918" w:customStyle="1">
    <w:name w:val="正文文本缩进1"/>
    <w:basedOn w:val="726"/>
    <w:next w:val="726"/>
    <w:uiPriority w:val="0"/>
    <w:qFormat/>
    <w:pPr>
      <w:ind w:left="420"/>
      <w:spacing w:after="120"/>
    </w:pPr>
  </w:style>
  <w:style w:type="paragraph" w:styleId="919" w:customStyle="1">
    <w:name w:val="正文文本缩进 21"/>
    <w:basedOn w:val="726"/>
    <w:next w:val="726"/>
    <w:uiPriority w:val="0"/>
    <w:qFormat/>
    <w:pPr>
      <w:ind w:firstLine="480"/>
      <w:spacing w:line="400" w:lineRule="exact"/>
    </w:pPr>
    <w:rPr>
      <w:rFonts w:ascii="宋体" w:hAnsi="宋体"/>
      <w:sz w:val="24"/>
    </w:rPr>
  </w:style>
  <w:style w:type="paragraph" w:styleId="920" w:customStyle="1">
    <w:name w:val="页脚1"/>
    <w:basedOn w:val="726"/>
    <w:uiPriority w:val="0"/>
    <w:qFormat/>
    <w:pPr>
      <w:jc w:val="left"/>
      <w:tabs>
        <w:tab w:val="center" w:pos="4153" w:leader="none"/>
        <w:tab w:val="right" w:pos="8306" w:leader="none"/>
      </w:tabs>
    </w:pPr>
    <w:rPr>
      <w:sz w:val="18"/>
      <w:szCs w:val="18"/>
    </w:rPr>
  </w:style>
  <w:style w:type="paragraph" w:styleId="921" w:customStyle="1">
    <w:name w:val="页眉1"/>
    <w:basedOn w:val="726"/>
    <w:uiPriority w:val="0"/>
    <w:qFormat/>
    <w:pPr>
      <w:jc w:val="center"/>
      <w:tabs>
        <w:tab w:val="center" w:pos="4153" w:leader="none"/>
        <w:tab w:val="right" w:pos="8306" w:leader="none"/>
      </w:tabs>
      <w:pBdr>
        <w:bottom w:val="single" w:color="000000" w:sz="6" w:space="1"/>
      </w:pBdr>
    </w:pPr>
    <w:rPr>
      <w:sz w:val="18"/>
      <w:szCs w:val="18"/>
    </w:rPr>
  </w:style>
  <w:style w:type="paragraph" w:styleId="922" w:customStyle="1">
    <w:name w:val="目录 11"/>
    <w:basedOn w:val="726"/>
    <w:next w:val="726"/>
    <w:uiPriority w:val="0"/>
    <w:qFormat/>
  </w:style>
  <w:style w:type="paragraph" w:styleId="923" w:customStyle="1">
    <w:name w:val="正文首行缩进 21"/>
    <w:basedOn w:val="918"/>
    <w:uiPriority w:val="99"/>
    <w:qFormat/>
    <w:pPr>
      <w:ind w:firstLine="420"/>
      <w:spacing w:line="360" w:lineRule="auto"/>
    </w:pPr>
    <w:rPr>
      <w:rFonts w:ascii="宋体" w:hAnsi="宋体"/>
      <w:sz w:val="20"/>
      <w:szCs w:val="20"/>
    </w:rPr>
  </w:style>
  <w:style w:type="character" w:styleId="924" w:customStyle="1">
    <w:name w:val="1page sec3 Char"/>
    <w:link w:val="726"/>
    <w:uiPriority w:val="0"/>
    <w:qFormat/>
    <w:rPr>
      <w:rFonts w:eastAsia="宋体"/>
      <w:sz w:val="18"/>
      <w:lang w:val="en-US" w:eastAsia="zh-CN"/>
    </w:rPr>
  </w:style>
  <w:style w:type="paragraph" w:styleId="925">
    <w:name w:val="List Paragraph"/>
    <w:basedOn w:val="726"/>
    <w:uiPriority w:val="34"/>
    <w:qFormat/>
    <w:pPr>
      <w:ind w:firstLine="420"/>
    </w:pPr>
  </w:style>
  <w:style w:type="paragraph" w:styleId="926" w:customStyle="1">
    <w:name w:val="首行缩进"/>
    <w:basedOn w:val="726"/>
    <w:uiPriority w:val="0"/>
    <w:qFormat/>
    <w:pPr>
      <w:ind w:firstLine="480"/>
      <w:jc w:val="left"/>
      <w:spacing w:line="360" w:lineRule="auto"/>
    </w:pPr>
    <w:rPr>
      <w:rFonts w:ascii="宋体" w:hAnsi="宋体"/>
      <w:sz w:val="24"/>
    </w:rPr>
  </w:style>
  <w:style w:type="paragraph" w:styleId="927" w:customStyle="1">
    <w:name w:val="正文1"/>
    <w:basedOn w:val="726"/>
    <w:next w:val="726"/>
    <w:uiPriority w:val="0"/>
    <w:qFormat/>
    <w:pPr>
      <w:ind w:firstLine="510"/>
      <w:spacing w:before="156" w:line="360" w:lineRule="auto"/>
    </w:pPr>
    <w:rPr>
      <w:sz w:val="24"/>
      <w:szCs w:val="20"/>
    </w:rPr>
  </w:style>
  <w:style w:type="character" w:styleId="928" w:customStyle="1">
    <w:name w:val="NormalCharacter1"/>
    <w:link w:val="726"/>
    <w:uiPriority w:val="0"/>
    <w:semiHidden/>
    <w:qFormat/>
  </w:style>
  <w:style w:type="paragraph" w:styleId="929" w:customStyle="1">
    <w:name w:val="列出段落1"/>
    <w:basedOn w:val="726"/>
    <w:uiPriority w:val="0"/>
    <w:qFormat/>
    <w:pPr>
      <w:ind w:firstLine="420"/>
    </w:pPr>
    <w:rPr>
      <w:rFonts w:ascii="Calibri" w:hAnsi="Calibri"/>
      <w:szCs w:val="22"/>
    </w:rPr>
  </w:style>
  <w:style w:type="paragraph" w:styleId="930" w:customStyle="1">
    <w:name w:val="Table Paragraph"/>
    <w:basedOn w:val="726"/>
    <w:uiPriority w:val="1"/>
    <w:qFormat/>
    <w:pPr>
      <w:jc w:val="left"/>
      <w:widowControl/>
    </w:pPr>
    <w:rPr>
      <w:rFonts w:ascii="宋体" w:hAnsi="宋体" w:cs="宋体"/>
      <w:sz w:val="22"/>
      <w:szCs w:val="22"/>
      <w:lang w:val="zh-CN" w:bidi="zh-CN"/>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孙中</dc:creator>
  <cp:lastModifiedBy>夏欣</cp:lastModifiedBy>
  <cp:revision>6</cp:revision>
  <dcterms:created xsi:type="dcterms:W3CDTF">2024-10-11T06:38:00Z</dcterms:created>
  <dcterms:modified xsi:type="dcterms:W3CDTF">2026-09-16T09:52:04Z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eyJoZGlkIjoiNDJlYTRiMGExNDE3ODczNmE4N2E4MTM0YzFmMzIwNGQiLCJ1c2VySWQiOiIzNzcwMTM4NTcifQ==</vt:lpwstr>
  </property>
  <property fmtid="{D5CDD505-2E9C-101B-9397-08002B2CF9AE}" pid="3" name="KSOProductBuildVer">
    <vt:lpwstr>2052-12.1.0.28505</vt:lpwstr>
  </property>
  <property fmtid="{D5CDD505-2E9C-101B-9397-08002B2CF9AE}" pid="4" name="ICV">
    <vt:lpwstr>49DC6932383043D6AF9F29110BBE91EB_12</vt:lpwstr>
  </property>
</Properties>
</file>