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48"/>
          <w:highlight w:val="none"/>
        </w:rPr>
      </w:pPr>
      <w:r/>
      <w:bookmarkStart w:id="44" w:name="_GoBack"/>
      <w:r>
        <w:rPr>
          <w:rFonts w:hint="eastAsia" w:ascii="宋体" w:hAnsi="宋体"/>
          <w:b/>
          <w:sz w:val="4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6182360" cy="8743950"/>
                <wp:effectExtent l="0" t="0" r="8890" b="0"/>
                <wp:wrapNone/>
                <wp:docPr id="2" name="图片 2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封面"/>
                        <pic:cNvPicPr>
                          <a:picLocks noChangeAspect="1"/>
                        </pic:cNvPicPr>
                        <pic:nvPr/>
                      </pic:nvPicPr>
                      <pic:blipFill>
                        <a:blip r:embed="rId14"/>
                        <a:stretch/>
                      </pic:blipFill>
                      <pic:spPr bwMode="auto">
                        <a:xfrm>
                          <a:off x="0" y="0"/>
                          <a:ext cx="6182360" cy="87439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6432;o:allowoverlap:true;o:allowincell:true;mso-position-horizontal-relative:text;margin-left:0.0pt;mso-position-horizontal:absolute;mso-position-vertical-relative:text;margin-top:0.0pt;mso-position-vertical:absolute;width:486.8pt;height:688.5pt;mso-wrap-distance-left:9.0pt;mso-wrap-distance-top:0.0pt;mso-wrap-distance-right:9.0pt;mso-wrap-distance-bottom:0.0pt;" stroked="false">
                <v:path textboxrect="0,0,0,0"/>
                <v:imagedata r:id="rId14" o:title=""/>
              </v:shape>
            </w:pict>
          </mc:Fallback>
        </mc:AlternateContent>
      </w:r>
      <w:bookmarkEnd w:id="44"/>
      <w:r>
        <w:rPr>
          <w:rFonts w:hint="eastAsia" w:ascii="宋体" w:hAnsi="宋体"/>
          <w:b/>
          <w:sz w:val="48"/>
          <w:highlight w:val="none"/>
        </w:rPr>
        <w:t xml:space="preserve">金湖县政府采购分散采购项目</w:t>
      </w:r>
      <w:r/>
    </w:p>
    <w:p>
      <w:pPr>
        <w:jc w:val="center"/>
        <w:rPr>
          <w:rFonts w:hint="eastAsia" w:ascii="宋体" w:hAnsi="宋体"/>
          <w:b/>
          <w:sz w:val="48"/>
          <w:highlight w:val="none"/>
        </w:rPr>
      </w:pPr>
      <w:r>
        <w:rPr>
          <w:rFonts w:hint="eastAsia" w:ascii="宋体" w:hAnsi="宋体"/>
          <w:b/>
          <w:sz w:val="48"/>
          <w:highlight w:val="none"/>
        </w:rPr>
      </w:r>
      <w:r/>
    </w:p>
    <w:p>
      <w:pPr>
        <w:jc w:val="center"/>
        <w:rPr>
          <w:rFonts w:hint="eastAsia" w:ascii="宋体" w:hAnsi="宋体"/>
          <w:b/>
          <w:sz w:val="48"/>
          <w:highlight w:val="none"/>
        </w:rPr>
        <w:outlineLvl w:val="0"/>
      </w:pPr>
      <w:r/>
      <w:bookmarkStart w:id="0" w:name="_Toc2505"/>
      <w:r>
        <w:rPr>
          <w:rFonts w:hint="eastAsia" w:ascii="宋体" w:hAnsi="宋体"/>
          <w:b/>
          <w:sz w:val="48"/>
          <w:highlight w:val="none"/>
        </w:rPr>
        <w:t xml:space="preserve">“全流程不见面交易”</w:t>
      </w:r>
      <w:bookmarkEnd w:id="0"/>
      <w:r/>
      <w:r/>
    </w:p>
    <w:p>
      <w:pPr>
        <w:jc w:val="center"/>
        <w:rPr>
          <w:rFonts w:hint="eastAsia" w:ascii="宋体" w:hAnsi="宋体"/>
          <w:b/>
          <w:sz w:val="48"/>
          <w:szCs w:val="36"/>
          <w:highlight w:val="none"/>
        </w:rPr>
      </w:pPr>
      <w:r>
        <w:rPr>
          <w:rFonts w:hint="eastAsia" w:ascii="宋体" w:hAnsi="宋体"/>
          <w:b/>
          <w:sz w:val="48"/>
          <w:szCs w:val="36"/>
          <w:highlight w:val="none"/>
        </w:rPr>
      </w:r>
      <w:r/>
    </w:p>
    <w:p>
      <w:pPr>
        <w:jc w:val="center"/>
        <w:rPr>
          <w:rFonts w:hint="eastAsia" w:ascii="宋体" w:hAnsi="宋体"/>
          <w:b/>
          <w:sz w:val="48"/>
          <w:szCs w:val="36"/>
          <w:highlight w:val="none"/>
        </w:rPr>
      </w:pPr>
      <w:r>
        <w:rPr>
          <w:rFonts w:hint="eastAsia" w:ascii="宋体" w:hAnsi="宋体"/>
          <w:b/>
          <w:sz w:val="48"/>
          <w:szCs w:val="36"/>
          <w:highlight w:val="none"/>
        </w:rPr>
        <w:t xml:space="preserve">公开招标文件</w:t>
      </w:r>
      <w:r/>
    </w:p>
    <w:p>
      <w:pPr>
        <w:jc w:val="center"/>
        <w:rPr>
          <w:rFonts w:hint="eastAsia" w:ascii="宋体" w:hAnsi="宋体"/>
          <w:b/>
          <w:sz w:val="48"/>
          <w:szCs w:val="36"/>
          <w:highlight w:val="none"/>
        </w:rPr>
      </w:pPr>
      <w:r>
        <w:rPr>
          <w:rFonts w:hint="eastAsia" w:ascii="宋体" w:hAnsi="宋体"/>
          <w:b/>
          <w:sz w:val="48"/>
          <w:szCs w:val="36"/>
          <w:highlight w:val="none"/>
        </w:rPr>
      </w:r>
      <w:r/>
    </w:p>
    <w:p>
      <w:pPr>
        <w:jc w:val="both"/>
        <w:rPr>
          <w:rFonts w:hint="eastAsia" w:ascii="宋体" w:hAnsi="宋体"/>
          <w:b/>
          <w:sz w:val="28"/>
          <w:szCs w:val="28"/>
          <w:highlight w:val="none"/>
        </w:rPr>
      </w:pPr>
      <w:r>
        <w:rPr>
          <w:rFonts w:hint="eastAsia" w:ascii="宋体" w:hAnsi="宋体"/>
          <w:b/>
          <w:sz w:val="28"/>
          <w:szCs w:val="28"/>
          <w:highlight w:val="none"/>
        </w:rPr>
      </w:r>
      <w:r/>
    </w:p>
    <w:p>
      <w:pPr>
        <w:jc w:val="both"/>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spacing w:line="360" w:lineRule="auto"/>
        <w:rPr>
          <w:rFonts w:hint="eastAsia" w:ascii="宋体" w:hAnsi="宋体"/>
          <w:sz w:val="32"/>
          <w:szCs w:val="28"/>
          <w:highlight w:val="none"/>
        </w:rPr>
      </w:pPr>
      <w:r>
        <w:rPr>
          <w:rFonts w:hint="eastAsia" w:ascii="宋体" w:hAnsi="宋体"/>
          <w:sz w:val="32"/>
          <w:szCs w:val="28"/>
          <w:highlight w:val="none"/>
        </w:rPr>
        <w:t xml:space="preserve">项目名称：</w:t>
      </w:r>
      <w:r>
        <w:rPr>
          <w:rFonts w:hint="eastAsia" w:ascii="宋体" w:hAnsi="宋体"/>
          <w:sz w:val="32"/>
          <w:szCs w:val="28"/>
          <w:highlight w:val="none"/>
          <w:lang w:eastAsia="zh-CN"/>
        </w:rPr>
        <w:t xml:space="preserve">金湖中等专业学校异地扩建项目办公家具及课桌凳设备采购项目</w:t>
      </w:r>
      <w:r/>
    </w:p>
    <w:p>
      <w:pPr>
        <w:ind w:firstLine="1280"/>
        <w:jc w:val="both"/>
        <w:spacing w:line="360" w:lineRule="auto"/>
        <w:rPr>
          <w:rFonts w:hint="eastAsia" w:ascii="宋体" w:hAnsi="宋体" w:eastAsia="宋体"/>
          <w:sz w:val="32"/>
          <w:szCs w:val="28"/>
          <w:highlight w:val="none"/>
          <w:lang w:eastAsia="zh-CN"/>
        </w:rPr>
      </w:pPr>
      <w:r>
        <w:rPr>
          <w:rFonts w:hint="eastAsia" w:ascii="宋体" w:hAnsi="宋体"/>
          <w:sz w:val="32"/>
          <w:szCs w:val="28"/>
          <w:highlight w:val="none"/>
        </w:rPr>
        <w:t xml:space="preserve">项目编号：JSZC-320831-JSYQ-G2026-0012</w:t>
      </w:r>
      <w:r>
        <w:rPr>
          <w:rFonts w:hint="eastAsia" w:ascii="宋体" w:hAnsi="宋体"/>
          <w:sz w:val="32"/>
          <w:szCs w:val="28"/>
          <w:highlight w:val="none"/>
          <w:lang w:val="en-US" w:eastAsia="zh-CN"/>
        </w:rPr>
        <w:t xml:space="preserve"> </w:t>
      </w:r>
      <w:r/>
    </w:p>
    <w:p>
      <w:pPr>
        <w:jc w:val="center"/>
        <w:spacing w:line="360" w:lineRule="auto"/>
        <w:rPr>
          <w:rFonts w:hint="eastAsia" w:ascii="宋体" w:hAnsi="宋体"/>
          <w:sz w:val="32"/>
          <w:szCs w:val="28"/>
          <w:highlight w:val="none"/>
        </w:rPr>
      </w:pPr>
      <w:r>
        <w:rPr>
          <w:rFonts w:hint="eastAsia" w:ascii="宋体" w:hAnsi="宋体"/>
          <w:sz w:val="32"/>
          <w:szCs w:val="28"/>
          <w:highlight w:val="none"/>
        </w:rPr>
      </w:r>
      <w:r/>
    </w:p>
    <w:p>
      <w:pPr>
        <w:jc w:val="center"/>
        <w:spacing w:line="360" w:lineRule="auto"/>
        <w:rPr>
          <w:rFonts w:hint="eastAsia" w:ascii="宋体" w:hAnsi="宋体"/>
          <w:sz w:val="32"/>
          <w:szCs w:val="28"/>
          <w:highlight w:val="none"/>
        </w:rPr>
      </w:pPr>
      <w:r>
        <w:rPr>
          <w:rFonts w:hint="eastAsia" w:ascii="宋体" w:hAnsi="宋体"/>
          <w:sz w:val="32"/>
          <w:szCs w:val="28"/>
          <w:highlight w:val="none"/>
        </w:rPr>
      </w:r>
      <w:r/>
    </w:p>
    <w:p>
      <w:pPr>
        <w:jc w:val="center"/>
        <w:spacing w:line="360" w:lineRule="auto"/>
        <w:rPr>
          <w:rFonts w:hint="eastAsia" w:ascii="宋体" w:hAnsi="宋体"/>
          <w:sz w:val="32"/>
          <w:szCs w:val="28"/>
          <w:highlight w:val="none"/>
        </w:rPr>
      </w:pPr>
      <w:r>
        <w:rPr>
          <w:rFonts w:hint="eastAsia" w:ascii="宋体" w:hAnsi="宋体"/>
          <w:sz w:val="32"/>
          <w:szCs w:val="28"/>
          <w:highlight w:val="none"/>
        </w:rPr>
      </w:r>
      <w:r/>
    </w:p>
    <w:p>
      <w:pPr>
        <w:jc w:val="center"/>
        <w:spacing w:line="360" w:lineRule="auto"/>
        <w:rPr>
          <w:rFonts w:hint="eastAsia" w:ascii="宋体" w:hAnsi="宋体"/>
          <w:sz w:val="32"/>
          <w:szCs w:val="28"/>
          <w:highlight w:val="none"/>
        </w:rPr>
      </w:pPr>
      <w:r>
        <w:rPr>
          <w:rFonts w:hint="eastAsia" w:ascii="宋体" w:hAnsi="宋体"/>
          <w:sz w:val="32"/>
          <w:szCs w:val="28"/>
          <w:highlight w:val="none"/>
        </w:rPr>
      </w:r>
      <w:r/>
    </w:p>
    <w:p>
      <w:pPr>
        <w:ind w:firstLine="1600"/>
        <w:jc w:val="both"/>
        <w:spacing w:line="360" w:lineRule="auto"/>
        <w:rPr>
          <w:rFonts w:hint="eastAsia" w:ascii="宋体" w:hAnsi="宋体"/>
          <w:sz w:val="32"/>
          <w:szCs w:val="28"/>
          <w:highlight w:val="none"/>
          <w:lang w:val="en-US" w:eastAsia="zh-CN"/>
        </w:rPr>
      </w:pPr>
      <w:r>
        <w:rPr>
          <w:rFonts w:hint="eastAsia" w:ascii="宋体" w:hAnsi="宋体"/>
          <w:sz w:val="32"/>
          <w:szCs w:val="28"/>
          <w:highlight w:val="none"/>
        </w:rPr>
        <w:t xml:space="preserve">采购单位：</w:t>
      </w:r>
      <w:r>
        <w:rPr>
          <w:rFonts w:hint="eastAsia" w:ascii="宋体" w:hAnsi="宋体"/>
          <w:sz w:val="32"/>
          <w:szCs w:val="28"/>
          <w:highlight w:val="none"/>
          <w:lang w:val="en-US" w:eastAsia="zh-CN"/>
        </w:rPr>
        <w:t xml:space="preserve">金湖县教育体育局</w:t>
      </w:r>
      <w:bookmarkStart w:id="1" w:name="_Toc10146"/>
      <w:r/>
      <w:r/>
    </w:p>
    <w:p>
      <w:pPr>
        <w:ind w:firstLine="1600"/>
        <w:jc w:val="both"/>
        <w:spacing w:line="360" w:lineRule="auto"/>
        <w:rPr>
          <w:rFonts w:hint="default" w:ascii="宋体" w:hAnsi="宋体" w:eastAsia="宋体"/>
          <w:sz w:val="32"/>
          <w:szCs w:val="28"/>
          <w:highlight w:val="none"/>
          <w:lang w:val="en-US" w:eastAsia="zh-CN"/>
        </w:rPr>
      </w:pPr>
      <w:r>
        <w:rPr>
          <w:rFonts w:hint="eastAsia" w:ascii="宋体" w:hAnsi="宋体"/>
          <w:sz w:val="32"/>
          <w:szCs w:val="28"/>
          <w:highlight w:val="none"/>
        </w:rPr>
        <w:t xml:space="preserve">代理公司：</w:t>
      </w:r>
      <w:bookmarkEnd w:id="1"/>
      <w:r>
        <w:rPr>
          <w:rFonts w:hint="eastAsia" w:ascii="宋体" w:hAnsi="宋体"/>
          <w:sz w:val="32"/>
          <w:szCs w:val="28"/>
          <w:highlight w:val="none"/>
          <w:lang w:val="en-US" w:eastAsia="zh-CN"/>
        </w:rPr>
        <w:t xml:space="preserve">江苏永勤工程管理有限公司</w:t>
      </w:r>
      <w:r/>
    </w:p>
    <w:p>
      <w:pPr>
        <w:ind w:firstLine="1600"/>
        <w:jc w:val="both"/>
        <w:spacing w:line="360" w:lineRule="auto"/>
        <w:rPr>
          <w:rFonts w:hint="default" w:ascii="宋体" w:hAnsi="宋体" w:eastAsia="宋体" w:cs="宋体"/>
          <w:b/>
          <w:sz w:val="36"/>
          <w:szCs w:val="28"/>
          <w:highlight w:val="none"/>
          <w:lang w:val="en-US" w:eastAsia="zh-CN"/>
        </w:rPr>
      </w:pPr>
      <w:r>
        <w:rPr>
          <w:rFonts w:hint="eastAsia" w:ascii="宋体" w:hAnsi="宋体"/>
          <w:sz w:val="32"/>
          <w:szCs w:val="28"/>
          <w:highlight w:val="none"/>
        </w:rPr>
        <w:t xml:space="preserve">日</w:t>
      </w:r>
      <w:r>
        <w:rPr>
          <w:rFonts w:hint="eastAsia" w:ascii="宋体" w:hAnsi="宋体"/>
          <w:sz w:val="32"/>
          <w:szCs w:val="28"/>
          <w:highlight w:val="none"/>
          <w:lang w:val="en-US" w:eastAsia="zh-CN"/>
        </w:rPr>
        <w:t xml:space="preserve">    </w:t>
      </w:r>
      <w:r>
        <w:rPr>
          <w:rFonts w:hint="eastAsia" w:ascii="宋体" w:hAnsi="宋体"/>
          <w:sz w:val="32"/>
          <w:szCs w:val="28"/>
          <w:highlight w:val="none"/>
        </w:rPr>
        <w:t xml:space="preserve">期：</w:t>
      </w:r>
      <w:r>
        <w:rPr>
          <w:rFonts w:hint="eastAsia" w:ascii="宋体" w:hAnsi="宋体"/>
          <w:sz w:val="32"/>
          <w:szCs w:val="28"/>
          <w:highlight w:val="none"/>
          <w:lang w:eastAsia="zh-CN"/>
        </w:rPr>
        <w:t xml:space="preserve">二〇二</w:t>
      </w:r>
      <w:r>
        <w:rPr>
          <w:rFonts w:hint="eastAsia" w:ascii="宋体" w:hAnsi="宋体"/>
          <w:sz w:val="32"/>
          <w:szCs w:val="28"/>
          <w:highlight w:val="none"/>
          <w:lang w:val="en-US" w:eastAsia="zh-CN"/>
        </w:rPr>
        <w:t xml:space="preserve">六年九月</w:t>
      </w:r>
      <w:r/>
    </w:p>
    <w:p>
      <w:pPr>
        <w:jc w:val="right"/>
        <w:rPr>
          <w:rFonts w:hint="eastAsia" w:ascii="微软雅黑" w:hAnsi="微软雅黑" w:eastAsia="微软雅黑" w:cs="微软雅黑"/>
          <w:b/>
          <w:bCs/>
          <w:sz w:val="32"/>
          <w:szCs w:val="32"/>
          <w:highlight w:val="none"/>
        </w:rPr>
      </w:pPr>
      <w:r>
        <w:rPr>
          <w:rFonts w:hint="eastAsia" w:ascii="微软雅黑" w:hAnsi="微软雅黑" w:eastAsia="微软雅黑" w:cs="微软雅黑"/>
          <w:b/>
          <w:bCs/>
          <w:sz w:val="32"/>
          <w:szCs w:val="32"/>
          <w:highlight w:val="none"/>
        </w:rPr>
      </w:r>
      <w:r/>
    </w:p>
    <w:p>
      <w:pPr>
        <w:jc w:val="center"/>
        <w:rPr>
          <w:rFonts w:hint="eastAsia" w:ascii="微软雅黑" w:hAnsi="微软雅黑" w:eastAsia="微软雅黑" w:cs="微软雅黑"/>
          <w:b/>
          <w:bCs/>
          <w:sz w:val="32"/>
          <w:szCs w:val="32"/>
          <w:highlight w:val="none"/>
        </w:rPr>
      </w:pPr>
      <w:r>
        <w:rPr>
          <w:rFonts w:hint="eastAsia" w:ascii="微软雅黑" w:hAnsi="微软雅黑" w:eastAsia="微软雅黑" w:cs="微软雅黑"/>
          <w:b/>
          <w:bCs/>
          <w:sz w:val="32"/>
          <w:szCs w:val="32"/>
          <w:highlight w:val="none"/>
        </w:rPr>
      </w:r>
      <w:r/>
    </w:p>
    <w:p>
      <w:pPr>
        <w:ind w:right="0"/>
        <w:jc w:val="center"/>
        <w:keepLines w:val="0"/>
        <w:keepNext w:val="0"/>
        <w:pageBreakBefore/>
        <w:widowControl w:val="off"/>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目  录</w:t>
      </w:r>
      <w:r/>
    </w:p>
    <w:p>
      <w:pPr>
        <w:pStyle w:val="799"/>
        <w:jc w:val="left"/>
        <w:keepLines w:val="0"/>
        <w:keepNext w:val="0"/>
        <w:pageBreakBefore w:val="0"/>
        <w:spacing w:line="72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TOC \o "1-1" \h \u </w:instrText>
      </w:r>
      <w:r>
        <w:rPr>
          <w:rFonts w:hint="eastAsia" w:ascii="宋体" w:hAnsi="宋体" w:eastAsia="宋体" w:cs="宋体"/>
          <w:b/>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_Toc5246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w:t>
      </w:r>
      <w:r>
        <w:rPr>
          <w:rFonts w:hint="eastAsia" w:ascii="宋体" w:hAnsi="宋体" w:eastAsia="宋体" w:cs="宋体"/>
          <w:bCs/>
          <w:sz w:val="28"/>
          <w:szCs w:val="28"/>
          <w:highlight w:val="none"/>
          <w:lang w:eastAsia="zh-CN"/>
        </w:rPr>
        <w:t xml:space="preserve">投标</w:t>
      </w:r>
      <w:r>
        <w:rPr>
          <w:rFonts w:hint="eastAsia" w:ascii="宋体" w:hAnsi="宋体" w:eastAsia="宋体" w:cs="宋体"/>
          <w:bCs/>
          <w:sz w:val="28"/>
          <w:szCs w:val="28"/>
          <w:highlight w:val="none"/>
        </w:rPr>
        <w:t xml:space="preserve">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_Toc5246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99"/>
        <w:jc w:val="left"/>
        <w:keepLines w:val="0"/>
        <w:keepNext w:val="0"/>
        <w:pageBreakBefore w:val="0"/>
        <w:spacing w:line="72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_Toc25315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val="en-US" w:eastAsia="zh-CN"/>
        </w:rPr>
        <w:t xml:space="preserve">第二章</w:t>
      </w:r>
      <w:r>
        <w:rPr>
          <w:rFonts w:hint="eastAsia" w:ascii="宋体" w:hAnsi="宋体" w:eastAsia="宋体" w:cs="宋体"/>
          <w:bCs/>
          <w:sz w:val="28"/>
          <w:szCs w:val="28"/>
          <w:highlight w:val="none"/>
        </w:rPr>
        <w:t xml:space="preserve">  </w:t>
      </w:r>
      <w:r>
        <w:rPr>
          <w:rFonts w:hint="eastAsia" w:ascii="宋体" w:hAnsi="宋体" w:eastAsia="宋体" w:cs="宋体"/>
          <w:bCs/>
          <w:sz w:val="28"/>
          <w:szCs w:val="28"/>
          <w:highlight w:val="none"/>
          <w:lang w:eastAsia="zh-CN"/>
        </w:rPr>
        <w:t xml:space="preserve">投标人</w:t>
      </w:r>
      <w:r>
        <w:rPr>
          <w:rFonts w:hint="eastAsia" w:ascii="宋体" w:hAnsi="宋体" w:eastAsia="宋体" w:cs="宋体"/>
          <w:bCs/>
          <w:sz w:val="28"/>
          <w:szCs w:val="28"/>
          <w:highlight w:val="none"/>
        </w:rPr>
        <w:t xml:space="preserve">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_Toc25315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99"/>
        <w:jc w:val="left"/>
        <w:keepLines w:val="0"/>
        <w:keepNext w:val="0"/>
        <w:pageBreakBefore w:val="0"/>
        <w:spacing w:line="72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_Toc19320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_Toc19320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99"/>
        <w:jc w:val="left"/>
        <w:keepLines w:val="0"/>
        <w:keepNext w:val="0"/>
        <w:pageBreakBefore w:val="0"/>
        <w:spacing w:line="72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_Toc26585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合同格式及条款</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_Toc26585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99"/>
        <w:jc w:val="left"/>
        <w:keepLines w:val="0"/>
        <w:keepNext w:val="0"/>
        <w:pageBreakBefore w:val="0"/>
        <w:spacing w:line="72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_Toc23561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项目采购需求及总体要求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_Toc23561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99"/>
        <w:jc w:val="left"/>
        <w:keepLines w:val="0"/>
        <w:keepNext w:val="0"/>
        <w:pageBreakBefore w:val="0"/>
        <w:spacing w:line="720" w:lineRule="auto"/>
        <w:widowControl w:val="off"/>
        <w:tabs>
          <w:tab w:val="right" w:pos="9746"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_Toc114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w:t>
      </w:r>
      <w:r>
        <w:rPr>
          <w:rFonts w:hint="eastAsia" w:ascii="宋体" w:hAnsi="宋体" w:eastAsia="宋体" w:cs="宋体"/>
          <w:bCs/>
          <w:sz w:val="28"/>
          <w:szCs w:val="28"/>
          <w:highlight w:val="none"/>
          <w:lang w:val="en-US" w:eastAsia="zh-CN"/>
        </w:rPr>
        <w:t xml:space="preserve">投标</w:t>
      </w:r>
      <w:r>
        <w:rPr>
          <w:rFonts w:hint="eastAsia" w:ascii="宋体" w:hAnsi="宋体" w:eastAsia="宋体" w:cs="宋体"/>
          <w:bCs/>
          <w:sz w:val="28"/>
          <w:szCs w:val="28"/>
          <w:highlight w:val="none"/>
        </w:rPr>
        <w:t xml:space="preserve">文件</w:t>
      </w:r>
      <w:r>
        <w:rPr>
          <w:rFonts w:hint="eastAsia" w:ascii="宋体" w:hAnsi="宋体" w:eastAsia="宋体" w:cs="宋体"/>
          <w:bCs/>
          <w:sz w:val="28"/>
          <w:szCs w:val="28"/>
          <w:highlight w:val="none"/>
          <w:lang w:val="en-US" w:eastAsia="zh-CN"/>
        </w:rPr>
        <w:t xml:space="preserve">格式</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8</w:t>
      </w:r>
      <w:r/>
    </w:p>
    <w:p>
      <w:pPr>
        <w:ind w:right="0" w:firstLine="2209"/>
        <w:jc w:val="left"/>
        <w:keepLines w:val="0"/>
        <w:keepNext w:val="0"/>
        <w:pageBreakBefore w:val="0"/>
        <w:spacing w:line="720" w:lineRule="auto"/>
        <w:widowControl w:val="off"/>
        <w:rPr>
          <w:rFonts w:hint="eastAsia" w:ascii="宋体" w:hAnsi="宋体" w:eastAsia="宋体" w:cs="宋体"/>
          <w:b/>
          <w:sz w:val="44"/>
          <w:szCs w:val="44"/>
          <w:highlight w:val="none"/>
        </w:rPr>
      </w:pPr>
      <w:r>
        <w:rPr>
          <w:rFonts w:hint="eastAsia" w:ascii="宋体" w:hAnsi="宋体" w:eastAsia="宋体" w:cs="宋体"/>
          <w:sz w:val="28"/>
          <w:szCs w:val="28"/>
          <w:highlight w:val="none"/>
        </w:rPr>
        <w:fldChar w:fldCharType="end"/>
      </w:r>
      <w:r/>
    </w:p>
    <w:p>
      <w:pPr>
        <w:ind w:right="0" w:firstLine="2715"/>
        <w:keepLines w:val="0"/>
        <w:keepNext w:val="0"/>
        <w:spacing w:line="520" w:lineRule="exact"/>
        <w:rPr>
          <w:rFonts w:hint="eastAsia" w:ascii="宋体" w:hAnsi="宋体" w:eastAsia="宋体" w:cs="宋体"/>
          <w:b/>
          <w:bCs/>
          <w:sz w:val="32"/>
          <w:szCs w:val="32"/>
          <w:highlight w:val="none"/>
        </w:rPr>
        <w:sectPr>
          <w:headerReference w:type="default" r:id="rId9"/>
          <w:footerReference w:type="even" r:id="rId10"/>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宋体" w:hAnsi="宋体" w:eastAsia="宋体" w:cs="宋体"/>
          <w:b/>
          <w:bCs/>
          <w:sz w:val="32"/>
          <w:szCs w:val="32"/>
          <w:highlight w:val="none"/>
        </w:rPr>
      </w:r>
      <w:r/>
    </w:p>
    <w:p>
      <w:pPr>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2" w:name="_Toc5246"/>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邀请</w:t>
      </w:r>
      <w:bookmarkEnd w:id="2"/>
      <w:r/>
      <w:r/>
    </w:p>
    <w:tbl>
      <w:tblPr>
        <w:tblStyle w:val="977"/>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5"/>
      </w:tblGrid>
      <w:tr>
        <w:trPr/>
        <w:tc>
          <w:tcPr>
            <w:tcW w:w="9725" w:type="dxa"/>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b/>
                <w:bCs/>
                <w:sz w:val="24"/>
                <w:szCs w:val="24"/>
                <w:highlight w:val="none"/>
                <w:lang w:eastAsia="zh-CN"/>
              </w:rPr>
              <w:suppressLineNumbers w:val="0"/>
            </w:pPr>
            <w:r>
              <w:rPr>
                <w:rFonts w:hint="eastAsia" w:ascii="宋体" w:hAnsi="宋体" w:eastAsia="宋体" w:cs="宋体"/>
                <w:b/>
                <w:bCs/>
                <w:sz w:val="24"/>
                <w:szCs w:val="24"/>
                <w:highlight w:val="none"/>
              </w:rPr>
              <w:t xml:space="preserve">项目概况</w:t>
            </w:r>
            <w:r>
              <w:rPr>
                <w:rFonts w:hint="eastAsia" w:ascii="宋体" w:hAnsi="宋体" w:eastAsia="宋体" w:cs="宋体"/>
                <w:b/>
                <w:bCs/>
                <w:sz w:val="24"/>
                <w:szCs w:val="24"/>
                <w:highlight w:val="none"/>
                <w:lang w:eastAsia="zh-CN"/>
              </w:rPr>
              <w:t xml:space="preserve">：</w:t>
            </w:r>
            <w:r/>
          </w:p>
          <w:p>
            <w:pPr>
              <w:ind w:left="0" w:right="0" w:firstLine="480"/>
              <w:jc w:val="left"/>
              <w:keepLines w:val="0"/>
              <w:keepNext w:val="0"/>
              <w:pageBreakBefore w:val="0"/>
              <w:spacing w:before="0" w:beforeAutospacing="0" w:after="0" w:afterAutospacing="0" w:line="440" w:lineRule="exact"/>
              <w:widowControl w:val="off"/>
              <w:rPr>
                <w:rFonts w:hint="eastAsia" w:ascii="宋体" w:hAnsi="宋体" w:eastAsia="宋体" w:cs="宋体"/>
                <w:b/>
                <w:bCs/>
                <w:sz w:val="24"/>
                <w:szCs w:val="24"/>
                <w:highlight w:val="none"/>
              </w:rPr>
              <w:suppressLineNumbers w:val="0"/>
            </w:pPr>
            <w:r>
              <w:rPr>
                <w:rFonts w:hint="eastAsia" w:ascii="宋体" w:hAnsi="宋体" w:cs="宋体"/>
                <w:sz w:val="24"/>
                <w:szCs w:val="24"/>
                <w:highlight w:val="none"/>
                <w:u w:val="single"/>
                <w:lang w:eastAsia="zh-CN"/>
              </w:rPr>
              <w:t xml:space="preserve">金湖中等专业学校异地扩建项目办公家具及课桌凳设备采购项目JSZC-320831-JSYQ-G2026-0012</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的潜在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应在江苏政府采购网</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淮安市政府采购网自行免费下载</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文件，并于</w:t>
            </w:r>
            <w:r>
              <w:rPr>
                <w:rFonts w:hint="eastAsia" w:ascii="宋体" w:hAnsi="宋体" w:eastAsia="宋体" w:cs="宋体"/>
                <w:sz w:val="24"/>
                <w:szCs w:val="24"/>
                <w:highlight w:val="none"/>
                <w:lang w:val="en-US" w:eastAsia="zh-CN"/>
              </w:rPr>
              <w:t xml:space="preserve">2026-</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9   </w:t>
            </w:r>
            <w:r>
              <w:rPr>
                <w:rFonts w:hint="eastAsia" w:ascii="宋体" w:hAnsi="宋体" w:eastAsia="宋体" w:cs="宋体"/>
                <w:sz w:val="24"/>
                <w:szCs w:val="24"/>
                <w:highlight w:val="none"/>
                <w:lang w:val="en-US" w:eastAsia="zh-CN"/>
              </w:rPr>
              <w:t xml:space="preserve">9:00（北京时间）</w:t>
            </w:r>
            <w:r>
              <w:rPr>
                <w:rFonts w:hint="eastAsia" w:ascii="宋体" w:hAnsi="宋体" w:eastAsia="宋体" w:cs="宋体"/>
                <w:sz w:val="24"/>
                <w:szCs w:val="24"/>
                <w:highlight w:val="none"/>
              </w:rPr>
              <w:t xml:space="preserve">前提交</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w:t>
            </w:r>
            <w:r/>
          </w:p>
        </w:tc>
      </w:tr>
    </w:tbl>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p>
    <w:p>
      <w:pPr>
        <w:ind w:right="0" w:firstLine="484"/>
        <w:jc w:val="left"/>
        <w:keepLines w:val="0"/>
        <w:keepNext w:val="0"/>
        <w:pageBreakBefore w:val="0"/>
        <w:spacing w:line="50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：JSZC-320831-JSYQ-G2026-0012</w:t>
      </w:r>
      <w:r>
        <w:rPr>
          <w:rFonts w:hint="eastAsia" w:ascii="宋体" w:hAnsi="宋体" w:cs="宋体"/>
          <w:sz w:val="24"/>
          <w:szCs w:val="24"/>
          <w:highlight w:val="none"/>
          <w:lang w:val="en-US" w:eastAsia="zh-CN"/>
        </w:rPr>
        <w:t xml:space="preserve">  </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w:t>
      </w:r>
      <w:r>
        <w:rPr>
          <w:rFonts w:hint="eastAsia" w:ascii="宋体" w:hAnsi="宋体" w:cs="宋体"/>
          <w:spacing w:val="-6"/>
          <w:sz w:val="24"/>
          <w:szCs w:val="24"/>
          <w:highlight w:val="none"/>
          <w:lang w:val="en-US" w:eastAsia="zh-CN"/>
        </w:rPr>
        <w:t xml:space="preserve">金湖中等专业学校异地扩建项目办公家具及课桌凳设备采购项目</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spacing w:val="-6"/>
          <w:sz w:val="24"/>
          <w:szCs w:val="24"/>
          <w:highlight w:val="none"/>
          <w:lang w:val="en-US" w:eastAsia="zh-CN"/>
        </w:rPr>
        <w:t xml:space="preserve">：</w:t>
      </w:r>
      <w:r>
        <w:rPr>
          <w:rFonts w:hint="eastAsia" w:ascii="宋体" w:hAnsi="宋体" w:cs="宋体"/>
          <w:spacing w:val="-6"/>
          <w:sz w:val="24"/>
          <w:szCs w:val="24"/>
          <w:highlight w:val="none"/>
          <w:lang w:val="en-US" w:eastAsia="zh-CN"/>
        </w:rPr>
        <w:t xml:space="preserve">774.3373</w:t>
      </w:r>
      <w:r>
        <w:rPr>
          <w:rFonts w:hint="eastAsia" w:ascii="宋体" w:hAnsi="宋体" w:eastAsia="宋体" w:cs="宋体"/>
          <w:spacing w:val="-6"/>
          <w:sz w:val="24"/>
          <w:szCs w:val="24"/>
          <w:highlight w:val="none"/>
          <w:lang w:val="en-US" w:eastAsia="zh-CN"/>
        </w:rPr>
        <w:t xml:space="preserve">万元</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最高限价（如有）：</w:t>
      </w:r>
      <w:r>
        <w:rPr>
          <w:rFonts w:hint="eastAsia" w:ascii="宋体" w:hAnsi="宋体" w:cs="宋体"/>
          <w:sz w:val="24"/>
          <w:szCs w:val="24"/>
          <w:highlight w:val="none"/>
          <w:lang w:val="en-US" w:eastAsia="zh-CN"/>
        </w:rPr>
        <w:t xml:space="preserve">774.3373</w:t>
      </w:r>
      <w:r>
        <w:rPr>
          <w:rFonts w:hint="eastAsia" w:ascii="宋体" w:hAnsi="宋体" w:eastAsia="宋体" w:cs="宋体"/>
          <w:sz w:val="24"/>
          <w:szCs w:val="24"/>
          <w:highlight w:val="none"/>
          <w:lang w:val="en-US" w:eastAsia="zh-CN"/>
        </w:rPr>
        <w:t xml:space="preserve">万元。报价</w:t>
      </w:r>
      <w:r>
        <w:rPr>
          <w:rFonts w:hint="eastAsia" w:ascii="宋体" w:hAnsi="宋体" w:eastAsia="宋体" w:cs="宋体"/>
          <w:sz w:val="24"/>
          <w:szCs w:val="24"/>
          <w:highlight w:val="none"/>
          <w:lang w:val="en-US"/>
        </w:rPr>
        <w:t xml:space="preserve">不得超过</w:t>
      </w:r>
      <w:r>
        <w:rPr>
          <w:rFonts w:hint="eastAsia" w:ascii="宋体" w:hAnsi="宋体" w:eastAsia="宋体" w:cs="宋体"/>
          <w:sz w:val="24"/>
          <w:szCs w:val="24"/>
          <w:highlight w:val="none"/>
          <w:lang w:val="en-US" w:eastAsia="zh-CN"/>
        </w:rPr>
        <w:t xml:space="preserve">最高限价</w:t>
      </w:r>
      <w:r>
        <w:rPr>
          <w:rFonts w:hint="eastAsia" w:ascii="宋体" w:hAnsi="宋体" w:eastAsia="宋体" w:cs="宋体"/>
          <w:sz w:val="24"/>
          <w:szCs w:val="24"/>
          <w:highlight w:val="none"/>
          <w:lang w:val="en-US"/>
        </w:rPr>
        <w:t xml:space="preserve">，否则作废标处理。</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eastAsia="zh-CN"/>
        </w:rPr>
        <w:t xml:space="preserve">：办公桌椅、长条桌椅、演讲台、排椅、文件柜、更衣柜、密集柜、单人塑钢调节课桌凳、书包柜、组合桌、多功能椅、报告厅礼堂椅、看台座椅等</w:t>
      </w:r>
      <w:r>
        <w:rPr>
          <w:rFonts w:hint="eastAsia" w:ascii="宋体" w:hAnsi="宋体" w:eastAsia="宋体" w:cs="宋体"/>
          <w:sz w:val="24"/>
          <w:szCs w:val="24"/>
          <w:highlight w:val="none"/>
          <w:lang w:val="en-US" w:eastAsia="zh-CN"/>
        </w:rPr>
        <w:t xml:space="preserve">。具体详见第五章“项目采购需求”。</w:t>
      </w:r>
      <w:r/>
    </w:p>
    <w:p>
      <w:pPr>
        <w:ind w:right="0" w:firstLine="480"/>
        <w:keepLines w:val="0"/>
        <w:keepNext w:val="0"/>
        <w:pageBreakBefore w:val="0"/>
        <w:spacing w:line="500" w:lineRule="exact"/>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供货期限</w:t>
      </w:r>
      <w:r>
        <w:rPr>
          <w:rFonts w:hint="eastAsia" w:ascii="宋体" w:hAnsi="宋体" w:eastAsia="宋体" w:cs="宋体"/>
          <w:color w:val="000000"/>
          <w:sz w:val="24"/>
          <w:highlight w:val="none"/>
          <w:lang w:eastAsia="zh-CN"/>
        </w:rPr>
        <w:t xml:space="preserve">：</w:t>
      </w:r>
      <w:r>
        <w:rPr>
          <w:rFonts w:hint="eastAsia" w:ascii="宋体" w:hAnsi="宋体" w:cs="宋体"/>
          <w:sz w:val="24"/>
          <w:szCs w:val="24"/>
          <w:highlight w:val="none"/>
          <w:lang w:val="en-US" w:eastAsia="zh-CN"/>
        </w:rPr>
        <w:t xml:space="preserve">合同签订后30天内供货完毕并验收合格。</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本项目（是/否）接受联合体投标：</w:t>
      </w: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eastAsia="zh-CN"/>
        </w:rPr>
        <w:t xml:space="preserve">。</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二、申请人的资格要求</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（一）满足《中华人民共和国政府采购法》第二十二条规定</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1.投标人符合《中华人民共和国政府采购法》第二十二条规定的声明函</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2.投标人提供下列之一（提供相关材料）</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（1）投标人</w:t>
      </w:r>
      <w:r>
        <w:rPr>
          <w:rFonts w:hint="eastAsia" w:ascii="宋体" w:hAnsi="宋体" w:eastAsia="宋体" w:cs="宋体"/>
          <w:sz w:val="24"/>
          <w:szCs w:val="24"/>
          <w:highlight w:val="none"/>
          <w:lang w:val="en-US" w:eastAsia="zh-CN"/>
        </w:rPr>
        <w:t xml:space="preserve">法定代表人参加投标的，提供法定代表人资格证明（格式按照示范格式一要求）和法定代表人有效身份证；</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（2）投标人授权委托人参加投标的，提供授权委托书（格式按照示范格式二要求）和受托人有效身份证。</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3.本项目不接受联合体投标人参加投标</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4.拒绝符合下述条件的投标人参加本次采购活动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（1）投标人单位负责人为同一人或者存在直接控股、管理关系的不同投标人，不得同时参加同一合同项下的政府采购活动；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（2）凡为采购项目提供整体设计、规范编制或者项目管理、监理、检测等服务的投标人，不得再参加本项目的采购活动；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（3）列入失信被执行人、重大税收违法案件当事人名单、政府采购严重违法失信行为记录名单中的投标人不得参加本项目的采购活动。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采购人（代理机构）通过“信用中国”网站（www.creditchina.gov.cn）、“中国政府采购网”网站（www.ccgp.gov.cn）等渠道查询投标人在采购公告发布之日前的信用记录并保存，查询结果以网页打印的形式留存并归档。</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落实政府采购政策需满足的资格要求</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1.落实政府采购政策需满足的资格要求（提供下列任一项材料即可）</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（1）中小企业声明函；</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（2）《残疾人福利性单位声明函》；</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（3）由省级以上监狱管理局、戒毒管理局（含新疆生产建设兵团）出具的属于监狱企业的证明文件。</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zh-CN"/>
        </w:rPr>
        <w:t xml:space="preserve">以下第</w:t>
      </w:r>
      <w:r>
        <w:rPr>
          <w:rFonts w:hint="eastAsia" w:ascii="宋体" w:hAnsi="宋体" w:eastAsia="宋体" w:cs="宋体"/>
          <w:sz w:val="24"/>
          <w:szCs w:val="24"/>
          <w:highlight w:val="none"/>
          <w:u w:val="single"/>
          <w:lang w:val="en-US" w:eastAsia="zh-CN"/>
        </w:rPr>
        <w:t xml:space="preserve"> （1） </w:t>
      </w:r>
      <w:r>
        <w:rPr>
          <w:rFonts w:hint="eastAsia" w:ascii="宋体" w:hAnsi="宋体" w:eastAsia="宋体" w:cs="宋体"/>
          <w:sz w:val="24"/>
          <w:szCs w:val="24"/>
          <w:highlight w:val="none"/>
          <w:lang w:val="zh-CN"/>
        </w:rPr>
        <w:t xml:space="preserve">种方式落实政府采购促进中小企业发展的要求</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本项目为专门面向中小企业采购的项目。</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本项目通过以下第（）种方式预留部分采购份额</w:t>
      </w:r>
      <w:r>
        <w:rPr>
          <w:rFonts w:hint="eastAsia" w:ascii="宋体" w:hAnsi="宋体" w:eastAsia="宋体" w:cs="宋体"/>
          <w:sz w:val="24"/>
          <w:szCs w:val="24"/>
          <w:highlight w:val="none"/>
        </w:rPr>
        <w:t xml:space="preserve">采购</w:t>
      </w:r>
      <w:r>
        <w:rPr>
          <w:rFonts w:hint="eastAsia" w:ascii="宋体" w:hAnsi="宋体" w:eastAsia="宋体" w:cs="宋体"/>
          <w:sz w:val="24"/>
          <w:szCs w:val="24"/>
          <w:highlight w:val="none"/>
          <w:lang w:val="zh-CN"/>
        </w:rPr>
        <w:t xml:space="preserve">中小企业</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zh-CN"/>
        </w:rPr>
        <w:t xml:space="preserve">：</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zh-CN"/>
        </w:rPr>
        <w:t xml:space="preserve">本项目要求投标人以联合体形式参加，中小企业合同金额应当达到的比例为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zh-CN"/>
        </w:rPr>
        <w:t xml:space="preserve">本项目要求投标人进行合同分包，中小企业合同金额应当达到的比例为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）本项目为非预留份额的采购项目，</w:t>
      </w:r>
      <w:r>
        <w:rPr>
          <w:rFonts w:hint="eastAsia" w:ascii="宋体" w:hAnsi="宋体" w:eastAsia="宋体" w:cs="宋体"/>
          <w:sz w:val="24"/>
          <w:szCs w:val="24"/>
          <w:highlight w:val="none"/>
        </w:rPr>
        <w:t xml:space="preserve">对小微企业报价给予扣除，用扣除后的价格参加评审，具体详见第二章“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须知”第36.1项</w:t>
      </w:r>
      <w:r>
        <w:rPr>
          <w:rFonts w:hint="eastAsia" w:ascii="宋体" w:hAnsi="宋体" w:eastAsia="宋体" w:cs="宋体"/>
          <w:sz w:val="24"/>
          <w:szCs w:val="24"/>
          <w:highlight w:val="none"/>
          <w:lang w:val="zh-CN"/>
        </w:rPr>
        <w:t xml:space="preserve">。</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p>
    <w:p>
      <w:pPr>
        <w:ind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highlight w:val="none"/>
          <w:lang w:eastAsia="zh-CN"/>
        </w:rPr>
        <w:t xml:space="preserve">本项目的特定资格要求：</w:t>
      </w:r>
      <w:r>
        <w:rPr>
          <w:rFonts w:hint="eastAsia" w:ascii="宋体" w:hAnsi="宋体" w:eastAsia="宋体" w:cs="宋体"/>
          <w:sz w:val="24"/>
          <w:highlight w:val="none"/>
          <w:lang w:val="en-US" w:eastAsia="zh-CN"/>
        </w:rPr>
        <w:t xml:space="preserve">无</w:t>
      </w:r>
      <w:r/>
    </w:p>
    <w:p>
      <w:pPr>
        <w:ind w:right="0" w:firstLine="482"/>
        <w:jc w:val="left"/>
        <w:keepLines w:val="0"/>
        <w:keepNext w:val="0"/>
        <w:pageBreakBefore w:val="0"/>
        <w:spacing w:line="500" w:lineRule="exact"/>
        <w:widowControl w:val="off"/>
        <w:rPr>
          <w:rFonts w:hint="eastAsia" w:ascii="宋体" w:hAnsi="宋体" w:eastAsia="宋体" w:cs="宋体"/>
          <w:highlight w:val="none"/>
        </w:rPr>
      </w:pP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资格要求以</w:t>
      </w:r>
      <w:r>
        <w:rPr>
          <w:rFonts w:hint="eastAsia" w:ascii="宋体" w:hAnsi="宋体" w:eastAsia="宋体" w:cs="宋体"/>
          <w:b/>
          <w:bCs/>
          <w:sz w:val="24"/>
          <w:highlight w:val="none"/>
          <w:lang w:eastAsia="zh-CN"/>
        </w:rPr>
        <w:t xml:space="preserve">投标</w:t>
      </w:r>
      <w:r>
        <w:rPr>
          <w:rFonts w:hint="eastAsia" w:ascii="宋体" w:hAnsi="宋体" w:eastAsia="宋体" w:cs="宋体"/>
          <w:b/>
          <w:bCs/>
          <w:sz w:val="24"/>
          <w:highlight w:val="none"/>
        </w:rPr>
        <w:t xml:space="preserve">文件第六章第</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条资质审查时</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必须提交的资格证明文件为准。</w:t>
      </w:r>
      <w:r/>
    </w:p>
    <w:p>
      <w:pPr>
        <w:ind w:right="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rPr>
        <w:t xml:space="preserve">三、获取</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p>
    <w:p>
      <w:pPr>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rPr>
        <w:t xml:space="preserve">月</w:t>
      </w: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rPr>
        <w:t xml:space="preserve">日至202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rPr>
        <w:t xml:space="preserve">月</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rPr>
        <w:t xml:space="preserve">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北京时间）</w:t>
      </w:r>
      <w:r/>
    </w:p>
    <w:p>
      <w:pPr>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地点：江苏政府采购网或淮安市政府采购网</w:t>
      </w:r>
      <w:r/>
    </w:p>
    <w:p>
      <w:pPr>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方式：</w:t>
      </w:r>
      <w:r>
        <w:rPr>
          <w:rFonts w:hint="eastAsia" w:ascii="宋体" w:hAnsi="宋体" w:eastAsia="宋体" w:cs="宋体"/>
          <w:sz w:val="24"/>
          <w:highlight w:val="none"/>
          <w:lang w:eastAsia="zh-CN"/>
        </w:rPr>
        <w:t xml:space="preserve">投标人登录江苏省</w:t>
      </w:r>
      <w:r>
        <w:rPr>
          <w:rFonts w:hint="eastAsia" w:ascii="宋体" w:hAnsi="宋体" w:eastAsia="宋体" w:cs="宋体"/>
          <w:sz w:val="24"/>
          <w:highlight w:val="none"/>
        </w:rPr>
        <w:t xml:space="preserve">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786"/>
        <w:ind w:right="0" w:firstLine="468"/>
        <w:jc w:val="left"/>
        <w:keepLines w:val="0"/>
        <w:keepNext w:val="0"/>
        <w:pageBreakBefore w:val="0"/>
        <w:spacing w:before="0" w:after="0" w:line="500" w:lineRule="exact"/>
        <w:widowControl w:val="off"/>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 xml:space="preserve">售价：0.00元</w:t>
      </w:r>
      <w:r/>
    </w:p>
    <w:p>
      <w:pPr>
        <w:pStyle w:val="1062"/>
        <w:ind w:right="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b/>
          <w:bCs/>
          <w:szCs w:val="24"/>
          <w:highlight w:val="none"/>
          <w:lang w:val="en-US"/>
        </w:rPr>
        <w:t xml:space="preserve">四、</w:t>
      </w:r>
      <w:r>
        <w:rPr>
          <w:rFonts w:hint="eastAsia" w:ascii="宋体" w:hAnsi="宋体" w:eastAsia="宋体" w:cs="宋体"/>
          <w:b/>
          <w:bCs/>
          <w:szCs w:val="24"/>
          <w:highlight w:val="none"/>
          <w:lang w:val="en-US" w:eastAsia="zh-CN"/>
        </w:rPr>
        <w:t xml:space="preserve">提交投标文件截止时间、开标时间和地点</w:t>
      </w:r>
      <w:r/>
    </w:p>
    <w:p>
      <w:pPr>
        <w:pStyle w:val="1062"/>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投标文件提交截止时间及开标时间：202</w:t>
      </w:r>
      <w:r>
        <w:rPr>
          <w:rFonts w:hint="eastAsia" w:ascii="宋体" w:hAnsi="宋体" w:eastAsia="宋体" w:cs="宋体"/>
          <w:szCs w:val="24"/>
          <w:highlight w:val="none"/>
          <w:lang w:val="en-US" w:eastAsia="zh-CN"/>
        </w:rPr>
        <w:t xml:space="preserve">6-11-9      </w:t>
      </w:r>
      <w:r>
        <w:rPr>
          <w:rFonts w:hint="eastAsia" w:ascii="宋体" w:hAnsi="宋体" w:eastAsia="宋体" w:cs="宋体"/>
          <w:szCs w:val="24"/>
          <w:highlight w:val="none"/>
          <w:lang w:val="en-US"/>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Cs w:val="24"/>
          <w:highlight w:val="none"/>
          <w:lang w:val="en-US"/>
        </w:rPr>
        <w:t xml:space="preserve">00</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北京时间）</w:t>
      </w:r>
      <w:r/>
    </w:p>
    <w:p>
      <w:pPr>
        <w:pStyle w:val="1062"/>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投标文件上传地址：“苏采云”政府采购交易系统网上开标大厅。</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、公告期限</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七、其他补充事宜</w:t>
      </w:r>
      <w:r/>
    </w:p>
    <w:p>
      <w:pPr>
        <w:pStyle w:val="971"/>
        <w:ind w:left="0"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rPr>
        <w:outlineLvl w:val="9"/>
      </w:pPr>
      <w:r>
        <w:rPr>
          <w:rFonts w:hint="eastAsia" w:ascii="宋体" w:hAnsi="宋体" w:eastAsia="宋体" w:cs="宋体"/>
          <w:sz w:val="24"/>
          <w:szCs w:val="24"/>
          <w:highlight w:val="none"/>
          <w:lang w:val="en-US"/>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本项目采用不见面电子投标。请</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lang w:val="en-US"/>
        </w:rPr>
        <w:t xml:space="preserve">严格按照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lang w:val="en-US"/>
        </w:rPr>
        <w:t xml:space="preserve">文件的规定编制、提交</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en-US"/>
        </w:rPr>
        <w:t xml:space="preserve">文件，否则所造成的一切后果由</w:t>
      </w:r>
      <w:r>
        <w:rPr>
          <w:rFonts w:hint="eastAsia" w:ascii="宋体" w:hAnsi="宋体" w:eastAsia="宋体" w:cs="宋体"/>
          <w:sz w:val="24"/>
          <w:szCs w:val="24"/>
          <w:highlight w:val="none"/>
          <w:lang w:val="en-US" w:eastAsia="zh-CN"/>
        </w:rPr>
        <w:t xml:space="preserve">投标投标人</w:t>
      </w:r>
      <w:r>
        <w:rPr>
          <w:rFonts w:hint="eastAsia" w:ascii="宋体" w:hAnsi="宋体" w:eastAsia="宋体" w:cs="宋体"/>
          <w:sz w:val="24"/>
          <w:szCs w:val="24"/>
          <w:highlight w:val="none"/>
          <w:lang w:val="en-US"/>
        </w:rPr>
        <w:t xml:space="preserve">自负。</w:t>
      </w:r>
      <w:r/>
    </w:p>
    <w:p>
      <w:pPr>
        <w:pStyle w:val="971"/>
        <w:ind w:left="0" w:right="0" w:firstLine="480"/>
        <w:jc w:val="left"/>
        <w:keepLines w:val="0"/>
        <w:keepNext w:val="0"/>
        <w:pageBreakBefore w:val="0"/>
        <w:spacing w:line="50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rPr>
        <w:t xml:space="preserve">本项目无需</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lang w:val="en-US"/>
        </w:rPr>
        <w:t xml:space="preserve">保证金。</w:t>
      </w:r>
      <w:r/>
    </w:p>
    <w:p>
      <w:pPr>
        <w:pStyle w:val="1062"/>
        <w:ind w:left="0" w:right="0" w:firstLine="48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szCs w:val="24"/>
          <w:highlight w:val="none"/>
          <w:lang w:val="en-US"/>
        </w:rPr>
        <w:t xml:space="preserve">3</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本项目仅采购非进口产品（注</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本文件所称进口产品是指通过中国海关报关验放进入中国境内且产自关境外的产品）。</w:t>
      </w:r>
      <w:r/>
    </w:p>
    <w:p>
      <w:pPr>
        <w:pStyle w:val="1062"/>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4</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代理（下称代理人）：采购人委托</w:t>
      </w:r>
      <w:r>
        <w:rPr>
          <w:rFonts w:hint="eastAsia" w:ascii="宋体" w:hAnsi="宋体" w:eastAsia="宋体" w:cs="宋体"/>
          <w:highlight w:val="none"/>
          <w:lang w:eastAsia="zh-CN"/>
        </w:rPr>
        <w:t xml:space="preserve">江苏永勤工程管理有限公司</w:t>
      </w:r>
      <w:r>
        <w:rPr>
          <w:rFonts w:hint="eastAsia" w:ascii="宋体" w:hAnsi="宋体" w:eastAsia="宋体" w:cs="宋体"/>
          <w:szCs w:val="24"/>
          <w:highlight w:val="none"/>
          <w:lang w:val="en-US"/>
        </w:rPr>
        <w:t xml:space="preserve">负责代理本次</w:t>
      </w:r>
      <w:r>
        <w:rPr>
          <w:rFonts w:hint="eastAsia" w:ascii="宋体" w:hAnsi="宋体" w:eastAsia="宋体" w:cs="宋体"/>
          <w:szCs w:val="24"/>
          <w:highlight w:val="none"/>
          <w:lang w:val="en-US" w:eastAsia="zh-CN"/>
        </w:rPr>
        <w:t xml:space="preserve">投标</w:t>
      </w:r>
      <w:r>
        <w:rPr>
          <w:rFonts w:hint="eastAsia" w:ascii="宋体" w:hAnsi="宋体" w:eastAsia="宋体" w:cs="宋体"/>
          <w:szCs w:val="24"/>
          <w:highlight w:val="none"/>
          <w:lang w:val="en-US"/>
        </w:rPr>
        <w:t xml:space="preserve">的相关事宜。</w:t>
      </w:r>
      <w:r/>
    </w:p>
    <w:p>
      <w:pPr>
        <w:pStyle w:val="1062"/>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5</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w:t>
      </w:r>
      <w:r>
        <w:rPr>
          <w:rFonts w:hint="eastAsia" w:ascii="宋体" w:hAnsi="宋体" w:eastAsia="宋体" w:cs="宋体"/>
          <w:szCs w:val="24"/>
          <w:highlight w:val="none"/>
          <w:lang w:val="en-US" w:eastAsia="zh-CN"/>
        </w:rPr>
        <w:t xml:space="preserve">参照苏政采协【2024】20号文件规定标准的85%</w:t>
      </w:r>
      <w:r>
        <w:rPr>
          <w:rFonts w:hint="eastAsia" w:ascii="宋体" w:hAnsi="宋体" w:eastAsia="宋体" w:cs="宋体"/>
          <w:szCs w:val="24"/>
          <w:highlight w:val="none"/>
          <w:lang w:val="en-US"/>
        </w:rPr>
        <w:t xml:space="preserve">为此次项目的招标代理费，成交</w:t>
      </w:r>
      <w:r>
        <w:rPr>
          <w:rFonts w:hint="eastAsia" w:ascii="宋体" w:hAnsi="宋体" w:eastAsia="宋体" w:cs="宋体"/>
          <w:szCs w:val="24"/>
          <w:highlight w:val="none"/>
          <w:lang w:val="en-US" w:eastAsia="zh-CN"/>
        </w:rPr>
        <w:t xml:space="preserve">投标人</w:t>
      </w:r>
      <w:r>
        <w:rPr>
          <w:rFonts w:hint="eastAsia" w:ascii="宋体" w:hAnsi="宋体" w:eastAsia="宋体" w:cs="宋体"/>
          <w:szCs w:val="24"/>
          <w:highlight w:val="none"/>
          <w:lang w:val="en-US"/>
        </w:rPr>
        <w:t xml:space="preserve">应在</w:t>
      </w:r>
      <w:r>
        <w:rPr>
          <w:rFonts w:hint="eastAsia" w:ascii="宋体" w:hAnsi="宋体" w:eastAsia="宋体" w:cs="宋体"/>
          <w:szCs w:val="24"/>
          <w:highlight w:val="none"/>
          <w:lang w:val="en-US" w:eastAsia="zh-CN"/>
        </w:rPr>
        <w:t xml:space="preserve">成交</w:t>
      </w:r>
      <w:r>
        <w:rPr>
          <w:rFonts w:hint="eastAsia" w:ascii="宋体" w:hAnsi="宋体" w:eastAsia="宋体" w:cs="宋体"/>
          <w:szCs w:val="24"/>
          <w:highlight w:val="none"/>
          <w:lang w:val="en-US"/>
        </w:rPr>
        <w:t xml:space="preserve">通知书发放后五个工作日内向招标代理人一次性缴纳</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代理费。此费用包含在投标报价中，不单独列项。</w:t>
      </w:r>
      <w:r/>
    </w:p>
    <w:p>
      <w:pPr>
        <w:pStyle w:val="975"/>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6.本项目采购标的对应的中小企业划分标准所属行业为</w:t>
      </w:r>
      <w:r>
        <w:rPr>
          <w:rFonts w:hint="eastAsia" w:ascii="宋体" w:hAnsi="宋体" w:cs="宋体"/>
          <w:b/>
          <w:bCs/>
          <w:highlight w:val="none"/>
          <w:u w:val="single"/>
          <w:lang w:val="en-US" w:eastAsia="zh-CN"/>
        </w:rPr>
        <w:t xml:space="preserve">制造业</w:t>
      </w:r>
      <w:r>
        <w:rPr>
          <w:rFonts w:hint="eastAsia" w:ascii="宋体" w:hAnsi="宋体" w:eastAsia="宋体" w:cs="宋体"/>
          <w:highlight w:val="none"/>
          <w:lang w:val="en-US" w:eastAsia="zh-CN"/>
        </w:rPr>
        <w:t xml:space="preserve">。</w:t>
      </w:r>
      <w:r/>
    </w:p>
    <w:p>
      <w:pPr>
        <w:pStyle w:val="975"/>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通过苏采云系统参与政府采购项目，需要更换CA数字证书和电子签章。具体办理指南和操作手册见链接：http://www.ccgp-jiangsu.gov.cn/jiangsu/zl</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z/ee/ee3a4bc5a3454aa2b0d9312230633ce9.html。</w:t>
      </w:r>
      <w:r/>
    </w:p>
    <w:p>
      <w:pPr>
        <w:pStyle w:val="975"/>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highlight w:val="none"/>
        </w:rPr>
        <w:t xml:space="preserve">领取CA和办理电子签章（请至淮安市清江浦区深圳路16号淮安市公共资源交易中心二楼13号CA办理窗口办理，具体联系方式见《苏采云系统</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操作手册》（以下简称《操作手册》）、进行注册并按《操作手册》要求制作、上传电子响应文件。</w:t>
      </w:r>
      <w:r/>
    </w:p>
    <w:p>
      <w:pPr>
        <w:pStyle w:val="975"/>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有关本次招标的事项若存在变动或修改，敬请及时关注</w:t>
      </w:r>
      <w:r>
        <w:rPr>
          <w:rFonts w:hint="eastAsia" w:ascii="宋体" w:hAnsi="宋体" w:eastAsia="宋体" w:cs="宋体"/>
          <w:highlight w:val="none"/>
          <w:lang w:eastAsia="zh-CN"/>
        </w:rPr>
        <w:t xml:space="preserve">采购人（代理机构）</w:t>
      </w:r>
      <w:r>
        <w:rPr>
          <w:rFonts w:hint="eastAsia" w:ascii="宋体" w:hAnsi="宋体" w:eastAsia="宋体" w:cs="宋体"/>
          <w:highlight w:val="none"/>
        </w:rPr>
        <w:t xml:space="preserve">在“江苏省政府采购网”、“淮安市政府采购网”发布的更正公告。</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八、凡</w:t>
      </w:r>
      <w:r>
        <w:rPr>
          <w:rFonts w:hint="eastAsia" w:ascii="宋体" w:hAnsi="宋体" w:eastAsia="宋体" w:cs="宋体"/>
          <w:b/>
          <w:bCs/>
          <w:sz w:val="24"/>
          <w:szCs w:val="24"/>
          <w:highlight w:val="none"/>
        </w:rPr>
        <w:t xml:space="preserve">对本次采购提出询问，请按以下方式联系。</w:t>
      </w:r>
      <w:r/>
    </w:p>
    <w:p>
      <w:pPr>
        <w:pStyle w:val="1062"/>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1</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采购人信息</w:t>
      </w:r>
      <w:r/>
    </w:p>
    <w:p>
      <w:pPr>
        <w:ind w:left="0" w:right="0" w:firstLine="480"/>
        <w:jc w:val="left"/>
        <w:keepLines w:val="0"/>
        <w:keepNext w:val="0"/>
        <w:pageBreakBefore w:val="0"/>
        <w:spacing w:line="500" w:lineRule="exact"/>
        <w:widowControl w:val="off"/>
        <w:rPr>
          <w:rFonts w:hint="default"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金湖县教育体育局</w:t>
      </w:r>
      <w:r/>
    </w:p>
    <w:p>
      <w:pPr>
        <w:ind w:left="0"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单位地址：</w:t>
      </w:r>
      <w:r>
        <w:rPr>
          <w:rFonts w:hint="eastAsia" w:ascii="宋体" w:hAnsi="宋体" w:cs="宋体"/>
          <w:sz w:val="24"/>
          <w:highlight w:val="none"/>
          <w:lang w:val="en-US" w:eastAsia="zh-CN"/>
        </w:rPr>
        <w:t xml:space="preserve">金湖县</w:t>
      </w:r>
      <w:r/>
    </w:p>
    <w:p>
      <w:pPr>
        <w:ind w:left="0" w:right="0" w:firstLine="480"/>
        <w:jc w:val="left"/>
        <w:keepLines w:val="0"/>
        <w:keepNext w:val="0"/>
        <w:pageBreakBefore w:val="0"/>
        <w:spacing w:line="500" w:lineRule="exact"/>
        <w:widowControl w:val="off"/>
        <w:rPr>
          <w:rFonts w:hint="default"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联系人：</w:t>
      </w:r>
      <w:r>
        <w:rPr>
          <w:rFonts w:hint="eastAsia" w:ascii="宋体" w:hAnsi="宋体" w:cs="宋体"/>
          <w:sz w:val="24"/>
          <w:highlight w:val="none"/>
          <w:lang w:val="en-US" w:eastAsia="zh-CN"/>
        </w:rPr>
        <w:t xml:space="preserve">姚先生</w:t>
      </w:r>
      <w:r/>
    </w:p>
    <w:p>
      <w:pPr>
        <w:ind w:left="0" w:right="0" w:firstLine="480"/>
        <w:jc w:val="left"/>
        <w:keepLines w:val="0"/>
        <w:keepNext w:val="0"/>
        <w:pageBreakBefore w:val="0"/>
        <w:spacing w:line="500" w:lineRule="exact"/>
        <w:widowControl w:val="off"/>
        <w:rPr>
          <w:rFonts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联系电话：</w:t>
      </w:r>
      <w:r>
        <w:rPr>
          <w:rFonts w:hint="eastAsia" w:ascii="宋体" w:hAnsi="宋体" w:cs="宋体"/>
          <w:sz w:val="24"/>
          <w:highlight w:val="none"/>
          <w:lang w:val="en-US" w:eastAsia="zh-CN"/>
        </w:rPr>
        <w:t xml:space="preserve">13952332221</w:t>
      </w:r>
      <w:r>
        <w:rPr>
          <w:rFonts w:hint="eastAsia" w:ascii="宋体" w:hAnsi="宋体" w:eastAsia="宋体" w:cs="宋体"/>
          <w:sz w:val="24"/>
          <w:highlight w:val="none"/>
          <w:lang w:val="en-US" w:eastAsia="zh-CN"/>
        </w:rPr>
        <w:t xml:space="preserve"> </w:t>
      </w:r>
      <w:r/>
    </w:p>
    <w:p>
      <w:pPr>
        <w:pStyle w:val="1062"/>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b/>
          <w:bCs/>
          <w:szCs w:val="24"/>
          <w:highlight w:val="none"/>
          <w:lang w:val="en-US"/>
        </w:rPr>
        <w:t xml:space="preserve">2</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采购代理机构信息</w:t>
      </w:r>
      <w:r/>
    </w:p>
    <w:p>
      <w:pPr>
        <w:pStyle w:val="975"/>
        <w:ind w:left="0"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szCs w:val="24"/>
          <w:highlight w:val="none"/>
          <w:lang w:eastAsia="zh-CN"/>
        </w:rPr>
        <w:outlineLvl w:val="9"/>
      </w:pPr>
      <w:r>
        <w:rPr>
          <w:rFonts w:hint="eastAsia" w:ascii="宋体" w:hAnsi="宋体" w:eastAsia="宋体" w:cs="宋体"/>
          <w:szCs w:val="24"/>
          <w:highlight w:val="none"/>
          <w:lang w:val="en-US" w:eastAsia="zh-CN"/>
        </w:rPr>
        <w:t xml:space="preserve">单位名称</w:t>
      </w:r>
      <w:r>
        <w:rPr>
          <w:rFonts w:hint="eastAsia" w:ascii="宋体" w:hAnsi="宋体" w:eastAsia="宋体" w:cs="宋体"/>
          <w:szCs w:val="24"/>
          <w:highlight w:val="none"/>
        </w:rPr>
        <w:t xml:space="preserve">：</w:t>
      </w:r>
      <w:r>
        <w:rPr>
          <w:rFonts w:hint="eastAsia" w:ascii="宋体" w:hAnsi="宋体" w:cs="宋体"/>
          <w:highlight w:val="none"/>
          <w:lang w:eastAsia="zh-CN"/>
        </w:rPr>
        <w:t xml:space="preserve">江苏永勤工程管理有限公司</w:t>
      </w:r>
      <w:r/>
    </w:p>
    <w:p>
      <w:pPr>
        <w:pStyle w:val="1062"/>
        <w:ind w:left="0" w:right="0" w:firstLine="480"/>
        <w:jc w:val="left"/>
        <w:keepLines w:val="0"/>
        <w:keepNext w:val="0"/>
        <w:pageBreakBefore w:val="0"/>
        <w:spacing w:line="500" w:lineRule="exact"/>
        <w:widowControl w:val="off"/>
        <w:rPr>
          <w:rFonts w:hint="default"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单位地址</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金湖县健康路22号</w:t>
      </w:r>
      <w:r/>
    </w:p>
    <w:p>
      <w:pPr>
        <w:pStyle w:val="1062"/>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人</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汤凯钧</w:t>
      </w:r>
      <w:r/>
    </w:p>
    <w:p>
      <w:pPr>
        <w:pStyle w:val="1062"/>
        <w:ind w:left="0" w:right="0" w:firstLine="480"/>
        <w:jc w:val="left"/>
        <w:keepLines w:val="0"/>
        <w:keepNext w:val="0"/>
        <w:pageBreakBefore w:val="0"/>
        <w:spacing w:line="500" w:lineRule="exact"/>
        <w:widowControl w:val="off"/>
        <w:rPr>
          <w:rFonts w:hint="default"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联系电话</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15195323111</w:t>
      </w:r>
      <w:r/>
    </w:p>
    <w:p>
      <w:pPr>
        <w:pStyle w:val="1062"/>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3</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项目联系方式</w:t>
      </w:r>
      <w:r/>
    </w:p>
    <w:p>
      <w:pPr>
        <w:pStyle w:val="1062"/>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项目联系人：</w:t>
      </w:r>
      <w:r>
        <w:rPr>
          <w:rFonts w:hint="eastAsia" w:ascii="宋体" w:hAnsi="宋体" w:eastAsia="宋体" w:cs="宋体"/>
          <w:szCs w:val="24"/>
          <w:highlight w:val="none"/>
          <w:lang w:val="en-US" w:eastAsia="zh-CN"/>
        </w:rPr>
        <w:t xml:space="preserve">汤凯钧</w:t>
      </w:r>
      <w:r/>
    </w:p>
    <w:p>
      <w:pPr>
        <w:pStyle w:val="1062"/>
        <w:ind w:left="0" w:right="0" w:firstLine="480"/>
        <w:jc w:val="left"/>
        <w:keepLines w:val="0"/>
        <w:keepNext w:val="0"/>
        <w:pageBreakBefore w:val="0"/>
        <w:spacing w:line="500" w:lineRule="exact"/>
        <w:widowControl w:val="off"/>
        <w:rPr>
          <w:rFonts w:hint="default" w:ascii="宋体" w:hAnsi="宋体" w:eastAsia="宋体" w:cs="宋体"/>
          <w:bCs/>
          <w:sz w:val="32"/>
          <w:szCs w:val="32"/>
          <w:highlight w:val="none"/>
          <w:lang w:val="en-US"/>
        </w:rPr>
        <w:outlineLvl w:val="9"/>
      </w:pPr>
      <w:r>
        <w:rPr>
          <w:rFonts w:hint="eastAsia" w:ascii="宋体" w:hAnsi="宋体" w:eastAsia="宋体" w:cs="宋体"/>
          <w:szCs w:val="24"/>
          <w:highlight w:val="none"/>
          <w:lang w:val="en-US"/>
        </w:rPr>
        <w:t xml:space="preserve">电话：</w:t>
      </w:r>
      <w:r>
        <w:rPr>
          <w:rFonts w:hint="eastAsia" w:ascii="宋体" w:hAnsi="宋体" w:eastAsia="宋体" w:cs="宋体"/>
          <w:szCs w:val="24"/>
          <w:highlight w:val="none"/>
          <w:lang w:val="en-US" w:eastAsia="zh-CN"/>
        </w:rPr>
        <w:t xml:space="preserve">0517-86803566</w:t>
      </w:r>
      <w:r/>
    </w:p>
    <w:p>
      <w:pPr>
        <w:numPr>
          <w:ilvl w:val="0"/>
          <w:numId w:val="0"/>
        </w:numPr>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3" w:name="_Toc25315"/>
      <w:r>
        <w:rPr>
          <w:rFonts w:hint="eastAsia" w:ascii="宋体" w:hAnsi="宋体" w:eastAsia="宋体" w:cs="宋体"/>
          <w:b/>
          <w:bCs/>
          <w:sz w:val="32"/>
          <w:szCs w:val="32"/>
          <w:highlight w:val="none"/>
          <w:lang w:val="en-US" w:eastAsia="zh-CN"/>
        </w:rPr>
        <w:t xml:space="preserve">第二章</w:t>
      </w:r>
      <w:r>
        <w:rPr>
          <w:rFonts w:hint="eastAsia" w:ascii="宋体" w:hAnsi="宋体" w:eastAsia="宋体" w:cs="宋体"/>
          <w:b/>
          <w:bCs/>
          <w:sz w:val="32"/>
          <w:szCs w:val="32"/>
          <w:highlight w:val="none"/>
        </w:rPr>
        <w:t xml:space="preserve">  </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须知</w:t>
      </w:r>
      <w:bookmarkEnd w:id="3"/>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一、总则</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1.适用范围</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本招标文件仅适用于本次投标邀请中所述项目的采购。</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2.合格的</w:t>
      </w:r>
      <w:r>
        <w:rPr>
          <w:rFonts w:hint="eastAsia" w:ascii="宋体" w:hAnsi="宋体" w:eastAsia="宋体" w:cs="宋体"/>
          <w:b/>
          <w:bCs/>
          <w:sz w:val="24"/>
          <w:szCs w:val="24"/>
          <w:highlight w:val="none"/>
          <w:lang w:eastAsia="zh-CN"/>
        </w:rPr>
        <w:t xml:space="preserve">投标人</w:t>
      </w:r>
      <w:r/>
    </w:p>
    <w:p>
      <w:pPr>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2.1满足第一章投标邀请中投标人资格要求的规定。</w:t>
      </w:r>
      <w:r/>
    </w:p>
    <w:p>
      <w:pPr>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2.2满足招标文件中实质性条款的规定。</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3.适用法律</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3.1《中华人民共和国政府采购法》《中华人民共和国政府采购法实施条例》《政府采购货物和服务招标投标管理办法》等有关法律、规章和规定等。</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费用</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应自行承担所有与参加</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有关的费用。不论</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的结果如何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采购人（代理机构）在任何情况下均无义务和责任承担这些费用。</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4.2采购代理（下称代理机构）：采购人委托</w:t>
      </w:r>
      <w:r>
        <w:rPr>
          <w:rFonts w:hint="eastAsia" w:ascii="宋体" w:hAnsi="宋体" w:cs="宋体"/>
          <w:bCs/>
          <w:sz w:val="24"/>
          <w:szCs w:val="24"/>
          <w:highlight w:val="none"/>
          <w:lang w:eastAsia="zh-CN"/>
        </w:rPr>
        <w:t xml:space="preserve">江苏永勤工程管理有限公司</w:t>
      </w:r>
      <w:r>
        <w:rPr>
          <w:rFonts w:hint="eastAsia" w:ascii="宋体" w:hAnsi="宋体" w:eastAsia="宋体" w:cs="宋体"/>
          <w:bCs/>
          <w:sz w:val="24"/>
          <w:szCs w:val="24"/>
          <w:highlight w:val="none"/>
        </w:rPr>
        <w:t xml:space="preserve">负责代理本项目的相关事宜。</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4.3采购代理机构服务费：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lang w:eastAsia="zh-CN"/>
        </w:rPr>
        <w:t xml:space="preserve">人参照苏政采协【2024】20号文件规定标准的</w:t>
      </w:r>
      <w:r>
        <w:rPr>
          <w:rFonts w:hint="eastAsia" w:ascii="宋体" w:hAnsi="宋体" w:cs="宋体"/>
          <w:bCs/>
          <w:sz w:val="24"/>
          <w:szCs w:val="24"/>
          <w:highlight w:val="none"/>
          <w:lang w:val="en-US" w:eastAsia="zh-CN"/>
        </w:rPr>
        <w:t xml:space="preserve">85</w:t>
      </w:r>
      <w:r>
        <w:rPr>
          <w:rFonts w:hint="eastAsia" w:ascii="宋体" w:hAnsi="宋体" w:eastAsia="宋体" w:cs="宋体"/>
          <w:bCs/>
          <w:sz w:val="24"/>
          <w:szCs w:val="24"/>
          <w:highlight w:val="none"/>
          <w:lang w:eastAsia="zh-CN"/>
        </w:rPr>
        <w:t xml:space="preserve">%，作</w:t>
      </w:r>
      <w:r>
        <w:rPr>
          <w:rFonts w:hint="eastAsia" w:ascii="宋体" w:hAnsi="宋体" w:eastAsia="宋体" w:cs="宋体"/>
          <w:bCs/>
          <w:sz w:val="24"/>
          <w:szCs w:val="24"/>
          <w:highlight w:val="none"/>
        </w:rPr>
        <w:t xml:space="preserve">为本次项目的采购代理机构服务费。本项目由采购代理机构协助采购人完成此项目，中标人应在成交通知书发放后五个工作日内向招标代理人一次性缴纳采购代理费，此费用须包含在报价中，无须单独列项计取。</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4.4本次项目不收取文件工本费和成交管理费。</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文件由以下部分组成</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5.1投标邀请</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5.2投标人须知</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5.3评标标准</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5.4合同格式及条款</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5.5项目采购需求</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5.6投标文件格式</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文件的澄清</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6.1任何对招标文件要求澄清的投标人，均应在递交投标文件截止时间十日前以书面形式通知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或代理机构（在递送书面文件的同时请投标人将电</w:t>
      </w:r>
      <w:r>
        <w:rPr>
          <w:rFonts w:hint="eastAsia" w:ascii="宋体" w:hAnsi="宋体" w:eastAsia="宋体" w:cs="宋体"/>
          <w:sz w:val="24"/>
          <w:szCs w:val="24"/>
          <w:highlight w:val="none"/>
          <w:lang w:eastAsia="zh-CN"/>
        </w:rPr>
        <w:t xml:space="preserve">子文</w:t>
      </w:r>
      <w:r>
        <w:rPr>
          <w:rFonts w:hint="eastAsia" w:ascii="宋体" w:hAnsi="宋体" w:eastAsia="宋体" w:cs="宋体"/>
          <w:sz w:val="24"/>
          <w:szCs w:val="24"/>
          <w:highlight w:val="none"/>
        </w:rPr>
        <w:t xml:space="preserve">件一并发送给</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或代理机构对递交投标文件截止时间十日前收到的任何澄清要求将以书面形式予以答复。由于投标人所留联系方式有问题而导致</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或代理机构无法通知的其责任由投标人自行承担（逾期递交对招标文件要求进行澄清的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或代理机构将不予受理）。</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文件的更正或补充</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7.1在投标截止时间十五日前，采购人（代理机构）可主动或在解答投标人提出的澄清问题时对招标文件用更正公告的方式进行修正。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7.2对招标文件的更正将在淮安市政府采购网、淮安市公共资源交易中心官网电子化交易系统进行公告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同时通过电子交易平台通知所有已获取招标文件的投标人。更正公告将作为招标文件的组成部分，对所有参加本次投标的投标人都具有约束力。</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须持续关注本项目在江苏省政府采购网、淮安市政府采购网及电子化系统中发布的信息（含更正、修改等信息），否则产生的后果由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自行承担。</w:t>
      </w:r>
      <w:r/>
    </w:p>
    <w:p>
      <w:pPr>
        <w:ind w:left="0"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szCs w:val="24"/>
          <w:highlight w:val="none"/>
        </w:rPr>
        <w:t xml:space="preserve">7.4为使投标人有足够的时间按招标文件的更正要求修正投标文件，采购人（代理机构）有权按照相关法定的要求推迟投标截止时间和开标日期。</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三、投标文件的编制</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4" w:name="_Toc20823286"/>
      <w:r/>
      <w:bookmarkStart w:id="5" w:name="_Toc462564073"/>
      <w:r/>
      <w:bookmarkStart w:id="6" w:name="_Toc16938530"/>
      <w:r/>
      <w:bookmarkStart w:id="7" w:name="_Toc513029214"/>
      <w:r>
        <w:rPr>
          <w:rFonts w:hint="eastAsia" w:ascii="宋体" w:hAnsi="宋体" w:eastAsia="宋体" w:cs="宋体"/>
          <w:b/>
          <w:bCs/>
          <w:sz w:val="24"/>
          <w:szCs w:val="24"/>
          <w:highlight w:val="none"/>
          <w:lang w:eastAsia="zh-CN"/>
        </w:rPr>
        <w:t xml:space="preserve">8.</w:t>
      </w:r>
      <w:bookmarkEnd w:id="4"/>
      <w:r/>
      <w:bookmarkEnd w:id="5"/>
      <w:r/>
      <w:bookmarkEnd w:id="6"/>
      <w:r/>
      <w:bookmarkEnd w:id="7"/>
      <w:r>
        <w:rPr>
          <w:rFonts w:hint="eastAsia" w:ascii="宋体" w:hAnsi="宋体" w:eastAsia="宋体" w:cs="宋体"/>
          <w:b/>
          <w:bCs/>
          <w:sz w:val="24"/>
          <w:szCs w:val="24"/>
          <w:highlight w:val="none"/>
        </w:rPr>
        <w:t xml:space="preserve">投标文件的语言及度量衡单位</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eastAsia="zh-CN"/>
        </w:rPr>
        <w:t xml:space="preserve">投标人提交的投标文件以及投标人与采购中心就有关投标的所有来往通知、函件和文件均应使用简体中文</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8.2除技术性能另有规定外，投标文件所使用的度量衡单位，均须采用国家法定计量单位。</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8" w:name="_Toc20823287"/>
      <w:r/>
      <w:bookmarkStart w:id="9" w:name="_Toc16938531"/>
      <w:r/>
      <w:bookmarkStart w:id="10" w:name="_Toc462564074"/>
      <w:r/>
      <w:bookmarkStart w:id="11" w:name="_Toc513029215"/>
      <w:r>
        <w:rPr>
          <w:rFonts w:hint="eastAsia" w:ascii="宋体" w:hAnsi="宋体" w:eastAsia="宋体" w:cs="宋体"/>
          <w:b/>
          <w:bCs/>
          <w:sz w:val="24"/>
          <w:szCs w:val="24"/>
          <w:highlight w:val="none"/>
          <w:lang w:eastAsia="zh-CN"/>
        </w:rPr>
        <w:t xml:space="preserve">9.</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文件构成</w:t>
      </w:r>
      <w:bookmarkEnd w:id="8"/>
      <w:r/>
      <w:bookmarkEnd w:id="9"/>
      <w:r/>
      <w:bookmarkEnd w:id="10"/>
      <w:r/>
      <w:bookmarkEnd w:id="11"/>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w:t>
      </w:r>
      <w:r>
        <w:rPr>
          <w:rFonts w:hint="eastAsia" w:ascii="宋体" w:hAnsi="宋体" w:eastAsia="宋体" w:cs="宋体"/>
          <w:sz w:val="24"/>
          <w:szCs w:val="24"/>
          <w:highlight w:val="none"/>
          <w:lang w:eastAsia="zh-CN"/>
        </w:rPr>
        <w:t xml:space="preserve">投标投标人</w:t>
      </w:r>
      <w:r>
        <w:rPr>
          <w:rFonts w:hint="eastAsia" w:ascii="宋体" w:hAnsi="宋体" w:eastAsia="宋体" w:cs="宋体"/>
          <w:sz w:val="24"/>
          <w:szCs w:val="24"/>
          <w:highlight w:val="none"/>
        </w:rPr>
        <w:t xml:space="preserve">编写的响应文件应按</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文件第六章“响应文件格式”中的要求进行编写。</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9.2</w:t>
      </w:r>
      <w:r>
        <w:rPr>
          <w:rFonts w:hint="eastAsia" w:ascii="宋体" w:hAnsi="宋体" w:eastAsia="宋体" w:cs="宋体"/>
          <w:sz w:val="24"/>
          <w:szCs w:val="24"/>
          <w:highlight w:val="none"/>
          <w:lang w:eastAsia="zh-CN"/>
        </w:rPr>
        <w:t xml:space="preserve">电子投标文件编制必须按“苏采云”交易系统要求制作，具体操作详见《苏采云供应商操作手册》。投标人可自行至“江苏省政府采购网”或“淮安市政府采购网”下载查阅</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如标书制作工具中格式和内容与“江苏省政府采购网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文件不一致，请以“江苏省政府采购网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文件为准。</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2" w:name="_Toc513029219"/>
      <w:r/>
      <w:bookmarkStart w:id="13" w:name="_Toc14577357"/>
      <w:r/>
      <w:bookmarkStart w:id="14" w:name="_Toc49090509"/>
      <w:r/>
      <w:bookmarkStart w:id="15" w:name="_Toc49090507"/>
      <w:r/>
      <w:bookmarkStart w:id="16" w:name="_Toc14577354"/>
      <w:r/>
      <w:bookmarkStart w:id="17" w:name="_Toc513029216"/>
      <w:r/>
      <w:bookmarkStart w:id="18" w:name="_Toc14577355"/>
      <w:r/>
      <w:bookmarkStart w:id="19" w:name="_Toc49090508"/>
      <w:r>
        <w:rPr>
          <w:rFonts w:hint="eastAsia" w:ascii="宋体" w:hAnsi="宋体" w:eastAsia="宋体" w:cs="宋体"/>
          <w:b/>
          <w:bCs/>
          <w:sz w:val="24"/>
          <w:szCs w:val="24"/>
          <w:highlight w:val="none"/>
          <w:lang w:eastAsia="zh-CN"/>
        </w:rPr>
        <w:t xml:space="preserve">10.</w:t>
      </w:r>
      <w:r>
        <w:rPr>
          <w:rFonts w:hint="eastAsia" w:ascii="宋体" w:hAnsi="宋体" w:eastAsia="宋体" w:cs="宋体"/>
          <w:b/>
          <w:bCs/>
          <w:sz w:val="24"/>
          <w:szCs w:val="24"/>
          <w:highlight w:val="none"/>
        </w:rPr>
        <w:t xml:space="preserve">证明</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响应标的符合</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文件规定的文件</w:t>
      </w:r>
      <w:bookmarkEnd w:id="12"/>
      <w:r/>
      <w:bookmarkEnd w:id="13"/>
      <w:r/>
      <w:bookmarkEnd w:id="14"/>
      <w:r/>
      <w:bookmarkEnd w:id="15"/>
      <w:r/>
      <w:bookmarkEnd w:id="16"/>
      <w:r/>
      <w:bookmarkEnd w:id="17"/>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w:t>
      </w:r>
      <w:r>
        <w:rPr>
          <w:rFonts w:hint="eastAsia" w:ascii="宋体" w:hAnsi="宋体" w:eastAsia="宋体" w:cs="宋体"/>
          <w:sz w:val="24"/>
          <w:szCs w:val="24"/>
          <w:highlight w:val="none"/>
          <w:lang w:eastAsia="zh-CN"/>
        </w:rPr>
        <w:t xml:space="preserve">投标人应按照招标文件要求提交证明文件，证明其及投标标的符合招标文件规定</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w:t>
      </w:r>
      <w:r>
        <w:rPr>
          <w:rFonts w:hint="eastAsia" w:ascii="宋体" w:hAnsi="宋体" w:eastAsia="宋体" w:cs="宋体"/>
          <w:sz w:val="24"/>
          <w:szCs w:val="24"/>
          <w:highlight w:val="none"/>
          <w:lang w:eastAsia="zh-CN"/>
        </w:rPr>
        <w:t xml:space="preserve">招标文件对证明文件无明确形式要求的，证明文件可以以文字资料、图纸和数据等形式提交</w:t>
      </w:r>
      <w:r>
        <w:rPr>
          <w:rFonts w:hint="eastAsia" w:ascii="宋体" w:hAnsi="宋体" w:eastAsia="宋体" w:cs="宋体"/>
          <w:sz w:val="24"/>
          <w:szCs w:val="24"/>
          <w:highlight w:val="none"/>
        </w:rPr>
        <w:t xml:space="preserve">。</w:t>
      </w:r>
      <w:bookmarkEnd w:id="18"/>
      <w:r/>
      <w:bookmarkEnd w:id="19"/>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11.</w:t>
      </w:r>
      <w:r>
        <w:rPr>
          <w:rFonts w:hint="eastAsia" w:ascii="宋体" w:hAnsi="宋体" w:eastAsia="宋体" w:cs="宋体"/>
          <w:b/>
          <w:bCs/>
          <w:sz w:val="24"/>
          <w:szCs w:val="24"/>
          <w:highlight w:val="none"/>
          <w:lang w:val="en-US" w:eastAsia="zh-CN"/>
        </w:rPr>
        <w:t xml:space="preserve">投标报价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本次项目投标报价应是招标文件所确定完成本项目全部工作内容的价格体现，以及为完成上述内容所必需的服务费、劳务、管理、利润、税金及政策性文件规定的各项应有费用（组成详见采购需求），如有疑问应在本文件规定时间内提出，投标人被确定为成交候选人后，合同价格不作调整（合同另有约定及不可抗力除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11.2投标人的任何错漏、优惠、竞争性报价不得作为减轻责任、减少服务、增加收费、降低质量的理由。</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11.3采购人不接受备选的方案或有选择的报价。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11.4投标报价应以人民币为货币单位。</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0" w:name="_Hlt26670486"/>
      <w:r/>
      <w:bookmarkEnd w:id="20"/>
      <w:r/>
      <w:bookmarkStart w:id="21" w:name="_Hlt26670482"/>
      <w:r/>
      <w:bookmarkEnd w:id="21"/>
      <w:r/>
      <w:bookmarkStart w:id="22" w:name="_Hlt26954731"/>
      <w:r/>
      <w:bookmarkEnd w:id="22"/>
      <w:r/>
      <w:bookmarkStart w:id="23" w:name="_Hlt26954848"/>
      <w:r/>
      <w:bookmarkEnd w:id="23"/>
      <w:r/>
      <w:bookmarkStart w:id="24" w:name="_Hlt26954846"/>
      <w:r/>
      <w:bookmarkEnd w:id="24"/>
      <w:r>
        <w:rPr>
          <w:rFonts w:hint="eastAsia" w:ascii="宋体" w:hAnsi="宋体" w:eastAsia="宋体" w:cs="宋体"/>
          <w:b/>
          <w:bCs/>
          <w:sz w:val="24"/>
          <w:szCs w:val="24"/>
          <w:highlight w:val="none"/>
        </w:rPr>
        <w:t xml:space="preserve">12.技术要求响应及偏离表、商务要求响应及偏离表（如有）</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w:t>
      </w:r>
      <w:r>
        <w:rPr>
          <w:rFonts w:hint="eastAsia" w:ascii="宋体" w:hAnsi="宋体" w:eastAsia="宋体" w:cs="宋体"/>
          <w:sz w:val="24"/>
          <w:szCs w:val="24"/>
          <w:highlight w:val="none"/>
          <w:lang w:eastAsia="zh-CN"/>
        </w:rPr>
        <w:t xml:space="preserve">投标人需对招标文件中的技术要求与商务要求逐项作出响应或偏离，并说明原因，</w:t>
      </w:r>
      <w:r>
        <w:rPr>
          <w:rFonts w:hint="eastAsia" w:ascii="宋体" w:hAnsi="宋体" w:eastAsia="宋体" w:cs="宋体"/>
          <w:sz w:val="24"/>
          <w:szCs w:val="24"/>
          <w:highlight w:val="none"/>
        </w:rPr>
        <w:t xml:space="preserve">否则将被拒绝。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sz w:val="24"/>
          <w:szCs w:val="24"/>
          <w:highlight w:val="none"/>
          <w:lang w:eastAsia="zh-CN"/>
        </w:rPr>
        <w:t xml:space="preserve">投标人可在投标文件中提供认为需要的其他技术文件或说明</w:t>
      </w:r>
      <w:r>
        <w:rPr>
          <w:rFonts w:hint="eastAsia" w:ascii="宋体" w:hAnsi="宋体" w:eastAsia="宋体" w:cs="宋体"/>
          <w:sz w:val="24"/>
          <w:szCs w:val="24"/>
          <w:highlight w:val="none"/>
        </w:rPr>
        <w:t xml:space="preserve">。</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13.服务承诺、培训计划、人员安排及其他（如有）</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w:t>
      </w:r>
      <w:r>
        <w:rPr>
          <w:rFonts w:hint="eastAsia" w:ascii="宋体" w:hAnsi="宋体" w:eastAsia="宋体" w:cs="宋体"/>
          <w:sz w:val="24"/>
          <w:szCs w:val="24"/>
          <w:highlight w:val="none"/>
          <w:lang w:eastAsia="zh-CN"/>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w:t>
      </w:r>
      <w:r>
        <w:rPr>
          <w:rFonts w:hint="eastAsia" w:ascii="宋体" w:hAnsi="宋体" w:eastAsia="宋体" w:cs="宋体"/>
          <w:sz w:val="24"/>
          <w:szCs w:val="24"/>
          <w:highlight w:val="none"/>
          <w:lang w:eastAsia="zh-CN"/>
        </w:rPr>
        <w:t xml:space="preserve">投标人需根据招标文件要求提供培训计划</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w:t>
      </w:r>
      <w:r>
        <w:rPr>
          <w:rFonts w:hint="eastAsia" w:ascii="宋体" w:hAnsi="宋体" w:eastAsia="宋体" w:cs="宋体"/>
          <w:sz w:val="24"/>
          <w:szCs w:val="24"/>
          <w:highlight w:val="none"/>
          <w:lang w:eastAsia="zh-CN"/>
        </w:rPr>
        <w:t xml:space="preserve">投标人需根据招标文件要求提供所投标的的主要组成部分、功能设计、实现思路及关键技术等</w:t>
      </w:r>
      <w:r>
        <w:rPr>
          <w:rFonts w:hint="eastAsia" w:ascii="宋体" w:hAnsi="宋体" w:eastAsia="宋体" w:cs="宋体"/>
          <w:sz w:val="24"/>
          <w:szCs w:val="24"/>
          <w:highlight w:val="none"/>
        </w:rPr>
        <w:t xml:space="preserve">。</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5" w:name="_Toc14577359"/>
      <w:r/>
      <w:bookmarkStart w:id="26" w:name="_Toc49090510"/>
      <w:r>
        <w:rPr>
          <w:rFonts w:hint="eastAsia" w:ascii="宋体" w:hAnsi="宋体" w:eastAsia="宋体" w:cs="宋体"/>
          <w:b/>
          <w:bCs/>
          <w:sz w:val="24"/>
          <w:szCs w:val="24"/>
          <w:highlight w:val="none"/>
        </w:rPr>
        <w:t xml:space="preserve">14.</w:t>
      </w:r>
      <w:r>
        <w:rPr>
          <w:rFonts w:hint="eastAsia" w:ascii="宋体" w:hAnsi="宋体" w:eastAsia="宋体" w:cs="宋体"/>
          <w:b/>
          <w:bCs/>
          <w:sz w:val="24"/>
          <w:szCs w:val="24"/>
          <w:highlight w:val="none"/>
          <w:lang w:eastAsia="zh-CN"/>
        </w:rPr>
        <w:t xml:space="preserve">投标函和开标一览表</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w:t>
      </w:r>
      <w:r>
        <w:rPr>
          <w:rFonts w:hint="eastAsia" w:ascii="宋体" w:hAnsi="宋体" w:eastAsia="宋体" w:cs="宋体"/>
          <w:sz w:val="24"/>
          <w:szCs w:val="24"/>
          <w:highlight w:val="none"/>
          <w:lang w:eastAsia="zh-CN"/>
        </w:rPr>
        <w:t xml:space="preserve">投标人应按照招标文件中提供的格式完整、正确填写投标函、开标一览表</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14.2对于采用货币报价的项目，开标一览表中的投标总报价应与投标分项报价表中的投标总报价一致，如不一致，不作为无效投标处理，但评标时按开标一览表中价格为准。</w:t>
      </w:r>
      <w:bookmarkEnd w:id="25"/>
      <w:r/>
      <w:bookmarkEnd w:id="26"/>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15.投标保证金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15.1</w:t>
      </w:r>
      <w:r>
        <w:rPr>
          <w:rFonts w:hint="eastAsia" w:ascii="宋体" w:hAnsi="宋体" w:eastAsia="宋体" w:cs="宋体"/>
          <w:b/>
          <w:bCs/>
          <w:sz w:val="24"/>
          <w:szCs w:val="24"/>
          <w:highlight w:val="none"/>
          <w:lang w:val="en-US" w:eastAsia="zh-CN"/>
        </w:rPr>
        <w:t xml:space="preserve">本项目无需缴纳投标保证金</w:t>
      </w:r>
      <w:r>
        <w:rPr>
          <w:rFonts w:hint="eastAsia" w:ascii="宋体" w:hAnsi="宋体" w:eastAsia="宋体" w:cs="宋体"/>
          <w:sz w:val="24"/>
          <w:szCs w:val="24"/>
          <w:highlight w:val="none"/>
          <w:lang w:val="en-US" w:eastAsia="zh-CN"/>
        </w:rPr>
        <w:t xml:space="preserve">。</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16.方案部分（如果本项目涉及的话）</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16.1本项目评标标准中的方案部分是否采用暗标方式进行评审</w:t>
      </w:r>
      <w:r/>
    </w:p>
    <w:p>
      <w:pPr>
        <w:ind w:left="0" w:right="0" w:firstLine="480"/>
        <w:jc w:val="center"/>
        <w:keepLines w:val="0"/>
        <w:keepNext w:val="0"/>
        <w:pageBreakBefore w:val="0"/>
        <w:spacing w:line="400" w:lineRule="exact"/>
        <w:widowControl w:val="off"/>
        <w:rPr>
          <w:rFonts w:hint="eastAsia" w:ascii="宋体" w:hAnsi="宋体" w:eastAsia="宋体" w:cs="宋体"/>
          <w:bCs/>
          <w:sz w:val="24"/>
          <w:szCs w:val="24"/>
          <w:highlight w:val="none"/>
        </w:rPr>
      </w:pPr>
      <w:r>
        <w:rPr>
          <w:rFonts w:ascii="Wingdings 2" w:hAnsi="Wingdings 2" w:eastAsia="Wingdings 2" w:cs="Wingdings 2"/>
          <w:sz w:val="24"/>
          <w:highlight w:val="none"/>
        </w:rPr>
        <w:t xml:space="preserve">R</w:t>
      </w:r>
      <w:r>
        <w:rPr>
          <w:rFonts w:hint="eastAsia" w:ascii="宋体" w:hAnsi="宋体" w:eastAsia="宋体" w:cs="宋体"/>
          <w:bCs/>
          <w:sz w:val="24"/>
          <w:szCs w:val="24"/>
          <w:highlight w:val="none"/>
        </w:rPr>
        <w:t xml:space="preserve">不采用        </w:t>
      </w:r>
      <w:r>
        <w:rPr>
          <w:rFonts w:ascii="Wingdings 2" w:hAnsi="Wingdings 2" w:eastAsia="Wingdings 2" w:cs="Wingdings 2"/>
          <w:sz w:val="24"/>
          <w:highlight w:val="none"/>
        </w:rPr>
        <w:t xml:space="preserve">£</w:t>
      </w:r>
      <w:r>
        <w:rPr>
          <w:rFonts w:hint="eastAsia" w:ascii="宋体" w:hAnsi="宋体" w:eastAsia="宋体" w:cs="宋体"/>
          <w:bCs/>
          <w:sz w:val="24"/>
          <w:szCs w:val="24"/>
          <w:highlight w:val="none"/>
        </w:rPr>
        <w:t xml:space="preserve">采用</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16.2</w:t>
      </w:r>
      <w:r>
        <w:rPr>
          <w:rFonts w:hint="eastAsia" w:ascii="宋体" w:hAnsi="宋体" w:eastAsia="宋体" w:cs="宋体"/>
          <w:bCs/>
          <w:sz w:val="24"/>
          <w:szCs w:val="24"/>
          <w:highlight w:val="none"/>
          <w:lang w:val="en-US" w:eastAsia="zh-CN"/>
        </w:rPr>
        <w:t xml:space="preserve">暗标</w:t>
      </w:r>
      <w:r>
        <w:rPr>
          <w:rFonts w:hint="eastAsia" w:ascii="宋体" w:hAnsi="宋体" w:eastAsia="宋体" w:cs="宋体"/>
          <w:bCs/>
          <w:sz w:val="24"/>
          <w:szCs w:val="24"/>
          <w:highlight w:val="none"/>
        </w:rPr>
        <w:t xml:space="preserve">编制要求</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w:t>
      </w:r>
      <w:r>
        <w:rPr>
          <w:rFonts w:hint="eastAsia" w:ascii="宋体" w:hAnsi="宋体" w:eastAsia="宋体" w:cs="宋体"/>
          <w:bCs/>
          <w:sz w:val="24"/>
          <w:szCs w:val="24"/>
          <w:highlight w:val="none"/>
          <w:lang w:val="en-US" w:eastAsia="zh-CN"/>
        </w:rPr>
        <w:t xml:space="preserve">方案部分采用暗标方式的，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lang w:val="en-US" w:eastAsia="zh-CN"/>
        </w:rPr>
        <w:t xml:space="preserve">则</w:t>
      </w:r>
      <w:r>
        <w:rPr>
          <w:rFonts w:hint="eastAsia" w:ascii="宋体" w:hAnsi="宋体" w:eastAsia="宋体" w:cs="宋体"/>
          <w:bCs/>
          <w:sz w:val="24"/>
          <w:szCs w:val="24"/>
          <w:highlight w:val="none"/>
        </w:rPr>
        <w:t xml:space="preserve">需按16.2的要求编制方案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经三分之二评委认定，</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未按</w:t>
      </w:r>
      <w:r>
        <w:rPr>
          <w:rFonts w:hint="eastAsia" w:ascii="宋体" w:hAnsi="宋体" w:eastAsia="宋体" w:cs="宋体"/>
          <w:bCs/>
          <w:sz w:val="24"/>
          <w:szCs w:val="24"/>
          <w:highlight w:val="none"/>
          <w:lang w:val="en-US" w:eastAsia="zh-CN"/>
        </w:rPr>
        <w:t xml:space="preserve">16.2</w:t>
      </w:r>
      <w:r>
        <w:rPr>
          <w:rFonts w:hint="eastAsia" w:ascii="宋体" w:hAnsi="宋体" w:eastAsia="宋体" w:cs="宋体"/>
          <w:bCs/>
          <w:sz w:val="24"/>
          <w:szCs w:val="24"/>
          <w:highlight w:val="none"/>
        </w:rPr>
        <w:t xml:space="preserve">的要求编制方案的，按未提供方案处理。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17.</w:t>
      </w:r>
      <w:r>
        <w:rPr>
          <w:rFonts w:hint="eastAsia" w:ascii="宋体" w:hAnsi="宋体" w:eastAsia="宋体" w:cs="宋体"/>
          <w:b/>
          <w:bCs w:val="0"/>
          <w:sz w:val="24"/>
          <w:szCs w:val="24"/>
          <w:highlight w:val="none"/>
          <w:lang w:eastAsia="zh-CN"/>
        </w:rPr>
        <w:t xml:space="preserve">投标</w:t>
      </w:r>
      <w:r>
        <w:rPr>
          <w:rFonts w:hint="eastAsia" w:ascii="宋体" w:hAnsi="宋体" w:eastAsia="宋体" w:cs="宋体"/>
          <w:b/>
          <w:bCs w:val="0"/>
          <w:sz w:val="24"/>
          <w:szCs w:val="24"/>
          <w:highlight w:val="none"/>
        </w:rPr>
        <w:t xml:space="preserve">有效期</w:t>
      </w:r>
      <w:r/>
    </w:p>
    <w:p>
      <w:pPr>
        <w:ind w:left="0" w:right="0" w:firstLine="48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有效期为从</w:t>
      </w: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之日起计算的</w:t>
      </w:r>
      <w:r>
        <w:rPr>
          <w:rFonts w:hint="eastAsia" w:ascii="宋体" w:hAnsi="宋体" w:eastAsia="宋体" w:cs="宋体"/>
          <w:b/>
          <w:bCs w:val="0"/>
          <w:sz w:val="24"/>
          <w:szCs w:val="24"/>
          <w:highlight w:val="none"/>
          <w:u w:val="single"/>
          <w:lang w:val="en-US" w:eastAsia="zh-CN"/>
        </w:rPr>
        <w:t xml:space="preserve">九</w:t>
      </w:r>
      <w:r>
        <w:rPr>
          <w:rFonts w:hint="eastAsia" w:ascii="宋体" w:hAnsi="宋体" w:eastAsia="宋体" w:cs="宋体"/>
          <w:b/>
          <w:bCs w:val="0"/>
          <w:sz w:val="24"/>
          <w:szCs w:val="24"/>
          <w:highlight w:val="none"/>
          <w:u w:val="single"/>
        </w:rPr>
        <w:t xml:space="preserve">十天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有效期比规定短的将被视为</w:t>
      </w:r>
      <w:r>
        <w:rPr>
          <w:rFonts w:hint="eastAsia" w:ascii="宋体" w:hAnsi="宋体" w:eastAsia="宋体" w:cs="宋体"/>
          <w:color w:val="000000"/>
          <w:sz w:val="24"/>
          <w:szCs w:val="24"/>
          <w:highlight w:val="none"/>
          <w:lang w:val="zh-CN"/>
        </w:rPr>
        <w:t xml:space="preserve">非响应投标而予以拒绝。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17.2</w:t>
      </w:r>
      <w:r>
        <w:rPr>
          <w:rFonts w:hint="eastAsia" w:ascii="宋体" w:hAnsi="宋体" w:eastAsia="宋体" w:cs="宋体"/>
          <w:sz w:val="24"/>
          <w:szCs w:val="24"/>
          <w:highlight w:val="none"/>
        </w:rPr>
        <w:t xml:space="preserve">在特殊情况下，采购人（代理机构）于原</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有效期满之前，可向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提出延长</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有效期的要求，这种要求与答复均应采用书面形式。</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可以拒绝这一要求而放弃</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。同意延长的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既不能要求也不允许修改其响应文件，受</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有效期约束的所有权利与义务均延长至新的有效期。</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18.</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文件的签署</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18.1投标文件应按招标文件要求进行电子签章。电子投标文件不得涂改、行间插字或删除，如果出现上述情况应重新编制。</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四、投标文件的递交</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19.投标文件的递交</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w:t>
      </w:r>
      <w:r>
        <w:rPr>
          <w:rFonts w:hint="eastAsia" w:ascii="宋体" w:hAnsi="宋体" w:eastAsia="宋体" w:cs="宋体"/>
          <w:sz w:val="24"/>
          <w:szCs w:val="24"/>
          <w:highlight w:val="none"/>
          <w:lang w:eastAsia="zh-CN"/>
        </w:rPr>
        <w:t xml:space="preserve">投标人应当按照《苏采云供应商操作手册》规定，在投标文件递交截止时间前制作并上传电子投标文件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w:t>
      </w:r>
      <w:r>
        <w:rPr>
          <w:rFonts w:hint="eastAsia" w:ascii="宋体" w:hAnsi="宋体" w:eastAsia="宋体" w:cs="宋体"/>
          <w:sz w:val="24"/>
          <w:szCs w:val="24"/>
          <w:highlight w:val="none"/>
          <w:lang w:eastAsia="zh-CN"/>
        </w:rPr>
        <w:t xml:space="preserve">充分考虑</w:t>
      </w:r>
      <w:r>
        <w:rPr>
          <w:rFonts w:hint="eastAsia" w:ascii="宋体" w:hAnsi="宋体" w:eastAsia="宋体" w:cs="宋体"/>
          <w:sz w:val="24"/>
          <w:szCs w:val="24"/>
          <w:highlight w:val="none"/>
        </w:rPr>
        <w:t xml:space="preserve">网络环境、网络带宽等风险因素，如因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自身原因造成的电子投标文件上传不</w:t>
      </w:r>
      <w:r>
        <w:rPr>
          <w:rFonts w:hint="eastAsia" w:ascii="宋体" w:hAnsi="宋体" w:eastAsia="宋体" w:cs="宋体"/>
          <w:sz w:val="24"/>
          <w:szCs w:val="24"/>
          <w:highlight w:val="none"/>
          <w:lang w:eastAsia="zh-CN"/>
        </w:rPr>
        <w:t xml:space="preserve">成功</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无效投标处理。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19.2投标人上传的电子投标文件内容不清楚或不清晰的（含扫描件），造成无法评审或部分影响评审的，责任由投标人自负。</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19.3投标人上传电子投标文件的时间不得迟于投标邀请中规定的投标文件递交截止时间。</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19.4采购人（代理机构）可以按第7条规定，通过修改招标文件有权酌情延长投标文件接收截止时间。在此情况下，投标人的所有权利和义务以及投标人受制约的截止日期均应以延长后的截止日期为准。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19.5中标人在领取中标通知书之前，必须提供两份与电子投标文件一致的纸质打印投标文件。</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20.投标文件被拒绝接收的情形</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20.1在招标文件规定的投标截止时间后上传的电子投标文件。</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21.投标文件的修改和撤回</w:t>
      </w:r>
      <w:r/>
    </w:p>
    <w:p>
      <w:pPr>
        <w:ind w:left="0" w:right="0" w:firstLine="480"/>
        <w:jc w:val="left"/>
        <w:keepLines w:val="0"/>
        <w:keepNext w:val="0"/>
        <w:pageBreakBefore w:val="0"/>
        <w:spacing w:line="400" w:lineRule="exact"/>
        <w:widowControl w:val="off"/>
        <w:rPr>
          <w:rFonts w:hint="eastAsia" w:ascii="宋体" w:hAnsi="宋体" w:eastAsia="宋体" w:cs="宋体"/>
          <w:color w:val="ff0000"/>
          <w:sz w:val="21"/>
          <w:szCs w:val="21"/>
          <w:highlight w:val="none"/>
        </w:rPr>
      </w:pPr>
      <w:r>
        <w:rPr>
          <w:rFonts w:hint="eastAsia" w:ascii="宋体" w:hAnsi="宋体" w:eastAsia="宋体" w:cs="宋体"/>
          <w:sz w:val="24"/>
          <w:szCs w:val="24"/>
          <w:highlight w:val="none"/>
        </w:rPr>
        <w:t xml:space="preserve">21.1</w:t>
      </w:r>
      <w:r>
        <w:rPr>
          <w:rFonts w:hint="eastAsia" w:ascii="宋体" w:hAnsi="宋体" w:eastAsia="宋体" w:cs="宋体"/>
          <w:sz w:val="21"/>
          <w:szCs w:val="21"/>
          <w:highlight w:val="none"/>
          <w:lang w:eastAsia="zh-CN"/>
        </w:rPr>
        <w:t xml:space="preserve">投标人在递交投标文件后可以对其修改或撤回，但这种修改和撤回，必须在规定的投标截止时间前。</w:t>
      </w:r>
      <w:r/>
    </w:p>
    <w:p>
      <w:pPr>
        <w:ind w:left="0" w:right="0" w:firstLine="480"/>
        <w:jc w:val="left"/>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21.2对于电子投标文件的修改，投标人可在投标截止时间前登录苏采云系统撤回电子投标文件，并上传新的投标文件。</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w:t>
      </w:r>
      <w:r>
        <w:rPr>
          <w:rFonts w:hint="eastAsia" w:ascii="宋体" w:hAnsi="宋体" w:eastAsia="宋体" w:cs="宋体"/>
          <w:sz w:val="24"/>
          <w:szCs w:val="24"/>
          <w:highlight w:val="none"/>
          <w:lang w:eastAsia="zh-CN"/>
        </w:rPr>
        <w:t xml:space="preserve">投标人不得在投标截止时间以后修改投标文件</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不得在提交电子响应文件截止时间起至</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有效期满前撤回投标文件。</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五、开标及评标</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bookmarkStart w:id="27" w:name="_Toc20823302"/>
      <w:r/>
      <w:bookmarkStart w:id="28" w:name="_Toc16938546"/>
      <w:r/>
      <w:bookmarkStart w:id="29" w:name="_Toc513029230"/>
      <w:r>
        <w:rPr>
          <w:rFonts w:hint="eastAsia" w:ascii="宋体" w:hAnsi="宋体" w:eastAsia="宋体" w:cs="宋体"/>
          <w:b/>
          <w:bCs w:val="0"/>
          <w:sz w:val="24"/>
          <w:szCs w:val="24"/>
          <w:highlight w:val="none"/>
        </w:rPr>
        <w:t xml:space="preserve">2</w:t>
      </w:r>
      <w:bookmarkEnd w:id="27"/>
      <w:r/>
      <w:bookmarkEnd w:id="28"/>
      <w:r/>
      <w:bookmarkEnd w:id="29"/>
      <w:r>
        <w:rPr>
          <w:rFonts w:hint="eastAsia" w:ascii="宋体" w:hAnsi="宋体" w:eastAsia="宋体" w:cs="宋体"/>
          <w:b/>
          <w:bCs w:val="0"/>
          <w:sz w:val="24"/>
          <w:szCs w:val="24"/>
          <w:highlight w:val="none"/>
        </w:rPr>
        <w:t xml:space="preserve">2.开标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本项目采用“全流程电子化交易”模式，通过“苏采云”系统及相应的配套硬件设备（摄像头、话筒、麦克风等）完成远程解密、公布报价、澄清等交互环节。投标人应当按照《操作手册》规定，参加开标活动和在苏采云系统规定的时间内对投标文件进行解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22.2开标程序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（1）采购人或代理机构将在投标邀请中规定的时间和地点组织采购开始仪式。投标人应当按照《苏采云供应商操作手册》规定，参加开标活动。</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（2）投标人在开标过程中涉及到的投标文件解密、唱标确认等工作，应按照《苏采云供应商操作手册》规定执行。</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（3）开标一览表内容与投标报价表内容不一致的，一律以开标一览表内容为准。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（4）投标文件提交截止时间结束后参加的投标人不足三家情况的，除采购任务取消情形外，按财政部令第74号第二十七条条款进行处理。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（5）投标人如果对开标过程和开标记录有疑义，应当根据《苏采云供应商操作手册》规定提出，如苏采云系统中《开标记录表》宣布后5分钟内未提出的，视同认可开标结果。</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23.</w:t>
      </w:r>
      <w:r>
        <w:rPr>
          <w:rFonts w:hint="eastAsia" w:ascii="宋体" w:hAnsi="宋体" w:eastAsia="宋体" w:cs="宋体"/>
          <w:b/>
          <w:bCs w:val="0"/>
          <w:sz w:val="24"/>
          <w:szCs w:val="24"/>
          <w:highlight w:val="none"/>
          <w:lang w:eastAsia="zh-CN"/>
        </w:rPr>
        <w:t xml:space="preserve">评标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.1评标组织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.1.1评标工作由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（代理机构）负责组织，具体评标事务由依法组建的评标委员会负责，并独立履行下列职责：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（1）审查、评价投标文件是否符合招标文件的商务、技术等实质性要求；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（2）要求投标人对投标文件有关事项作出澄清或者说明；</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（3）对投标文件进行比较和评价；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（4）确定中标候选人名单</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委托协议直接确定中标人；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、财政部门报告评标中发现的违法行为。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.1.2评标委员会由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代表和有关技术、经济等方面的专家组成，独立开展评审工作。</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.2评标程序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.2.1投标文件的资格审查。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或采购代理机构将依法根据招标文件对投标人的资格进行审查。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.2.1.2资格性审查：依据法律法规和招标文件的规定，对投标文件中的资格证明文件、投标保证金等进行审查，以确定投标人是否具备投标资格。</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.2.1.4投标文件有下列情况之一的，在资格性审查时按照无效投标处理：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（1）不具备招标文件中规定的资格要求的；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（2）投标人被“信用中国”网站列入失信被执行人或重大税收违法案件当事人名单或政府采购严重失信行为记录名单。</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.2.2投标文件的符合性审查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.2.2.1评标委员会将依据法律法规和招标文件的规定，对投标文件的有效性、完整性和对招标文件的响应程度进行审查，以确定是否对招标文件的实质性要求作出响应。</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.2.2.2实质性要求是指本招标文件中用带星号（“★”）的商务和技术要求。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.2.2.3如果投标文件实质上没有响应招标文件的要求，评标委员会将予以拒绝，投标人不得通过修改或撤销不符合要求的偏离或保留而使其投标成为实质性响应的投标。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.2.2.4评标委员会将对确定为实质性响应的投标进行进一步审核，看其是否有计算上或累加上的算术错误，修正错误的原则如下：</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.2.2.5评标委员会将按上述修正错误的方法调整投标文件中的投标报价，调整后的价格</w:t>
      </w: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投标人具有约束力。如果投标人不确认签字，其投标无效。</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.2.2.6对投标文件中含义不明确、同类问题表述不一致或者明显文字错误的内容，评标委员会可以要求投标人作出必要的澄清、说明或者补正。（在视频交流时，评标委员会首先会核实授权委托人或</w:t>
      </w:r>
      <w:r>
        <w:rPr>
          <w:rFonts w:hint="eastAsia" w:ascii="宋体" w:hAnsi="宋体" w:eastAsia="宋体" w:cs="宋体"/>
          <w:sz w:val="24"/>
          <w:szCs w:val="24"/>
          <w:highlight w:val="none"/>
          <w:lang w:eastAsia="zh-CN"/>
        </w:rPr>
        <w:t xml:space="preserve">法定代表人</w:t>
      </w:r>
      <w:r>
        <w:rPr>
          <w:rFonts w:hint="eastAsia" w:ascii="宋体" w:hAnsi="宋体" w:eastAsia="宋体" w:cs="宋体"/>
          <w:sz w:val="24"/>
          <w:szCs w:val="24"/>
          <w:highlight w:val="none"/>
        </w:rPr>
        <w:t xml:space="preserve">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.2.2.7接到评标委员会澄清要求的投标人如未按第</w:t>
      </w: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.2.2.6条的规定做出澄清，将视为放弃该权利。</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非单一产品采购项目，招标文件中将载明其中的核心产品，多家投标人提供的核心产品均为同一品牌相同的，按前两款规定处理。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.2.2.9投标文件有下列情况之一的，在符合性审查时按照无效投标处理：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（1）投标人未按照招标文件要求上传电子响应文件的。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（2）投标人在苏采云系统规定的时间内未成功解密电子投标文件的。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（3）同一投标人提交两个（含两个）以上不同的投标报价的。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（4）投标人不具备采购文件中规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资格要求的。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（5）投标人的报价超过了采购预算或最高限价的。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（6）未通过符合性审查的。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（7）不符合招标文件中规定的其他实质性要求和条件的（实质性要求和条件是指本招标文件中用带星号（“★”）的商务和技术要求）。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（8）投标人被 “信用中国”网站、“中国政府采购网”网站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（9）投标文件含有</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不能接受的附加条件的。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项目采购产品被财政部、国家发改委、生态环境部等列入“节能产品品目清单”、“环境标志产品品目清单”强制采购范围，而投标人所投标产品不在强制采购范围内的。（投标产品如属于政府强制采购节能产品品目清单范围内，</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响应文件中必须提供国家确定的认证机构出具的、处于有效期之内的该节能产品认证证书图片）</w:t>
      </w:r>
      <w:r>
        <w:rPr>
          <w:rFonts w:hint="eastAsia" w:ascii="宋体" w:hAnsi="宋体" w:eastAsia="宋体" w:cs="宋体"/>
          <w:b/>
          <w:bCs/>
          <w:sz w:val="24"/>
          <w:szCs w:val="24"/>
          <w:highlight w:val="none"/>
        </w:rPr>
        <w:t xml:space="preserve">（本项目不涉及）</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（11）投标文件未按照招标文件要求加盖电子签章或电子签字的。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（12）经查实提供虚假材料谋取成交的。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（13）评标委员会认为中标人的报价明显低于其他通过符合性审查的投标人的报价，有可能影响产品质量或者不能诚信履约的，未在合理的时间内提供书面说明或相关证明材料，不能证明其报价合理的。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投标人的报价属于《关于推动解决政府采购异常低价问题相关工作的通知》（苏财购〔2025〕62号）异常低价情形的，投标人不提供书面说明、证明材料，或者提供的书面说明、证明材料不能证明其报价合理性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）其他法律、法规及本招标文件规定的无效响应的情形。</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在评标期间，出现符合专业条件的投标人或者对招标文件作出实质性响应的投标人不足三家情形的，按政府采购相关规定执行。</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.2.2.10有下列情形之一的予以废标，同时将废标理由通知所有投标人：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（1）符合专业条件的投标人或者对招标文件作实质性响应的投标人不足三家的；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（3）投标人的报价均超过了采购预算或最高限价的，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不能支付的；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（5）招标文件存在歧义、重大缺陷，或者招标文件内容违反国家有关强制性规定的。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（6）因苏采云</w:t>
      </w:r>
      <w:r>
        <w:rPr>
          <w:rFonts w:hint="eastAsia" w:ascii="宋体" w:hAnsi="宋体" w:eastAsia="宋体" w:cs="宋体"/>
          <w:sz w:val="24"/>
          <w:szCs w:val="24"/>
          <w:highlight w:val="none"/>
          <w:lang w:eastAsia="zh-CN"/>
        </w:rPr>
        <w:t xml:space="preserve">系统故障</w:t>
      </w:r>
      <w:r>
        <w:rPr>
          <w:rFonts w:hint="eastAsia" w:ascii="宋体" w:hAnsi="宋体" w:eastAsia="宋体" w:cs="宋体"/>
          <w:sz w:val="24"/>
          <w:szCs w:val="24"/>
          <w:highlight w:val="none"/>
        </w:rPr>
        <w:t xml:space="preserve">原因造成开标不成功的。</w:t>
      </w:r>
      <w:r/>
    </w:p>
    <w:p>
      <w:pPr>
        <w:ind w:left="0" w:right="0" w:firstLine="482"/>
        <w:pageBreakBefore w:val="0"/>
        <w:spacing w:beforeAutospacing="0" w:line="480" w:lineRule="exact"/>
        <w:widowControl w:val="off"/>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23.3异常低价投标审查</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23.3.1评标过程中出现下列情形之一的，评委会应当启动异常低价投标审查程序：</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（1）投标（响应）报价低于采购项目预算50%的，即投标报价＜采购项目预算×50%；</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（2）投标报价低于采购项目最高限价45%的，即投标报价＜采购项目最高限价×45%；</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（3）评委会认定的投标人报价过低（含明显低于其他通过符合性审查投标人的报价），有可能影响产品质量或者不能诚信履约的其他情形。</w:t>
      </w:r>
      <w:r/>
    </w:p>
    <w:p>
      <w:pPr>
        <w:ind w:left="0" w:right="0" w:firstLine="482"/>
        <w:pageBreakBefore w:val="0"/>
        <w:spacing w:beforeAutospacing="0" w:line="480" w:lineRule="exact"/>
        <w:widowControl w:val="off"/>
        <w:rPr>
          <w:rFonts w:hint="eastAsia" w:ascii="宋体" w:hAnsi="宋体" w:eastAsia="宋体" w:cs="宋体"/>
          <w:sz w:val="24"/>
          <w:szCs w:val="24"/>
          <w:highlight w:val="none"/>
        </w:rPr>
      </w:pPr>
      <w:r>
        <w:rPr>
          <w:rFonts w:hint="eastAsia" w:ascii="宋体" w:hAnsi="宋体"/>
          <w:b w:val="0"/>
          <w:bCs/>
          <w:color w:val="000000"/>
          <w:sz w:val="24"/>
          <w:highlight w:val="none"/>
          <w:lang w:val="en-US" w:eastAsia="zh-CN"/>
        </w:rPr>
        <w:t xml:space="preserve">23.3.2启动异常低价投标审查后，评委会应当要求相关投标人在评标现场合理的时间内，提供项目具体成本测算等与报价合理性相关的书面说明材料及相关证明材料，对投标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处理。审查相关情况应当在评标报告中进行记录。</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评审及中标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.1评标委员会将对通过资格性审查和符合性审查的投标文件进行评价和比较。</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.2评标委员会按招标文件第三章中公布的评标标准对每份合格投标文件进行评审，确定中标人，任何单项因素的最优不能作为中标的保证。</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5</w:t>
      </w:r>
      <w:r>
        <w:rPr>
          <w:rFonts w:hint="eastAsia" w:ascii="宋体" w:hAnsi="宋体" w:eastAsia="宋体" w:cs="宋体"/>
          <w:b/>
          <w:bCs w:val="0"/>
          <w:sz w:val="24"/>
          <w:szCs w:val="24"/>
          <w:highlight w:val="none"/>
        </w:rPr>
        <w:t xml:space="preserve">.评审过程的保密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bookmarkStart w:id="30" w:name="_Toc20823304"/>
      <w:r/>
      <w:bookmarkStart w:id="31" w:name="_Toc513029232"/>
      <w:r/>
      <w:bookmarkStart w:id="32" w:name="_Toc16938548"/>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.1在宣布中标结果之前，凡属于审查、澄清、评价、比较投标文件和中标意向等有关信息，相关当事人均不得泄露给任何投标人或与评审工作无关的人员。</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（代理机构）和评审委员会不向未中标的投标人解释未中标原因，也不公布评审过程中的相关细节。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.3评标委员会名单在开标前确定，并在招标结果确定前保密。</w:t>
      </w:r>
      <w:bookmarkEnd w:id="30"/>
      <w:r/>
      <w:bookmarkEnd w:id="31"/>
      <w:r/>
      <w:bookmarkEnd w:id="32"/>
      <w:r/>
      <w:r/>
    </w:p>
    <w:p>
      <w:pPr>
        <w:numPr>
          <w:ilvl w:val="0"/>
          <w:numId w:val="0"/>
        </w:num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定标及合同签订</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6</w:t>
      </w:r>
      <w:r>
        <w:rPr>
          <w:rFonts w:hint="eastAsia" w:ascii="宋体" w:hAnsi="宋体" w:eastAsia="宋体" w:cs="宋体"/>
          <w:b/>
          <w:bCs w:val="0"/>
          <w:sz w:val="24"/>
          <w:szCs w:val="24"/>
          <w:highlight w:val="none"/>
        </w:rPr>
        <w:t xml:space="preserve">.确定中标人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.1中标候选人的选取原则和数量见招标文件第三章规定。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应根据评标委员会推荐的中标候选人确认中标人。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（代理机构）将在淮安市政府采购网发布中标结果公告，公告期限为1个工作日。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.4若有充分证据证明，中标人出现下列情况之一的，一经查实，将被取消中标资格：</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.4.1提供虚假材料谋取中标的。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.4.2向采购人、采购中心行贿或者提供其他不正当利益的。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.4.3属于本文件规定的无效条件，但在评标过程中又未被评委会发现的。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.4.4与采购人或者其他</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恶意串通的。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.4.5采取不正当手段诋毁、排挤其他</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.5有下列情形之一的，视为投标人串通投标，投标无效：</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.5.1不同投标人的投标文件由同一单位或者个人编制；</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.5.2不同投标人委托同一单位或者个人办理投标事宜；</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.5.3 不同投标人的投标文件载明的项目管理成员或者联系人员为同一人；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.5.4不同投标人的投标文件异常一致或者投标报价呈规律性差异。</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27</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中标通知书</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.1在公告中标结果的同时，</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（代理机构）将向中标人发出中标通知书。</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.2中标人在接到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（代理机构）通知后五个工作日内必须到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（代理机构）处领取中标通知书并办理相关交费手续，逾期未办理</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自动放弃处理。中标人在领取中标通知书的同时必须递交与电子投标文件一致的纸质投标文件（印章齐全）正本一份，副本一份。</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.3中标通知书将是合同的一个组成部分。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28</w:t>
      </w:r>
      <w:r>
        <w:rPr>
          <w:rFonts w:hint="eastAsia" w:ascii="宋体" w:hAnsi="宋体" w:eastAsia="宋体" w:cs="宋体"/>
          <w:b/>
          <w:bCs w:val="0"/>
          <w:sz w:val="24"/>
          <w:szCs w:val="24"/>
          <w:highlight w:val="none"/>
        </w:rPr>
        <w:t xml:space="preserve">.签订合同</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与中标人应在中标通知书发出之日起三十日内签订政府采购合同。招标文件、中标人的投标文件及澄清文件等均为签订合同依据。</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.2中标人自中标通知书发出之日起三十日内无正当理由不与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签订合同，将按财政部第87号令相关规定进行处理。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29</w:t>
      </w:r>
      <w:r>
        <w:rPr>
          <w:rFonts w:hint="eastAsia" w:ascii="宋体" w:hAnsi="宋体" w:eastAsia="宋体" w:cs="宋体"/>
          <w:b/>
          <w:bCs w:val="0"/>
          <w:sz w:val="24"/>
          <w:szCs w:val="24"/>
          <w:highlight w:val="none"/>
        </w:rPr>
        <w:t xml:space="preserve">.货物和服务的减少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.1采购结束后，采购人若由于各种客观原因，必须对采购项目所牵涉的货物和服务进行</w:t>
      </w:r>
      <w:r>
        <w:rPr>
          <w:rFonts w:hint="eastAsia" w:ascii="宋体" w:hAnsi="宋体" w:eastAsia="宋体" w:cs="宋体"/>
          <w:sz w:val="24"/>
          <w:szCs w:val="24"/>
          <w:highlight w:val="none"/>
          <w:lang w:eastAsia="zh-CN"/>
        </w:rPr>
        <w:t xml:space="preserve">适当地减少</w:t>
      </w:r>
      <w:r>
        <w:rPr>
          <w:rFonts w:hint="eastAsia" w:ascii="宋体" w:hAnsi="宋体" w:eastAsia="宋体" w:cs="宋体"/>
          <w:sz w:val="24"/>
          <w:szCs w:val="24"/>
          <w:highlight w:val="none"/>
        </w:rPr>
        <w:t xml:space="preserve">时，在双方协商一致的前提下，可以按照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时的价格水平做相应的调减，并据此签订补充合同。</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履约保证金</w:t>
      </w:r>
      <w:r/>
    </w:p>
    <w:p>
      <w:pPr>
        <w:ind w:left="0" w:right="0" w:firstLine="482"/>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30.1本项目无需缴纳履约保证金。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30.2投标人提供的履约保证金可以是人民币形式（银行本票、汇票、支票、电汇、数字人民币），或银行保函、担保公司的保证担保或保险公司的保证保险等多种形式。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30.3投标人选取银行保函、担保公司的保证担保或保险公司的保证保险等形式向采购人缴纳的，如保函（担保、保险等）的约定期到期但投标人履约仍未结束的，投标人须进行续保。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30.4投标人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30.5如投标人未能履行合同规定的义务，采购人有权从履约保证金中取得补偿。</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30.6履约保证金在合同约定期间内不予退还或者完全有效，在约定期间届满之日起5个工作日内，采购人应将履约保证金退还投标人；逾期退还的，按中国人民银行同期贷款基准利率上浮20%后的利率支付逾期资金占用费，但因投标人自身原因导致无法及时退还的除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30.7履约保证金在合同约定期间内不予退还或者完全有效，履约保证金在项目验收合格后无息退还给投标人。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30.8如果成交投标人没有按照31条或32条的规定去做，采购人可报财政部门取消其成交资格，在此情况下采购人可将标授予下一个成交候选投标人，或重新采购。</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30.9本次文件中涉及中小企业的相关执行文件以财政部下发的[财库[2020]46号]关于印发《政府采购促进中小企业发展管理办法》的通知为依据。本次文件中涉及中小企业的认定标准均以工业和信息化部、国家统计局、国家发展和改革委员会、财政部联合下发的[工信部联企业〔2011〕300号]《中小企业划型标准规定》为准。</w:t>
      </w:r>
      <w:r/>
    </w:p>
    <w:p>
      <w:pPr>
        <w:ind w:right="0"/>
        <w:jc w:val="left"/>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七、质疑处理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31</w:t>
      </w:r>
      <w:r>
        <w:rPr>
          <w:rFonts w:hint="eastAsia" w:ascii="宋体" w:hAnsi="宋体" w:eastAsia="宋体" w:cs="宋体"/>
          <w:b/>
          <w:bCs w:val="0"/>
          <w:sz w:val="24"/>
          <w:szCs w:val="24"/>
          <w:highlight w:val="none"/>
        </w:rPr>
        <w:t xml:space="preserve">.质疑处理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.2上述应知其权益受到损害之日是指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文件提出质疑的，为采购文件公告期限届满之日起计算；</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（2）对采购过程提出质疑的，为各采购程序环节结束之日起计算；</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（3）对成交结果提出质疑的，为成交结果公告期限届满之日起计算。</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.3质疑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是指直接参加本次</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，未参加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或在</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活动中自身权益未受到损害的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所提出的质疑不予受理。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.4质疑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在法定质疑期内应当一次性针对同一采购环节提出质疑。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.5质疑函应当包括以下主要内容，附上相关证明材料。否则，</w:t>
      </w:r>
      <w:r>
        <w:rPr>
          <w:rFonts w:hint="eastAsia" w:ascii="宋体" w:hAnsi="宋体" w:eastAsia="宋体" w:cs="宋体"/>
          <w:color w:val="000000"/>
          <w:sz w:val="24"/>
          <w:highlight w:val="none"/>
        </w:rPr>
        <w:t xml:space="preserve">采购人（代理机构）</w:t>
      </w:r>
      <w:r>
        <w:rPr>
          <w:rFonts w:hint="eastAsia" w:ascii="宋体" w:hAnsi="宋体" w:eastAsia="宋体" w:cs="宋体"/>
          <w:sz w:val="24"/>
          <w:szCs w:val="24"/>
          <w:highlight w:val="none"/>
        </w:rPr>
        <w:t xml:space="preserve">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的名称、地址、邮编、联系人及联系电话；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（3）具体、明确的质疑事项和与质疑事实相关的请求；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（6）提起质疑的日期；</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6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w:t>
      </w:r>
      <w:r>
        <w:rPr>
          <w:rFonts w:hint="eastAsia" w:ascii="宋体" w:hAnsi="宋体" w:eastAsia="宋体" w:cs="宋体"/>
          <w:sz w:val="24"/>
          <w:szCs w:val="24"/>
          <w:highlight w:val="none"/>
          <w:lang w:eastAsia="zh-CN"/>
        </w:rPr>
        <w:t xml:space="preserve">，作</w:t>
      </w:r>
      <w:r>
        <w:rPr>
          <w:rFonts w:hint="eastAsia" w:ascii="宋体" w:hAnsi="宋体" w:eastAsia="宋体" w:cs="宋体"/>
          <w:sz w:val="24"/>
          <w:szCs w:val="24"/>
          <w:highlight w:val="none"/>
        </w:rPr>
        <w:t xml:space="preserve">为无效质疑，采购人（代理机构）有权不予受理。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.7对于内容、格式符合规定的质疑函，采购人（代理机构）将在七个工作日内以电子文件的形式作出答复，但质疑答复的内容不涉及商业秘密。如果质疑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还需要纸质形式回复函的，需主动与采购人（代理机构）联系索取，或者在质疑函中明确提出该要求。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提出的质疑必须有理、有据，不得恶意质疑或提交虚假质疑。否则，一经查实，采购人（代理机构）有权依据政府采购的有关规定，报请淮安市财政局政府采购管理处对该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列入失信行为或不良行为记录名单，进行相应的行政处罚。</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八、政府采购政策功能落实</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32</w:t>
      </w:r>
      <w:r>
        <w:rPr>
          <w:rFonts w:hint="eastAsia" w:ascii="宋体" w:hAnsi="宋体" w:eastAsia="宋体" w:cs="宋体"/>
          <w:b/>
          <w:bCs w:val="0"/>
          <w:sz w:val="24"/>
          <w:szCs w:val="24"/>
          <w:highlight w:val="none"/>
        </w:rPr>
        <w:t xml:space="preserve">.政策功能落实</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.1小微型企业价格扣除</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zh-CN"/>
        </w:rPr>
        <w:t xml:space="preserve">对于未预留份额专门面向中小企业采购的采购项目，投标人提供的货物或者服务</w:t>
      </w:r>
      <w:r>
        <w:rPr>
          <w:rFonts w:hint="eastAsia" w:ascii="宋体" w:hAnsi="宋体" w:eastAsia="宋体" w:cs="宋体"/>
          <w:sz w:val="24"/>
          <w:szCs w:val="24"/>
          <w:highlight w:val="none"/>
        </w:rPr>
        <w:t xml:space="preserve">符合下列情形的，享受本办法规定的中小企业扶持政策给予小微企业报价20%的扣除，用扣除后的价格参与评审：</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（2）在服务采购项目中，服务由中小企业承接，即提供服务的人员为中小企业依照《中华人民共和国劳动合同法》订立劳动合同的从业人员。</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.1.2在货物采购项目中，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提供的货物既有中小企业制造货物，也有大型企业制造货物的，不享受本办法规定的中小企业扶持政策。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.2联合体及分包</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.2.1以联合体形式参加政府采购活动，联合体各方均为中小企业的，联合体视同中小企业。其中，联合体各方均为小微企业的，联合体视同小微企业。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.2.2享受扶持政策获得政府采购合同的，小微企业不得将合同分包给大中型企业，中型企业不得将合同分包给大型企业。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.3小微型企业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文件的要求提供相应的《企业声明函》，详见</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文件第六章示范格式。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（2）企业标准请参照《政府采购促进中小企业发展管理办法》（财库【2020】46号）文件规定自行填写。</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.4残疾人福利单位</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（1）残疾人福利单位需按照招标文件的要求提供《残疾人福利性单位声明函》，详见招标文件第六章示范格式。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（2）残疾人福利单位标准请参照《关于促进残疾人就业政府采购政策的通知》（财库〔2017〕141号）。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32.5监狱和戒毒企业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（1）监狱企业参加政府采购活动时，需提供由省级以上监狱管理局、戒毒管理局（含新疆生产建设兵团）出具的属于监狱企业的证明文件）（投标文件中上传加盖出具单位公章的电子件）。</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（2）监狱企业标准请参照《关于政府采购支持监狱企业发展有关问题的通知》（财库[2014]68号）。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w:t>
      </w:r>
      <w:r>
        <w:rPr>
          <w:rFonts w:hint="eastAsia" w:ascii="宋体" w:hAnsi="宋体" w:eastAsia="宋体" w:cs="宋体"/>
          <w:sz w:val="24"/>
          <w:szCs w:val="24"/>
          <w:highlight w:val="none"/>
          <w:lang w:eastAsia="zh-CN"/>
        </w:rPr>
        <w:t xml:space="preserve">采购本国产品的支持政策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32.6.1</w:t>
      </w:r>
      <w:r>
        <w:rPr>
          <w:rFonts w:hint="eastAsia" w:ascii="宋体" w:hAnsi="宋体" w:eastAsia="宋体" w:cs="宋体"/>
          <w:sz w:val="24"/>
          <w:szCs w:val="24"/>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32.6.2</w:t>
      </w:r>
      <w:r>
        <w:rPr>
          <w:rFonts w:hint="eastAsia" w:ascii="宋体" w:hAnsi="宋体" w:eastAsia="宋体" w:cs="宋体"/>
          <w:sz w:val="24"/>
          <w:szCs w:val="24"/>
          <w:highlight w:val="none"/>
          <w:lang w:eastAsia="zh-CN"/>
        </w:rPr>
        <w:t xml:space="preserve">当采购项目或者采购包中含有多种产品，</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为该采购项目或者采购包提供的符合本国产品标准的产品成本之和占该</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提供的全部产品成本之和的比例达到80%以上时</w:t>
      </w:r>
      <w:r>
        <w:rPr>
          <w:rFonts w:hint="eastAsia" w:ascii="宋体" w:hAnsi="宋体" w:eastAsia="宋体" w:cs="宋体"/>
          <w:sz w:val="24"/>
          <w:szCs w:val="24"/>
          <w:highlight w:val="none"/>
          <w:u w:val="none"/>
          <w:lang w:eastAsia="zh-CN"/>
        </w:rPr>
        <w:t xml:space="preserve">（</w:t>
      </w:r>
      <w:r>
        <w:rPr>
          <w:rFonts w:hint="eastAsia" w:ascii="宋体" w:hAnsi="宋体" w:cs="宋体"/>
          <w:sz w:val="24"/>
          <w:szCs w:val="24"/>
          <w:highlight w:val="none"/>
          <w:u w:val="none"/>
          <w:lang w:eastAsia="zh-CN"/>
        </w:rPr>
        <w:t xml:space="preserve">投标人</w:t>
      </w:r>
      <w:r>
        <w:rPr>
          <w:rFonts w:hint="eastAsia" w:ascii="宋体" w:hAnsi="宋体" w:eastAsia="宋体" w:cs="宋体"/>
          <w:sz w:val="24"/>
          <w:szCs w:val="24"/>
          <w:highlight w:val="none"/>
          <w:u w:val="none"/>
          <w:lang w:eastAsia="zh-CN"/>
        </w:rPr>
        <w:t xml:space="preserve">需在“第六章投标文件格式”的“附件2投标分项报价表”中填写比例数值）</w:t>
      </w:r>
      <w:r>
        <w:rPr>
          <w:rFonts w:hint="eastAsia" w:ascii="宋体" w:hAnsi="宋体" w:eastAsia="宋体" w:cs="宋体"/>
          <w:sz w:val="24"/>
          <w:szCs w:val="24"/>
          <w:highlight w:val="none"/>
          <w:lang w:eastAsia="zh-CN"/>
        </w:rPr>
        <w:t xml:space="preserve">，依法对该</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提供的全部产品给予价格评审优惠，即对该</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提供的全部产品的总报价给予20%的价格扣除，用扣除后的价格参与评审。</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未填写比例数值，或比例数值</w:t>
      </w:r>
      <w:r>
        <w:rPr>
          <w:rFonts w:hint="eastAsia" w:ascii="方正魏碑_GBK" w:hAnsi="方正魏碑_GBK" w:eastAsia="方正魏碑_GBK" w:cs="方正魏碑_GBK"/>
          <w:color w:val="ff0000"/>
          <w:sz w:val="24"/>
          <w:szCs w:val="24"/>
          <w:highlight w:val="none"/>
        </w:rPr>
        <w:t xml:space="preserve">未达到</w:t>
      </w:r>
      <w:r>
        <w:rPr>
          <w:rFonts w:hint="eastAsia" w:ascii="宋体" w:hAnsi="宋体" w:eastAsia="宋体" w:cs="宋体"/>
          <w:sz w:val="24"/>
          <w:szCs w:val="24"/>
          <w:highlight w:val="none"/>
          <w:lang w:eastAsia="zh-CN"/>
        </w:rPr>
        <w:t xml:space="preserve">80%的，将不享受本国产品价格评审优惠。</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32.6.3</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需按照招标文件的要求提供《关于符合本国产品标准的声明函》（以下简称《声明函》），如不提供将不享受本国产品价格评审优惠。</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7.4 </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需在《声明函》中逐一、准确填写产品名称、厂名、生产</w:t>
      </w:r>
      <w:r>
        <w:rPr>
          <w:rFonts w:hint="eastAsia" w:ascii="宋体" w:hAnsi="宋体" w:eastAsia="宋体" w:cs="宋体"/>
          <w:sz w:val="24"/>
          <w:szCs w:val="24"/>
          <w:highlight w:val="none"/>
          <w:u w:val="none"/>
          <w:lang w:eastAsia="zh-CN"/>
        </w:rPr>
        <w:t xml:space="preserve">厂址三项信息（《声明函》中用</w:t>
      </w:r>
      <w:r>
        <w:rPr>
          <w:rFonts w:hint="eastAsia" w:ascii="宋体" w:hAnsi="宋体" w:eastAsia="宋体" w:cs="宋体"/>
          <w:sz w:val="24"/>
          <w:szCs w:val="24"/>
          <w:highlight w:val="none"/>
          <w:u w:val="none"/>
          <w:lang w:val="en-US" w:eastAsia="zh-CN"/>
        </w:rPr>
        <w:t xml:space="preserve">横线</w:t>
      </w:r>
      <w:r>
        <w:rPr>
          <w:rFonts w:hint="eastAsia" w:ascii="宋体" w:hAnsi="宋体" w:eastAsia="宋体" w:cs="宋体"/>
          <w:sz w:val="24"/>
          <w:szCs w:val="24"/>
          <w:highlight w:val="none"/>
          <w:u w:val="none"/>
          <w:lang w:eastAsia="zh-CN"/>
        </w:rPr>
        <w:t xml:space="preserve">划除的地方无需填写），三项信息中任意一项未填写的视</w:t>
      </w:r>
      <w:r>
        <w:rPr>
          <w:rFonts w:hint="eastAsia" w:ascii="宋体" w:hAnsi="宋体" w:eastAsia="宋体" w:cs="宋体"/>
          <w:sz w:val="24"/>
          <w:szCs w:val="24"/>
          <w:highlight w:val="none"/>
        </w:rPr>
        <w:t xml:space="preserve">为该项产品不符合本国产品标准，不享受本国产品价格评审优惠。</w:t>
      </w:r>
      <w:r/>
    </w:p>
    <w:p>
      <w:pPr>
        <w:ind w:left="0" w:right="0" w:firstLine="480"/>
        <w:jc w:val="left"/>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7.5 评标过程中，如发现</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在《声明函》内容含义不明确、同类事项与投标（响应）文件表述不一致或者有明显文字错误等情况的，评标委员会应当以书面形式要求</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提供的相关产品视为不符合本国产品标准。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33</w:t>
      </w:r>
      <w:r>
        <w:rPr>
          <w:rFonts w:hint="eastAsia" w:ascii="宋体" w:hAnsi="宋体" w:eastAsia="宋体" w:cs="宋体"/>
          <w:b/>
          <w:bCs w:val="0"/>
          <w:sz w:val="24"/>
          <w:szCs w:val="24"/>
          <w:highlight w:val="none"/>
        </w:rPr>
        <w:t xml:space="preserve">.节能、环保政策（本项目不涉及）</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.2节能产品</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被列入“节能产品品目清单”的，实行</w:t>
      </w:r>
      <w:r>
        <w:rPr>
          <w:rFonts w:hint="eastAsia" w:ascii="宋体" w:hAnsi="宋体" w:eastAsia="宋体" w:cs="宋体"/>
          <w:sz w:val="24"/>
          <w:szCs w:val="24"/>
          <w:highlight w:val="none"/>
          <w:u w:val="single"/>
        </w:rPr>
        <w:t xml:space="preserve">（优先采购/强制采购）</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.3环保产品</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被列入“环境标志产品品目清单”的，实行优先采购。</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无效投标处理；实行“优先采购”的，在评分标准的“政策导向”处参与加分（详见第三章评标标准）。</w:t>
      </w:r>
      <w:r/>
    </w:p>
    <w:p>
      <w:pPr>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4"/>
          <w:szCs w:val="24"/>
          <w:highlight w:val="none"/>
        </w:rPr>
        <w:t xml:space="preserve">通知》（财库〔2019〕19号）执行。国家对品目清单进行调整的，按照最新调整的品目清单执行。</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34.</w:t>
      </w:r>
      <w:r>
        <w:rPr>
          <w:rFonts w:hint="eastAsia" w:ascii="宋体" w:hAnsi="宋体" w:eastAsia="宋体" w:cs="宋体"/>
          <w:b/>
          <w:bCs w:val="0"/>
          <w:sz w:val="24"/>
          <w:szCs w:val="24"/>
          <w:highlight w:val="none"/>
        </w:rPr>
        <w:t xml:space="preserve">政府绿色采购（本项目不涉及）</w:t>
      </w:r>
      <w:r/>
    </w:p>
    <w:p>
      <w:pPr>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796"/>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.2本项目中涉及商品的包装应按照“财办库〔2020〕123号《关于印发《商品包装政府采购需求标准（试行）》、《快递包装政府采购需求标准（试行）》的通知》”执行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在供货、安装过程中</w:t>
      </w:r>
      <w:r>
        <w:rPr>
          <w:rFonts w:hint="eastAsia" w:ascii="宋体" w:hAnsi="宋体" w:eastAsia="宋体" w:cs="宋体"/>
          <w:sz w:val="24"/>
          <w:szCs w:val="24"/>
          <w:highlight w:val="none"/>
          <w:lang w:eastAsia="zh-CN"/>
        </w:rPr>
        <w:t xml:space="preserve">能</w:t>
      </w:r>
      <w:r>
        <w:rPr>
          <w:rFonts w:hint="eastAsia" w:ascii="宋体" w:hAnsi="宋体" w:eastAsia="宋体" w:cs="宋体"/>
          <w:sz w:val="24"/>
          <w:szCs w:val="24"/>
          <w:highlight w:val="none"/>
        </w:rPr>
        <w:t xml:space="preserve">做到低碳物流、环保节约、提高资源利用率；涉及设备运维参考《绿色数据中心政府采购需求标准（试行）》（财库【2023】7号文）执行。</w:t>
      </w:r>
      <w:r/>
    </w:p>
    <w:p>
      <w:pPr>
        <w:pStyle w:val="796"/>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.3本项目中涉及涂料、胶黏剂、油墨、清洗剂等挥发性有机物产品的，要执行国家和江苏省VOCs含量限制标准，优先使用低挥发性原辅材料，使用低VOCs含量的涂料、胶黏剂等。</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35</w:t>
      </w:r>
      <w:r>
        <w:rPr>
          <w:rFonts w:hint="eastAsia" w:ascii="宋体" w:hAnsi="宋体" w:eastAsia="宋体" w:cs="宋体"/>
          <w:b/>
          <w:bCs w:val="0"/>
          <w:sz w:val="24"/>
          <w:szCs w:val="24"/>
          <w:highlight w:val="none"/>
        </w:rPr>
        <w:t xml:space="preserve">. 履约资金扶持政策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right="0"/>
        <w:jc w:val="center"/>
        <w:keepLines w:val="0"/>
        <w:keepNext w:val="0"/>
        <w:pageBreakBefore/>
        <w:spacing w:line="440" w:lineRule="exact"/>
        <w:widowControl w:val="off"/>
        <w:rPr>
          <w:rFonts w:hint="eastAsia" w:ascii="宋体" w:hAnsi="宋体" w:eastAsia="宋体" w:cs="宋体"/>
          <w:b/>
          <w:color w:val="000000" w:themeColor="text1"/>
          <w:sz w:val="32"/>
          <w:szCs w:val="32"/>
          <w:highlight w:val="none"/>
          <w14:textFill>
            <w14:solidFill>
              <w14:schemeClr w14:val="tx1"/>
            </w14:solidFill>
          </w14:textFill>
        </w:rPr>
        <w:outlineLvl w:val="0"/>
      </w:pPr>
      <w:r/>
      <w:bookmarkStart w:id="33" w:name="_Toc19320"/>
      <w:r>
        <w:rPr>
          <w:rFonts w:hint="eastAsia" w:ascii="宋体" w:hAnsi="宋体" w:eastAsia="宋体" w:cs="宋体"/>
          <w:b/>
          <w:color w:val="000000" w:themeColor="text1"/>
          <w:sz w:val="32"/>
          <w:szCs w:val="32"/>
          <w:highlight w:val="none"/>
          <w14:textFill>
            <w14:solidFill>
              <w14:schemeClr w14:val="tx1"/>
            </w14:solidFill>
          </w14:textFill>
        </w:rPr>
        <w:t xml:space="preserve">第三章  评标标准</w:t>
      </w:r>
      <w:bookmarkEnd w:id="33"/>
      <w:r/>
      <w:r/>
    </w:p>
    <w:p>
      <w:pPr>
        <w:ind w:right="0" w:firstLine="480"/>
        <w:jc w:val="left"/>
        <w:keepLines w:val="0"/>
        <w:keepNext w:val="0"/>
        <w:pageBreakBefore w:val="0"/>
        <w:spacing w:line="480" w:lineRule="exact"/>
        <w:widowControl w:val="off"/>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right="0" w:firstLine="480"/>
        <w:jc w:val="left"/>
        <w:keepLines w:val="0"/>
        <w:keepNext w:val="0"/>
        <w:pageBreakBefore w:val="0"/>
        <w:spacing w:line="480" w:lineRule="exact"/>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二、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中标候选人推荐数量为3名。</w:t>
      </w:r>
      <w:r/>
    </w:p>
    <w:p>
      <w:pPr>
        <w:ind w:right="0" w:firstLine="480"/>
        <w:jc w:val="left"/>
        <w:keepLines w:val="0"/>
        <w:keepNext w:val="0"/>
        <w:pageBreakBefore w:val="0"/>
        <w:spacing w:line="480" w:lineRule="exact"/>
        <w:widowControl w:val="off"/>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三、具体标准</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100分</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p>
    <w:tbl>
      <w:tblPr>
        <w:tblStyle w:val="743"/>
        <w:tblW w:w="8832"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44"/>
        <w:gridCol w:w="817"/>
        <w:gridCol w:w="726"/>
        <w:gridCol w:w="6645"/>
      </w:tblGrid>
      <w:tr>
        <w:trPr>
          <w:jc w:val="center"/>
          <w:trHeight w:val="857"/>
        </w:trPr>
        <w:tc>
          <w:tcPr>
            <w:tcW w:w="6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br w:type="page" w:clear="all"/>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序号</w:t>
            </w:r>
            <w:r/>
          </w:p>
        </w:tc>
        <w:tc>
          <w:tcPr>
            <w:tcW w:w="8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评标因素</w:t>
            </w:r>
            <w:r/>
          </w:p>
        </w:tc>
        <w:tc>
          <w:tcPr>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分值</w:t>
            </w:r>
            <w:r/>
          </w:p>
        </w:tc>
        <w:tc>
          <w:tcPr>
            <w:tcW w:w="66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评分标准</w:t>
            </w:r>
            <w:r/>
          </w:p>
        </w:tc>
      </w:tr>
      <w:tr>
        <w:trPr>
          <w:jc w:val="center"/>
          <w:trHeight w:val="852"/>
        </w:trPr>
        <w:tc>
          <w:tcPr>
            <w:tcW w:w="6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p>
        </w:tc>
        <w:tc>
          <w:tcPr>
            <w:tcW w:w="8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价格总分</w:t>
            </w:r>
            <w:r/>
          </w:p>
        </w:tc>
        <w:tc>
          <w:tcPr>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tc>
        <w:tc>
          <w:tcPr>
            <w:tcW w:w="66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jc w:val="center"/>
          <w:trHeight w:val="2951"/>
        </w:trPr>
        <w:tc>
          <w:tcPr>
            <w:tcW w:w="6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1.1</w:t>
            </w:r>
            <w:r/>
          </w:p>
        </w:tc>
        <w:tc>
          <w:tcPr>
            <w:tcW w:w="8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价格部分</w:t>
            </w:r>
            <w:r/>
          </w:p>
        </w:tc>
        <w:tc>
          <w:tcPr>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tc>
        <w:tc>
          <w:tcPr>
            <w:tcW w:w="66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根据投标人的投标报价，按照本公式进行计算得分：投标报价得分＝评标基准价÷有效投标报价×</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，其中评标基准价为最低有效报价，价格分为满分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在</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计算分数时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每一步</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四舍五入取小数点后两位。</w:t>
            </w:r>
            <w:r/>
          </w:p>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低价认定：根据中华人民共和国《政府采购货物和服务招标投标管理办法》（财政部令第87号）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具体详见第二章投标人须知23.3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tc>
      </w:tr>
      <w:tr>
        <w:trPr>
          <w:jc w:val="center"/>
          <w:trHeight w:val="852"/>
        </w:trPr>
        <w:tc>
          <w:tcPr>
            <w:tcW w:w="6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w:t>
            </w:r>
            <w:r/>
          </w:p>
        </w:tc>
        <w:tc>
          <w:tcPr>
            <w:tcW w:w="8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技术总分</w:t>
            </w:r>
            <w:r/>
          </w:p>
        </w:tc>
        <w:tc>
          <w:tcPr>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tc>
        <w:tc>
          <w:tcPr>
            <w:tcW w:w="66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jc w:val="center"/>
          <w:trHeight w:val="90"/>
        </w:trPr>
        <w:tc>
          <w:tcPr>
            <w:tcW w:w="6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p>
        </w:tc>
        <w:tc>
          <w:tcPr>
            <w:tcW w:w="8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投标货物技术性能指标</w:t>
            </w:r>
            <w:r/>
          </w:p>
        </w:tc>
        <w:tc>
          <w:tcPr>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tc>
        <w:tc>
          <w:tcPr>
            <w:tcW w:w="66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p>
            <w:pPr>
              <w:pStyle w:val="753"/>
              <w:jc w:val="left"/>
              <w:keepLines w:val="0"/>
              <w:keepNext w:val="0"/>
              <w:spacing w:line="36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投标人所投产品完全符合招标文件中各项技术参数要求的得</w:t>
            </w:r>
            <w:r>
              <w:rPr>
                <w:rFonts w:hint="eastAsia" w:hAnsi="宋体" w:cs="宋体"/>
                <w:b w:val="0"/>
                <w:bCs w:val="0"/>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p>
            <w:pPr>
              <w:pStyle w:val="753"/>
              <w:numPr>
                <w:ilvl w:val="0"/>
                <w:numId w:val="2"/>
              </w:numPr>
              <w:ind w:left="150" w:firstLine="480"/>
              <w:jc w:val="left"/>
              <w:keepLines w:val="0"/>
              <w:keepNext w:val="0"/>
              <w:spacing w:line="36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招标文件技术参数中标记“</w:t>
            </w:r>
            <w:r>
              <w:rPr>
                <w:rFonts w:hint="eastAsia" w:ascii="宋体" w:hAnsi="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”的，投标人所投产品有一项负偏离的扣</w:t>
            </w:r>
            <w:r>
              <w:rPr>
                <w:rFonts w:hint="eastAsia" w:hAnsi="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分，扣完为止。</w:t>
            </w:r>
            <w:r/>
          </w:p>
          <w:p>
            <w:pPr>
              <w:pStyle w:val="753"/>
              <w:numPr>
                <w:ilvl w:val="0"/>
                <w:numId w:val="2"/>
              </w:numPr>
              <w:ind w:left="150" w:firstLine="480"/>
              <w:jc w:val="left"/>
              <w:keepLines w:val="0"/>
              <w:keepNext w:val="0"/>
              <w:spacing w:line="36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招标文件技术参数未标记“</w:t>
            </w:r>
            <w:r>
              <w:rPr>
                <w:rFonts w:hint="eastAsia" w:ascii="宋体" w:hAnsi="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”号的，投标人所投产品有一项负偏离的扣</w:t>
            </w:r>
            <w:r>
              <w:rPr>
                <w:rFonts w:hint="eastAsia" w:hAnsi="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分，扣完为止。</w:t>
            </w:r>
            <w:r/>
          </w:p>
          <w:p>
            <w:pPr>
              <w:pStyle w:val="753"/>
              <w:numPr>
                <w:ilvl w:val="0"/>
                <w:numId w:val="0"/>
              </w:numPr>
              <w:ind w:right="0"/>
              <w:jc w:val="left"/>
              <w:keepLines w:val="0"/>
              <w:keepNext w:val="0"/>
              <w:spacing w:line="36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注：以招标文件中技术偏离表及技术参数中要求提供的有关证明材料为评审依据。</w:t>
            </w:r>
            <w:r/>
          </w:p>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jc w:val="center"/>
          <w:trHeight w:val="90"/>
        </w:trPr>
        <w:tc>
          <w:tcPr>
            <w:tcW w:w="64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2.2</w:t>
            </w:r>
            <w:r/>
          </w:p>
        </w:tc>
        <w:tc>
          <w:tcPr>
            <w:shd w:val="clear" w:color="auto" w:fill="auto"/>
            <w:tcW w:w="817"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深化设计方案</w:t>
            </w:r>
            <w:r/>
          </w:p>
        </w:tc>
        <w:tc>
          <w:tcPr>
            <w:shd w:val="clear" w:color="auto" w:fill="auto"/>
            <w:tcW w:w="726"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default" w:ascii="宋体" w:hAnsi="宋体" w:eastAsia="宋体" w:cs="宋体"/>
                <w:b w:val="0"/>
                <w:b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5分</w:t>
            </w:r>
            <w:r/>
          </w:p>
        </w:tc>
        <w:tc>
          <w:tcPr>
            <w:shd w:val="clear" w:color="auto" w:fill="auto"/>
            <w:tcW w:w="6645" w:type="dxa"/>
            <w:vAlign w:val="center"/>
            <w:textDirection w:val="lrTb"/>
            <w:noWrap w:val="false"/>
          </w:tcPr>
          <w:p>
            <w:pPr>
              <w:numPr>
                <w:ilvl w:val="0"/>
                <w:numId w:val="0"/>
              </w:numPr>
              <w:jc w:val="left"/>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评委根据投标人提供的课桌和课</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凳</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生产工艺图、三视图、部件结构图,用料明细方面综合进行打分，最高得</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分。</w:t>
            </w:r>
            <w:r/>
          </w:p>
          <w:p>
            <w:pPr>
              <w:numPr>
                <w:ilvl w:val="0"/>
                <w:numId w:val="0"/>
              </w:numPr>
              <w:ind w:firstLine="420"/>
              <w:jc w:val="left"/>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备注：1、按上述要求提供资料完善、工艺先进，结构合理、安全性高、合理清晰得</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分；</w:t>
            </w:r>
            <w:r/>
          </w:p>
          <w:p>
            <w:pPr>
              <w:numPr>
                <w:ilvl w:val="0"/>
                <w:numId w:val="0"/>
              </w:numPr>
              <w:ind w:firstLine="420"/>
              <w:jc w:val="left"/>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2、提供资料基本完善、工艺设计贴合，结构基本合理、安全性不高的得分</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分；</w:t>
            </w:r>
            <w:r/>
          </w:p>
          <w:p>
            <w:pPr>
              <w:numPr>
                <w:ilvl w:val="0"/>
                <w:numId w:val="0"/>
              </w:numPr>
              <w:ind w:firstLine="420"/>
              <w:jc w:val="left"/>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3、提供资料简单、工艺简单，结构不合理、安全性不高的得1分；</w:t>
            </w:r>
            <w:r/>
          </w:p>
          <w:p>
            <w:pPr>
              <w:ind w:left="0" w:right="0" w:firstLine="420"/>
              <w:jc w:val="left"/>
              <w:keepLines w:val="0"/>
              <w:keepNext w:val="0"/>
              <w:spacing w:before="0" w:beforeAutospacing="0" w:after="0" w:afterAutospacing="0" w:line="240" w:lineRule="atLeast"/>
              <w:widowControl w:val="off"/>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4、未提供的不得分。</w:t>
            </w:r>
            <w:r/>
          </w:p>
        </w:tc>
      </w:tr>
      <w:tr>
        <w:trPr>
          <w:jc w:val="center"/>
          <w:trHeight w:val="852"/>
        </w:trPr>
        <w:tc>
          <w:tcPr>
            <w:tcW w:w="6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w:t>
            </w:r>
            <w:r/>
          </w:p>
        </w:tc>
        <w:tc>
          <w:tcPr>
            <w:tcW w:w="8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商务总分</w:t>
            </w:r>
            <w:r/>
          </w:p>
        </w:tc>
        <w:tc>
          <w:tcPr>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tc>
        <w:tc>
          <w:tcPr>
            <w:tcW w:w="66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jc w:val="center"/>
          <w:trHeight w:val="659"/>
        </w:trPr>
        <w:tc>
          <w:tcPr>
            <w:shd w:val="clear" w:color="auto" w:fill="auto"/>
            <w:tcW w:w="6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p>
        </w:tc>
        <w:tc>
          <w:tcPr>
            <w:shd w:val="clear" w:color="auto" w:fill="auto"/>
            <w:tcW w:w="8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项目业绩</w:t>
            </w:r>
            <w:r/>
          </w:p>
        </w:tc>
        <w:tc>
          <w:tcPr>
            <w:shd w:val="clear" w:color="auto" w:fill="auto"/>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tc>
        <w:tc>
          <w:tcPr>
            <w:shd w:val="clear" w:color="auto" w:fill="auto"/>
            <w:tcW w:w="66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投标</w:t>
            </w:r>
            <w:r>
              <w:rPr>
                <w:rFonts w:hint="eastAsia" w:ascii="宋体" w:hAnsi="宋体" w:cs="宋体"/>
                <w:b w:val="0"/>
                <w:bCs w:val="0"/>
                <w:color w:val="000000" w:themeColor="text1"/>
                <w:sz w:val="21"/>
                <w:szCs w:val="21"/>
                <w:highlight w:val="none"/>
                <w:lang w:val="zh-CN"/>
                <w14:textFill>
                  <w14:solidFill>
                    <w14:schemeClr w14:val="tx1"/>
                  </w14:solidFill>
                </w14:textFill>
              </w:rPr>
              <w:t xml:space="preserve">人</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提供</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自</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20</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年1月1日至今</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政府采购</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类似项目业绩</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的证明材料</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每提供一份得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最高得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中标通知书、合同及验收报告</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原件扫描件</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以合同签订时间为准</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tc>
      </w:tr>
      <w:tr>
        <w:trPr>
          <w:jc w:val="center"/>
          <w:trHeight w:val="2215"/>
        </w:trPr>
        <w:tc>
          <w:tcPr>
            <w:tcW w:w="6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p>
        </w:tc>
        <w:tc>
          <w:tcPr>
            <w:tcW w:w="8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投标人</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综合</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实力</w:t>
            </w:r>
            <w:r/>
          </w:p>
        </w:tc>
        <w:tc>
          <w:tcPr>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tc>
        <w:tc>
          <w:tcPr>
            <w:tcW w:w="6645" w:type="dxa"/>
            <w:vAlign w:val="center"/>
            <w:textDirection w:val="lrTb"/>
            <w:noWrap w:val="false"/>
          </w:tcPr>
          <w:p>
            <w:pPr>
              <w:jc w:val="left"/>
              <w:keepLines w:val="0"/>
              <w:keepNext w:val="0"/>
              <w:widowControl/>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投标人具有</w:t>
            </w:r>
            <w:r>
              <w:rPr>
                <w:rFonts w:hint="eastAsia" w:ascii="宋体" w:hAnsi="宋体" w:eastAsia="宋体" w:cs="宋体"/>
                <w:b w:val="0"/>
                <w:bCs w:val="0"/>
                <w:color w:val="000000" w:themeColor="text1"/>
                <w:sz w:val="21"/>
                <w:szCs w:val="21"/>
                <w:highlight w:val="none"/>
                <w:lang w:val="zh-CN" w:eastAsia="zh-CN" w:bidi="ar"/>
                <w14:textFill>
                  <w14:solidFill>
                    <w14:schemeClr w14:val="tx1"/>
                  </w14:solidFill>
                </w14:textFill>
              </w:rPr>
              <w:t xml:space="preserve">质量管理体系认证证书、环境管理体系认证证书、职业健康安全管理体系认证证书，</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有一份得1分，最多</w:t>
            </w:r>
            <w:r>
              <w:rPr>
                <w:rFonts w:hint="eastAsia" w:ascii="宋体" w:hAnsi="宋体" w:eastAsia="宋体" w:cs="宋体"/>
                <w:b w:val="0"/>
                <w:bCs w:val="0"/>
                <w:color w:val="000000" w:themeColor="text1"/>
                <w:sz w:val="21"/>
                <w:szCs w:val="21"/>
                <w:highlight w:val="none"/>
                <w:lang w:val="zh-CN" w:eastAsia="zh-CN" w:bidi="ar"/>
                <w14:textFill>
                  <w14:solidFill>
                    <w14:schemeClr w14:val="tx1"/>
                  </w14:solidFill>
                </w14:textFill>
              </w:rPr>
              <w:t xml:space="preserve">得</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zh-CN" w:eastAsia="zh-CN" w:bidi="ar"/>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zh-CN"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zh-CN" w:eastAsia="zh-CN" w:bidi="ar"/>
                <w14:textFill>
                  <w14:solidFill>
                    <w14:schemeClr w14:val="tx1"/>
                  </w14:solidFill>
                </w14:textFill>
              </w:rPr>
              <w:t xml:space="preserve">认证范围不全或未</w:t>
            </w:r>
            <w:r>
              <w:rPr>
                <w:rFonts w:hint="eastAsia" w:ascii="宋体" w:hAnsi="宋体" w:eastAsia="宋体" w:cs="宋体"/>
                <w:b w:val="0"/>
                <w:bCs w:val="0"/>
                <w:color w:val="000000" w:themeColor="text1"/>
                <w:sz w:val="21"/>
                <w:szCs w:val="21"/>
                <w:highlight w:val="none"/>
                <w:lang w:val="zh-CN" w:eastAsia="zh-CN" w:bidi="ar"/>
                <w14:textFill>
                  <w14:solidFill>
                    <w14:schemeClr w14:val="tx1"/>
                  </w14:solidFill>
                </w14:textFill>
              </w:rPr>
              <w:t xml:space="preserve">提供国家认监委网站截图，</w:t>
            </w:r>
            <w:r>
              <w:rPr>
                <w:rFonts w:hint="eastAsia" w:ascii="宋体" w:hAnsi="宋体" w:cs="宋体"/>
                <w:b w:val="0"/>
                <w:bCs w:val="0"/>
                <w:color w:val="000000" w:themeColor="text1"/>
                <w:sz w:val="21"/>
                <w:szCs w:val="21"/>
                <w:highlight w:val="none"/>
                <w:lang w:val="zh-CN" w:eastAsia="zh-CN" w:bidi="ar"/>
                <w14:textFill>
                  <w14:solidFill>
                    <w14:schemeClr w14:val="tx1"/>
                  </w14:solidFill>
                </w14:textFill>
              </w:rPr>
              <w:t xml:space="preserve">此项不得分</w:t>
            </w:r>
            <w:r>
              <w:rPr>
                <w:rFonts w:hint="eastAsia" w:ascii="宋体" w:hAnsi="宋体" w:eastAsia="宋体" w:cs="宋体"/>
                <w:b w:val="0"/>
                <w:bCs w:val="0"/>
                <w:color w:val="000000" w:themeColor="text1"/>
                <w:sz w:val="21"/>
                <w:szCs w:val="21"/>
                <w:highlight w:val="none"/>
                <w:lang w:val="zh-CN" w:eastAsia="zh-CN"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val="zh-CN" w:eastAsia="zh-CN" w:bidi="ar"/>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2、投标人</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或产品生产厂家</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具有家具中有害物质限量认证证书:</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（认证单元为金属家具，产品名称包含：会议桌、办公椅、更衣柜、储物柜）</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，得</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分</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，上述认证单元或产品名称不符的此项不得分</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zh-CN" w:eastAsia="zh-CN" w:bidi="ar"/>
                <w14:textFill>
                  <w14:solidFill>
                    <w14:schemeClr w14:val="tx1"/>
                  </w14:solidFill>
                </w14:textFill>
              </w:rPr>
              <w:t xml:space="preserve">（提供国家认监委网站截图，不提供不得分）</w:t>
            </w:r>
            <w:r/>
          </w:p>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投标人</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或产品生产厂家</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具有</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CEC</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中国环境标志产品认证证书</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（认证单元包含：钢木家具、金属家具、人造板类家具、软体家具）</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，得</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分。（</w:t>
            </w:r>
            <w:r>
              <w:rPr>
                <w:rFonts w:hint="eastAsia" w:ascii="宋体" w:hAnsi="宋体" w:cs="宋体"/>
                <w:b w:val="0"/>
                <w:bCs w:val="0"/>
                <w:color w:val="000000" w:themeColor="text1"/>
                <w:sz w:val="21"/>
                <w:szCs w:val="21"/>
                <w:highlight w:val="none"/>
                <w:lang w:val="zh-CN" w:eastAsia="zh-CN" w:bidi="ar"/>
                <w14:textFill>
                  <w14:solidFill>
                    <w14:schemeClr w14:val="tx1"/>
                  </w14:solidFill>
                </w14:textFill>
              </w:rPr>
              <w:t xml:space="preserve">认证范围不全或未</w:t>
            </w:r>
            <w:r>
              <w:rPr>
                <w:rFonts w:hint="eastAsia" w:ascii="宋体" w:hAnsi="宋体" w:eastAsia="宋体" w:cs="宋体"/>
                <w:b w:val="0"/>
                <w:bCs w:val="0"/>
                <w:color w:val="000000" w:themeColor="text1"/>
                <w:sz w:val="21"/>
                <w:szCs w:val="21"/>
                <w:highlight w:val="none"/>
                <w:lang w:val="zh-CN" w:eastAsia="zh-CN" w:bidi="ar"/>
                <w14:textFill>
                  <w14:solidFill>
                    <w14:schemeClr w14:val="tx1"/>
                  </w14:solidFill>
                </w14:textFill>
              </w:rPr>
              <w:t xml:space="preserve">提供国家认监委网站截图，</w:t>
            </w:r>
            <w:r>
              <w:rPr>
                <w:rFonts w:hint="eastAsia" w:ascii="宋体" w:hAnsi="宋体" w:cs="宋体"/>
                <w:b w:val="0"/>
                <w:bCs w:val="0"/>
                <w:color w:val="000000" w:themeColor="text1"/>
                <w:sz w:val="21"/>
                <w:szCs w:val="21"/>
                <w:highlight w:val="none"/>
                <w:lang w:val="zh-CN" w:eastAsia="zh-CN" w:bidi="ar"/>
                <w14:textFill>
                  <w14:solidFill>
                    <w14:schemeClr w14:val="tx1"/>
                  </w14:solidFill>
                </w14:textFill>
              </w:rPr>
              <w:t xml:space="preserve">此项不得分</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4、投标人</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或产品生产厂家</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具有</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CQC</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中国环保产品认证证书</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(产品名称和系列包含：金属办公家具、软体家具-沙发）</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，得</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分</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zh-CN" w:eastAsia="zh-CN" w:bidi="ar"/>
                <w14:textFill>
                  <w14:solidFill>
                    <w14:schemeClr w14:val="tx1"/>
                  </w14:solidFill>
                </w14:textFill>
              </w:rPr>
              <w:t xml:space="preserve">认证范围不全或未</w:t>
            </w:r>
            <w:r>
              <w:rPr>
                <w:rFonts w:hint="eastAsia" w:ascii="宋体" w:hAnsi="宋体" w:eastAsia="宋体" w:cs="宋体"/>
                <w:b w:val="0"/>
                <w:bCs w:val="0"/>
                <w:color w:val="000000" w:themeColor="text1"/>
                <w:sz w:val="21"/>
                <w:szCs w:val="21"/>
                <w:highlight w:val="none"/>
                <w:lang w:val="zh-CN" w:eastAsia="zh-CN" w:bidi="ar"/>
                <w14:textFill>
                  <w14:solidFill>
                    <w14:schemeClr w14:val="tx1"/>
                  </w14:solidFill>
                </w14:textFill>
              </w:rPr>
              <w:t xml:space="preserve">提供国家认监委网站截图，</w:t>
            </w:r>
            <w:r>
              <w:rPr>
                <w:rFonts w:hint="eastAsia" w:ascii="宋体" w:hAnsi="宋体" w:cs="宋体"/>
                <w:b w:val="0"/>
                <w:bCs w:val="0"/>
                <w:color w:val="000000" w:themeColor="text1"/>
                <w:sz w:val="21"/>
                <w:szCs w:val="21"/>
                <w:highlight w:val="none"/>
                <w:lang w:val="zh-CN" w:eastAsia="zh-CN" w:bidi="ar"/>
                <w14:textFill>
                  <w14:solidFill>
                    <w14:schemeClr w14:val="tx1"/>
                  </w14:solidFill>
                </w14:textFill>
              </w:rPr>
              <w:t xml:space="preserve">此项不得分</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w:t>
            </w:r>
            <w:r/>
          </w:p>
          <w:p>
            <w:pPr>
              <w:pStyle w:val="768"/>
              <w:ind w:left="0" w:firstLine="0"/>
              <w:rPr>
                <w:rFonts w:hint="default"/>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5、投标人</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或产品生产厂家</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具有人类工效学</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产品</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认证</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证书</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认证单元包含：会议桌、办公椅、更衣柜、储物柜</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），得</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lang w:val="zh-CN"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zh-CN" w:eastAsia="zh-CN" w:bidi="ar"/>
                <w14:textFill>
                  <w14:solidFill>
                    <w14:schemeClr w14:val="tx1"/>
                  </w14:solidFill>
                </w14:textFill>
              </w:rPr>
              <w:t xml:space="preserve">认证范围不全或未</w:t>
            </w:r>
            <w:r>
              <w:rPr>
                <w:rFonts w:hint="eastAsia" w:ascii="宋体" w:hAnsi="宋体" w:eastAsia="宋体" w:cs="宋体"/>
                <w:b w:val="0"/>
                <w:bCs w:val="0"/>
                <w:color w:val="000000" w:themeColor="text1"/>
                <w:sz w:val="21"/>
                <w:szCs w:val="21"/>
                <w:highlight w:val="none"/>
                <w:lang w:val="zh-CN" w:eastAsia="zh-CN" w:bidi="ar"/>
                <w14:textFill>
                  <w14:solidFill>
                    <w14:schemeClr w14:val="tx1"/>
                  </w14:solidFill>
                </w14:textFill>
              </w:rPr>
              <w:t xml:space="preserve">提供国家认监委网站截图，</w:t>
            </w:r>
            <w:r>
              <w:rPr>
                <w:rFonts w:hint="eastAsia" w:ascii="宋体" w:hAnsi="宋体" w:cs="宋体"/>
                <w:b w:val="0"/>
                <w:bCs w:val="0"/>
                <w:color w:val="000000" w:themeColor="text1"/>
                <w:sz w:val="21"/>
                <w:szCs w:val="21"/>
                <w:highlight w:val="none"/>
                <w:lang w:val="zh-CN" w:eastAsia="zh-CN" w:bidi="ar"/>
                <w14:textFill>
                  <w14:solidFill>
                    <w14:schemeClr w14:val="tx1"/>
                  </w14:solidFill>
                </w14:textFill>
              </w:rPr>
              <w:t xml:space="preserve">此项不得分</w:t>
            </w:r>
            <w:r>
              <w:rPr>
                <w:rFonts w:hint="eastAsia" w:ascii="宋体" w:hAnsi="宋体" w:eastAsia="宋体" w:cs="宋体"/>
                <w:b w:val="0"/>
                <w:bCs w:val="0"/>
                <w:color w:val="000000" w:themeColor="text1"/>
                <w:sz w:val="21"/>
                <w:szCs w:val="21"/>
                <w:highlight w:val="none"/>
                <w:lang w:val="zh-CN" w:eastAsia="zh-CN"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default"/>
                <w:color w:val="000000" w:themeColor="text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注：以上证书须在有效期内，提供原件扫描件。</w:t>
            </w:r>
            <w:r/>
          </w:p>
        </w:tc>
      </w:tr>
      <w:tr>
        <w:trPr>
          <w:jc w:val="center"/>
          <w:trHeight w:val="852"/>
        </w:trPr>
        <w:tc>
          <w:tcPr>
            <w:tcW w:w="6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3.3</w:t>
            </w:r>
            <w:r/>
          </w:p>
        </w:tc>
        <w:tc>
          <w:tcPr>
            <w:tcW w:w="8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实施方案</w:t>
            </w:r>
            <w:r/>
          </w:p>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tc>
        <w:tc>
          <w:tcPr>
            <w:tcW w:w="66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投标人结合项目招标需求，制定质量保证措施（包括：项目重难点分析及应对方案，专业设备、人员的投入等）</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进度保证措施（包括：项目进度计划和安排，重要节点的应对方案等）</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安装方案（包括设备安装流程、功能布局、难点分析等</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较好表述得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一般表述得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不佳表述得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无表述得0分。</w:t>
            </w:r>
            <w:r/>
          </w:p>
        </w:tc>
      </w:tr>
      <w:tr>
        <w:trPr>
          <w:jc w:val="center"/>
          <w:trHeight w:val="205"/>
        </w:trPr>
        <w:tc>
          <w:tcPr>
            <w:tcW w:w="6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p>
        </w:tc>
        <w:tc>
          <w:tcPr>
            <w:tcW w:w="8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售后服务能力</w:t>
            </w:r>
            <w:r/>
          </w:p>
        </w:tc>
        <w:tc>
          <w:tcPr>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tc>
        <w:tc>
          <w:tcPr>
            <w:tcW w:w="6645" w:type="dxa"/>
            <w:vAlign w:val="center"/>
            <w:textDirection w:val="lrTb"/>
            <w:noWrap w:val="false"/>
          </w:tcPr>
          <w:p>
            <w:pPr>
              <w:spacing w:line="240" w:lineRule="atLeast"/>
              <w:tabs>
                <w:tab w:val="left" w:pos="630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1、根据投标人提供的售后服务响应时间、问题处理时间及响应方式进行综合评分</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优秀的</w:t>
            </w:r>
            <w:r>
              <w:rPr>
                <w:rFonts w:hint="eastAsia" w:ascii="宋体" w:hAnsi="宋体" w:eastAsia="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分；一般得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有明显缺陷或未提供的不得分。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2、根据投标人提供的全寿命周期内售后服务内容、措施及保障体系进行综合评分，优秀的</w:t>
            </w:r>
            <w:r>
              <w:rPr>
                <w:rFonts w:hint="eastAsia" w:ascii="宋体" w:hAnsi="宋体" w:eastAsia="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分；一般得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有明显缺陷或未提供的不得分。</w:t>
            </w:r>
            <w:r/>
          </w:p>
          <w:p>
            <w:pPr>
              <w:keepLines w:val="0"/>
              <w:keepNext w:val="0"/>
              <w:pageBreakBefore w:val="0"/>
              <w:spacing w:line="240" w:lineRule="atLeast"/>
              <w:widowControl w:val="off"/>
              <w:tabs>
                <w:tab w:val="left" w:pos="6300" w:leader="none"/>
              </w:tabs>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lang w:eastAsia="zh-CN"/>
                <w14:textFill>
                  <w14:solidFill>
                    <w14:schemeClr w14:val="tx1"/>
                  </w14:solidFill>
                </w14:textFill>
              </w:rPr>
              <w:t xml:space="preserve">产品质保期（</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在原有5年免费</w:t>
            </w:r>
            <w:r>
              <w:rPr>
                <w:rFonts w:hint="eastAsia" w:ascii="宋体" w:hAnsi="宋体" w:eastAsia="宋体" w:cs="宋体"/>
                <w:color w:val="000000" w:themeColor="text1"/>
                <w:szCs w:val="21"/>
                <w:highlight w:val="none"/>
                <w:lang w:eastAsia="zh-CN"/>
                <w14:textFill>
                  <w14:solidFill>
                    <w14:schemeClr w14:val="tx1"/>
                  </w14:solidFill>
                </w14:textFill>
              </w:rPr>
              <w:t xml:space="preserve">质保期</w:t>
            </w:r>
            <w:r>
              <w:rPr>
                <w:rFonts w:hint="eastAsia" w:ascii="宋体" w:hAnsi="宋体" w:cs="宋体"/>
                <w:color w:val="000000" w:themeColor="text1"/>
                <w:szCs w:val="21"/>
                <w:highlight w:val="none"/>
                <w:lang w:val="en-US" w:eastAsia="zh-CN"/>
                <w14:textFill>
                  <w14:solidFill>
                    <w14:schemeClr w14:val="tx1"/>
                  </w14:solidFill>
                </w14:textFill>
              </w:rPr>
              <w:t xml:space="preserve">的基础上</w:t>
            </w:r>
            <w:r>
              <w:rPr>
                <w:rFonts w:hint="eastAsia" w:ascii="宋体" w:hAnsi="宋体" w:eastAsia="宋体" w:cs="宋体"/>
                <w:color w:val="000000" w:themeColor="text1"/>
                <w:szCs w:val="21"/>
                <w:highlight w:val="none"/>
                <w:lang w:eastAsia="zh-CN"/>
                <w14:textFill>
                  <w14:solidFill>
                    <w14:schemeClr w14:val="tx1"/>
                  </w14:solidFill>
                </w14:textFill>
              </w:rPr>
              <w:t xml:space="preserve">每延长一年得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分，最高得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w:t>
            </w:r>
            <w:r/>
          </w:p>
        </w:tc>
      </w:tr>
      <w:tr>
        <w:trPr>
          <w:jc w:val="center"/>
          <w:trHeight w:val="872"/>
        </w:trPr>
        <w:tc>
          <w:tcPr>
            <w:tcW w:w="6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8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合计</w:t>
            </w:r>
            <w:r/>
          </w:p>
        </w:tc>
        <w:tc>
          <w:tcPr>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100分</w:t>
            </w:r>
            <w:r/>
          </w:p>
        </w:tc>
        <w:tc>
          <w:tcPr>
            <w:tcW w:w="66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val="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zh-CN"/>
                <w14:textFill>
                  <w14:solidFill>
                    <w14:schemeClr w14:val="tx1"/>
                  </w14:solidFill>
                </w14:textFill>
              </w:rPr>
            </w:r>
            <w:r/>
          </w:p>
        </w:tc>
      </w:tr>
    </w:tbl>
    <w:p>
      <w:pPr>
        <w:ind w:right="0"/>
        <w:jc w:val="left"/>
        <w:keepLines w:val="0"/>
        <w:keepNext w:val="0"/>
        <w:pageBreakBefore w:val="0"/>
        <w:spacing w:line="480" w:lineRule="exact"/>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r>
      <w:r/>
    </w:p>
    <w:p>
      <w:pPr>
        <w:ind w:right="0"/>
        <w:jc w:val="left"/>
        <w:keepLines w:val="0"/>
        <w:keepNext w:val="0"/>
        <w:pageBreakBefore w:val="0"/>
        <w:spacing w:line="400" w:lineRule="exact"/>
        <w:widowControl w:val="off"/>
        <w:rPr>
          <w:rFonts w:hint="default" w:ascii="宋体" w:hAnsi="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bidi="ar"/>
          <w14:textFill>
            <w14:solidFill>
              <w14:schemeClr w14:val="tx1"/>
            </w14:solidFill>
          </w14:textFill>
        </w:rPr>
        <w:t xml:space="preserve">注</w:t>
      </w:r>
      <w:r>
        <w:rPr>
          <w:rFonts w:hint="eastAsia" w:ascii="宋体" w:hAnsi="宋体" w:eastAsia="宋体" w:cs="宋体"/>
          <w:b/>
          <w:bCs/>
          <w:color w:val="000000" w:themeColor="text1"/>
          <w:sz w:val="24"/>
          <w:highlight w:val="none"/>
          <w:lang w:eastAsia="zh-CN" w:bidi="ar"/>
          <w14:textFill>
            <w14:solidFill>
              <w14:schemeClr w14:val="tx1"/>
            </w14:solidFill>
          </w14:textFill>
        </w:rPr>
        <w:t xml:space="preserve">：</w:t>
      </w:r>
      <w:r>
        <w:rPr>
          <w:rFonts w:hint="eastAsia" w:ascii="宋体" w:hAnsi="宋体" w:cs="宋体"/>
          <w:b/>
          <w:bCs/>
          <w:color w:val="000000" w:themeColor="text1"/>
          <w:sz w:val="24"/>
          <w:highlight w:val="none"/>
          <w:lang w:val="en-US" w:eastAsia="zh-CN" w:bidi="ar"/>
          <w14:textFill>
            <w14:solidFill>
              <w14:schemeClr w14:val="tx1"/>
            </w14:solidFill>
          </w14:textFill>
        </w:rPr>
        <w:t xml:space="preserve">1、本次招标核心产品</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为单人塑钢调节课桌凳</w:t>
      </w:r>
      <w:r/>
    </w:p>
    <w:p>
      <w:pPr>
        <w:ind w:right="0" w:firstLine="482"/>
        <w:jc w:val="left"/>
        <w:keepLines w:val="0"/>
        <w:keepNext w:val="0"/>
        <w:pageBreakBefore w:val="0"/>
        <w:spacing w:line="400" w:lineRule="exact"/>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以上所有要求提供的证明材料在投标截止时间之前</w:t>
      </w:r>
      <w:r>
        <w:rPr>
          <w:rFonts w:hint="eastAsia" w:ascii="宋体" w:hAnsi="宋体" w:cs="宋体"/>
          <w:b/>
          <w:bCs/>
          <w:color w:val="000000" w:themeColor="text1"/>
          <w:sz w:val="24"/>
          <w:highlight w:val="none"/>
          <w:lang w:val="en-US" w:eastAsia="zh-CN"/>
          <w14:textFill>
            <w14:solidFill>
              <w14:schemeClr w14:val="tx1"/>
            </w14:solidFill>
          </w14:textFill>
        </w:rPr>
        <w:t xml:space="preserve">原件</w:t>
      </w:r>
      <w:r>
        <w:rPr>
          <w:rFonts w:hint="eastAsia" w:ascii="宋体" w:hAnsi="宋体" w:eastAsia="宋体" w:cs="宋体"/>
          <w:b/>
          <w:bCs/>
          <w:color w:val="000000" w:themeColor="text1"/>
          <w:sz w:val="24"/>
          <w:highlight w:val="none"/>
          <w14:textFill>
            <w14:solidFill>
              <w14:schemeClr w14:val="tx1"/>
            </w14:solidFill>
          </w14:textFill>
        </w:rPr>
        <w:t xml:space="preserve">扫描件加盖单位</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公</w:t>
      </w:r>
      <w:r>
        <w:rPr>
          <w:rFonts w:hint="eastAsia" w:ascii="宋体" w:hAnsi="宋体" w:eastAsia="宋体" w:cs="宋体"/>
          <w:b/>
          <w:bCs/>
          <w:color w:val="000000" w:themeColor="text1"/>
          <w:sz w:val="24"/>
          <w:highlight w:val="none"/>
          <w14:textFill>
            <w14:solidFill>
              <w14:schemeClr w14:val="tx1"/>
            </w14:solidFill>
          </w14:textFill>
        </w:rPr>
        <w:t xml:space="preserve">章或者电子签章上传，用投标文件制作工具制作并生成上传至</w:t>
      </w:r>
      <w:r>
        <w:rPr>
          <w:rFonts w:hint="eastAsia" w:ascii="宋体" w:hAnsi="宋体" w:eastAsia="宋体" w:cs="宋体"/>
          <w:b/>
          <w:bCs/>
          <w:color w:val="000000" w:themeColor="text1"/>
          <w:sz w:val="24"/>
          <w:highlight w:val="none"/>
          <w:lang w:eastAsia="zh-CN"/>
          <w14:textFill>
            <w14:solidFill>
              <w14:schemeClr w14:val="tx1"/>
            </w14:solidFill>
          </w14:textFill>
        </w:rPr>
        <w:t xml:space="preserve">苏采云</w:t>
      </w:r>
      <w:r>
        <w:rPr>
          <w:rFonts w:hint="eastAsia" w:ascii="宋体" w:hAnsi="宋体" w:eastAsia="宋体" w:cs="宋体"/>
          <w:b/>
          <w:bCs/>
          <w:color w:val="000000" w:themeColor="text1"/>
          <w:sz w:val="24"/>
          <w:highlight w:val="none"/>
          <w14:textFill>
            <w14:solidFill>
              <w14:schemeClr w14:val="tx1"/>
            </w14:solidFill>
          </w14:textFill>
        </w:rPr>
        <w:t xml:space="preserve">平台。</w:t>
      </w:r>
      <w:r/>
    </w:p>
    <w:p>
      <w:pPr>
        <w:numPr>
          <w:ilvl w:val="0"/>
          <w:numId w:val="0"/>
        </w:numPr>
        <w:ind w:right="0" w:firstLine="482"/>
        <w:keepLines w:val="0"/>
        <w:keepNext w:val="0"/>
        <w:pageBreakBefore w:val="0"/>
        <w:spacing w:line="400" w:lineRule="exact"/>
        <w:widowControl w:val="off"/>
        <w:rPr>
          <w:rFonts w:hint="eastAsia" w:ascii="宋体" w:hAnsi="宋体" w:eastAsia="宋体" w:cs="宋体"/>
          <w:b/>
          <w:bCs/>
          <w:sz w:val="36"/>
          <w:szCs w:val="36"/>
          <w:highlight w:val="none"/>
        </w:rPr>
      </w:pPr>
      <w:r>
        <w:rPr>
          <w:rFonts w:hint="eastAsia" w:ascii="宋体" w:hAnsi="宋体" w:cs="宋体"/>
          <w:b/>
          <w:bCs/>
          <w:sz w:val="24"/>
          <w:szCs w:val="24"/>
          <w:highlight w:val="none"/>
          <w:lang w:val="en-US" w:eastAsia="zh-CN" w:bidi="ar-SA"/>
        </w:rPr>
        <w:t xml:space="preserve">3</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所提供的资格证明材料应真实、有效，采购人保留对</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提供的资格证明材料进行核查的权利。如发现</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提供虚假资格证明材料，采购人将按相关规定对其进行严肃处理。</w:t>
      </w:r>
      <w:r/>
    </w:p>
    <w:p>
      <w:pPr>
        <w:ind w:right="0" w:firstLine="560"/>
        <w:keepLines w:val="0"/>
        <w:keepNext w:val="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jc w:val="center"/>
        <w:keepLines w:val="0"/>
        <w:keepNext w:val="0"/>
        <w:pageBreakBefore w:val="0"/>
        <w:spacing w:line="360" w:lineRule="auto"/>
        <w:widowControl w:val="off"/>
        <w:rPr>
          <w:rFonts w:hint="eastAsia" w:ascii="宋体" w:hAnsi="宋体" w:eastAsia="宋体" w:cs="宋体"/>
          <w:b/>
          <w:bCs/>
          <w:sz w:val="32"/>
          <w:szCs w:val="32"/>
          <w:highlight w:val="none"/>
        </w:rPr>
      </w:pPr>
      <w:r/>
      <w:bookmarkStart w:id="34" w:name="_Toc26585"/>
      <w:r/>
      <w:r/>
    </w:p>
    <w:p>
      <w:pPr>
        <w:ind w:right="0"/>
        <w:jc w:val="center"/>
        <w:keepLines w:val="0"/>
        <w:keepNext w:val="0"/>
        <w:pageBreakBefore w:val="0"/>
        <w:spacing w:line="360" w:lineRule="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0"/>
        <w:jc w:val="center"/>
        <w:keepLines w:val="0"/>
        <w:keepNext w:val="0"/>
        <w:pageBreakBefore w:val="0"/>
        <w:spacing w:line="360" w:lineRule="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0"/>
        <w:jc w:val="center"/>
        <w:keepLines w:val="0"/>
        <w:keepNext w:val="0"/>
        <w:pageBreakBefore w:val="0"/>
        <w:spacing w:line="360" w:lineRule="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0"/>
        <w:jc w:val="center"/>
        <w:keepLines w:val="0"/>
        <w:keepNext w:val="0"/>
        <w:pageBreakBefore w:val="0"/>
        <w:spacing w:line="360" w:lineRule="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0"/>
        <w:jc w:val="center"/>
        <w:keepLines w:val="0"/>
        <w:keepNext w:val="0"/>
        <w:pageBreakBefore w:val="0"/>
        <w:spacing w:line="360" w:lineRule="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0"/>
        <w:jc w:val="center"/>
        <w:keepLines w:val="0"/>
        <w:keepNext w:val="0"/>
        <w:pageBreakBefore w:val="0"/>
        <w:spacing w:line="360" w:lineRule="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0"/>
        <w:jc w:val="center"/>
        <w:keepLines w:val="0"/>
        <w:keepNext w:val="0"/>
        <w:pageBreakBefore w:val="0"/>
        <w:spacing w:line="360" w:lineRule="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0"/>
        <w:jc w:val="center"/>
        <w:keepLines w:val="0"/>
        <w:keepNext w:val="0"/>
        <w:pageBreakBefore w:val="0"/>
        <w:spacing w:line="360" w:lineRule="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4"/>
        <w:rPr>
          <w:rFonts w:hint="eastAsia"/>
        </w:rPr>
      </w:pPr>
      <w:r>
        <w:rPr>
          <w:rFonts w:hint="eastAsia"/>
        </w:rPr>
      </w:r>
      <w:r/>
    </w:p>
    <w:p>
      <w:pPr>
        <w:pStyle w:val="744"/>
        <w:rPr>
          <w:rFonts w:hint="eastAsia"/>
        </w:rPr>
      </w:pPr>
      <w:r>
        <w:rPr>
          <w:rFonts w:hint="eastAsia"/>
        </w:rPr>
      </w:r>
      <w:r/>
    </w:p>
    <w:p>
      <w:pPr>
        <w:rPr>
          <w:rFonts w:hint="eastAsia"/>
        </w:rPr>
      </w:pPr>
      <w:r>
        <w:rPr>
          <w:rFonts w:hint="eastAsia"/>
        </w:rPr>
      </w:r>
      <w:r/>
    </w:p>
    <w:p>
      <w:pPr>
        <w:pStyle w:val="744"/>
        <w:rPr>
          <w:rFonts w:hint="eastAsia"/>
        </w:rPr>
      </w:pPr>
      <w:r>
        <w:rPr>
          <w:rFonts w:hint="eastAsia"/>
        </w:rPr>
      </w:r>
      <w:r/>
    </w:p>
    <w:p>
      <w:pPr>
        <w:rPr>
          <w:rFonts w:hint="eastAsia"/>
        </w:rPr>
      </w:pPr>
      <w:r>
        <w:rPr>
          <w:rFonts w:hint="eastAsia"/>
        </w:rPr>
      </w:r>
      <w:r/>
    </w:p>
    <w:p>
      <w:pPr>
        <w:pStyle w:val="744"/>
        <w:rPr>
          <w:rFonts w:hint="eastAsia"/>
        </w:rPr>
      </w:pPr>
      <w:r>
        <w:rPr>
          <w:rFonts w:hint="eastAsia"/>
        </w:rPr>
      </w:r>
      <w:r/>
    </w:p>
    <w:p>
      <w:pPr>
        <w:rPr>
          <w:rFonts w:hint="eastAsia"/>
        </w:rPr>
      </w:pPr>
      <w:r>
        <w:rPr>
          <w:rFonts w:hint="eastAsia"/>
        </w:rPr>
      </w:r>
      <w:r/>
    </w:p>
    <w:p>
      <w:pPr>
        <w:pStyle w:val="744"/>
        <w:rPr>
          <w:rFonts w:hint="eastAsia"/>
        </w:rPr>
      </w:pPr>
      <w:r>
        <w:rPr>
          <w:rFonts w:hint="eastAsia"/>
        </w:rPr>
      </w:r>
      <w:r/>
    </w:p>
    <w:p>
      <w:pPr>
        <w:rPr>
          <w:rFonts w:hint="eastAsia"/>
        </w:rPr>
      </w:pPr>
      <w:r>
        <w:rPr>
          <w:rFonts w:hint="eastAsia"/>
        </w:rPr>
      </w:r>
      <w:r/>
    </w:p>
    <w:p>
      <w:pPr>
        <w:pStyle w:val="744"/>
        <w:rPr>
          <w:rFonts w:hint="eastAsia"/>
        </w:rPr>
      </w:pPr>
      <w:r>
        <w:rPr>
          <w:rFonts w:hint="eastAsia"/>
        </w:rPr>
      </w:r>
      <w:r/>
    </w:p>
    <w:p>
      <w:pPr>
        <w:rPr>
          <w:rFonts w:hint="eastAsia"/>
        </w:rPr>
      </w:pPr>
      <w:r>
        <w:rPr>
          <w:rFonts w:hint="eastAsia"/>
        </w:rPr>
      </w:r>
      <w:r/>
    </w:p>
    <w:p>
      <w:pPr>
        <w:pStyle w:val="744"/>
        <w:rPr>
          <w:rFonts w:hint="eastAsia"/>
        </w:rPr>
      </w:pPr>
      <w:r>
        <w:rPr>
          <w:rFonts w:hint="eastAsia"/>
        </w:rPr>
      </w:r>
      <w:r/>
    </w:p>
    <w:p>
      <w:pPr>
        <w:rPr>
          <w:rFonts w:hint="eastAsia"/>
        </w:rPr>
      </w:pPr>
      <w:r>
        <w:rPr>
          <w:rFonts w:hint="eastAsia"/>
        </w:rPr>
      </w:r>
      <w:r/>
    </w:p>
    <w:p>
      <w:pPr>
        <w:pStyle w:val="744"/>
        <w:rPr>
          <w:rFonts w:hint="eastAsia"/>
        </w:rPr>
      </w:pPr>
      <w:r>
        <w:rPr>
          <w:rFonts w:hint="eastAsia"/>
        </w:rPr>
      </w:r>
      <w:r/>
    </w:p>
    <w:p>
      <w:pPr>
        <w:rPr>
          <w:rFonts w:hint="eastAsia"/>
        </w:rPr>
      </w:pPr>
      <w:r>
        <w:rPr>
          <w:rFonts w:hint="eastAsia"/>
        </w:rPr>
      </w:r>
      <w:r/>
    </w:p>
    <w:p>
      <w:pPr>
        <w:pStyle w:val="744"/>
        <w:rPr>
          <w:rFonts w:hint="eastAsia"/>
        </w:rPr>
      </w:pPr>
      <w:r>
        <w:rPr>
          <w:rFonts w:hint="eastAsia"/>
        </w:rPr>
      </w:r>
      <w:r/>
    </w:p>
    <w:p>
      <w:pPr>
        <w:rPr>
          <w:rFonts w:hint="eastAsia"/>
        </w:rPr>
      </w:pPr>
      <w:r>
        <w:rPr>
          <w:rFonts w:hint="eastAsia"/>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bCs/>
          <w:sz w:val="32"/>
          <w:szCs w:val="32"/>
          <w:highlight w:val="none"/>
        </w:rPr>
        <w:t xml:space="preserve">第四章  </w:t>
      </w:r>
      <w:bookmarkEnd w:id="34"/>
      <w:r/>
      <w:bookmarkStart w:id="35" w:name="_Toc9610_WPSOffice_Level1"/>
      <w:r>
        <w:rPr>
          <w:rFonts w:hint="eastAsia" w:ascii="宋体" w:hAnsi="宋体" w:eastAsia="宋体" w:cs="宋体"/>
          <w:b/>
          <w:color w:val="auto"/>
          <w:sz w:val="36"/>
          <w:szCs w:val="36"/>
          <w:highlight w:val="none"/>
        </w:rPr>
        <w:t xml:space="preserve">合同格式及条款</w:t>
      </w:r>
      <w:r/>
    </w:p>
    <w:p>
      <w:pPr>
        <w:pStyle w:val="750"/>
        <w:keepLines w:val="0"/>
        <w:keepNext w:val="0"/>
        <w:pageBreakBefore w:val="0"/>
        <w:spacing w:before="55" w:line="240"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pStyle w:val="750"/>
        <w:jc w:val="center"/>
        <w:keepLines w:val="0"/>
        <w:keepNext w:val="0"/>
        <w:pageBreakBefore w:val="0"/>
        <w:spacing w:before="55"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pacing w:val="7"/>
          <w:sz w:val="24"/>
          <w:szCs w:val="24"/>
          <w:highlight w:val="none"/>
        </w:rPr>
        <w:t xml:space="preserve">合同条款前附表</w:t>
      </w:r>
      <w:r/>
    </w:p>
    <w:tbl>
      <w:tblPr>
        <w:tblStyle w:val="743"/>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3"/>
        <w:gridCol w:w="8709"/>
      </w:tblGrid>
      <w:tr>
        <w:trPr>
          <w:jc w:val="center"/>
          <w:trHeight w:val="454" w:hRule="exact"/>
          <w:tblHeader/>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rPr>
                <w:rFonts w:hint="eastAsia" w:ascii="宋体" w:hAnsi="宋体" w:eastAsia="宋体" w:cs="宋体"/>
                <w:b w:val="0"/>
                <w:bCs w:val="0"/>
                <w:sz w:val="28"/>
                <w:highlight w:val="none"/>
              </w:rPr>
            </w:pPr>
            <w:r>
              <w:rPr>
                <w:rFonts w:hint="eastAsia" w:ascii="宋体" w:hAnsi="宋体" w:eastAsia="宋体" w:cs="宋体"/>
                <w:b w:val="0"/>
                <w:bCs w:val="0"/>
                <w:sz w:val="28"/>
                <w:highlight w:val="none"/>
              </w:rPr>
              <w:t xml:space="preserve">序号</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ind w:left="0" w:right="0" w:firstLine="0"/>
              <w:jc w:val="center"/>
              <w:rPr>
                <w:rFonts w:hint="eastAsia" w:ascii="宋体" w:hAnsi="宋体" w:eastAsia="宋体" w:cs="宋体"/>
                <w:b w:val="0"/>
                <w:bCs w:val="0"/>
                <w:sz w:val="28"/>
                <w:highlight w:val="none"/>
              </w:rPr>
            </w:pPr>
            <w:r>
              <w:rPr>
                <w:rFonts w:hint="eastAsia" w:ascii="宋体" w:hAnsi="宋体" w:eastAsia="宋体" w:cs="宋体"/>
                <w:b w:val="0"/>
                <w:bCs w:val="0"/>
                <w:sz w:val="28"/>
                <w:highlight w:val="none"/>
              </w:rPr>
              <w:t xml:space="preserve">内容</w:t>
            </w:r>
            <w:r/>
          </w:p>
        </w:tc>
      </w:tr>
      <w:tr>
        <w:trPr>
          <w:jc w:val="center"/>
          <w:trHeight w:val="1432" w:hRule="exact"/>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spacing w:line="24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numPr>
                <w:ilvl w:val="0"/>
                <w:numId w:val="0"/>
              </w:numPr>
              <w:ind w:right="0"/>
              <w:jc w:val="both"/>
              <w:keepLines w:val="0"/>
              <w:keepNext w:val="0"/>
              <w:spacing w:before="0" w:beforeAutospacing="0" w:after="0" w:afterAutospacing="0" w:line="360" w:lineRule="atLeast"/>
              <w:widowControl/>
              <w:rPr>
                <w:rFonts w:hint="eastAsia" w:ascii="宋体" w:hAnsi="宋体" w:eastAsia="宋体" w:cs="宋体"/>
                <w:b w:val="0"/>
                <w:bCs w:val="0"/>
                <w:sz w:val="24"/>
                <w:highlight w:val="none"/>
                <w:lang w:val="en-US"/>
              </w:rPr>
              <w:pBdr>
                <w:top w:val="none" w:color="auto" w:sz="0" w:space="0"/>
                <w:left w:val="none" w:color="auto" w:sz="0" w:space="0"/>
                <w:bottom w:val="none" w:color="auto" w:sz="0" w:space="0"/>
                <w:right w:val="none" w:color="auto" w:sz="0" w:space="0"/>
              </w:pBdr>
              <w:suppressLineNumbers w:val="0"/>
            </w:pPr>
            <w:r>
              <w:rPr>
                <w:rStyle w:val="770"/>
                <w:rFonts w:hint="eastAsia" w:ascii="宋体" w:hAnsi="宋体" w:eastAsia="宋体" w:cs="宋体"/>
                <w:b/>
                <w:bCs/>
                <w:color w:val="1f2329"/>
                <w:sz w:val="24"/>
                <w:szCs w:val="24"/>
                <w:highlight w:val="none"/>
                <w:lang w:val="en-US" w:eastAsia="zh-CN" w:bidi="ar"/>
              </w:rPr>
              <w:t xml:space="preserve">付款方式：合同签订后预付合同价款的40%，项目全部供货、安装、调试、验收合格并正式交付使用后，采购人支付合同价款的60%尾款。如因财政审批导致的迟延支付，采购人不承担迟延支付的违约责任，付款进度以财政资金下款时间为准。</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spacing w:line="24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ind w:left="0" w:right="0" w:firstLine="0"/>
              <w:jc w:val="left"/>
              <w:spacing w:line="240" w:lineRule="auto"/>
              <w:rPr>
                <w:rFonts w:hint="eastAsia" w:ascii="宋体" w:hAnsi="宋体" w:eastAsia="宋体" w:cs="宋体"/>
                <w:b w:val="0"/>
                <w:bCs w:val="0"/>
                <w:sz w:val="24"/>
                <w:highlight w:val="none"/>
                <w:lang w:val="en-US"/>
              </w:rPr>
            </w:pPr>
            <w:r>
              <w:rPr>
                <w:rFonts w:hint="eastAsia" w:ascii="宋体" w:hAnsi="宋体" w:cs="宋体"/>
                <w:b w:val="0"/>
                <w:bCs w:val="0"/>
                <w:color w:val="auto"/>
                <w:sz w:val="24"/>
                <w:szCs w:val="24"/>
                <w:highlight w:val="none"/>
                <w:shd w:val="clear" w:color="auto" w:fill="auto"/>
                <w:lang w:val="en-US" w:eastAsia="zh-CN"/>
              </w:rPr>
              <w:t xml:space="preserve">供货期</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cs="宋体"/>
                <w:sz w:val="24"/>
                <w:szCs w:val="24"/>
                <w:highlight w:val="none"/>
                <w:lang w:val="en-US" w:eastAsia="zh-CN"/>
              </w:rPr>
              <w:t xml:space="preserve">合同签订后30天内供货完毕并验收合格</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ind w:left="0" w:right="0" w:firstLine="0"/>
              <w:jc w:val="left"/>
              <w:spacing w:line="240" w:lineRule="auto"/>
              <w:rPr>
                <w:rFonts w:hint="eastAsia" w:ascii="宋体" w:hAnsi="宋体" w:cs="宋体"/>
                <w:sz w:val="24"/>
                <w:highlight w:val="none"/>
              </w:rPr>
            </w:pPr>
            <w:r>
              <w:rPr>
                <w:rFonts w:hint="eastAsia" w:ascii="宋体" w:hAnsi="宋体" w:cs="宋体"/>
                <w:sz w:val="24"/>
                <w:highlight w:val="none"/>
              </w:rPr>
              <w:t xml:space="preserve">收货地点：按采购人要求</w:t>
            </w:r>
            <w:r/>
          </w:p>
        </w:tc>
      </w:tr>
    </w:tbl>
    <w:p>
      <w:pPr>
        <w:pStyle w:val="750"/>
        <w:ind w:firstLine="470"/>
        <w:jc w:val="center"/>
        <w:keepLines w:val="0"/>
        <w:keepNext w:val="0"/>
        <w:pageBreakBefore w:val="0"/>
        <w:spacing w:before="114"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 xml:space="preserve">合同</w:t>
      </w:r>
      <w:r>
        <w:rPr>
          <w:rFonts w:hint="eastAsia" w:ascii="宋体" w:hAnsi="宋体" w:eastAsia="宋体" w:cs="宋体"/>
          <w:b/>
          <w:bCs/>
          <w:spacing w:val="-3"/>
          <w:sz w:val="24"/>
          <w:szCs w:val="24"/>
          <w:highlight w:val="none"/>
          <w:lang w:eastAsia="zh-CN"/>
        </w:rPr>
        <w:t xml:space="preserve">通用</w:t>
      </w:r>
      <w:r>
        <w:rPr>
          <w:rFonts w:hint="eastAsia" w:ascii="宋体" w:hAnsi="宋体" w:eastAsia="宋体" w:cs="宋体"/>
          <w:b/>
          <w:bCs/>
          <w:spacing w:val="-3"/>
          <w:sz w:val="24"/>
          <w:szCs w:val="24"/>
          <w:highlight w:val="none"/>
        </w:rPr>
        <w:t xml:space="preserve">条款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1.定义</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本合同中的下列术语应解释为：</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“合同”系指买方与卖方签署的、合同格式中列明的买方与卖方所达成的协议，包括所有的附件、附录和构成合同的所有文件。</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“合同价”系指根据合同规定，卖方在完全履行合同义务后买方应支付给卖方的价格。</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“货物”系指卖方按合同要求，须向买方提供的一切设备、机械、仪表、备件、工具、手册和其他技术资料及其他材料。</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“服务”系指根据合同规定卖方承担与供货有关的所有辅助服务，如运输、保险以及其它的服务，如安装、调试、提供技术援助、培训及其他类似的义务。</w:t>
      </w:r>
      <w:r/>
    </w:p>
    <w:p>
      <w:pPr>
        <w:ind w:firstLine="480"/>
        <w:keepLines w:val="0"/>
        <w:keepNext w:val="0"/>
        <w:pageBreakBefore w:val="0"/>
        <w:spacing w:line="440" w:lineRule="exact"/>
        <w:widowControl w:val="off"/>
        <w:rPr>
          <w:rFonts w:hint="eastAsia" w:ascii="宋体" w:hAnsi="宋体" w:eastAsia="宋体" w:cs="宋体"/>
          <w:sz w:val="24"/>
          <w:highlight w:val="none"/>
          <w:lang w:eastAsia="zh-CN"/>
        </w:rPr>
      </w:pPr>
      <w:r>
        <w:rPr>
          <w:rFonts w:hint="eastAsia" w:ascii="宋体" w:hAnsi="宋体" w:cs="宋体"/>
          <w:sz w:val="24"/>
          <w:highlight w:val="none"/>
        </w:rPr>
        <w:t xml:space="preserve">（5</w:t>
      </w:r>
      <w:r>
        <w:rPr>
          <w:rFonts w:hint="eastAsia" w:ascii="宋体" w:hAnsi="宋体" w:cs="宋体"/>
          <w:sz w:val="24"/>
          <w:highlight w:val="none"/>
          <w:lang w:eastAsia="zh-CN"/>
        </w:rPr>
        <w:t xml:space="preserve">）</w:t>
      </w:r>
      <w:r>
        <w:rPr>
          <w:rFonts w:hint="eastAsia" w:ascii="宋体" w:hAnsi="宋体" w:cs="宋体"/>
          <w:sz w:val="24"/>
          <w:highlight w:val="none"/>
        </w:rPr>
        <w:t xml:space="preserve">“买方”系指</w:t>
      </w:r>
      <w:r>
        <w:rPr>
          <w:rFonts w:hint="eastAsia" w:ascii="宋体" w:hAnsi="宋体" w:cs="宋体"/>
          <w:sz w:val="24"/>
          <w:highlight w:val="none"/>
          <w:lang w:eastAsia="zh-CN"/>
        </w:rPr>
        <w:t xml:space="preserve">金湖县教育体育局。</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lang w:eastAsia="zh-CN"/>
        </w:rPr>
        <w:t xml:space="preserve">）</w:t>
      </w:r>
      <w:r>
        <w:rPr>
          <w:rFonts w:hint="eastAsia" w:ascii="宋体" w:hAnsi="宋体" w:cs="宋体"/>
          <w:sz w:val="24"/>
          <w:highlight w:val="none"/>
        </w:rPr>
        <w:t xml:space="preserve">“卖方”系指提供货物和服务的供应商。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2.技术规格</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2.1卖方所提供货物的技术规格应与招标文件规定的技术规格以及所附的技术规格响应偏离表相一致。</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3.专利权</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4.包装要求</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4.2每件包装箱内应附一份详细装箱单和质量合格标识。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4.3 所有包装物，买方不负责退还并且不承担任何费用。</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5.装运条件</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5.1根据采购人指定地点，卖方负责安排运输，运输费由卖方承担。</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6.付款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6.1本合同以人民币付款。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6.2卖方应按照与买方签订的合同规定交货。交货后卖方向买方提供下列单据，买方按合同规定审核后付款：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发票；</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制造厂家出具的质量检验合格证书等；</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装箱单；</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采购人加盖公章证明货物交付使用合格的验收表；</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lang w:eastAsia="zh-CN"/>
        </w:rPr>
        <w:t xml:space="preserve">）</w:t>
      </w:r>
      <w:r>
        <w:rPr>
          <w:rFonts w:hint="eastAsia" w:ascii="宋体" w:hAnsi="宋体" w:cs="宋体"/>
          <w:sz w:val="24"/>
          <w:highlight w:val="none"/>
        </w:rPr>
        <w:t xml:space="preserve">双方确认的验收合格证书。</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6.3买方将按“合同条款前附表”规定的付款计划安排付款。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7.伴随服务</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7.1卖方应按照国家有关规定和合同中所附的服务承诺无偿提供服务。</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7.2除第7.1条规定外，卖方还应提供下列服务：</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货物的现场安装和启动监督；</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提供货物组装和维修所需的工具；</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在合同中卖方承诺的期限内对所提供货物实施运行监督、维修，但前提条件是该服务并不能免除卖方在质量保证期内应承担的义务；</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在项目交货现场就货物的安装、启动、运行、维护对买方人员进行培训。</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7.3伴随服务的费用应含在合同价中，不另行支付其他任何费用。</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8.质量保证</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8.1卖方所提供货物必须符合招标文件要求并不低于国家有关标准。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8.4卖方在收到通知后，应在合同中所附服务承诺约定的时间内免费维修、更换有缺陷的货物或部件。</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8.5如果卖方在收到通知后，在合同中所附服务承诺约定的时间内没有弥补缺陷，买方可采取必要的补救措施，但风险和费用将由卖方承担。</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9.检验</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9.1在发货前，卖方应对货物的质量、规格、性能、数量和重量等进行准确而全面的检验，并出具一份证明货物符合合同规定的证书。但有关质量、规格、性能、数量或重量的检验不应视为最终检验。卖方检验的结果和细节应附在检验证书后面。</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9.2买方将在卖方交货并收到卖方提供的相应验收资料及验收通知后三个工作日内组织验收，如果货物的质量和规格与合同规定相符，买方应及时填写验收表，加盖公章后报给采购中心，但货物的质量的规格与合同规定不符买方可以拒收。在质量保证期内发现货物是有缺陷的，包括潜在缺陷或使用不符合要求的材料，买方应报请法定检验机构进行检查，并有权凭其出具的检验报告向卖方提出索赔。卖方应负责对设备的安装调试确保合格，买方出具的调试合格确认书是支付货款的条件之一。</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10.索赔</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10.1买方有权根据法定检验机构出具的检验报告，向卖方提出索赔。</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10.2根据合同规定的检验期和质量保证期内，如果卖方对买方提出的索赔和差异负有责任，卖方应按照买方同意的下列一种或多种方式解决索赔事宜；</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根据货物的低劣程度、损坏程度以及买方所遭损失的数额，卖方必须降低货物的价格。</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用符合合同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缴纳的履约保证金中扣回索赔金额并报监管部门备案，或采用法律手段解决索赔事宜。</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11.卖方迟交货、安装</w:t>
      </w:r>
      <w:r/>
    </w:p>
    <w:p>
      <w:pPr>
        <w:ind w:firstLine="480"/>
        <w:jc w:val="left"/>
        <w:keepLines w:val="0"/>
        <w:keepNext w:val="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11.1卖方应在规定时间内完成安装、验收，并交付买方验收使用。如卖方无正当理由未在</w:t>
      </w:r>
      <w:r>
        <w:rPr>
          <w:rFonts w:hint="eastAsia" w:ascii="宋体" w:hAnsi="宋体" w:cs="宋体"/>
          <w:color w:val="000000"/>
          <w:sz w:val="24"/>
          <w:highlight w:val="none"/>
          <w:lang w:eastAsia="zh-CN"/>
        </w:rPr>
        <w:t xml:space="preserve">规定时间</w:t>
      </w:r>
      <w:r>
        <w:rPr>
          <w:rFonts w:hint="eastAsia" w:ascii="宋体" w:hAnsi="宋体" w:cs="宋体"/>
          <w:color w:val="000000"/>
          <w:sz w:val="24"/>
          <w:highlight w:val="none"/>
        </w:rPr>
        <w:t xml:space="preserve">内完成，或不满足本项目要求的，或无故拖延安装、验收及交付时间的，将受到以下制裁：责令整改，加收误期赔偿直至终止合同。</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pStyle w:val="748"/>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11.3卖方无正当理由出现11.1条情形的，卖方有权按合同规定条款执行外，同时有权追究卖方的赔偿责任，并上报相关主管部门对其进行相应处罚。</w:t>
      </w:r>
      <w:r/>
    </w:p>
    <w:p>
      <w:pPr>
        <w:pStyle w:val="748"/>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12.误期赔偿</w:t>
      </w:r>
      <w:r/>
    </w:p>
    <w:p>
      <w:pPr>
        <w:pStyle w:val="748"/>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cs="宋体"/>
          <w:sz w:val="24"/>
          <w:highlight w:val="none"/>
        </w:rPr>
        <w:t xml:space="preserve">12.1除合同条款第13条规定外，如果卖方没有按照合同规定的时间交货和提供服务，买方将从货款中扣除误期赔偿费而不影响合同项目的其他补救方法，</w:t>
      </w:r>
      <w:r>
        <w:rPr>
          <w:rFonts w:hint="eastAsia" w:ascii="宋体" w:hAnsi="宋体" w:eastAsia="宋体" w:cs="宋体"/>
          <w:sz w:val="24"/>
          <w:szCs w:val="24"/>
          <w:highlight w:val="none"/>
          <w:lang w:eastAsia="zh-CN"/>
        </w:rPr>
        <w:t xml:space="preserve">其他违约条款详见合同协议书第十四条违约责任</w:t>
      </w:r>
      <w:r>
        <w:rPr>
          <w:rFonts w:hint="eastAsia" w:ascii="宋体" w:hAnsi="宋体" w:eastAsia="宋体" w:cs="宋体"/>
          <w:sz w:val="24"/>
          <w:szCs w:val="24"/>
          <w:highlight w:val="none"/>
        </w:rPr>
        <w:t xml:space="preserve">。</w:t>
      </w:r>
      <w:r/>
    </w:p>
    <w:p>
      <w:pPr>
        <w:pStyle w:val="748"/>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13.不可抗力</w:t>
      </w:r>
      <w:r/>
    </w:p>
    <w:p>
      <w:pPr>
        <w:pStyle w:val="748"/>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13.1尽管有合同条款第11条、12条和17条的规定，如果卖方因不可抗力而导致合同实施延误或不能履行合同义务的话，不应该被没收履约保证金，也不应该承担误期赔偿或终止合同的责任。</w:t>
      </w:r>
      <w:r/>
    </w:p>
    <w:p>
      <w:pPr>
        <w:pStyle w:val="748"/>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13.2本条所述的“不可抗力”系指那些卖方无法控制、不可预见的事件，但不包括卖方的违约或疏忽。这些事件包括：战争、严重火灾、洪水、台风、地震以及其它买方和卖方商定的事件。</w:t>
      </w:r>
      <w:r/>
    </w:p>
    <w:p>
      <w:pPr>
        <w:pStyle w:val="748"/>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pStyle w:val="748"/>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14.税费</w:t>
      </w:r>
      <w:r/>
    </w:p>
    <w:p>
      <w:pPr>
        <w:pStyle w:val="748"/>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14.1中国政府根据现行税法规定对买方征收的、与本合同有关的一切税费，均由买方负担，招标文件另有规定的除外。</w:t>
      </w:r>
      <w:r/>
    </w:p>
    <w:p>
      <w:pPr>
        <w:pStyle w:val="748"/>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14.2中国政府根据现行税法规定对卖方征收的、与本合同有关的一切税费，均由卖方负担。</w:t>
      </w:r>
      <w:r/>
    </w:p>
    <w:p>
      <w:pPr>
        <w:pStyle w:val="748"/>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15.履约保证金：</w:t>
      </w:r>
      <w:r/>
    </w:p>
    <w:p>
      <w:pPr>
        <w:pStyle w:val="748"/>
        <w:ind w:firstLine="480"/>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1.乙方缴纳人民币</w:t>
      </w:r>
      <w:r>
        <w:rPr>
          <w:rFonts w:hint="eastAsia" w:ascii="宋体" w:hAnsi="宋体" w:cs="宋体"/>
          <w:sz w:val="24"/>
          <w:highlight w:val="none"/>
          <w:u w:val="single"/>
          <w:lang w:val="en-US" w:eastAsia="zh-CN"/>
        </w:rPr>
        <w:t xml:space="preserve">     元</w:t>
      </w:r>
      <w:r>
        <w:rPr>
          <w:rFonts w:hint="eastAsia" w:ascii="宋体" w:hAnsi="宋体" w:cs="宋体"/>
          <w:sz w:val="24"/>
          <w:highlight w:val="none"/>
          <w:lang w:val="en-US" w:eastAsia="zh-CN"/>
        </w:rPr>
        <w:t xml:space="preserve">作为本合同的履约保证金（不得超过合同金额的1%）</w:t>
      </w:r>
      <w:r/>
    </w:p>
    <w:p>
      <w:pPr>
        <w:pStyle w:val="748"/>
        <w:ind w:firstLine="480"/>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748"/>
        <w:ind w:firstLine="480"/>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3.乙方选取银行保函、担保公司的保证担保或保险公司的保证保险等形式的向采购人缴纳的，如保函（担保、保险等）的约定期到期但乙方履约仍未结束的，乙方须进行续保。</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4.如乙方未能履行合同规定的义务，甲方有权从履约保证金中取得补偿。</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6.履约保证金在合同约定期间内不予退还或者应完全有效，履约保证金在项目验收合格后无息退还给乙方。</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16.争端解决</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依法诉讼裁决。</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16.2本合同如发生争议，且双方无法达成共识，则任一方均有权向买方所在地人民法院提请裁决。</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17.违约终止合同</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17.1在买方对卖方违约而采取的任何补救措施不受影响的情况下，买方可向卖方发出终止部分或全部合同的书面通知书。</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如果卖方未能按合同规定的期限或买方同意延长的限期内提供部分或全部货物；</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卖方在收到买方发出的违约通知后贰拾天内，或经买方书面认可可延长的时间内未能纠正其过失；</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如果卖方未能履行合同规定的其他义务。</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18.破产中止合同</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19.转让</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19.1 除买方事先书面同意外，卖方不得部分转让或全部转让其应履行的合同义务。</w:t>
      </w:r>
      <w:r/>
    </w:p>
    <w:p>
      <w:pPr>
        <w:ind w:firstLine="482"/>
        <w:jc w:val="left"/>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20</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项目验收</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20.1 甲方依法组织履约验收工作。</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20.3 对于实际使用人和甲方分离的项目，甲方邀请实际使用人参与验收。</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20.4 如有必要，甲方邀请参加本项目的其他供应商或第三方专业机构及专家参与验收，相关意见将作为验收书的参考资料。</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.合同生效及其它</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.1金湖县</w:t>
      </w:r>
      <w:r>
        <w:rPr>
          <w:rFonts w:hint="eastAsia" w:ascii="宋体" w:hAnsi="宋体" w:cs="宋体"/>
          <w:sz w:val="24"/>
          <w:highlight w:val="none"/>
          <w:u w:val="single"/>
        </w:rPr>
        <w:t xml:space="preserve">           </w:t>
      </w:r>
      <w:r>
        <w:rPr>
          <w:rFonts w:hint="eastAsia" w:ascii="宋体" w:hAnsi="宋体" w:cs="宋体"/>
          <w:sz w:val="24"/>
          <w:highlight w:val="none"/>
        </w:rPr>
        <w:t xml:space="preserve">招标文件、投标方提交的</w:t>
      </w:r>
      <w:r>
        <w:rPr>
          <w:rFonts w:hint="eastAsia" w:ascii="宋体" w:hAnsi="宋体" w:cs="宋体"/>
          <w:sz w:val="24"/>
          <w:highlight w:val="none"/>
          <w:u w:val="single"/>
        </w:rPr>
        <w:t xml:space="preserve">         </w:t>
      </w:r>
      <w:r>
        <w:rPr>
          <w:rFonts w:hint="eastAsia" w:ascii="宋体" w:hAnsi="宋体" w:cs="宋体"/>
          <w:sz w:val="24"/>
          <w:highlight w:val="none"/>
        </w:rPr>
        <w:t xml:space="preserve">投标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.2本合同应在买方和卖方双方盖章，并在卖方向采购人</w:t>
      </w:r>
      <w:r>
        <w:rPr>
          <w:rFonts w:hint="eastAsia" w:ascii="宋体" w:hAnsi="宋体" w:cs="宋体"/>
          <w:sz w:val="24"/>
          <w:highlight w:val="none"/>
          <w:lang w:val="en-US" w:eastAsia="zh-CN"/>
        </w:rPr>
        <w:t xml:space="preserve">缴纳</w:t>
      </w:r>
      <w:r>
        <w:rPr>
          <w:rFonts w:hint="eastAsia" w:ascii="宋体" w:hAnsi="宋体" w:cs="宋体"/>
          <w:sz w:val="24"/>
          <w:highlight w:val="none"/>
        </w:rPr>
        <w:t xml:space="preserve">履约保证金后生效。</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.3本合同一式五份，以中文书写，买方、卖方各执二份，备案一份。</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.4合同货物交付使用后所发生的合同纠纷，买方与卖方进行处理。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.5如需修改或补充合同内容，应经卖方、买方协商，签署书面修改或补充协议。该协议将作为本合同不可分割的一部分。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.6本合同应按照中华人民共和国的现行法律进行解释。</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ind w:right="0" w:firstLine="0"/>
        <w:jc w:val="center"/>
        <w:keepLines w:val="0"/>
        <w:keepNext w:val="0"/>
        <w:pageBreakBefore w:val="0"/>
        <w:spacing w:line="360" w:lineRule="auto"/>
        <w:rPr>
          <w:rFonts w:hint="eastAsia" w:ascii="宋体" w:hAnsi="宋体" w:eastAsia="宋体" w:cs="宋体"/>
          <w:b/>
          <w:bCs w:val="0"/>
          <w:sz w:val="32"/>
          <w:szCs w:val="32"/>
          <w:highlight w:val="none"/>
          <w:lang w:eastAsia="zh-CN"/>
        </w:rPr>
      </w:pPr>
      <w:r>
        <w:rPr>
          <w:rFonts w:hint="eastAsia" w:ascii="宋体" w:hAnsi="宋体" w:eastAsia="宋体" w:cs="宋体"/>
          <w:b/>
          <w:bCs w:val="0"/>
          <w:color w:val="auto"/>
          <w:sz w:val="32"/>
          <w:szCs w:val="32"/>
          <w:highlight w:val="none"/>
        </w:rPr>
        <w:t xml:space="preserve">项目采购合同</w:t>
      </w:r>
      <w:r>
        <w:rPr>
          <w:rFonts w:hint="eastAsia" w:ascii="宋体" w:hAnsi="宋体" w:eastAsia="宋体" w:cs="宋体"/>
          <w:b/>
          <w:bCs w:val="0"/>
          <w:color w:val="auto"/>
          <w:sz w:val="32"/>
          <w:szCs w:val="32"/>
          <w:highlight w:val="none"/>
          <w:lang w:eastAsia="zh-CN"/>
        </w:rPr>
        <w:t xml:space="preserve">协</w:t>
      </w:r>
      <w:r>
        <w:rPr>
          <w:rFonts w:hint="eastAsia" w:ascii="宋体" w:hAnsi="宋体" w:eastAsia="宋体" w:cs="宋体"/>
          <w:b/>
          <w:bCs w:val="0"/>
          <w:sz w:val="32"/>
          <w:szCs w:val="32"/>
          <w:highlight w:val="none"/>
          <w:lang w:eastAsia="zh-CN"/>
        </w:rPr>
        <w:t xml:space="preserve">议书</w:t>
      </w:r>
      <w:r/>
    </w:p>
    <w:p>
      <w:pPr>
        <w:pStyle w:val="1070"/>
        <w:ind w:left="0" w:right="0" w:firstLine="0"/>
        <w:keepLines w:val="0"/>
        <w:keepNext w:val="0"/>
        <w:pageBreakBefore w:val="0"/>
        <w:spacing w:before="0" w:after="0" w:line="360" w:lineRule="auto"/>
        <w:rPr>
          <w:rFonts w:hint="eastAsia" w:ascii="宋体" w:hAnsi="宋体" w:eastAsia="宋体" w:cs="宋体"/>
          <w:sz w:val="24"/>
          <w:szCs w:val="24"/>
          <w:highlight w:val="none"/>
          <w:u w:val="single"/>
          <w:lang w:val="en-US" w:eastAsia="zh-CN" w:bidi="zh-CN"/>
        </w:rPr>
      </w:pPr>
      <w:r>
        <w:rPr>
          <w:rFonts w:hint="eastAsia" w:ascii="宋体" w:hAnsi="宋体" w:cs="宋体"/>
          <w:sz w:val="24"/>
          <w:szCs w:val="24"/>
          <w:highlight w:val="none"/>
          <w:lang w:val="en-US" w:eastAsia="zh-CN" w:bidi="zh-CN"/>
        </w:rPr>
        <w:t xml:space="preserve">买方</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u w:val="single"/>
          <w:lang w:val="en-US" w:eastAsia="zh-CN" w:bidi="zh-CN"/>
        </w:rPr>
        <w:t xml:space="preserve">                 </w:t>
      </w:r>
      <w:r>
        <w:rPr>
          <w:rFonts w:hint="eastAsia" w:ascii="宋体" w:hAnsi="宋体" w:cs="宋体"/>
          <w:sz w:val="24"/>
          <w:szCs w:val="24"/>
          <w:highlight w:val="none"/>
          <w:u w:val="single"/>
          <w:lang w:val="en-US" w:eastAsia="zh-CN" w:bidi="zh-CN"/>
        </w:rPr>
        <w:t xml:space="preserve">  </w:t>
      </w:r>
      <w:r/>
    </w:p>
    <w:p>
      <w:pPr>
        <w:pStyle w:val="1070"/>
        <w:ind w:left="0" w:right="0" w:firstLine="0"/>
        <w:keepLines w:val="0"/>
        <w:keepNext w:val="0"/>
        <w:pageBreakBefore w:val="0"/>
        <w:spacing w:before="0" w:after="0" w:line="360" w:lineRule="auto"/>
        <w:rPr>
          <w:rFonts w:hint="default" w:ascii="宋体" w:hAnsi="宋体" w:eastAsia="宋体" w:cs="宋体"/>
          <w:sz w:val="24"/>
          <w:szCs w:val="24"/>
          <w:highlight w:val="none"/>
          <w:lang w:val="en-US" w:eastAsia="zh-CN" w:bidi="zh-CN"/>
        </w:rPr>
      </w:pPr>
      <w:r>
        <w:rPr>
          <w:rFonts w:hint="eastAsia" w:ascii="宋体" w:hAnsi="宋体" w:cs="宋体"/>
          <w:sz w:val="24"/>
          <w:szCs w:val="24"/>
          <w:highlight w:val="none"/>
          <w:lang w:val="en-US" w:eastAsia="zh-CN" w:bidi="zh-CN"/>
        </w:rPr>
        <w:t xml:space="preserve">卖方</w:t>
      </w:r>
      <w:r>
        <w:rPr>
          <w:rFonts w:hint="eastAsia" w:ascii="宋体" w:hAnsi="宋体" w:eastAsia="宋体" w:cs="宋体"/>
          <w:sz w:val="24"/>
          <w:szCs w:val="24"/>
          <w:highlight w:val="none"/>
          <w:lang w:val="en-US" w:eastAsia="zh-CN" w:bidi="zh-CN"/>
        </w:rPr>
        <w:t xml:space="preserve">：</w:t>
      </w:r>
      <w:r>
        <w:rPr>
          <w:rFonts w:hint="eastAsia" w:ascii="宋体" w:hAnsi="宋体" w:eastAsia="宋体" w:cs="宋体"/>
          <w:sz w:val="24"/>
          <w:szCs w:val="24"/>
          <w:highlight w:val="none"/>
          <w:u w:val="single"/>
          <w:lang w:val="en-US" w:eastAsia="zh-CN" w:bidi="zh-CN"/>
        </w:rPr>
        <w:t xml:space="preserve">                 </w:t>
      </w:r>
      <w:r>
        <w:rPr>
          <w:rFonts w:hint="eastAsia" w:ascii="宋体" w:hAnsi="宋体" w:cs="宋体"/>
          <w:sz w:val="24"/>
          <w:szCs w:val="24"/>
          <w:highlight w:val="none"/>
          <w:u w:val="single"/>
          <w:lang w:val="en-US" w:eastAsia="zh-CN" w:bidi="zh-CN"/>
        </w:rPr>
        <w:t xml:space="preserve">  </w:t>
      </w:r>
      <w:r/>
    </w:p>
    <w:p>
      <w:pPr>
        <w:pStyle w:val="750"/>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甲、乙双方根据</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公开招标</w:t>
      </w:r>
      <w:r>
        <w:rPr>
          <w:rFonts w:hint="eastAsia" w:ascii="宋体" w:hAnsi="宋体" w:eastAsia="宋体" w:cs="宋体"/>
          <w:sz w:val="24"/>
          <w:szCs w:val="24"/>
          <w:highlight w:val="none"/>
        </w:rPr>
        <w:t xml:space="preserve">采购的结果，签署本合同。</w:t>
      </w:r>
      <w:r/>
    </w:p>
    <w:p>
      <w:pPr>
        <w:pStyle w:val="735"/>
        <w:ind w:right="0"/>
        <w:keepLines w:val="0"/>
        <w:keepNext w:val="0"/>
        <w:pageBreakBefore w:val="0"/>
        <w:spacing w:before="0"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一、合同文件</w:t>
      </w:r>
      <w:r/>
    </w:p>
    <w:p>
      <w:pPr>
        <w:pStyle w:val="750"/>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下列关于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文件及响应文件是构成本合同不可分割的部分：</w:t>
      </w:r>
      <w:r/>
    </w:p>
    <w:p>
      <w:pPr>
        <w:pStyle w:val="814"/>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highlight w:val="none"/>
          <w:lang w:val="en-US" w:eastAsia="zh-CN" w:bidi="zh-CN"/>
        </w:rPr>
      </w:pPr>
      <w:r>
        <w:rPr>
          <w:rFonts w:hint="eastAsia" w:ascii="宋体" w:hAnsi="宋体" w:cs="宋体"/>
          <w:sz w:val="24"/>
          <w:szCs w:val="24"/>
          <w:highlight w:val="none"/>
          <w:lang w:val="en-US" w:eastAsia="zh-CN" w:bidi="zh-CN"/>
        </w:rPr>
        <w:t xml:space="preserve">1.</w:t>
      </w:r>
      <w:r>
        <w:rPr>
          <w:rFonts w:hint="eastAsia" w:ascii="宋体" w:hAnsi="宋体" w:eastAsia="宋体" w:cs="宋体"/>
          <w:sz w:val="24"/>
          <w:szCs w:val="24"/>
          <w:highlight w:val="none"/>
          <w:lang w:val="en-US" w:eastAsia="zh-CN" w:bidi="zh-CN"/>
        </w:rPr>
        <w:t xml:space="preserve">合同主要条款及通用条款；</w:t>
      </w:r>
      <w:r/>
    </w:p>
    <w:p>
      <w:pPr>
        <w:pStyle w:val="814"/>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highlight w:val="none"/>
          <w:lang w:val="en-US" w:eastAsia="zh-CN" w:bidi="zh-CN"/>
        </w:rPr>
      </w:pPr>
      <w:r>
        <w:rPr>
          <w:rFonts w:hint="eastAsia" w:ascii="宋体" w:hAnsi="宋体" w:cs="宋体"/>
          <w:sz w:val="24"/>
          <w:szCs w:val="24"/>
          <w:highlight w:val="none"/>
          <w:lang w:val="en-US" w:eastAsia="zh-CN" w:bidi="zh-CN"/>
        </w:rPr>
        <w:t xml:space="preserve">2.卖方</w:t>
      </w:r>
      <w:r>
        <w:rPr>
          <w:rFonts w:hint="eastAsia" w:ascii="宋体" w:hAnsi="宋体" w:eastAsia="宋体" w:cs="宋体"/>
          <w:sz w:val="24"/>
          <w:szCs w:val="24"/>
          <w:highlight w:val="none"/>
          <w:lang w:val="en-US" w:eastAsia="zh-CN" w:bidi="zh-CN"/>
        </w:rPr>
        <w:t xml:space="preserve">提交的响应文件；</w:t>
      </w:r>
      <w:r/>
    </w:p>
    <w:p>
      <w:pPr>
        <w:pStyle w:val="814"/>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highlight w:val="none"/>
          <w:lang w:val="en-US" w:eastAsia="zh-CN" w:bidi="zh-CN"/>
        </w:rPr>
      </w:pPr>
      <w:r>
        <w:rPr>
          <w:rFonts w:hint="eastAsia" w:ascii="宋体" w:hAnsi="宋体" w:cs="宋体"/>
          <w:sz w:val="24"/>
          <w:szCs w:val="24"/>
          <w:highlight w:val="none"/>
          <w:lang w:val="en-US" w:eastAsia="zh-CN" w:bidi="zh-CN"/>
        </w:rPr>
        <w:t xml:space="preserve">3.</w:t>
      </w:r>
      <w:r>
        <w:rPr>
          <w:rFonts w:hint="eastAsia" w:ascii="宋体" w:hAnsi="宋体" w:eastAsia="宋体" w:cs="宋体"/>
          <w:sz w:val="24"/>
          <w:szCs w:val="24"/>
          <w:highlight w:val="none"/>
          <w:lang w:val="en-US" w:eastAsia="zh-CN" w:bidi="zh-CN"/>
        </w:rPr>
        <w:t xml:space="preserve">成交通知书；</w:t>
      </w:r>
      <w:r/>
    </w:p>
    <w:p>
      <w:pPr>
        <w:pStyle w:val="814"/>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highlight w:val="none"/>
          <w:lang w:val="en-US" w:eastAsia="zh-CN" w:bidi="zh-CN"/>
        </w:rPr>
      </w:pPr>
      <w:r>
        <w:rPr>
          <w:rFonts w:hint="eastAsia" w:ascii="宋体" w:hAnsi="宋体" w:cs="宋体"/>
          <w:sz w:val="24"/>
          <w:szCs w:val="24"/>
          <w:highlight w:val="none"/>
          <w:lang w:val="en-US" w:eastAsia="zh-CN" w:bidi="zh-CN"/>
        </w:rPr>
        <w:t xml:space="preserve">4.买方</w:t>
      </w:r>
      <w:r>
        <w:rPr>
          <w:rFonts w:hint="eastAsia" w:ascii="宋体" w:hAnsi="宋体" w:eastAsia="宋体" w:cs="宋体"/>
          <w:sz w:val="24"/>
          <w:szCs w:val="24"/>
          <w:highlight w:val="none"/>
          <w:lang w:val="en-US" w:eastAsia="zh-CN" w:bidi="zh-CN"/>
        </w:rPr>
        <w:t xml:space="preserve">和</w:t>
      </w:r>
      <w:r>
        <w:rPr>
          <w:rFonts w:hint="eastAsia" w:ascii="宋体" w:hAnsi="宋体" w:cs="宋体"/>
          <w:sz w:val="24"/>
          <w:szCs w:val="24"/>
          <w:highlight w:val="none"/>
          <w:lang w:val="en-US" w:eastAsia="zh-CN" w:bidi="zh-CN"/>
        </w:rPr>
        <w:t xml:space="preserve">卖方</w:t>
      </w:r>
      <w:r>
        <w:rPr>
          <w:rFonts w:hint="eastAsia" w:ascii="宋体" w:hAnsi="宋体" w:eastAsia="宋体" w:cs="宋体"/>
          <w:sz w:val="24"/>
          <w:szCs w:val="24"/>
          <w:highlight w:val="none"/>
          <w:lang w:val="en-US" w:eastAsia="zh-CN" w:bidi="zh-CN"/>
        </w:rPr>
        <w:t xml:space="preserve">商定的其他必要文件。</w:t>
      </w:r>
      <w:r/>
    </w:p>
    <w:p>
      <w:pPr>
        <w:pStyle w:val="814"/>
        <w:numPr>
          <w:ilvl w:val="0"/>
          <w:numId w:val="0"/>
        </w:numPr>
        <w:ind w:right="0"/>
        <w:jc w:val="left"/>
        <w:keepLines w:val="0"/>
        <w:keepNext w:val="0"/>
        <w:pageBreakBefore w:val="0"/>
        <w:spacing w:line="360" w:lineRule="auto"/>
        <w:widowControl w:val="off"/>
        <w:tabs>
          <w:tab w:val="left" w:pos="976" w:leader="none"/>
        </w:tabs>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二、合同金额</w:t>
      </w:r>
      <w:r>
        <w:rPr>
          <w:rFonts w:hint="eastAsia" w:ascii="宋体" w:hAnsi="宋体" w:cs="宋体"/>
          <w:b/>
          <w:bCs/>
          <w:sz w:val="24"/>
          <w:szCs w:val="24"/>
          <w:highlight w:val="none"/>
          <w:lang w:val="en-US" w:eastAsia="zh-CN"/>
        </w:rPr>
        <w:t xml:space="preserve">与支付</w:t>
      </w:r>
      <w:r/>
    </w:p>
    <w:p>
      <w:pPr>
        <w:ind w:right="0" w:firstLine="480"/>
        <w:jc w:val="left"/>
        <w:keepLines w:val="0"/>
        <w:keepNext w:val="0"/>
        <w:pageBreakBefore w:val="0"/>
        <w:spacing w:line="360" w:lineRule="auto"/>
        <w:widowControl w:val="off"/>
        <w:rPr>
          <w:rFonts w:hint="eastAsia" w:ascii="宋体" w:hAnsi="宋体" w:cs="宋体"/>
          <w:spacing w:val="-3"/>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本合同金额</w:t>
      </w:r>
      <w:r>
        <w:rPr>
          <w:rFonts w:hint="eastAsia" w:ascii="宋体" w:hAnsi="宋体" w:eastAsia="宋体" w:cs="宋体"/>
          <w:spacing w:val="-3"/>
          <w:sz w:val="24"/>
          <w:szCs w:val="24"/>
          <w:highlight w:val="none"/>
        </w:rPr>
        <w:t xml:space="preserve">为</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人民币</w:t>
      </w:r>
      <w:r>
        <w:rPr>
          <w:rFonts w:hint="eastAsia" w:ascii="宋体" w:hAnsi="宋体" w:eastAsia="宋体" w:cs="宋体"/>
          <w:spacing w:val="-3"/>
          <w:sz w:val="24"/>
          <w:szCs w:val="24"/>
          <w:highlight w:val="none"/>
          <w:u w:val="single"/>
        </w:rPr>
        <w:t xml:space="preserve"> </w:t>
      </w:r>
      <w:r>
        <w:rPr>
          <w:rFonts w:hint="eastAsia" w:ascii="宋体" w:hAnsi="宋体" w:eastAsia="宋体" w:cs="宋体"/>
          <w:spacing w:val="-3"/>
          <w:sz w:val="24"/>
          <w:szCs w:val="24"/>
          <w:highlight w:val="none"/>
          <w:u w:val="single"/>
          <w:lang w:val="en-US" w:eastAsia="zh-CN"/>
        </w:rPr>
        <w:t xml:space="preserve">        </w:t>
      </w:r>
      <w:r>
        <w:rPr>
          <w:rFonts w:hint="eastAsia" w:ascii="宋体" w:hAnsi="宋体" w:eastAsia="宋体" w:cs="宋体"/>
          <w:spacing w:val="-3"/>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pacing w:val="-3"/>
          <w:sz w:val="24"/>
          <w:szCs w:val="24"/>
          <w:highlight w:val="none"/>
          <w:u w:val="single"/>
        </w:rPr>
        <w:t xml:space="preserve">）</w:t>
      </w:r>
      <w:r>
        <w:rPr>
          <w:rFonts w:hint="eastAsia" w:ascii="宋体" w:hAnsi="宋体" w:eastAsia="宋体" w:cs="宋体"/>
          <w:spacing w:val="-3"/>
          <w:sz w:val="24"/>
          <w:szCs w:val="24"/>
          <w:highlight w:val="none"/>
        </w:rPr>
        <w:t xml:space="preserve">。分项价格详见卖方提交的报价明细表</w:t>
      </w:r>
      <w:r>
        <w:rPr>
          <w:rFonts w:hint="eastAsia" w:ascii="宋体" w:hAnsi="宋体" w:cs="宋体"/>
          <w:spacing w:val="-3"/>
          <w:sz w:val="24"/>
          <w:szCs w:val="24"/>
          <w:highlight w:val="none"/>
          <w:lang w:eastAsia="zh-CN"/>
        </w:rPr>
        <w:t xml:space="preserve">。</w:t>
      </w:r>
      <w:r/>
    </w:p>
    <w:p>
      <w:pPr>
        <w:ind w:right="0" w:firstLine="468"/>
        <w:jc w:val="left"/>
        <w:keepLines w:val="0"/>
        <w:keepNext w:val="0"/>
        <w:pageBreakBefore w:val="0"/>
        <w:spacing w:line="360" w:lineRule="auto"/>
        <w:widowControl w:val="off"/>
        <w:rPr>
          <w:rFonts w:hint="default" w:eastAsia="宋体"/>
          <w:b/>
          <w:bCs/>
          <w:color w:val="ff0000"/>
          <w:highlight w:val="none"/>
          <w:u w:val="single"/>
          <w:lang w:val="en-US" w:eastAsia="zh-CN"/>
        </w:rPr>
      </w:pPr>
      <w:r>
        <w:rPr>
          <w:rFonts w:hint="eastAsia" w:ascii="宋体" w:hAnsi="宋体" w:eastAsia="宋体" w:cs="宋体"/>
          <w:spacing w:val="-3"/>
          <w:sz w:val="24"/>
          <w:szCs w:val="24"/>
          <w:highlight w:val="none"/>
          <w:lang w:val="en-US" w:eastAsia="zh-CN"/>
        </w:rPr>
        <w:t xml:space="preserve">2.付款方式：</w:t>
      </w:r>
      <w:r>
        <w:rPr>
          <w:rStyle w:val="770"/>
          <w:rFonts w:hint="eastAsia" w:ascii="宋体" w:hAnsi="宋体" w:eastAsia="宋体" w:cs="宋体"/>
          <w:b w:val="0"/>
          <w:bCs w:val="0"/>
          <w:color w:val="1f2329"/>
          <w:sz w:val="24"/>
          <w:szCs w:val="24"/>
          <w:highlight w:val="none"/>
          <w:lang w:val="en-US" w:eastAsia="zh-CN" w:bidi="ar"/>
        </w:rPr>
        <w:t xml:space="preserve">合同签订后预付合同价款的40%，项目全部供货、安装、调试、验收合格并正式交付使用后，采购人支付合同价款的60%尾款。</w:t>
      </w:r>
      <w:r>
        <w:rPr>
          <w:rStyle w:val="770"/>
          <w:rFonts w:hint="eastAsia" w:ascii="宋体" w:hAnsi="宋体" w:cs="宋体"/>
          <w:b/>
          <w:bCs/>
          <w:color w:val="ff0000"/>
          <w:sz w:val="24"/>
          <w:szCs w:val="24"/>
          <w:highlight w:val="none"/>
          <w:u w:val="single"/>
          <w:lang w:val="en-US" w:eastAsia="zh-CN" w:bidi="ar"/>
        </w:rPr>
        <w:t xml:space="preserve">卖方在请求付款前应当提供足额发票。</w:t>
      </w:r>
      <w:r/>
    </w:p>
    <w:p>
      <w:pPr>
        <w:numPr>
          <w:ilvl w:val="0"/>
          <w:numId w:val="0"/>
        </w:numPr>
        <w:ind w:right="0"/>
        <w:jc w:val="left"/>
        <w:keepLines w:val="0"/>
        <w:keepNext w:val="0"/>
        <w:pageBreakBefore w:val="0"/>
        <w:spacing w:line="360" w:lineRule="auto"/>
        <w:widowControl w:val="off"/>
        <w:rPr>
          <w:rFonts w:hint="eastAsia" w:ascii="宋体" w:hAnsi="宋体" w:cs="宋体"/>
          <w:b/>
          <w:bCs w:val="0"/>
          <w:spacing w:val="-5"/>
          <w:sz w:val="24"/>
          <w:szCs w:val="24"/>
          <w:highlight w:val="none"/>
          <w:lang w:val="en-US" w:eastAsia="zh-CN"/>
        </w:rPr>
      </w:pPr>
      <w:r>
        <w:rPr>
          <w:rFonts w:hint="eastAsia" w:ascii="宋体" w:hAnsi="宋体" w:cs="宋体"/>
          <w:b/>
          <w:bCs w:val="0"/>
          <w:spacing w:val="-5"/>
          <w:sz w:val="24"/>
          <w:szCs w:val="24"/>
          <w:highlight w:val="none"/>
          <w:lang w:val="en-US" w:eastAsia="zh-CN"/>
        </w:rPr>
        <w:t xml:space="preserve">三、交货时间和地点</w:t>
      </w:r>
      <w:r/>
    </w:p>
    <w:p>
      <w:pPr>
        <w:numPr>
          <w:ilvl w:val="0"/>
          <w:numId w:val="0"/>
        </w:numPr>
        <w:ind w:right="0" w:firstLine="460"/>
        <w:jc w:val="left"/>
        <w:keepLines w:val="0"/>
        <w:keepNext w:val="0"/>
        <w:pageBreakBefore w:val="0"/>
        <w:spacing w:line="360" w:lineRule="auto"/>
        <w:widowControl w:val="off"/>
        <w:rPr>
          <w:rFonts w:hint="eastAsia" w:ascii="宋体" w:hAnsi="宋体" w:eastAsia="宋体" w:cs="宋体"/>
          <w:b w:val="0"/>
          <w:bCs/>
          <w:spacing w:val="-5"/>
          <w:sz w:val="24"/>
          <w:szCs w:val="24"/>
          <w:highlight w:val="none"/>
          <w:lang w:eastAsia="zh-CN"/>
        </w:rPr>
      </w:pPr>
      <w:r>
        <w:rPr>
          <w:rFonts w:hint="eastAsia" w:ascii="宋体" w:hAnsi="宋体" w:eastAsia="宋体" w:cs="宋体"/>
          <w:b w:val="0"/>
          <w:bCs/>
          <w:spacing w:val="-5"/>
          <w:sz w:val="24"/>
          <w:szCs w:val="24"/>
          <w:highlight w:val="none"/>
          <w:lang w:eastAsia="zh-CN"/>
        </w:rPr>
        <w:t xml:space="preserve">本合同交货时间和地点在“合同条款前附表”中有明确规定。</w:t>
      </w:r>
      <w:r/>
    </w:p>
    <w:p>
      <w:pPr>
        <w:numPr>
          <w:ilvl w:val="0"/>
          <w:numId w:val="3"/>
        </w:numPr>
        <w:ind w:right="0"/>
        <w:jc w:val="left"/>
        <w:keepLines w:val="0"/>
        <w:keepNext w:val="0"/>
        <w:pageBreakBefore w:val="0"/>
        <w:spacing w:line="360" w:lineRule="auto"/>
        <w:widowControl w:val="off"/>
        <w:rPr>
          <w:rFonts w:hint="eastAsia" w:ascii="宋体" w:hAnsi="宋体" w:eastAsia="宋体" w:cs="宋体"/>
          <w:b/>
          <w:bCs w:val="0"/>
          <w:spacing w:val="-5"/>
          <w:sz w:val="24"/>
          <w:szCs w:val="24"/>
          <w:highlight w:val="none"/>
          <w:lang w:val="en-US" w:eastAsia="zh-CN"/>
        </w:rPr>
      </w:pPr>
      <w:r>
        <w:rPr>
          <w:rFonts w:hint="eastAsia" w:ascii="宋体" w:hAnsi="宋体" w:eastAsia="宋体" w:cs="宋体"/>
          <w:b/>
          <w:bCs w:val="0"/>
          <w:spacing w:val="-5"/>
          <w:sz w:val="24"/>
          <w:szCs w:val="24"/>
          <w:highlight w:val="none"/>
          <w:lang w:val="en-US" w:eastAsia="zh-CN"/>
        </w:rPr>
        <w:t xml:space="preserve">质量标准</w:t>
      </w:r>
      <w:r/>
    </w:p>
    <w:p>
      <w:pPr>
        <w:numPr>
          <w:ilvl w:val="0"/>
          <w:numId w:val="0"/>
        </w:numPr>
        <w:ind w:right="0" w:firstLine="460"/>
        <w:jc w:val="left"/>
        <w:keepLines w:val="0"/>
        <w:keepNext w:val="0"/>
        <w:pageBreakBefore w:val="0"/>
        <w:spacing w:line="360" w:lineRule="auto"/>
        <w:widowControl w:val="off"/>
        <w:rPr>
          <w:rFonts w:hint="eastAsia" w:ascii="宋体" w:hAnsi="宋体" w:cs="宋体"/>
          <w:b w:val="0"/>
          <w:bCs/>
          <w:spacing w:val="-5"/>
          <w:sz w:val="24"/>
          <w:szCs w:val="24"/>
          <w:highlight w:val="none"/>
          <w:lang w:val="en-US" w:eastAsia="zh-CN"/>
        </w:rPr>
      </w:pPr>
      <w:r>
        <w:rPr>
          <w:rFonts w:hint="eastAsia" w:ascii="宋体" w:hAnsi="宋体" w:cs="宋体"/>
          <w:b w:val="0"/>
          <w:bCs/>
          <w:spacing w:val="-5"/>
          <w:sz w:val="24"/>
          <w:szCs w:val="24"/>
          <w:highlight w:val="none"/>
          <w:lang w:val="en-US" w:eastAsia="zh-CN"/>
        </w:rPr>
        <w:t xml:space="preserve">合格。</w:t>
      </w:r>
      <w:r/>
    </w:p>
    <w:p>
      <w:pPr>
        <w:numPr>
          <w:ilvl w:val="0"/>
          <w:numId w:val="0"/>
        </w:numPr>
        <w:ind w:right="0"/>
        <w:jc w:val="left"/>
        <w:keepLines w:val="0"/>
        <w:keepNext w:val="0"/>
        <w:pageBreakBefore w:val="0"/>
        <w:spacing w:line="360" w:lineRule="auto"/>
        <w:widowControl w:val="off"/>
        <w:rPr>
          <w:rFonts w:hint="eastAsia" w:ascii="宋体" w:hAnsi="宋体" w:cs="宋体"/>
          <w:b/>
          <w:bCs w:val="0"/>
          <w:spacing w:val="-5"/>
          <w:sz w:val="24"/>
          <w:szCs w:val="24"/>
          <w:highlight w:val="none"/>
          <w:lang w:val="en-US" w:eastAsia="zh-CN"/>
        </w:rPr>
      </w:pPr>
      <w:r>
        <w:rPr>
          <w:rFonts w:hint="eastAsia" w:ascii="宋体" w:hAnsi="宋体" w:cs="宋体"/>
          <w:b/>
          <w:bCs w:val="0"/>
          <w:spacing w:val="-5"/>
          <w:sz w:val="24"/>
          <w:szCs w:val="24"/>
          <w:highlight w:val="none"/>
          <w:lang w:val="en-US" w:eastAsia="zh-CN"/>
        </w:rPr>
        <w:t xml:space="preserve">五、质保期</w:t>
      </w:r>
      <w:r/>
    </w:p>
    <w:p>
      <w:pPr>
        <w:numPr>
          <w:ilvl w:val="0"/>
          <w:numId w:val="0"/>
        </w:numPr>
        <w:ind w:right="0" w:firstLine="460"/>
        <w:jc w:val="left"/>
        <w:keepLines w:val="0"/>
        <w:keepNext w:val="0"/>
        <w:pageBreakBefore w:val="0"/>
        <w:spacing w:line="360" w:lineRule="auto"/>
        <w:widowControl w:val="off"/>
        <w:rPr>
          <w:rFonts w:hint="default" w:ascii="宋体" w:hAnsi="宋体" w:eastAsia="宋体" w:cs="宋体"/>
          <w:b w:val="0"/>
          <w:bCs/>
          <w:spacing w:val="-5"/>
          <w:sz w:val="24"/>
          <w:szCs w:val="24"/>
          <w:highlight w:val="none"/>
          <w:lang w:val="en-US" w:eastAsia="zh-CN"/>
        </w:rPr>
      </w:pPr>
      <w:r>
        <w:rPr>
          <w:rFonts w:hint="eastAsia" w:ascii="宋体" w:hAnsi="宋体" w:cs="宋体"/>
          <w:b w:val="0"/>
          <w:bCs/>
          <w:spacing w:val="-5"/>
          <w:sz w:val="24"/>
          <w:szCs w:val="24"/>
          <w:highlight w:val="none"/>
          <w:lang w:val="en-US" w:eastAsia="zh-CN"/>
        </w:rPr>
        <w:t xml:space="preserve">免费质保期：</w:t>
      </w:r>
      <w:r>
        <w:rPr>
          <w:rFonts w:hint="eastAsia" w:ascii="宋体" w:hAnsi="宋体" w:eastAsia="宋体" w:cs="宋体"/>
          <w:spacing w:val="-3"/>
          <w:sz w:val="24"/>
          <w:szCs w:val="24"/>
          <w:highlight w:val="none"/>
          <w:lang w:val="en-US" w:eastAsia="zh-CN"/>
        </w:rPr>
        <w:t xml:space="preserve">   </w:t>
      </w:r>
      <w:r>
        <w:rPr>
          <w:rFonts w:hint="eastAsia" w:ascii="宋体" w:hAnsi="宋体" w:cs="宋体"/>
          <w:spacing w:val="-3"/>
          <w:sz w:val="24"/>
          <w:szCs w:val="24"/>
          <w:highlight w:val="none"/>
          <w:lang w:val="en-US" w:eastAsia="zh-CN"/>
        </w:rPr>
        <w:t xml:space="preserve">*</w:t>
      </w:r>
      <w:r>
        <w:rPr>
          <w:rFonts w:hint="eastAsia" w:ascii="宋体" w:hAnsi="宋体" w:eastAsia="宋体" w:cs="宋体"/>
          <w:spacing w:val="-3"/>
          <w:sz w:val="24"/>
          <w:szCs w:val="24"/>
          <w:highlight w:val="none"/>
          <w:lang w:val="en-US" w:eastAsia="zh-CN"/>
        </w:rPr>
        <w:t xml:space="preserve">  </w:t>
      </w:r>
      <w:r>
        <w:rPr>
          <w:rFonts w:hint="eastAsia" w:ascii="宋体" w:hAnsi="宋体" w:cs="宋体"/>
          <w:b w:val="0"/>
          <w:bCs/>
          <w:spacing w:val="-5"/>
          <w:sz w:val="24"/>
          <w:szCs w:val="24"/>
          <w:highlight w:val="none"/>
          <w:lang w:val="en-US" w:eastAsia="zh-CN"/>
        </w:rPr>
        <w:t xml:space="preserve">年。免费质保期间，卖方免费包维修、保养、安检、调换等；对于买方人为原因造成的故障，卖方只收取维保成本费用。</w:t>
      </w:r>
      <w:r/>
    </w:p>
    <w:p>
      <w:pPr>
        <w:numPr>
          <w:ilvl w:val="0"/>
          <w:numId w:val="0"/>
        </w:numPr>
        <w:ind w:right="0"/>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六</w:t>
      </w:r>
      <w:r>
        <w:rPr>
          <w:rFonts w:hint="eastAsia" w:ascii="宋体" w:hAnsi="宋体" w:eastAsia="宋体" w:cs="宋体"/>
          <w:b/>
          <w:sz w:val="24"/>
          <w:szCs w:val="24"/>
          <w:highlight w:val="none"/>
        </w:rPr>
        <w:t xml:space="preserve">、技术要求</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按照采购文件</w:t>
      </w:r>
      <w:r>
        <w:rPr>
          <w:rFonts w:hint="eastAsia" w:ascii="宋体" w:hAnsi="宋体" w:eastAsia="宋体" w:cs="宋体"/>
          <w:b w:val="0"/>
          <w:bCs/>
          <w:sz w:val="24"/>
          <w:szCs w:val="24"/>
          <w:highlight w:val="none"/>
          <w:lang w:val="en-US" w:eastAsia="zh-CN"/>
        </w:rPr>
        <w:t xml:space="preserve">第五章项目采购</w:t>
      </w:r>
      <w:r>
        <w:rPr>
          <w:rFonts w:hint="eastAsia" w:ascii="宋体" w:hAnsi="宋体" w:eastAsia="宋体" w:cs="宋体"/>
          <w:b w:val="0"/>
          <w:bCs/>
          <w:sz w:val="24"/>
          <w:szCs w:val="24"/>
          <w:highlight w:val="none"/>
        </w:rPr>
        <w:t xml:space="preserve">需求</w:t>
      </w:r>
      <w:r>
        <w:rPr>
          <w:rFonts w:hint="eastAsia" w:ascii="宋体" w:hAnsi="宋体" w:eastAsia="宋体" w:cs="宋体"/>
          <w:b w:val="0"/>
          <w:bCs/>
          <w:sz w:val="24"/>
          <w:szCs w:val="24"/>
          <w:highlight w:val="none"/>
          <w:lang w:eastAsia="zh-CN"/>
        </w:rPr>
        <w:t xml:space="preserve">的要求执行。</w:t>
      </w:r>
      <w:r/>
    </w:p>
    <w:p>
      <w:pPr>
        <w:numPr>
          <w:ilvl w:val="0"/>
          <w:numId w:val="0"/>
        </w:numPr>
        <w:ind w:right="0"/>
        <w:jc w:val="left"/>
        <w:keepLines w:val="0"/>
        <w:keepNext w:val="0"/>
        <w:pageBreakBefore w:val="0"/>
        <w:spacing w:line="360" w:lineRule="auto"/>
        <w:widowControl w:val="off"/>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七、“首件产品验收”环节：</w:t>
      </w:r>
      <w:r/>
    </w:p>
    <w:p>
      <w:pPr>
        <w:numPr>
          <w:ilvl w:val="0"/>
          <w:numId w:val="0"/>
        </w:numPr>
        <w:ind w:right="0" w:firstLine="480"/>
        <w:jc w:val="left"/>
        <w:keepLines w:val="0"/>
        <w:keepNext w:val="0"/>
        <w:pageBreakBefore w:val="0"/>
        <w:spacing w:line="360" w:lineRule="auto"/>
        <w:widowControl w:val="off"/>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1.卖方供货前，提供完整一组①塑钢调节课桌凳②排椅提交买方验收，样品</w:t>
      </w:r>
      <w:r>
        <w:rPr>
          <w:rFonts w:hint="eastAsia" w:ascii="宋体" w:hAnsi="宋体" w:cs="宋体"/>
          <w:b/>
          <w:bCs/>
          <w:color w:val="ff0000"/>
          <w:sz w:val="24"/>
          <w:highlight w:val="none"/>
          <w:u w:val="single"/>
          <w:lang w:val="en-US" w:eastAsia="zh-CN"/>
        </w:rPr>
        <w:t xml:space="preserve">书面</w:t>
      </w:r>
      <w:r>
        <w:rPr>
          <w:rFonts w:hint="eastAsia" w:ascii="宋体" w:hAnsi="宋体" w:cs="宋体"/>
          <w:b w:val="0"/>
          <w:bCs w:val="0"/>
          <w:sz w:val="24"/>
          <w:highlight w:val="none"/>
          <w:lang w:val="en-US" w:eastAsia="zh-CN"/>
        </w:rPr>
        <w:t xml:space="preserve">确认合格后方可批量供货。</w:t>
      </w:r>
      <w:r/>
    </w:p>
    <w:p>
      <w:pPr>
        <w:numPr>
          <w:ilvl w:val="0"/>
          <w:numId w:val="0"/>
        </w:numPr>
        <w:ind w:right="0" w:firstLine="480"/>
        <w:jc w:val="left"/>
        <w:keepLines w:val="0"/>
        <w:keepNext w:val="0"/>
        <w:pageBreakBefore w:val="0"/>
        <w:spacing w:line="360" w:lineRule="auto"/>
        <w:widowControl w:val="off"/>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2.样品不合格的，按合同约定的违约责任处理。</w:t>
      </w:r>
      <w:r/>
    </w:p>
    <w:p>
      <w:pPr>
        <w:numPr>
          <w:ilvl w:val="0"/>
          <w:numId w:val="0"/>
        </w:numPr>
        <w:ind w:right="0"/>
        <w:jc w:val="left"/>
        <w:keepLines w:val="0"/>
        <w:keepNext w:val="0"/>
        <w:pageBreakBefore w:val="0"/>
        <w:spacing w:line="360" w:lineRule="auto"/>
        <w:widowControl w:val="off"/>
        <w:rPr>
          <w:rFonts w:ascii="宋体" w:hAnsi="宋体" w:cs="宋体"/>
          <w:b/>
          <w:bCs/>
          <w:sz w:val="24"/>
          <w:highlight w:val="none"/>
        </w:rPr>
      </w:pPr>
      <w:r>
        <w:rPr>
          <w:rFonts w:hint="eastAsia" w:ascii="宋体" w:hAnsi="宋体" w:cs="宋体"/>
          <w:b/>
          <w:bCs/>
          <w:sz w:val="24"/>
          <w:highlight w:val="none"/>
          <w:lang w:val="en-US" w:eastAsia="zh-CN"/>
        </w:rPr>
        <w:t xml:space="preserve">八、</w:t>
      </w:r>
      <w:r>
        <w:rPr>
          <w:rFonts w:ascii="宋体" w:hAnsi="宋体" w:cs="宋体"/>
          <w:b/>
          <w:bCs/>
          <w:sz w:val="24"/>
          <w:highlight w:val="none"/>
        </w:rPr>
        <w:t xml:space="preserve">质量与验收： </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1.卖方应按照</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的有关规定提供合格产品； </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2.质量出现问题，卖方负责调试、维护，费用由卖方承担； </w:t>
      </w:r>
      <w:r/>
    </w:p>
    <w:p>
      <w:pPr>
        <w:ind w:firstLine="480"/>
        <w:jc w:val="left"/>
        <w:keepLines w:val="0"/>
        <w:keepNext w:val="0"/>
        <w:pageBreakBefore w:val="0"/>
        <w:spacing w:line="360" w:lineRule="auto"/>
        <w:rPr>
          <w:rFonts w:hint="default" w:ascii="宋体" w:hAnsi="宋体" w:eastAsia="宋体" w:cs="宋体"/>
          <w:b/>
          <w:bCs/>
          <w:color w:val="ff0000"/>
          <w:sz w:val="24"/>
          <w:highlight w:val="none"/>
          <w:u w:val="single"/>
          <w:lang w:val="en-US" w:eastAsia="zh-CN"/>
        </w:rPr>
      </w:pPr>
      <w:r>
        <w:rPr>
          <w:rFonts w:hint="eastAsia" w:ascii="宋体" w:hAnsi="宋体" w:cs="宋体"/>
          <w:sz w:val="24"/>
          <w:highlight w:val="none"/>
        </w:rPr>
        <w:t xml:space="preserve">3.验收标准：根据相关规定并按国家相关标准进行验收通过。</w:t>
      </w:r>
      <w:r>
        <w:rPr>
          <w:rFonts w:hint="eastAsia" w:ascii="宋体" w:hAnsi="宋体" w:cs="宋体"/>
          <w:b/>
          <w:bCs/>
          <w:color w:val="ff0000"/>
          <w:sz w:val="24"/>
          <w:highlight w:val="none"/>
          <w:u w:val="single"/>
          <w:lang w:val="en-US" w:eastAsia="zh-CN"/>
        </w:rPr>
        <w:t xml:space="preserve">验收过程中如发现货物质量、安装调试结果不符合合同约定，卖方应当在完成整改后提请二次验收；二次验收仍不合格的，买方有权解除合同并要求卖方返还已经支付的全部款项，在整改以及验收不合格导致产生的费用由卖方承担。</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4.卖方交付验收时应先用书面、传真等方式通告买方；</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5.卖方必须严格按照投标时所提供的材料和承诺书执行，如发现未按投标材料和承诺执行，买方有权将对其进行处罚。</w:t>
      </w:r>
      <w:r/>
    </w:p>
    <w:p>
      <w:pPr>
        <w:ind w:firstLine="480"/>
        <w:jc w:val="left"/>
        <w:keepLines w:val="0"/>
        <w:keepNext w:val="0"/>
        <w:pageBreakBefore w:val="0"/>
        <w:spacing w:line="360" w:lineRule="auto"/>
        <w:rPr>
          <w:rFonts w:hint="eastAsia" w:ascii="宋体" w:hAnsi="宋体" w:eastAsia="宋体" w:cs="宋体"/>
          <w:sz w:val="24"/>
          <w:highlight w:val="none"/>
        </w:rPr>
      </w:pPr>
      <w:r>
        <w:rPr>
          <w:rFonts w:ascii="宋体" w:hAnsi="宋体" w:cs="宋体"/>
          <w:sz w:val="24"/>
          <w:highlight w:val="none"/>
        </w:rPr>
        <w:t xml:space="preserve">6.卖方必须严格按照</w:t>
      </w:r>
      <w:r>
        <w:rPr>
          <w:rFonts w:hint="eastAsia" w:ascii="宋体" w:hAnsi="宋体" w:cs="宋体"/>
          <w:sz w:val="24"/>
          <w:highlight w:val="none"/>
          <w:lang w:eastAsia="zh-CN"/>
        </w:rPr>
        <w:t xml:space="preserve">采购文件</w:t>
      </w:r>
      <w:r>
        <w:rPr>
          <w:rFonts w:ascii="宋体" w:hAnsi="宋体" w:cs="宋体"/>
          <w:sz w:val="24"/>
          <w:highlight w:val="none"/>
        </w:rPr>
        <w:t xml:space="preserve">、投标文件的内容及买方的要求完成项目内容等，如出现无法履约或提供产品不合格的情况，买方有权要求整改，若整改后还无法达到要求并影响项目验</w:t>
      </w:r>
      <w:r>
        <w:rPr>
          <w:rFonts w:hint="eastAsia" w:ascii="宋体" w:hAnsi="宋体" w:eastAsia="宋体" w:cs="宋体"/>
          <w:sz w:val="24"/>
          <w:highlight w:val="none"/>
        </w:rPr>
        <w:t xml:space="preserve">收的，买方有权终止合同，</w:t>
      </w:r>
      <w:r>
        <w:rPr>
          <w:rFonts w:hint="eastAsia" w:ascii="宋体" w:hAnsi="宋体" w:cs="宋体"/>
          <w:sz w:val="24"/>
          <w:highlight w:val="none"/>
          <w:lang w:eastAsia="zh-CN"/>
        </w:rPr>
        <w:t xml:space="preserve">扣除履约保证金并</w:t>
      </w:r>
      <w:r>
        <w:rPr>
          <w:rFonts w:hint="eastAsia" w:ascii="宋体" w:hAnsi="宋体" w:eastAsia="宋体" w:cs="宋体"/>
          <w:sz w:val="24"/>
          <w:highlight w:val="none"/>
        </w:rPr>
        <w:t xml:space="preserve">要求赔偿相应损失。</w:t>
      </w:r>
      <w:r/>
    </w:p>
    <w:p>
      <w:pPr>
        <w:ind w:firstLine="480"/>
        <w:jc w:val="left"/>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7.项目中所有安装耗材、调试、线路等，卖方需供货时自行调整到位，确保项目顺利验收。</w:t>
      </w:r>
      <w:r/>
    </w:p>
    <w:p>
      <w:pPr>
        <w:jc w:val="left"/>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九、</w:t>
      </w:r>
      <w:r>
        <w:rPr>
          <w:rFonts w:hint="eastAsia" w:ascii="宋体" w:hAnsi="宋体" w:cs="宋体"/>
          <w:b/>
          <w:bCs/>
          <w:sz w:val="24"/>
          <w:highlight w:val="none"/>
        </w:rPr>
        <w:t xml:space="preserve">违约责任： </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1买方无正当理由拒收货物的，买方向卖方偿付拒收货款总值的百分之五违约金。</w:t>
      </w:r>
      <w:r/>
    </w:p>
    <w:p>
      <w:pPr>
        <w:ind w:firstLine="480"/>
        <w:jc w:val="left"/>
        <w:keepLines w:val="0"/>
        <w:keepNext w:val="0"/>
        <w:pageBreakBefore w:val="0"/>
        <w:spacing w:line="360" w:lineRule="auto"/>
        <w:rPr>
          <w:rFonts w:hint="eastAsia" w:ascii="宋体" w:hAnsi="宋体" w:cs="宋体"/>
          <w:color w:val="ff0000"/>
          <w:sz w:val="24"/>
          <w:highlight w:val="none"/>
        </w:rPr>
      </w:pPr>
      <w:r>
        <w:rPr>
          <w:rFonts w:hint="eastAsia" w:ascii="宋体" w:hAnsi="宋体" w:cs="宋体"/>
          <w:sz w:val="24"/>
          <w:highlight w:val="none"/>
        </w:rPr>
        <w:t xml:space="preserve">2.买方无故逾期验收和办理货款支付手续的</w:t>
      </w:r>
      <w:r>
        <w:rPr>
          <w:rFonts w:hint="eastAsia" w:ascii="宋体" w:hAnsi="宋体" w:cs="宋体"/>
          <w:sz w:val="24"/>
          <w:highlight w:val="none"/>
          <w:lang w:eastAsia="zh-CN"/>
        </w:rPr>
        <w:t xml:space="preserve">，</w:t>
      </w:r>
      <w:r>
        <w:rPr>
          <w:rFonts w:hint="eastAsia" w:ascii="宋体" w:hAnsi="宋体" w:cs="宋体"/>
          <w:sz w:val="24"/>
          <w:highlight w:val="none"/>
        </w:rPr>
        <w:t xml:space="preserve">买方应按逾期付款总额每日万分之五向卖方支付违约金。</w:t>
      </w:r>
      <w:r>
        <w:rPr>
          <w:rFonts w:hint="eastAsia" w:ascii="宋体" w:hAnsi="宋体" w:cs="宋体"/>
          <w:color w:val="ff0000"/>
          <w:sz w:val="24"/>
          <w:highlight w:val="none"/>
        </w:rPr>
        <w:t xml:space="preserve">如因财政审批导致的迟延支付，采购人不承担迟延支付的违约责任，付款进度以财政资金下款时间为准。</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3.卖方逾期交付货物的，卖方应按逾期交货总额每日千分之六向买方支付违约金，由买方从待付货款中扣除。逾期超过约定日期10个工作日不能交货的，买方可解除本合同。卖方因逾期交货或因其他违约行为导致买方解除合同的，卖方应向买方支付合同总值5%的违约金，如造成买方损失超过违约金的，超出部分由卖方继续承担赔偿责任。 </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4.卖方所交的货物品种、型号、规格、技术参数、质量不符合合同规定及</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规定标准的，买方有权拒收该货物，卖方愿意更换货物但逾期交货的，按卖方逾期交货处理。卖方拒绝更换货物的，买方可单方面解除合同。</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5.由于一方违约造成的损失，由违约方承担，另一方要求违约方继续履行合同时，违约方承担上述违约责任后仍应继续履行合同。 </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6.由于违约造成第三方损失的，也由违约方在赔偿另一方损失的基础上再赔偿第三方损失。</w:t>
      </w:r>
      <w:r/>
    </w:p>
    <w:p>
      <w:pPr>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十、</w:t>
      </w:r>
      <w:r>
        <w:rPr>
          <w:rFonts w:hint="eastAsia" w:ascii="宋体" w:hAnsi="宋体" w:cs="宋体"/>
          <w:b/>
          <w:bCs/>
          <w:sz w:val="24"/>
          <w:highlight w:val="none"/>
        </w:rPr>
        <w:t xml:space="preserve">其他约定：</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1.凡是卖方提供的技术标准证明或产品认证证书必须是真实有效的，如有伪造，按该项</w:t>
      </w:r>
      <w:r>
        <w:rPr>
          <w:rFonts w:hint="eastAsia" w:ascii="宋体" w:hAnsi="宋体" w:cs="宋体"/>
          <w:sz w:val="24"/>
          <w:highlight w:val="none"/>
          <w:lang w:eastAsia="zh-CN"/>
        </w:rPr>
        <w:t xml:space="preserve">货物</w:t>
      </w:r>
      <w:r>
        <w:rPr>
          <w:rFonts w:hint="eastAsia" w:ascii="宋体" w:hAnsi="宋体" w:cs="宋体"/>
          <w:sz w:val="24"/>
          <w:highlight w:val="none"/>
        </w:rPr>
        <w:t xml:space="preserve">价值3倍罚款。</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2.卖方在供货时须提供所投产品全国联保售后服务的质保函原件，未提供的，买方有权终止合同，造成的相关损失由卖方承担。</w:t>
      </w:r>
      <w:r/>
    </w:p>
    <w:p>
      <w:pPr>
        <w:jc w:val="left"/>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十一、</w:t>
      </w:r>
      <w:r>
        <w:rPr>
          <w:rFonts w:hint="eastAsia" w:ascii="宋体" w:hAnsi="宋体" w:cs="宋体"/>
          <w:b/>
          <w:bCs/>
          <w:sz w:val="24"/>
          <w:highlight w:val="none"/>
        </w:rPr>
        <w:t xml:space="preserve">合同纠纷处理</w:t>
      </w:r>
      <w:r/>
    </w:p>
    <w:p>
      <w:pPr>
        <w:ind w:firstLine="36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本合同签订后所发生的经济纠纷，按照《中华人民共和国民法典》，由买方直接与卖方进行处理，处理不成由</w:t>
      </w:r>
      <w:r>
        <w:rPr>
          <w:rFonts w:hint="eastAsia" w:ascii="宋体" w:hAnsi="宋体" w:cs="宋体"/>
          <w:sz w:val="24"/>
          <w:highlight w:val="none"/>
          <w:lang w:val="en-US" w:eastAsia="zh-CN"/>
        </w:rPr>
        <w:t xml:space="preserve">金湖县人民</w:t>
      </w:r>
      <w:r>
        <w:rPr>
          <w:rFonts w:hint="eastAsia" w:ascii="宋体" w:hAnsi="宋体" w:cs="宋体"/>
          <w:sz w:val="24"/>
          <w:highlight w:val="none"/>
        </w:rPr>
        <w:t xml:space="preserve">法院管辖。</w:t>
      </w:r>
      <w:r/>
    </w:p>
    <w:p>
      <w:pPr>
        <w:jc w:val="left"/>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十</w:t>
      </w:r>
      <w:r>
        <w:rPr>
          <w:rFonts w:hint="eastAsia" w:ascii="宋体" w:hAnsi="宋体" w:cs="宋体"/>
          <w:b/>
          <w:bCs/>
          <w:sz w:val="24"/>
          <w:highlight w:val="none"/>
          <w:lang w:val="en-US" w:eastAsia="zh-CN"/>
        </w:rPr>
        <w:t xml:space="preserve">二</w:t>
      </w:r>
      <w:r>
        <w:rPr>
          <w:rFonts w:hint="eastAsia" w:ascii="宋体" w:hAnsi="宋体" w:cs="宋体"/>
          <w:b/>
          <w:bCs/>
          <w:sz w:val="24"/>
          <w:highlight w:val="none"/>
        </w:rPr>
        <w:t xml:space="preserve">、合同生效及其</w:t>
      </w:r>
      <w:r>
        <w:rPr>
          <w:rFonts w:hint="eastAsia" w:ascii="宋体" w:hAnsi="宋体" w:cs="宋体"/>
          <w:b/>
          <w:bCs/>
          <w:sz w:val="24"/>
          <w:highlight w:val="none"/>
          <w:lang w:eastAsia="zh-CN"/>
        </w:rPr>
        <w:t xml:space="preserve">他</w:t>
      </w:r>
      <w:r/>
    </w:p>
    <w:p>
      <w:pPr>
        <w:ind w:firstLine="36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1.本合同经买方、卖方双方盖章后方可生效。如有变动，双方自行商讨签订补充协议。</w:t>
      </w:r>
      <w:r/>
    </w:p>
    <w:p>
      <w:pPr>
        <w:ind w:firstLine="360"/>
        <w:jc w:val="left"/>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合同在执行过程中出现的未尽事宜，双方在不违背本合同和</w:t>
      </w:r>
      <w:r>
        <w:rPr>
          <w:rFonts w:hint="eastAsia" w:ascii="宋体" w:hAnsi="宋体" w:cs="宋体"/>
          <w:sz w:val="24"/>
          <w:highlight w:val="none"/>
          <w:lang w:eastAsia="zh-CN"/>
        </w:rPr>
        <w:t xml:space="preserve">采购文件</w:t>
      </w:r>
      <w:r>
        <w:rPr>
          <w:rFonts w:ascii="宋体" w:hAnsi="宋体" w:cs="宋体"/>
          <w:sz w:val="24"/>
          <w:highlight w:val="none"/>
        </w:rPr>
        <w:t xml:space="preserve">的原则下协商解决，协商结果以书面形式盖章记录在案，作为本合同的附件，与本合同具有同等效力。</w:t>
      </w:r>
      <w:r/>
    </w:p>
    <w:p>
      <w:pPr>
        <w:ind w:firstLine="36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3.本合同</w:t>
      </w:r>
      <w:r>
        <w:rPr>
          <w:rFonts w:hint="eastAsia" w:ascii="宋体" w:hAnsi="宋体" w:cs="宋体"/>
          <w:sz w:val="24"/>
          <w:highlight w:val="none"/>
          <w:lang w:eastAsia="zh-CN"/>
        </w:rPr>
        <w:t xml:space="preserve">一式</w:t>
      </w:r>
      <w:r>
        <w:rPr>
          <w:rFonts w:hint="eastAsia" w:ascii="宋体" w:hAnsi="宋体" w:cs="宋体"/>
          <w:sz w:val="24"/>
          <w:highlight w:val="none"/>
          <w:lang w:val="en-US" w:eastAsia="zh-CN"/>
        </w:rPr>
        <w:t xml:space="preserve">五</w:t>
      </w:r>
      <w:r>
        <w:rPr>
          <w:rFonts w:hint="eastAsia" w:ascii="宋体" w:hAnsi="宋体" w:cs="宋体"/>
          <w:sz w:val="24"/>
          <w:highlight w:val="none"/>
          <w:lang w:eastAsia="zh-CN"/>
        </w:rPr>
        <w:t xml:space="preserve">份</w:t>
      </w:r>
      <w:r>
        <w:rPr>
          <w:rFonts w:hint="eastAsia" w:ascii="宋体" w:hAnsi="宋体" w:cs="宋体"/>
          <w:sz w:val="24"/>
          <w:highlight w:val="none"/>
        </w:rPr>
        <w:t xml:space="preserve">，买方、卖方各执二份，备案一份。</w:t>
      </w:r>
      <w:r/>
    </w:p>
    <w:p>
      <w:pPr>
        <w:ind w:firstLine="36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ind w:firstLine="360"/>
        <w:jc w:val="left"/>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买方：</w:t>
      </w:r>
      <w:r>
        <w:rPr>
          <w:rFonts w:hint="eastAsia" w:ascii="宋体" w:hAnsi="宋体" w:eastAsia="宋体" w:cs="宋体"/>
          <w:b w:val="0"/>
          <w:bCs/>
          <w:sz w:val="24"/>
          <w:szCs w:val="24"/>
          <w:highlight w:val="none"/>
        </w:rPr>
        <w:t xml:space="preserve">（盖章）</w:t>
      </w: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lang w:eastAsia="zh-CN"/>
        </w:rPr>
        <w:t xml:space="preserve">卖方：</w:t>
      </w:r>
      <w:r>
        <w:rPr>
          <w:rFonts w:hint="eastAsia" w:ascii="宋体" w:hAnsi="宋体" w:eastAsia="宋体" w:cs="宋体"/>
          <w:b w:val="0"/>
          <w:bCs/>
          <w:sz w:val="24"/>
          <w:szCs w:val="24"/>
          <w:highlight w:val="none"/>
        </w:rPr>
        <w:t xml:space="preserve">（盖章）</w:t>
      </w:r>
      <w:r/>
    </w:p>
    <w:p>
      <w:pPr>
        <w:ind w:firstLine="360"/>
        <w:jc w:val="left"/>
        <w:keepLines w:val="0"/>
        <w:keepNext w:val="0"/>
        <w:pageBreakBefore w:val="0"/>
        <w:spacing w:line="360" w:lineRule="auto"/>
        <w:rPr>
          <w:rFonts w:hint="default" w:ascii="宋体" w:hAnsi="宋体" w:eastAsia="宋体" w:cs="宋体"/>
          <w:sz w:val="24"/>
          <w:szCs w:val="24"/>
          <w:highlight w:val="none"/>
          <w:lang w:val="en-US"/>
        </w:rPr>
        <w:sectPr>
          <w:footerReference w:type="default" r:id="rId11"/>
          <w:footnotePr/>
          <w:endnotePr/>
          <w:type w:val="nextPage"/>
          <w:pgSz w:w="11910" w:h="16840" w:orient="portrait"/>
          <w:pgMar w:top="1440" w:right="1080" w:bottom="1440" w:left="1080" w:header="0" w:footer="1113" w:gutter="0"/>
          <w:pgNumType w:start="1"/>
          <w:cols w:num="1" w:sep="0" w:space="720" w:equalWidth="1"/>
          <w:docGrid w:linePitch="360"/>
        </w:sectPr>
      </w:pPr>
      <w:r>
        <w:rPr>
          <w:rFonts w:hint="eastAsia" w:ascii="宋体" w:hAnsi="宋体" w:eastAsia="宋体" w:cs="宋体"/>
          <w:b w:val="0"/>
          <w:bCs/>
          <w:sz w:val="24"/>
          <w:szCs w:val="24"/>
          <w:highlight w:val="none"/>
          <w:u w:val="none"/>
          <w:lang w:val="en-US" w:eastAsia="zh-CN"/>
        </w:rPr>
        <w:t xml:space="preserve">日期：    </w:t>
      </w:r>
      <w:r>
        <w:rPr>
          <w:rFonts w:hint="eastAsia" w:ascii="宋体" w:hAnsi="宋体" w:eastAsia="宋体" w:cs="宋体"/>
          <w:b w:val="0"/>
          <w:bCs/>
          <w:sz w:val="24"/>
          <w:szCs w:val="24"/>
          <w:highlight w:val="none"/>
          <w:u w:val="none"/>
        </w:rPr>
        <w:t xml:space="preserve">年</w:t>
      </w: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none"/>
        </w:rPr>
        <w:t xml:space="preserve">月</w:t>
      </w: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none"/>
        </w:rPr>
        <w:t xml:space="preserve">日</w:t>
      </w:r>
      <w:r>
        <w:rPr>
          <w:rFonts w:hint="eastAsia" w:ascii="宋体" w:hAnsi="宋体" w:eastAsia="宋体" w:cs="宋体"/>
          <w:b w:val="0"/>
          <w:bCs/>
          <w:sz w:val="24"/>
          <w:szCs w:val="24"/>
          <w:highlight w:val="none"/>
          <w:u w:val="none"/>
          <w:lang w:val="en-US" w:eastAsia="zh-CN"/>
        </w:rPr>
        <w:t xml:space="preserve">                  日期：    </w:t>
      </w:r>
      <w:r>
        <w:rPr>
          <w:rFonts w:hint="eastAsia" w:ascii="宋体" w:hAnsi="宋体" w:eastAsia="宋体" w:cs="宋体"/>
          <w:b w:val="0"/>
          <w:bCs/>
          <w:sz w:val="24"/>
          <w:szCs w:val="24"/>
          <w:highlight w:val="none"/>
          <w:u w:val="none"/>
        </w:rPr>
        <w:t xml:space="preserve">年</w:t>
      </w: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none"/>
        </w:rPr>
        <w:t xml:space="preserve">月</w:t>
      </w:r>
      <w:r>
        <w:rPr>
          <w:rFonts w:hint="eastAsia" w:ascii="宋体" w:hAnsi="宋体" w:eastAsia="宋体" w:cs="宋体"/>
          <w:b w:val="0"/>
          <w:bCs/>
          <w:sz w:val="24"/>
          <w:szCs w:val="24"/>
          <w:highlight w:val="none"/>
          <w:u w:val="none"/>
          <w:lang w:val="en-US" w:eastAsia="zh-CN"/>
        </w:rPr>
        <w:t xml:space="preserve">    </w:t>
      </w:r>
      <w:bookmarkEnd w:id="35"/>
      <w:r/>
      <w:r/>
    </w:p>
    <w:p>
      <w:pPr>
        <w:pStyle w:val="966"/>
        <w:ind w:right="0"/>
        <w:jc w:val="center"/>
        <w:keepLines w:val="0"/>
        <w:keepNext w:val="0"/>
        <w:pageBreakBefore/>
        <w:spacing w:line="500" w:lineRule="exact"/>
        <w:widowControl w:val="off"/>
        <w:rPr>
          <w:rFonts w:hint="eastAsia" w:ascii="宋体" w:hAnsi="宋体" w:eastAsia="宋体" w:cs="宋体"/>
          <w:b/>
          <w:bCs/>
          <w:sz w:val="30"/>
          <w:szCs w:val="30"/>
          <w:highlight w:val="none"/>
          <w:lang w:val="zh-CN"/>
        </w:rPr>
        <w:outlineLvl w:val="0"/>
      </w:pPr>
      <w:r/>
      <w:bookmarkStart w:id="36" w:name="_Toc23561"/>
      <w:r>
        <w:rPr>
          <w:rFonts w:hint="eastAsia" w:ascii="宋体" w:hAnsi="宋体" w:eastAsia="宋体" w:cs="宋体"/>
          <w:b/>
          <w:bCs/>
          <w:sz w:val="32"/>
          <w:szCs w:val="32"/>
          <w:highlight w:val="none"/>
        </w:rPr>
        <w:t xml:space="preserve">第五章  项目采购需求及总体要求</w:t>
      </w:r>
      <w:bookmarkEnd w:id="36"/>
      <w:r/>
      <w:r/>
    </w:p>
    <w:p>
      <w:pPr>
        <w:numPr>
          <w:ilvl w:val="0"/>
          <w:numId w:val="4"/>
        </w:numPr>
        <w:jc w:val="left"/>
        <w:keepLines w:val="0"/>
        <w:keepNext w:val="0"/>
        <w:pageBreakBefore w:val="0"/>
        <w:spacing w:line="400" w:lineRule="exact"/>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设备技术参数</w:t>
      </w:r>
      <w:r/>
    </w:p>
    <w:tbl>
      <w:tblPr>
        <w:tblStyle w:val="743"/>
        <w:tblW w:w="56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8"/>
        <w:gridCol w:w="1156"/>
        <w:gridCol w:w="4758"/>
        <w:gridCol w:w="811"/>
        <w:gridCol w:w="1038"/>
        <w:gridCol w:w="2507"/>
      </w:tblGrid>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2号楼报告厅</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报告厅及休息室家具</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序号</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名称</w:t>
            </w:r>
            <w:r/>
          </w:p>
        </w:tc>
        <w:tc>
          <w:tcPr>
            <w:shd w:val="clear" w:color="auto" w:fill="auto"/>
            <w:tcW w:w="213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技术参数</w:t>
            </w:r>
            <w:r/>
          </w:p>
        </w:tc>
        <w:tc>
          <w:tcPr>
            <w:shd w:val="clear" w:color="auto" w:fill="auto"/>
            <w:tcW w:w="363"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数量</w:t>
            </w:r>
            <w:r/>
          </w:p>
        </w:tc>
        <w:tc>
          <w:tcPr>
            <w:shd w:val="clear" w:color="auto" w:fill="auto"/>
            <w:tcW w:w="1123"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图片（以下仅供参考）</w: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主席台</w:t>
            </w:r>
            <w:r/>
          </w:p>
        </w:tc>
        <w:tc>
          <w:tcPr>
            <w:shd w:val="clear" w:color="auto" w:fill="auto"/>
            <w:tcW w:w="2132" w:type="pct"/>
            <w:vAlign w:val="center"/>
            <w:textDirection w:val="lrTb"/>
            <w:noWrap w:val="false"/>
          </w:tcPr>
          <w:p>
            <w:pPr>
              <w:jc w:val="left"/>
              <w:keepLines w:val="0"/>
              <w:keepNext w:val="0"/>
              <w:widowControl/>
              <w:rPr>
                <w:rStyle w:val="1077"/>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suppressLineNumbers w:val="0"/>
            </w:pPr>
            <w:r>
              <w:rPr>
                <w:rStyle w:val="1077"/>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t xml:space="preserve">规格：≥1800*600*760mm，</w:t>
            </w:r>
            <w:r>
              <w:rPr>
                <w:rStyle w:val="1077"/>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br/>
            </w:r>
            <w:r>
              <w:rPr>
                <w:rStyle w:val="1078"/>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t xml:space="preserve">1</w:t>
            </w:r>
            <w:r>
              <w:rPr>
                <w:rStyle w:val="1077"/>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t xml:space="preserve">、基材：采用优质环保中密度纤维板、并经过高温防潮、防虫、防腐处理。</w:t>
            </w:r>
            <w:r>
              <w:rPr>
                <w:rStyle w:val="1077"/>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br/>
            </w:r>
            <w:r>
              <w:rPr>
                <w:rStyle w:val="1078"/>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t xml:space="preserve">2</w:t>
            </w:r>
            <w:r>
              <w:rPr>
                <w:rStyle w:val="1077"/>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t xml:space="preserve">、贴面封边材料；采用优质实木胡桃木皮，芯材细密，表面经过特殊处理。</w:t>
            </w:r>
            <w:r>
              <w:rPr>
                <w:rStyle w:val="1077"/>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br/>
            </w:r>
            <w:r>
              <w:rPr>
                <w:rStyle w:val="1078"/>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t xml:space="preserve">3</w:t>
            </w:r>
            <w:r>
              <w:rPr>
                <w:rStyle w:val="1077"/>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t xml:space="preserve">、油漆：采用优质绿色环保油漆。</w:t>
            </w:r>
            <w:r>
              <w:rPr>
                <w:rStyle w:val="1077"/>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br/>
            </w:r>
            <w:r>
              <w:rPr>
                <w:rStyle w:val="1078"/>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t xml:space="preserve">4</w:t>
            </w:r>
            <w:r>
              <w:rPr>
                <w:rStyle w:val="1077"/>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t xml:space="preserve">、工艺：采用五底四面的九次油漆涂装工艺，产品光泽、平整、纹理清晰、环保、颜色一致。胶水：采用一级环保胶水，粘合力强度大，不开裂。</w:t>
            </w:r>
            <w:r>
              <w:rPr>
                <w:rStyle w:val="1077"/>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br/>
            </w:r>
            <w:r>
              <w:rPr>
                <w:rStyle w:val="1078"/>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t xml:space="preserve">5</w:t>
            </w:r>
            <w:r>
              <w:rPr>
                <w:rStyle w:val="1077"/>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t xml:space="preserve">、五金配件：采用优质五金件。性能：静音、防撞、防锈、承重使用持久</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363"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16</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1485900" cy="450850"/>
                      <wp:effectExtent l="0" t="0" r="0" b="6350"/>
                      <wp:docPr id="3" name="图片 29" descr="DY183L9Z`7O_QD24RPG%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9" descr="DY183L9Z`7O_QD24RPG%EMY"/>
                              <pic:cNvPicPr>
                                <a:picLocks noChangeAspect="1"/>
                              </pic:cNvPicPr>
                              <pic:nvPr/>
                            </pic:nvPicPr>
                            <pic:blipFill>
                              <a:blip r:embed="rId15"/>
                              <a:stretch/>
                            </pic:blipFill>
                            <pic:spPr bwMode="auto">
                              <a:xfrm>
                                <a:off x="0" y="0"/>
                                <a:ext cx="1485900" cy="450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7.0pt;height:35.5pt;mso-wrap-distance-left:0.0pt;mso-wrap-distance-top:0.0pt;mso-wrap-distance-right:0.0pt;mso-wrap-distance-bottom:0.0pt;" stroked="f" strokeweight="0.75pt">
                      <v:path textboxrect="0,0,0,0"/>
                      <v:imagedata r:id="rId15"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主席椅</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规格：≥698*550*750mm，产品材质：椅身、座板、框架均为棕红色橡木，椅面采用优质西皮，高密度PU气泡海绵。</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48</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726440" cy="809625"/>
                      <wp:effectExtent l="0" t="0" r="6985" b="0"/>
                      <wp:docPr id="4"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pic:cNvPicPr>
                                <a:picLocks noChangeAspect="1"/>
                              </pic:cNvPicPr>
                              <pic:nvPr/>
                            </pic:nvPicPr>
                            <pic:blipFill>
                              <a:blip r:embed="rId16"/>
                              <a:stretch/>
                            </pic:blipFill>
                            <pic:spPr bwMode="auto">
                              <a:xfrm>
                                <a:off x="0" y="0"/>
                                <a:ext cx="72644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2pt;height:63.8pt;mso-wrap-distance-left:0.0pt;mso-wrap-distance-top:0.0pt;mso-wrap-distance-right:0.0pt;mso-wrap-distance-bottom:0.0pt;" stroked="f" strokeweight="0.75pt">
                      <v:path textboxrect="0,0,0,0"/>
                      <v:imagedata r:id="rId16"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长条桌</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规格：≥1200*420*760mm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1、基材：采用优质环保</w:t>
            </w:r>
            <w:r>
              <w:rPr>
                <w:rStyle w:val="1077"/>
                <w:rFonts w:hint="eastAsia" w:ascii="宋体" w:hAnsi="宋体" w:eastAsia="宋体" w:cs="宋体"/>
                <w:b w:val="0"/>
                <w:bCs w:val="0"/>
                <w:color w:val="000000" w:themeColor="text1"/>
                <w:sz w:val="18"/>
                <w:szCs w:val="18"/>
                <w:highlight w:val="none"/>
                <w:lang w:val="en-US" w:eastAsia="zh-CN" w:bidi="ar"/>
                <w14:textFill>
                  <w14:solidFill>
                    <w14:schemeClr w14:val="tx1"/>
                  </w14:solidFill>
                </w14:textFill>
              </w:rPr>
              <w:t xml:space="preserve">中密度纤维板</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、并经过高温防潮、防虫、防腐处理，抗压力强，不易变形。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2、贴面封边材料；采用优质实木胡桃木皮，芯材细密，表面经过特殊处理。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3、油漆：采用优质绿色环保油漆，符合环保标准。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4、工艺：采用五底四面的九次油漆涂装工艺，产品光泽、平整、纹理清晰、环保、颜色一致。胶水：采用一级环保胶水，粘合力强度大，不开裂。</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5、五金配件：采用优质五金件。</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提供</w:t>
            </w:r>
            <w:r>
              <w:rPr>
                <w:rFonts w:hint="eastAsia" w:ascii="宋体" w:hAnsi="宋体" w:cs="宋体"/>
                <w:b w:val="0"/>
                <w:bCs w:val="0"/>
                <w:i w:val="0"/>
                <w:iCs w:val="0"/>
                <w:color w:val="000000"/>
                <w:sz w:val="20"/>
                <w:szCs w:val="20"/>
                <w:highlight w:val="none"/>
                <w:u w:val="none"/>
                <w:lang w:val="en-US" w:eastAsia="zh-CN" w:bidi="ar"/>
              </w:rPr>
              <w:t xml:space="preserve">有效期内</w:t>
            </w:r>
            <w:r>
              <w:rPr>
                <w:rFonts w:hint="eastAsia" w:ascii="宋体" w:hAnsi="宋体" w:eastAsia="宋体" w:cs="宋体"/>
                <w:b w:val="0"/>
                <w:bCs w:val="0"/>
                <w:i w:val="0"/>
                <w:iCs w:val="0"/>
                <w:color w:val="000000"/>
                <w:sz w:val="20"/>
                <w:szCs w:val="20"/>
                <w:highlight w:val="none"/>
                <w:u w:val="none"/>
                <w:lang w:val="en-US" w:eastAsia="zh-CN" w:bidi="ar"/>
              </w:rPr>
              <w:t xml:space="preserve">国家认可的检测机构出具</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的中密度纤维板检测报告，甲醛释放量≤0.124mg/m³。</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135</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1232535" cy="912495"/>
                      <wp:effectExtent l="0" t="0" r="5715" b="1905"/>
                      <wp:docPr id="5" name="图片 3" descr="J1HA@Q1GSC0HV]V_K}~Z4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J1HA@Q1GSC0HV]V_K}~Z4LF"/>
                              <pic:cNvPicPr>
                                <a:picLocks noChangeAspect="1"/>
                              </pic:cNvPicPr>
                              <pic:nvPr/>
                            </pic:nvPicPr>
                            <pic:blipFill>
                              <a:blip r:embed="rId17"/>
                              <a:stretch/>
                            </pic:blipFill>
                            <pic:spPr bwMode="auto">
                              <a:xfrm>
                                <a:off x="0" y="0"/>
                                <a:ext cx="1232535" cy="9124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7.0pt;height:71.8pt;mso-wrap-distance-left:0.0pt;mso-wrap-distance-top:0.0pt;mso-wrap-distance-right:0.0pt;mso-wrap-distance-bottom:0.0pt;" stroked="f" strokeweight="0.75pt">
                      <v:path textboxrect="0,0,0,0"/>
                      <v:imagedata r:id="rId17"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长条桌</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规格：≥1800*420*760mm，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1、基材：采用优质环保中密度中纤板、并经过高温防潮、防虫、防腐处理，抗压力强，不易变形。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2、贴面封边材料；采用优质实木胡桃木皮，芯材细密，表面经过特殊处理。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3、油漆：采用绿色环保油漆。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4、工艺：采用五底四面的九次油漆涂装工艺，产品光泽、平整、纹理清晰、环保、颜色一致。胶水：采用一级环保胶水，粘合力强度大，不开裂。</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5、五金配件：采用优质五金件。性能：静音、防撞、防锈、承重使用持久</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1283335" cy="813435"/>
                      <wp:effectExtent l="0" t="0" r="12065" b="571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pic:cNvPicPr>
                                <a:picLocks noChangeAspect="1"/>
                              </pic:cNvPicPr>
                              <pic:nvPr/>
                            </pic:nvPicPr>
                            <pic:blipFill>
                              <a:blip r:embed="rId18"/>
                              <a:stretch/>
                            </pic:blipFill>
                            <pic:spPr bwMode="auto">
                              <a:xfrm>
                                <a:off x="0" y="0"/>
                                <a:ext cx="1283335"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0pt;height:64.0pt;mso-wrap-distance-left:0.0pt;mso-wrap-distance-top:0.0pt;mso-wrap-distance-right:0.0pt;mso-wrap-distance-bottom:0.0pt;" stroked="f">
                      <v:path textboxrect="0,0,0,0"/>
                      <v:imagedata r:id="rId18"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演讲台</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规格：≥860*560*1150mm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1、基材：采用优质环保高密度中纤板、并经过高温防潮、防虫、防腐处理，抗压力强，不易变形。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2、贴面封边材料；采用优质实木胡桃木皮，芯材细密，表面经过特殊处理。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3、油漆：采用绿色环保油漆，符合环保标准。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4、工艺：采用五底四面的九次油漆涂装工艺，产品光泽、平整、纹理清晰、环保、颜色一致。胶水：采用一级环保胶水，粘合力强度大，不开裂。</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5、五金配件：采用优质五金件。</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排椅</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规格：中心距≥520mm、座高≥440mm、整椅深度≥846mm。写字板高度≥760mm。</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写  字  板：桌面板采用厚≥25mm宽度≥300mm实木颗粒板热压表面后成型，面贴防火板（面板颜色为榉木色），桌面前后两边采用防火板包边，环保耐用。左右两边采用1.5mm厚PVC热熔封边处理。</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站脚：采用优质铝合金一体压铸成型，表面静电粉末喷涂处理，单脚重量不</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小于2760克，整个椅脚下端采用上窄下宽椭圆管状结构，左右各有加强筋图形，保证站脚美观牢固。管状结构加强了整支椅脚结实程度，不易晃动。椅脚扶手打破传统理念根据人体工程原理弧形设计，舒适美观。站脚无毛刺，无焊接，脚架转角位圆润光滑。表面作防氧化处理后经高温喷涂处理附着力强，抗冲击、耐腐蚀、不生锈、不褪色、经久耐用，站脚高度可选适合平地和多种阶梯教室：900/950/1010mm，地脚长345mm宽70mm,采用加宽加长和弧形设计，有效增加地面接触面积，增强座椅牢固度 ，增加座椅载荷,地脚螺丝固定处封闭式结构。</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前排桌：脚架采用铝合金一体压铸成型，高度≥785mm宽度≥50mm，厚不得低于为3.5毫米，表面经喷涂处理。</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椅背：≥425mm(高）×510mm（宽）×10mm（厚），外型根据人体工程学设计，背板采用≥10mm多层板优质旋切木经模具热压成型并双面压防火板，采用环保油</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漆和环保胶粘接，防潮、耐用、不褪色.框架采用优质钢板经模具加工成型后焊接而成.背框横条采用≥1.2mm优质钢板经模压型，表面做防氧化处理后，高氧化处理后，高温喷涂处理。靠背点以上向后倾斜，与垂直面之间呈6º～12º角。靠背面前凸呈漫圆形；上、下缘加工成弧形。靠背凹面的曲率半径≥500mm。靠背下缘与座面后缘之间留有净空。靠背点位于椅体的正中线上，且在靠背前凸最高点，使靠背支撑点集中在肩胛下方的腰背部位，符合人类功效学。</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椅座：≥430mm(深）×448mm（宽）×14mm（厚），采用不小于14mm多层板优质旋切木经模具热压成型并双面压防火板，采用环保胶粘接，防潮、耐用、不褪色。板与铝合金一体压铸成型角码采用穿透式连接，采用M8圆柱头六角螺丝2个/角码，整体弧度及曲线符合人体工程学设计。强度高，抗老化，经久耐用，坐感舒适。</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桌面支撑件：固定桌面支撑件，采用1.5mm厚优质钢板冲压成型，无毛刺，无焊接；表面经喷涂处理，防锈蚀，经久耐用。</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7.</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书包篮：采用优质≥φ5×φ3mm冷拉钢丝、表面采用静电喷涂处理。书包篮尺寸为：≥长 430mm×深 240mm×130mm，方便放取书物，表面经喷涂处理。采用4颗M4*16螺丝连接于铝合金站脚左右两边，保证牢固不松动。</w:t>
            </w:r>
            <w:r/>
          </w:p>
          <w:p>
            <w:pPr>
              <w:jc w:val="left"/>
              <w:keepLines w:val="0"/>
              <w:keepNext w:val="0"/>
              <w:widowControl/>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8.回复结构</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：铝合金一体压铸成型座角码，无毛刺，无焊接，防夹手功能，尺寸≥宽80mm,长度≥ 218mm，座角码表面作防氧化处理后，高温喷涂处理。静音处理得力回复</w:t>
            </w: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结</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构。</w:t>
            </w:r>
            <w:r/>
          </w:p>
          <w:p>
            <w:pPr>
              <w:jc w:val="left"/>
              <w:keepLines w:val="0"/>
              <w:keepNext w:val="0"/>
              <w:widowControl/>
              <w:rPr>
                <w:rFonts w:hint="default"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▲提供</w:t>
            </w:r>
            <w:r>
              <w:rPr>
                <w:rFonts w:hint="eastAsia" w:ascii="宋体" w:hAnsi="宋体" w:cs="宋体"/>
                <w:b w:val="0"/>
                <w:bCs w:val="0"/>
                <w:i w:val="0"/>
                <w:iCs w:val="0"/>
                <w:color w:val="000000"/>
                <w:sz w:val="20"/>
                <w:szCs w:val="20"/>
                <w:highlight w:val="none"/>
                <w:u w:val="none"/>
                <w:lang w:val="en-US" w:eastAsia="zh-CN" w:bidi="ar"/>
              </w:rPr>
              <w:t xml:space="preserve">有效期内</w:t>
            </w:r>
            <w:r>
              <w:rPr>
                <w:rFonts w:hint="eastAsia" w:ascii="宋体" w:hAnsi="宋体" w:eastAsia="宋体" w:cs="宋体"/>
                <w:b w:val="0"/>
                <w:bCs w:val="0"/>
                <w:i w:val="0"/>
                <w:iCs w:val="0"/>
                <w:color w:val="000000"/>
                <w:sz w:val="20"/>
                <w:szCs w:val="20"/>
                <w:highlight w:val="none"/>
                <w:u w:val="none"/>
                <w:lang w:val="en-US" w:eastAsia="zh-CN" w:bidi="ar"/>
              </w:rPr>
              <w:t xml:space="preserve">国家认可的检测机构出具</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的</w:t>
            </w:r>
            <w:r>
              <w:rPr>
                <w:rFonts w:hint="eastAsia" w:ascii="宋体" w:hAnsi="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产品质量检测</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报告。</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275</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7</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长条桌</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规格：≥1800*420*760mm，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1、基材：采用优质环保中密度中纤板、并经过高温防潮、防虫、防腐处理，抗压力强，不易变形。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2、贴面封边材料；采用优质实木胡桃木皮，芯材细密，表面经过特殊处理。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3、油漆：采用绿色环保油漆，符合环保标准。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4、工艺：采用五底四面的九次油漆涂装工艺，产品光泽、平整、纹理清晰、环保、颜色一致。胶水：采用一级环保胶水，粘合力强度大，不开裂。</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5、五金配件：采用优质五金件。</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提供国家权威部门出具的中密度纤维板检测报告，甲醛释放量≤0.124mg/m³。</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137</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1283335" cy="813435"/>
                      <wp:effectExtent l="0" t="0" r="12065" b="571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
                              <pic:cNvPicPr>
                                <a:picLocks noChangeAspect="1"/>
                              </pic:cNvPicPr>
                              <pic:nvPr/>
                            </pic:nvPicPr>
                            <pic:blipFill>
                              <a:blip r:embed="rId18"/>
                              <a:stretch/>
                            </pic:blipFill>
                            <pic:spPr bwMode="auto">
                              <a:xfrm>
                                <a:off x="0" y="0"/>
                                <a:ext cx="1283335"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1.0pt;height:64.0pt;mso-wrap-distance-left:0.0pt;mso-wrap-distance-top:0.0pt;mso-wrap-distance-right:0.0pt;mso-wrap-distance-bottom:0.0pt;" stroked="f">
                      <v:path textboxrect="0,0,0,0"/>
                      <v:imagedata r:id="rId18"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椅子</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8" name="图片_7"/>
                      <wp:cNvGraphicFramePr/>
                      <a:graphic xmlns:a="http://schemas.openxmlformats.org/drawingml/2006/main">
                        <a:graphicData uri="http://schemas.openxmlformats.org/drawingml/2006/picture">
                          <pic:pic xmlns:pic="http://schemas.openxmlformats.org/drawingml/2006/picture">
                            <pic:nvPicPr>
                              <pic:cNvPr id="28" name="图片_7"/>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9" name="图片_8"/>
                      <wp:cNvGraphicFramePr/>
                      <a:graphic xmlns:a="http://schemas.openxmlformats.org/drawingml/2006/main">
                        <a:graphicData uri="http://schemas.openxmlformats.org/drawingml/2006/picture">
                          <pic:pic xmlns:pic="http://schemas.openxmlformats.org/drawingml/2006/picture">
                            <pic:nvPicPr>
                              <pic:cNvPr id="13" name="图片_8"/>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规格：≥450*430*900mm，坐高≥450mm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面料：优质西皮，皮面光泽度好，透气性强，柔软而富于韧性厚度适中。海绵：采用PU成型高密度海绵，软硬适中，回弹性能好，抗变形能力强，根椐人体工程学原理设计，坐感舒适。椅架：实木椅架</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10" name="图片_31"/>
                      <wp:cNvGraphicFramePr/>
                      <a:graphic xmlns:a="http://schemas.openxmlformats.org/drawingml/2006/main">
                        <a:graphicData uri="http://schemas.openxmlformats.org/drawingml/2006/picture">
                          <pic:pic xmlns:pic="http://schemas.openxmlformats.org/drawingml/2006/picture">
                            <pic:nvPicPr>
                              <pic:cNvPr id="10" name="图片_3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11" name="图片_30"/>
                      <wp:cNvGraphicFramePr/>
                      <a:graphic xmlns:a="http://schemas.openxmlformats.org/drawingml/2006/main">
                        <a:graphicData uri="http://schemas.openxmlformats.org/drawingml/2006/picture">
                          <pic:pic xmlns:pic="http://schemas.openxmlformats.org/drawingml/2006/picture">
                            <pic:nvPicPr>
                              <pic:cNvPr id="14" name="图片_3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413</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733425" cy="941070"/>
                      <wp:effectExtent l="0" t="0" r="0" b="190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1"/>
                              <pic:cNvPicPr>
                                <a:picLocks noChangeAspect="1"/>
                              </pic:cNvPicPr>
                              <pic:nvPr/>
                            </pic:nvPicPr>
                            <pic:blipFill>
                              <a:blip r:embed="rId21"/>
                              <a:stretch/>
                            </pic:blipFill>
                            <pic:spPr bwMode="auto">
                              <a:xfrm>
                                <a:off x="0" y="0"/>
                                <a:ext cx="733424" cy="941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8pt;height:74.1pt;mso-wrap-distance-left:0.0pt;mso-wrap-distance-top:0.0pt;mso-wrap-distance-right:0.0pt;mso-wrap-distance-bottom:0.0pt;" stroked="f" strokeweight="0.75pt">
                      <v:path textboxrect="0,0,0,0"/>
                      <v:imagedata r:id="rId21"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9</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文件柜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规格：≥900mm*400mm*1850mm,板厚≥0.6mm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    产品均采用优质冷轧钢板，厚度为≥0.6mm.耐压，强度大，抗冲击不易变形；采用静电粉末喷塑，无有机溶剂，无污染：开启灵活、扣手新颖个性。铝合金更加美观耐用。焊接部分采用高标准熔接焊，表面光滑平。</w:t>
            </w:r>
            <w:r/>
          </w:p>
          <w:p>
            <w:pPr>
              <w:pStyle w:val="744"/>
              <w:ind w:left="0" w:firstLine="0"/>
              <w:rPr>
                <w:rFonts w:hint="default"/>
                <w:lang w:val="en-US"/>
              </w:rPr>
            </w:pPr>
            <w:r>
              <w:rPr>
                <w:rFonts w:hint="default"/>
                <w:lang w:val="en-US"/>
              </w:rPr>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2号楼团委活动室、1号楼党员活动室及团员活动室</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更衣柜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规格：≥900mm*400mm*1850mm,板厚≥0.6mm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产品采用≥0.6mm厚冷轧钢板制作而成，耐压，强度大，不易变形；采用静电粉末喷塑，无有机溶剂，无污染；开启灵活、扣手新颖个性，铝合金更加美观耐用。焊接部分采用高标准熔接焊，表面部分光滑平整。</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20</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休闲长桌</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规格：≥1200*800*750mm，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材质要求：</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1、木制部分，基层采用优质环保多层板，面贴防火板，基层板游离甲醛释放量符合国家E1级标准，贴面色泽一致，完整干净、无瑕疵，颜色均匀平整。</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2、桌脚部分：金属脚架</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10</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W w:w="517"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休闲椅</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椅子钢架脚，靠背是弯板，软包是西皮或者布艺饰面</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40</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长条椅</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规格：≥1750*680*780mm，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扶手、脚：≥1.2mm优质冷轧钢板冷冲成型</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表面处理：高温除油-磷化-清洗-烘干-静电喷涂-高温固化</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座板：≥1.2mm冷轧钢板经冲孔，折边、冲弯等工序后与支架自动焊接，表面静电喷涂处理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横梁：≥1.5mm 冷轧钢板辊压成型后焊接加工，标准座板与扶手脚的安装孔位，管头装ABS塑料件，表面静电喷涂处理。</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20</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gridSpan w:val="4"/>
            <w:shd w:val="clear" w:color="auto" w:fill="auto"/>
            <w:tcW w:w="347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4648200</wp:posOffset>
                      </wp:positionH>
                      <wp:positionV relativeFrom="paragraph">
                        <wp:posOffset>0</wp:posOffset>
                      </wp:positionV>
                      <wp:extent cx="10160" cy="10160"/>
                      <wp:effectExtent l="0" t="0" r="0" b="0"/>
                      <wp:wrapNone/>
                      <wp:docPr id="13" name="图片_43"/>
                      <wp:cNvGraphicFramePr/>
                      <a:graphic xmlns:a="http://schemas.openxmlformats.org/drawingml/2006/main">
                        <a:graphicData uri="http://schemas.openxmlformats.org/drawingml/2006/picture">
                          <pic:pic xmlns:pic="http://schemas.openxmlformats.org/drawingml/2006/picture">
                            <pic:nvPicPr>
                              <pic:cNvPr id="16" name="图片_4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366.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9号楼实践中心</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9号楼档案管理、1号楼档案室、学籍档案室</w:t>
            </w:r>
            <w:r/>
          </w:p>
        </w:tc>
        <w:tc>
          <w:tcPr>
            <w:gridSpan w:val="2"/>
            <w:shd w:val="clear" w:color="auto" w:fill="auto"/>
            <w:tcW w:w="828" w:type="pct"/>
            <w:vAlign w:val="center"/>
            <w:textDirection w:val="lrTb"/>
            <w:noWrap w:val="false"/>
          </w:tcPr>
          <w:p>
            <w:pP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4358"/>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密集柜</w:t>
            </w:r>
            <w:r/>
          </w:p>
        </w:tc>
        <w:tc>
          <w:tcPr>
            <w:shd w:val="clear" w:color="auto" w:fill="auto"/>
            <w:tcW w:w="2132" w:type="pct"/>
            <w:vAlign w:val="center"/>
            <w:textDirection w:val="lrTb"/>
            <w:noWrap w:val="false"/>
          </w:tcPr>
          <w:p>
            <w:pPr>
              <w:numPr>
                <w:ilvl w:val="0"/>
                <w:numId w:val="5"/>
              </w:num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架体结构、工艺技术及要求</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（1）架体为双柱式结构，每层两块搁板，搁板能垂直调整高度。标准层净高≥325 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（2）底盘：厚度要求2.6mm ，采用分段焊接后，整体组装，钢性足，不变形。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（3）立柱： 厚度要求1.2mm，冷轧钢板全自动滚压成形，成型尺寸为≥50*33，立柱为六刀六筋折弯结构，安装后可确保搁板、挂板沿立柱的垂直方向调整高度。立柱正面压两条凹型筋，凹槽宽度≥6mm，深度≥2mm，侧面压四条圆型筋增强钢板强度，增强承重力，立柱勾边做圆弧处理，防止挂手且美观牢固。</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搁板：厚度要求0.9mm，冷轧钢板全自动滚压成形，隔板正面有六条凹型筋，增强钢板强度，文件放置上面放置滑动，层均匀承重标准为120公斤，隔板侧面压花型处理，钢性好、平整、通用性、互换性好外形美观，隔板内勾边做圆弧处理，牢固防止且存取文件防止挂手。</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挂板：采用整体式结构，厚度要求0.9mm，冷轧钢板全自动滚压成形，表面光滑平整。正面有压型两个椭圆凹槽，增加强度，凹槽上下压型两条长条圆筋，结实坚固耐用，挂板下方压制一条向内的通型圆筋，起到加强牢固作用和隔板架上去以后防止隔板脱落的卡条。</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（6）档书条： 厚度要求0.7 mm，冷轧钢板一次辊压成型 四折三筋 .正面和侧面各压一条凹型筋，增强钢板强度，层均匀承重，档条两头做小挂钩处理，挂在挂板上面防止堆放资料过多的时候变形而脱落，也起到拉制挂板使挂板增强的效果。</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（7）顶板、门板：厚度要求0.9 mm，表面光滑平整，边缘三折弯，一次成型，门板采用三加强结构。</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（8）侧护板：厚度要求0.8mm，冷轧钢板冲压成形，中间采用压筋处理，边角采用圆角处理，美观大方，不易磕碰，每块侧板上装有两个标签框，方便档案查询。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（9）边列门锁；采用门把手/锁一体结构，美观实用。</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二、智能密集架控制部分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（1）触摸屏：15英寸、分辨率：1920*1080、面板设计：一体化铝合金设计，集成圆形指纹仪、双目人脸识别、矩阵麦克风、语音控制、立体声喇叭、USB3.0接口等。</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（2）温湿度数值：主控首页支持展示当前架体环境的温度和湿度信息。支持手动开启/关闭。支持配置温湿度上限，超出阈值产生报警提示和语音。</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（3）年月日时间：主控首页展示实时的年、月、日时间信息。</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（4）通过首页上方的“帮助”按钮可进入“帮助”页面，具有“休眠”、“一键测试”、“替换logo”三个功能按钮</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（5）系统指纹仪指标要求：智能密集架指纹仪需满足GA701-2007标准，指纹识别错误率为0.001%时，错误拒绝率应≤0.5%。</w:t>
            </w:r>
            <w:r/>
          </w:p>
          <w:p>
            <w:pPr>
              <w:numPr>
                <w:ilvl w:val="0"/>
                <w:numId w:val="6"/>
              </w:num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人脸识别功能：通过固定列控制器双目摄像头进行活体人脸识别身份验证，验证通过后可进行管控操作。</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（7）人脸注册失败率：智能密集架人脸注册失败率满足GA/T1093-2023标准要求，人脸注册失败率≤0.01%。</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（8）人脸识别准确率：智能密集架人脸识别准确率满足GA/T1093-2023标准要求，人脸识别准确率＞99.5%。（需提供</w:t>
            </w: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有效期内</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国家安全防范报警系统产品质量中心出具的符合要求的人脸识别模组检测报告作为佐证材料）</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9）档案上架：固定列主控接收到从平台发送的“上架任务”，在“首页-任务-上架任务”模块，系统自动显示需要上架的档案列表，显示内容为：档案名称（不超过20个文字）；档案在架位置（区列节层左右）；档案条码（不超过15个字母）等；操作：开架。根据实际要上架的顺序，在查询框输入“档案条码与档案名称”关键字，对档案进行搜索，搜索应支持模糊查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10）档案下架：固定列主控接收到从平台发送的“下架任务”，在“首页-任务-下架任务”模块，系统自动显示需要下架的档案列表，显示内容为：档案名称：不超过20个文字；档案在架位置：区列节层左右；档案条码：不超过15个字母；存入时间；操作：开架</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11）人员管理：在“用户管理”页面，应实现人员信息的添加、编辑、删除，人员信息包括用户编号、密码、指纹录入、人脸录入。其中用户编号最低6位英文或数字，密码最低8位英文或数字，单人最多可支持10个指纹信息，指纹和人脸均支持判重识别。</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（12）移动列运行状态显示功能：移动列移动过程中，可通过移动列控制器触摸显示屏显示移动列的运行状态，包括移动距离、工作电流、压力数值、到位状态。（需提供</w:t>
            </w: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有效期内</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带CMA、CNAS标识的国家级检测机构出具符合要求的智能电动密集架控制系统检测报告作为佐证材料)</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13）控制系统稳定性：智能密集架控制系统（包含屏幕和控制器安全模块）通过温度最高+60℃、最低-20℃以上时，经历至少8h试验时间后，产品外观正常，结构无异常，工作应正常。湿热环境下存储和工作状态要求：温度+40℃，湿度80%RH环境下，经历至少8h试验时间后，产品外观正常，结构无异常，工作应正常。（需提供</w:t>
            </w: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有效期内</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带CMA、CNAS标识且带查验二维码的国家级检测机构出具符合要求的检测报告作为佐证材料。)</w:t>
            </w:r>
            <w:r/>
          </w:p>
          <w:p>
            <w:pPr>
              <w:numPr>
                <w:ilvl w:val="0"/>
                <w:numId w:val="0"/>
              </w:num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14）①单列快速开合：在通道宽度80cm±5cm情况下，单个活动列架体从完全闭合状态到完全开启的时间应≤7s，架体应运行；②平稳团体快速开合：9列活动列架体，从完全闭合状态到全部开架到位且通道宽度为80cm±5cm所用时间应≤65s，架体应运行平稳，无刺耳噪声。（需提供有效期内带CMA、CNAS标识且带查验二维码的国家级检测机构出具符合要求的检测报告作为佐证材料。)</w:t>
            </w:r>
            <w:r/>
          </w:p>
          <w:p>
            <w:pPr>
              <w:pStyle w:val="744"/>
              <w:numPr>
                <w:ilvl w:val="0"/>
                <w:numId w:val="0"/>
              </w:numPr>
              <w:rPr>
                <w:rFonts w:hint="eastAsia"/>
              </w:rPr>
            </w:pPr>
            <w:r>
              <w:rPr>
                <w:rFonts w:hint="eastAsia"/>
              </w:rPr>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立方</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156.2</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1452880" cy="1048385"/>
                      <wp:effectExtent l="0" t="0" r="4445" b="889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
                              <pic:cNvPicPr>
                                <a:picLocks noChangeAspect="1"/>
                              </pic:cNvPicPr>
                              <pic:nvPr/>
                            </pic:nvPicPr>
                            <pic:blipFill>
                              <a:blip r:embed="rId22"/>
                              <a:stretch/>
                            </pic:blipFill>
                            <pic:spPr bwMode="auto">
                              <a:xfrm>
                                <a:off x="0" y="0"/>
                                <a:ext cx="1452880" cy="10483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14.4pt;height:82.5pt;mso-wrap-distance-left:0.0pt;mso-wrap-distance-top:0.0pt;mso-wrap-distance-right:0.0pt;mso-wrap-distance-bottom:0.0pt;" stroked="f" strokeweight="0.75pt">
                      <v:path textboxrect="0,0,0,0"/>
                      <v:imagedata r:id="rId22" o:title=""/>
                    </v:shape>
                  </w:pict>
                </mc:Fallback>
              </mc:AlternateContent>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宣讲室</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演讲台</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15" name="图片_9"/>
                      <wp:cNvGraphicFramePr/>
                      <a:graphic xmlns:a="http://schemas.openxmlformats.org/drawingml/2006/main">
                        <a:graphicData uri="http://schemas.openxmlformats.org/drawingml/2006/picture">
                          <pic:pic xmlns:pic="http://schemas.openxmlformats.org/drawingml/2006/picture">
                            <pic:nvPicPr>
                              <pic:cNvPr id="18" name="图片_9"/>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16" name="图片_13"/>
                      <wp:cNvGraphicFramePr/>
                      <a:graphic xmlns:a="http://schemas.openxmlformats.org/drawingml/2006/main">
                        <a:graphicData uri="http://schemas.openxmlformats.org/drawingml/2006/picture">
                          <pic:pic xmlns:pic="http://schemas.openxmlformats.org/drawingml/2006/picture">
                            <pic:nvPicPr>
                              <pic:cNvPr id="27" name="图片_1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17" name="图片_14"/>
                      <wp:cNvGraphicFramePr/>
                      <a:graphic xmlns:a="http://schemas.openxmlformats.org/drawingml/2006/main">
                        <a:graphicData uri="http://schemas.openxmlformats.org/drawingml/2006/picture">
                          <pic:pic xmlns:pic="http://schemas.openxmlformats.org/drawingml/2006/picture">
                            <pic:nvPicPr>
                              <pic:cNvPr id="17" name="图片_1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18" name="图片_10"/>
                      <wp:cNvGraphicFramePr/>
                      <a:graphic xmlns:a="http://schemas.openxmlformats.org/drawingml/2006/main">
                        <a:graphicData uri="http://schemas.openxmlformats.org/drawingml/2006/picture">
                          <pic:pic xmlns:pic="http://schemas.openxmlformats.org/drawingml/2006/picture">
                            <pic:nvPicPr>
                              <pic:cNvPr id="11" name="图片_10"/>
                              <pic:cNvPicPr/>
                              <pic:nvPr/>
                            </pic:nvPicPr>
                            <pic:blipFill>
                              <a:blip r:embed="rId23"/>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19" name="图片_11"/>
                      <wp:cNvGraphicFramePr/>
                      <a:graphic xmlns:a="http://schemas.openxmlformats.org/drawingml/2006/main">
                        <a:graphicData uri="http://schemas.openxmlformats.org/drawingml/2006/picture">
                          <pic:pic xmlns:pic="http://schemas.openxmlformats.org/drawingml/2006/picture">
                            <pic:nvPicPr>
                              <pic:cNvPr id="29" name="图片_11"/>
                              <pic:cNvPicPr/>
                              <pic:nvPr/>
                            </pic:nvPicPr>
                            <pic:blipFill>
                              <a:blip r:embed="rId24"/>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20" name="图片_12"/>
                      <wp:cNvGraphicFramePr/>
                      <a:graphic xmlns:a="http://schemas.openxmlformats.org/drawingml/2006/main">
                        <a:graphicData uri="http://schemas.openxmlformats.org/drawingml/2006/picture">
                          <pic:pic xmlns:pic="http://schemas.openxmlformats.org/drawingml/2006/picture">
                            <pic:nvPicPr>
                              <pic:cNvPr id="26" name="图片_1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规格：≥860*560*1150mm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1、基材：采用优质环保高密度中纤板、并经过高温防潮、防虫、防腐处理，抗压力强，不易变形。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2、贴面封边材料；采用优质实木胡桃木皮，芯材细密，表面经过特殊处理。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3、油漆：采用绿色环保油漆，符合环保标准。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4、工艺：采用五底四面的九次油漆涂装工艺。胶水：采用一级环保胶水，粘合力强度大，不开裂。</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5、五金配件：采用优质五金件。</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21" name="图片_48"/>
                      <wp:cNvGraphicFramePr/>
                      <a:graphic xmlns:a="http://schemas.openxmlformats.org/drawingml/2006/main">
                        <a:graphicData uri="http://schemas.openxmlformats.org/drawingml/2006/picture">
                          <pic:pic xmlns:pic="http://schemas.openxmlformats.org/drawingml/2006/picture">
                            <pic:nvPicPr>
                              <pic:cNvPr id="20" name="图片_4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22" name="图片_61"/>
                      <wp:cNvGraphicFramePr/>
                      <a:graphic xmlns:a="http://schemas.openxmlformats.org/drawingml/2006/main">
                        <a:graphicData uri="http://schemas.openxmlformats.org/drawingml/2006/picture">
                          <pic:pic xmlns:pic="http://schemas.openxmlformats.org/drawingml/2006/picture">
                            <pic:nvPicPr>
                              <pic:cNvPr id="25" name="图片_6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23" name="图片_47"/>
                      <wp:cNvGraphicFramePr/>
                      <a:graphic xmlns:a="http://schemas.openxmlformats.org/drawingml/2006/main">
                        <a:graphicData uri="http://schemas.openxmlformats.org/drawingml/2006/picture">
                          <pic:pic xmlns:pic="http://schemas.openxmlformats.org/drawingml/2006/picture">
                            <pic:nvPicPr>
                              <pic:cNvPr id="30" name="图片_4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24" name="图片_60"/>
                      <wp:cNvGraphicFramePr/>
                      <a:graphic xmlns:a="http://schemas.openxmlformats.org/drawingml/2006/main">
                        <a:graphicData uri="http://schemas.openxmlformats.org/drawingml/2006/picture">
                          <pic:pic xmlns:pic="http://schemas.openxmlformats.org/drawingml/2006/picture">
                            <pic:nvPicPr>
                              <pic:cNvPr id="7" name="图片_6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25" name="图片_59"/>
                      <wp:cNvGraphicFramePr/>
                      <a:graphic xmlns:a="http://schemas.openxmlformats.org/drawingml/2006/main">
                        <a:graphicData uri="http://schemas.openxmlformats.org/drawingml/2006/picture">
                          <pic:pic xmlns:pic="http://schemas.openxmlformats.org/drawingml/2006/picture">
                            <pic:nvPicPr>
                              <pic:cNvPr id="8" name="图片_59"/>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26" name="图片_58"/>
                      <wp:cNvGraphicFramePr/>
                      <a:graphic xmlns:a="http://schemas.openxmlformats.org/drawingml/2006/main">
                        <a:graphicData uri="http://schemas.openxmlformats.org/drawingml/2006/picture">
                          <pic:pic xmlns:pic="http://schemas.openxmlformats.org/drawingml/2006/picture">
                            <pic:nvPicPr>
                              <pic:cNvPr id="51" name="图片_5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7" name="图片_54"/>
                      <wp:cNvGraphicFramePr/>
                      <a:graphic xmlns:a="http://schemas.openxmlformats.org/drawingml/2006/main">
                        <a:graphicData uri="http://schemas.openxmlformats.org/drawingml/2006/picture">
                          <pic:pic xmlns:pic="http://schemas.openxmlformats.org/drawingml/2006/picture">
                            <pic:nvPicPr>
                              <pic:cNvPr id="50" name="图片_5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8" name="图片_53"/>
                      <wp:cNvGraphicFramePr/>
                      <a:graphic xmlns:a="http://schemas.openxmlformats.org/drawingml/2006/main">
                        <a:graphicData uri="http://schemas.openxmlformats.org/drawingml/2006/picture">
                          <pic:pic xmlns:pic="http://schemas.openxmlformats.org/drawingml/2006/picture">
                            <pic:nvPicPr>
                              <pic:cNvPr id="54" name="图片_5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9" name="图片_52"/>
                      <wp:cNvGraphicFramePr/>
                      <a:graphic xmlns:a="http://schemas.openxmlformats.org/drawingml/2006/main">
                        <a:graphicData uri="http://schemas.openxmlformats.org/drawingml/2006/picture">
                          <pic:pic xmlns:pic="http://schemas.openxmlformats.org/drawingml/2006/picture">
                            <pic:nvPicPr>
                              <pic:cNvPr id="35" name="图片_5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30" name="图片_51"/>
                      <wp:cNvGraphicFramePr/>
                      <a:graphic xmlns:a="http://schemas.openxmlformats.org/drawingml/2006/main">
                        <a:graphicData uri="http://schemas.openxmlformats.org/drawingml/2006/picture">
                          <pic:pic xmlns:pic="http://schemas.openxmlformats.org/drawingml/2006/picture">
                            <pic:nvPicPr>
                              <pic:cNvPr id="49" name="图片_5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31" name="图片_63"/>
                      <wp:cNvGraphicFramePr/>
                      <a:graphic xmlns:a="http://schemas.openxmlformats.org/drawingml/2006/main">
                        <a:graphicData uri="http://schemas.openxmlformats.org/drawingml/2006/picture">
                          <pic:pic xmlns:pic="http://schemas.openxmlformats.org/drawingml/2006/picture">
                            <pic:nvPicPr>
                              <pic:cNvPr id="55" name="图片_6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32" name="图片_57"/>
                      <wp:cNvGraphicFramePr/>
                      <a:graphic xmlns:a="http://schemas.openxmlformats.org/drawingml/2006/main">
                        <a:graphicData uri="http://schemas.openxmlformats.org/drawingml/2006/picture">
                          <pic:pic xmlns:pic="http://schemas.openxmlformats.org/drawingml/2006/picture">
                            <pic:nvPicPr>
                              <pic:cNvPr id="52" name="图片_5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33" name="图片_56"/>
                      <wp:cNvGraphicFramePr/>
                      <a:graphic xmlns:a="http://schemas.openxmlformats.org/drawingml/2006/main">
                        <a:graphicData uri="http://schemas.openxmlformats.org/drawingml/2006/picture">
                          <pic:pic xmlns:pic="http://schemas.openxmlformats.org/drawingml/2006/picture">
                            <pic:nvPicPr>
                              <pic:cNvPr id="53" name="图片_5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教职工休息室</w:t>
            </w:r>
            <w:r/>
          </w:p>
        </w:tc>
        <w:tc>
          <w:tcPr>
            <w:gridSpan w:val="2"/>
            <w:shd w:val="clear" w:color="auto" w:fill="auto"/>
            <w:tcW w:w="82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34" name="图片_55"/>
                      <wp:cNvGraphicFramePr/>
                      <a:graphic xmlns:a="http://schemas.openxmlformats.org/drawingml/2006/main">
                        <a:graphicData uri="http://schemas.openxmlformats.org/drawingml/2006/picture">
                          <pic:pic xmlns:pic="http://schemas.openxmlformats.org/drawingml/2006/picture">
                            <pic:nvPicPr>
                              <pic:cNvPr id="36" name="图片_5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教师床</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1.整体尺寸、规格：≥2000*1200*1100mm，床尾高度≥450mm，边框≥140*30mm，立柱≥150*35mm，后背板为≥17mm辐射松指接板，进槽工艺，床板称≥50*50mm，床板条≥15mm；</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2.产品采用优质辐射松无节材，表面光滑；</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3.木材拥有自然条纹，不允许有死节、开裂、虫眼、腐眼等，含水率≤10%；</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4.工艺：采用传统卯榫结构和现代加工工艺相结合，卯榫紧配合不允许1mm间隙；</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5.采用环保净味油漆，三遍底漆+两遍面漆，整体喷涂（漆面均匀，无流挂、针孔，光泽度一致）；</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提供有效期内国家认可的检测机构出具的底漆检测报告，检测内容包含：总铅(Pb)含量、可溶性重金属含量（镉、铬、汞）、苯含量、甲苯与二甲苯(含乙苯)总和含量、游离二异氰酸酯总和含量、卤代烃总和含量、打磨性、附着力均符合国家标准。</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提供有效期内国家认可的检测机构出具的面漆检测报告，检测内容包含：总铅(Pb)含量、可溶性重金属含量（镉、铬、汞）、苯含量、甲苯与二甲苯(含乙苯)总和含量、游离二异氰酸酯总和含量、卤代烃总和含量、耐磨性、耐水性、耐碱性、耐污染性均符合国家标准。</w:t>
            </w:r>
            <w:r/>
          </w:p>
        </w:tc>
        <w:tc>
          <w:tcPr>
            <w:shd w:val="clear" w:color="auto" w:fill="auto"/>
            <w:tcW w:w="363"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364</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1149350" cy="800100"/>
                      <wp:effectExtent l="0" t="0" r="3175" b="0"/>
                      <wp:docPr id="35"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74"/>
                              <pic:cNvPicPr>
                                <a:picLocks noChangeAspect="1"/>
                              </pic:cNvPicPr>
                              <pic:nvPr/>
                            </pic:nvPicPr>
                            <pic:blipFill>
                              <a:blip r:embed="rId25"/>
                              <a:stretch/>
                            </pic:blipFill>
                            <pic:spPr bwMode="auto">
                              <a:xfrm>
                                <a:off x="0" y="0"/>
                                <a:ext cx="114935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0.5pt;height:63.0pt;mso-wrap-distance-left:0.0pt;mso-wrap-distance-top:0.0pt;mso-wrap-distance-right:0.0pt;mso-wrap-distance-bottom:0.0pt;" stroked="f">
                      <v:path textboxrect="0,0,0,0"/>
                      <v:imagedata r:id="rId25"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席梦思</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1.整体尺寸、规格：≥2000mm*1200mm，厚度≥200mm。</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2.采用环保热熔棉（棉纤维经高温消毒压制，无异味），吸热吸汗、防潮防霉，厚度≥50mm（均匀无结块）。</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3.采用优质碳素钢大芯拉网式弹簧，经热处理，连锁结构均衡分压，承托人体均衡。</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4.复合面料与周边复合材料缝合在一起、呈线状的边条。</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5.床垫有检测口，可检测材质和厚度。四角适当裁剪，要求床垫与床匹配吻合。</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提供有效期内国家认可的检测机构出具的床垫检测报告，检测内容包含：织物面料层采用采用优质三防面料，其甲醛含量、有害染料(致敏染料\致癌染料等）、含氯苯酚、有机锡化合物、溴系阻燃整理剂、残余表面活性剂等检测，符合国家或行业标准要求。</w:t>
            </w:r>
            <w:r/>
          </w:p>
        </w:tc>
        <w:tc>
          <w:tcPr>
            <w:shd w:val="clear" w:color="auto" w:fill="auto"/>
            <w:tcW w:w="363"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364</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床头柜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规格：≥宽400mm×深400mm×高440mm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采用E1级双面无节点辐射松指接板:柜体（面板、侧板、后背板、底板、抽屉面板）17mm,抽屉旁板、前后板12mm。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抽屉底板采用厚度≥5mmE1 级多层板，四边进槽≥ 5mm。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上部单洞、下部单抽，采用环保净味油漆，三遍底漆+两遍面漆，整体喷涂（漆面均匀，无流挂、针孔、色差），颜色为清水色（透明显木纹，纹理清晰），采用优质三节滑珠轨道，静音顺滑无卡顿；仿木色圆形塑料球拉手，直径≥30mm，采用优质螺丝从内部穿孔固定，固定后拉手无晃动。</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364</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745490" cy="869950"/>
                      <wp:effectExtent l="0" t="0" r="6985" b="6350"/>
                      <wp:docPr id="3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
                              <pic:cNvPicPr>
                                <a:picLocks noChangeAspect="1"/>
                              </pic:cNvPicPr>
                              <pic:nvPr/>
                            </pic:nvPicPr>
                            <pic:blipFill>
                              <a:blip r:embed="rId26"/>
                              <a:stretch/>
                            </pic:blipFill>
                            <pic:spPr bwMode="auto">
                              <a:xfrm>
                                <a:off x="0" y="0"/>
                                <a:ext cx="745490" cy="869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8.7pt;height:68.5pt;mso-wrap-distance-left:0.0pt;mso-wrap-distance-top:0.0pt;mso-wrap-distance-right:0.0pt;mso-wrap-distance-bottom:0.0pt;" stroked="f" strokeweight="0.75pt">
                      <v:path textboxrect="0,0,0,0"/>
                      <v:imagedata r:id="rId26"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衣柜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规格：≥900mm*500mm*1800mm，基材：采用≥16mm厚双面三聚氰胺板（即双饰面板）作为衬板，外漏截面采用1.2mm厚塑制优质封边条机械封边；甲醛释放限量指标符合GB18580的要求。（2人位/组）</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364</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589280" cy="887730"/>
                      <wp:effectExtent l="0" t="0" r="1270" b="7620"/>
                      <wp:docPr id="3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5"/>
                              <pic:cNvPicPr>
                                <a:picLocks noChangeAspect="1"/>
                              </pic:cNvPicPr>
                              <pic:nvPr/>
                            </pic:nvPicPr>
                            <pic:blipFill>
                              <a:blip r:embed="rId27"/>
                              <a:stretch/>
                            </pic:blipFill>
                            <pic:spPr bwMode="auto">
                              <a:xfrm>
                                <a:off x="0" y="0"/>
                                <a:ext cx="589280" cy="887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6.4pt;height:69.9pt;mso-wrap-distance-left:0.0pt;mso-wrap-distance-top:0.0pt;mso-wrap-distance-right:0.0pt;mso-wrap-distance-bottom:0.0pt;" stroked="f">
                      <v:path textboxrect="0,0,0,0"/>
                      <v:imagedata r:id="rId27"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宿舍组合休息沙发</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沙发：实木框架，麻布材质，内填高回弹海绵，尺寸≥76*72cm，座深≥47cm，坐高≥42cm。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三角茶几：多色可选，桌角实木，桌面模压板，尺寸≥55*60cm。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配置组成：2个个体沙发+一个茶几</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182</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90930" cy="1223010"/>
                      <wp:effectExtent l="0" t="0" r="4445" b="5715"/>
                      <wp:docPr id="38" name="图片 135" descr="f1fced8eb5622b300f393d0b3122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f1fced8eb5622b300f393d0b31223152"/>
                              <pic:cNvPicPr>
                                <a:picLocks noChangeAspect="1"/>
                              </pic:cNvPicPr>
                              <pic:nvPr/>
                            </pic:nvPicPr>
                            <pic:blipFill>
                              <a:blip r:embed="rId28"/>
                              <a:stretch/>
                            </pic:blipFill>
                            <pic:spPr bwMode="auto">
                              <a:xfrm>
                                <a:off x="0" y="0"/>
                                <a:ext cx="1090930" cy="122300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85.9pt;height:96.3pt;mso-wrap-distance-left:0.0pt;mso-wrap-distance-top:0.0pt;mso-wrap-distance-right:0.0pt;mso-wrap-distance-bottom:0.0pt;" stroked="false">
                      <v:path textboxrect="0,0,0,0"/>
                      <v:imagedata r:id="rId28"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电视柜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尺寸：≥1.4M*50CM*20CM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材质：钢化玻璃面，E1环保板材</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182</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7</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床上用品</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含棉质被褥、枕头、床单、被套、枕套</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364</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39" name="图片_46"/>
                      <wp:cNvGraphicFramePr/>
                      <a:graphic xmlns:a="http://schemas.openxmlformats.org/drawingml/2006/main">
                        <a:graphicData uri="http://schemas.openxmlformats.org/drawingml/2006/picture">
                          <pic:pic xmlns:pic="http://schemas.openxmlformats.org/drawingml/2006/picture">
                            <pic:nvPicPr>
                              <pic:cNvPr id="45" name="图片_4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40" name="图片_45"/>
                      <wp:cNvGraphicFramePr/>
                      <a:graphic xmlns:a="http://schemas.openxmlformats.org/drawingml/2006/main">
                        <a:graphicData uri="http://schemas.openxmlformats.org/drawingml/2006/picture">
                          <pic:pic xmlns:pic="http://schemas.openxmlformats.org/drawingml/2006/picture">
                            <pic:nvPicPr>
                              <pic:cNvPr id="60" name="图片_4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14、15门卫、及1号楼保安室</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办公桌</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办公桌规格：≥1400*700*750mm，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1、基材：全部采用E1级中纤板。</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2、饰面：胡桃木皮饰面。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3、油漆：环保聚脂漆喷涂甲醛含量≤1.0mg。</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4、优质五金配件连接。</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41" name="图片_64"/>
                      <wp:cNvGraphicFramePr/>
                      <a:graphic xmlns:a="http://schemas.openxmlformats.org/drawingml/2006/main">
                        <a:graphicData uri="http://schemas.openxmlformats.org/drawingml/2006/picture">
                          <pic:pic xmlns:pic="http://schemas.openxmlformats.org/drawingml/2006/picture">
                            <pic:nvPicPr>
                              <pic:cNvPr id="56" name="图片_6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椅子</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规格：≥深450mm×宽510mm×高890mm，座高450mm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1、材质：橡胶木，纹理自然；</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2、油漆：喷涂环保净味油漆，颜色均匀一致，木纹清晰可见；</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3、座面及靠背采用优质西皮，耐光性、耐折牢度、耐磨性、挥发性有机物及甲醛、气味等均符合国家或行业标准要求。</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4、座面及靠背填充一次成型高回弹软质聚氨酯泡沫塑料。</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5、靠背及座面采用E1 级多层板，厚度≥12mm</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把</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资料柜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规格：≥900mm*400mm*1850mm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产品均采用优质冷轧钢板，厚度为0.6mm.耐压，强度大，抗冲击不易变形；采用静电粉末喷塑，无有机溶剂，无污染：开启灵活、扣手新颖个性。铝合金更加美观耐用。焊接部分采用高标准熔接焊，表面光滑平。</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24</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头盔</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钢制，防碰撞，防穿透，耐摔，耐击打，不易变形，不起泡。</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强光手电</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LED强光远射，充电式</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橡皮警棍</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高压电棍，电击器警用，电击棒带电击 。</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7</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防刺手套</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材质：HPPE高强度聚乙烯材料，针织制作，贴合舒适。</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件</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防刺背心</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软质防护服：软质24层防刺衣，PVE防护纤维+EVA抗震棉</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件</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9</w:t>
            </w:r>
            <w:r/>
          </w:p>
        </w:tc>
        <w:tc>
          <w:tcPr>
            <w:shd w:val="clear" w:color="auto" w:fill="auto"/>
            <w:tcW w:w="517"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储物柜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规格：≥宽1400mm*深450mm*高900mm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1、9格独立小柜组合结构，每格配备独立柜门与锁具，柜门采用绿色、粉色、蓝色等明快色彩区分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2、主体材质：采用≥0.6mm 厚冷轧钢板制作。焊接工艺：焊接部分采用高标准熔接焊，表面光滑平整，无焊瘤、漏焊缺陷。</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3、喷塑工艺：采用静电粉末喷塑。扣手设计：柜门扣手为铝合金材质。</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42" name="图片_66"/>
                      <wp:cNvGraphicFramePr/>
                      <a:graphic xmlns:a="http://schemas.openxmlformats.org/drawingml/2006/main">
                        <a:graphicData uri="http://schemas.openxmlformats.org/drawingml/2006/picture">
                          <pic:pic xmlns:pic="http://schemas.openxmlformats.org/drawingml/2006/picture">
                            <pic:nvPicPr>
                              <pic:cNvPr id="57" name="图片_6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43" name="图片_65"/>
                      <wp:cNvGraphicFramePr/>
                      <a:graphic xmlns:a="http://schemas.openxmlformats.org/drawingml/2006/main">
                        <a:graphicData uri="http://schemas.openxmlformats.org/drawingml/2006/picture">
                          <pic:pic xmlns:pic="http://schemas.openxmlformats.org/drawingml/2006/picture">
                            <pic:nvPicPr>
                              <pic:cNvPr id="59" name="图片_6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10</w:t>
            </w:r>
            <w:r/>
          </w:p>
        </w:tc>
        <w:tc>
          <w:tcPr>
            <w:shd w:val="clear" w:color="auto" w:fill="auto"/>
            <w:tcW w:w="517"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床</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1.整体尺寸、规格：≥2000*1200*1100mm，床尾高度≥450mm，边框≥140*30mm，立柱≥150*35mm，后背板为≥17mm辐射松指接板，进槽工艺，床板称≥50*50mm，床板条≥15mm；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2.产品采用优质辐射松无节材，表面光滑，造型美观；</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3.木材拥有自然条纹，不允许有死节、开裂、虫眼、腐眼等，含水率≤10%；</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4.工艺：采用传统卯榫结构和现代加工工艺相结合，卯榫紧配合不允许1mm间隙；</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5.采用环保净味油漆，三遍底漆+两遍面漆，整体喷涂（漆面均匀，无流挂、针孔，光泽度一致）；</w:t>
            </w:r>
            <w:r/>
          </w:p>
        </w:tc>
        <w:tc>
          <w:tcPr>
            <w:shd w:val="clear" w:color="auto" w:fill="auto"/>
            <w:tcW w:w="363"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床头柜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规格：≥宽400mm×深400mm×高440mm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采用E1级双面无节点辐射松指接板:柜体（面板、侧板、后背板、底板、抽屉面板）17mm,抽屉旁板、前后板12mm。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抽屉底板采用厚度≥5mmE1 级多层板，四边进槽 ≥5mm。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上部单洞、下部单抽，采用环保净味油漆，三遍底漆+两遍面漆，整体喷涂（漆面均匀，无流挂、针孔、色差），颜色为清水色（透明显木纹，纹理清晰），采用优质三节滑珠轨道，静音顺滑无卡顿；仿木色圆形塑料球拉手，直径30mm，采用优质螺丝从内部穿孔固定，固定后拉手无晃动。</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衣柜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规格：≥900mm*400mm*1850mm,板厚≥0.6mm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产品采用≥0.6mm厚冷轧钢板制作而成，耐压，强度大，不易变形；采用静电粉末喷塑，无有机溶剂，无污染；开启灵活、扣手新颖个性，铝合金更加美观耐用。焊接部分采用高标准熔接焊，表面部分光滑平整。</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44" name="图片_70"/>
                      <wp:cNvGraphicFramePr/>
                      <a:graphic xmlns:a="http://schemas.openxmlformats.org/drawingml/2006/main">
                        <a:graphicData uri="http://schemas.openxmlformats.org/drawingml/2006/picture">
                          <pic:pic xmlns:pic="http://schemas.openxmlformats.org/drawingml/2006/picture">
                            <pic:nvPicPr>
                              <pic:cNvPr id="33" name="图片_7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45" name="图片_69"/>
                      <wp:cNvGraphicFramePr/>
                      <a:graphic xmlns:a="http://schemas.openxmlformats.org/drawingml/2006/main">
                        <a:graphicData uri="http://schemas.openxmlformats.org/drawingml/2006/picture">
                          <pic:pic xmlns:pic="http://schemas.openxmlformats.org/drawingml/2006/picture">
                            <pic:nvPicPr>
                              <pic:cNvPr id="61" name="图片_69"/>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46" name="图片_68"/>
                      <wp:cNvGraphicFramePr/>
                      <a:graphic xmlns:a="http://schemas.openxmlformats.org/drawingml/2006/main">
                        <a:graphicData uri="http://schemas.openxmlformats.org/drawingml/2006/picture">
                          <pic:pic xmlns:pic="http://schemas.openxmlformats.org/drawingml/2006/picture">
                            <pic:nvPicPr>
                              <pic:cNvPr id="41" name="图片_6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47" name="图片_67"/>
                      <wp:cNvGraphicFramePr/>
                      <a:graphic xmlns:a="http://schemas.openxmlformats.org/drawingml/2006/main">
                        <a:graphicData uri="http://schemas.openxmlformats.org/drawingml/2006/picture">
                          <pic:pic xmlns:pic="http://schemas.openxmlformats.org/drawingml/2006/picture">
                            <pic:nvPicPr>
                              <pic:cNvPr id="58" name="图片_6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垃圾桶</w:t>
            </w:r>
            <w:r/>
          </w:p>
        </w:tc>
        <w:tc>
          <w:tcPr>
            <w:gridSpan w:val="2"/>
            <w:shd w:val="clear" w:color="auto" w:fill="auto"/>
            <w:tcW w:w="828" w:type="pct"/>
            <w:vAlign w:val="center"/>
            <w:textDirection w:val="lrTb"/>
            <w:noWrap/>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校园垃圾桶</w:t>
            </w:r>
            <w:r/>
          </w:p>
        </w:tc>
        <w:tc>
          <w:tcPr>
            <w:shd w:val="clear" w:color="auto" w:fill="auto"/>
            <w:tcW w:w="213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98*40*97cm，选用201不锈钢板1.0mm厚，激光切割焊接成型，配有合金三角锁，底部有4个便于膨胀丝固定的孔，内部配有玻璃钢内胆，耐腐蚀。垃圾桶表面丝网印刷垃圾分类图标。</w:t>
            </w:r>
            <w:r/>
          </w:p>
        </w:tc>
        <w:tc>
          <w:tcPr>
            <w:shd w:val="clear" w:color="auto" w:fill="auto"/>
            <w:tcW w:w="363"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50</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946785" cy="948690"/>
                      <wp:effectExtent l="0" t="0" r="5715" b="3810"/>
                      <wp:docPr id="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 name="图片 1"/>
                              <pic:cNvPicPr>
                                <a:picLocks noChangeAspect="1"/>
                              </pic:cNvPicPr>
                              <pic:nvPr/>
                            </pic:nvPicPr>
                            <pic:blipFill>
                              <a:blip r:embed="rId29"/>
                              <a:stretch/>
                            </pic:blipFill>
                            <pic:spPr bwMode="auto">
                              <a:xfrm>
                                <a:off x="0" y="0"/>
                                <a:ext cx="946785" cy="9486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4.5pt;height:74.7pt;mso-wrap-distance-left:0.0pt;mso-wrap-distance-top:0.0pt;mso-wrap-distance-right:0.0pt;mso-wrap-distance-bottom:0.0pt;" stroked="f" strokeweight="0.75pt">
                      <v:path textboxrect="0,0,0,0"/>
                      <v:imagedata r:id="rId29" o:title=""/>
                    </v:shape>
                  </w:pict>
                </mc:Fallback>
              </mc:AlternateContent>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49" name="图片_71"/>
                      <wp:cNvGraphicFramePr/>
                      <a:graphic xmlns:a="http://schemas.openxmlformats.org/drawingml/2006/main">
                        <a:graphicData uri="http://schemas.openxmlformats.org/drawingml/2006/picture">
                          <pic:pic xmlns:pic="http://schemas.openxmlformats.org/drawingml/2006/picture">
                            <pic:nvPicPr>
                              <pic:cNvPr id="34" name="图片_7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导览台</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导览台</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规格：≥3000*880*1050mm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1、台面采用25mm厚三聚氰胺饰面刨花板，其余地方为18mm厚板材，文理清晰耐磨损。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2、基材：采用E1级刨花板，密度在700-800kg/m3（均符合环保要求，含水率≤9%，甲醛释放量≤1.5mg/L达到国家检测E1标准。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3、封边条：封边条为优质PVC加厚≥1mm，耐高温、耐污染环保产品。</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4、优质五金配件</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导览台椅子</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尺寸≥47*47*90cm，椅面采用网布+加厚海绵材质，5cm加宽扶手，尼龙材质五星脚，静音pu万向轮</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200人报告厅</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排椅</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规格：中心距≥520mm、座高≥440mm、整椅深度≥846mm。写字板高度≥760mm。</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写  字  板：桌面板采用厚≥25mm宽度≥300mm实木颗粒板热压表面后成型，面贴防火板（面板颜色为榉木色），桌面前后两边采用防火板包边，环保耐用。左右两边采用1.5mm厚PVC热熔封边处理。</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3.站脚：采用优质铝合金一体压铸成型，表面静电粉末喷涂处理，单脚重量不小于2760克，整个椅脚下端采用上窄下宽椭圆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管状结构，左右各有加强筋，保证站脚美观牢固。管状结构加强了整支椅脚结实程度，不易晃动。椅脚扶手打破传统理念根据人体工程原理弧形设计，舒适美观。站脚无毛刺，无焊接，脚架转角位圆润光滑。表面作防氧化处理后经高温喷涂处理附着力强，抗冲击、耐腐蚀、不生锈、不褪色、经久耐用，站脚高度可选适合平地和多种阶梯教室：900/950/1010mm，地脚长345mm宽70mm,采用加宽加长和弧形设计，有效增加地面接触面积，增强座椅牢固度 ，增加座椅载荷,地脚螺丝固定处封闭式结构。用加宽加长和弧形设计,地脚螺丝固定处封闭式结构。</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前排桌：脚架采用铝合金一体压铸成型，高度≥785mm宽度≥50mm，厚不得低于为3.5毫米，表面经喷涂处理。</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椅背：≥425mm(高）×510mm（宽）×10mm（厚），外型根据人体工程学设计，背板采用≥10mm多层板优质旋切木经模具热压成型并双面压防火板，采用环保油</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漆和环保胶粘接，防潮、耐用、不褪色.框架采用优质钢板经模具加工成型后焊接而成.背框横条采用≥1.2mm优质钢板经模压型，表面做防氧化处理后，高氧化处理后，高温喷涂处理。靠背点以上向后倾斜，与垂直面之间呈6º～12º角。靠背面前凸呈漫圆形；上、下缘加工成弧形。靠背凹面的曲率半径≥500mm。靠背下缘与座面后缘之间留有净空。靠背点位于椅体的正中线上，且在靠背前凸最高点，使靠背支撑点集中在肩胛下方的腰背部位，符合人类功效学。</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椅座：≥430mm(深）×448mm（宽）×14mm（厚），采用不小于14mm多层板优质旋切木经模具热压成型并双面压防火板，采用环保胶粘接，防潮、耐用、不褪色。板与铝合金一体压铸成型角码采用穿透式连接，采用M8圆柱头六角螺丝2个/角码，整体弧度及曲线符合人体工程学设计。强度高，抗老化，经久耐用，坐感舒适。</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桌面支撑件：固定桌面支撑件，采用1.5mm厚优质钢板冲压成型，无毛刺，无焊接；表面经喷涂处理，防锈蚀，经久耐用。</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7.</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书包篮：采用优质≥φ5×φ3mm冷拉钢丝、表面采用静电喷涂处理。书包篮尺寸为：≥长 430mm×深 240mm×130mm，方便放取书物，表面经喷涂处理。采用4颗M4*16螺丝连接于铝合金站脚左右两边，保证牢固不松动。</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8.回复结构</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：铝合金一体压铸成型座角码，无毛刺，无焊接，防夹手功能，尺寸≥宽80mm,长度≥ 218mm，座角码表面作防氧化处理后，高温喷涂处理。静音处理得力回复</w:t>
            </w: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结</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构。</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W w:w="465"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18"/>
                <w:szCs w:val="18"/>
                <w:highlight w:val="none"/>
                <w:u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rPr>
                <w:rFonts w:hint="eastAsia" w:ascii="宋体" w:hAnsi="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00</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50" name="图片_74"/>
                      <wp:cNvGraphicFramePr/>
                      <a:graphic xmlns:a="http://schemas.openxmlformats.org/drawingml/2006/main">
                        <a:graphicData uri="http://schemas.openxmlformats.org/drawingml/2006/picture">
                          <pic:pic xmlns:pic="http://schemas.openxmlformats.org/drawingml/2006/picture">
                            <pic:nvPicPr>
                              <pic:cNvPr id="63" name="图片_7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20人小会议室</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组合桌</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长≥75cm，三角形桌面，可自由组合拼接1、面板为25厘米厚麻面实木颗粒三聚氰胺板，接近色1.7厘厚PVC封边条，板材等级E1级；封边采用全自动封边机热熔胶封边。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2、架子底架钢架选用优质钢材下架，经打磨抛光、酸洗、磷化、防腐等工艺处理。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3、脚轮：尼龙轮。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4、组合拼接件为ABS工程塑料子母扣，手动旋转式活动，使用方便。</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51" name="图片_155"/>
                      <wp:cNvGraphicFramePr/>
                      <a:graphic xmlns:a="http://schemas.openxmlformats.org/drawingml/2006/main">
                        <a:graphicData uri="http://schemas.openxmlformats.org/drawingml/2006/picture">
                          <pic:pic xmlns:pic="http://schemas.openxmlformats.org/drawingml/2006/picture">
                            <pic:nvPicPr>
                              <pic:cNvPr id="32" name="图片_15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20</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多功能椅</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52" name="图片_17"/>
                      <wp:cNvGraphicFramePr/>
                      <a:graphic xmlns:a="http://schemas.openxmlformats.org/drawingml/2006/main">
                        <a:graphicData uri="http://schemas.openxmlformats.org/drawingml/2006/picture">
                          <pic:pic xmlns:pic="http://schemas.openxmlformats.org/drawingml/2006/picture">
                            <pic:nvPicPr>
                              <pic:cNvPr id="37" name="图片_1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坐深≥46cm，专业办公网布饰面，1、PP一体注塑成型椅背</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2、人体工学设计弹力椅背贴合人体曲线，在疲备的时候能够适当的伸展释放腰部的压力。弧型镂空后背，透气又护腰。坐板有底壳。</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3、座椅下带万向轮</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53" name="图片_75"/>
                      <wp:cNvGraphicFramePr/>
                      <a:graphic xmlns:a="http://schemas.openxmlformats.org/drawingml/2006/main">
                        <a:graphicData uri="http://schemas.openxmlformats.org/drawingml/2006/picture">
                          <pic:pic xmlns:pic="http://schemas.openxmlformats.org/drawingml/2006/picture">
                            <pic:nvPicPr>
                              <pic:cNvPr id="47" name="图片_7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20</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茶水柜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规格：≥1200*400*800mm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1、优质三聚氰胺板饰面。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2、基材：选用E0级浸渍胶膜纸饰面刨花板，具有环保、质地均匀恒定的特点。甲醛释放量,吸水膨胀率符合国家标准，台面厚度为25MM；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3、封边: ≥2.0mm同色优质PVC封边，甲醛释放量符合国家标准。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4、五金件：采用优质五金件 颜色：可选 白腊木色+暖白色</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提供有效期内国家认可的检测机构出具的</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E0级浸渍胶膜纸饰面刨花板</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检测报告，甲醛释放量≤0.050mg/m³。</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20</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贵宾休息接待室</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接待室沙发</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沙发：3+1+1 三人座规格：≥1800*720*800mm，单人座规格：≥1380*720*800mm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皮制，上等西皮，透气防潮，耐磨干爽，健康环保，海绵：高密度成型PU、阻燃海棉,高回弹海绵。实木脚架，环保PU漆全封闭涂装，三级干燥实木框架，经防潮、防虫、防腐处理，内部采用榫结构，螺丝加固成型。</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茶几</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规格：≥1200*600*750mm，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1、基材：全部采用E1级中纤板；</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2、饰面：胡桃木皮饰面；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3、油漆：优质环保聚脂漆喷涂甲醛含量≤1.0mg；</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4、优质五金配件连接。</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54" name="图片_76"/>
                      <wp:cNvGraphicFramePr/>
                      <a:graphic xmlns:a="http://schemas.openxmlformats.org/drawingml/2006/main">
                        <a:graphicData uri="http://schemas.openxmlformats.org/drawingml/2006/picture">
                          <pic:pic xmlns:pic="http://schemas.openxmlformats.org/drawingml/2006/picture">
                            <pic:nvPicPr>
                              <pic:cNvPr id="46" name="图片_7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30人中会议室</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组合桌</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长≥75cm，三角形桌面，可自由组合拼接1、面板为25厘米厚麻面实木颗粒三聚氰胺板，接近色1.7厘厚PVC封边条，板材等级E1级；封边采用全自动封边机热熔胶封边。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2、架子底架钢架选用优质钢材下架，经打磨抛光、酸洗、磷化、防腐等工艺处理。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3、脚轮：尼龙轮。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4、组合拼接件为ABS工程塑料子母扣，手动旋转式活动，使用方便。</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30</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71600" cy="1291590"/>
                      <wp:effectExtent l="0" t="0" r="0" b="3810"/>
                      <wp:docPr id="55" name="图片 180" descr="c518619c56cf46ebc12bfe7affd88d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80" descr="c518619c56cf46ebc12bfe7affd88dba"/>
                              <pic:cNvPicPr>
                                <a:picLocks noChangeAspect="1"/>
                              </pic:cNvPicPr>
                              <pic:nvPr/>
                            </pic:nvPicPr>
                            <pic:blipFill>
                              <a:blip r:embed="rId30"/>
                              <a:stretch/>
                            </pic:blipFill>
                            <pic:spPr bwMode="auto">
                              <a:xfrm>
                                <a:off x="0" y="0"/>
                                <a:ext cx="1371600" cy="12915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08.0pt;height:101.7pt;mso-wrap-distance-left:0.0pt;mso-wrap-distance-top:0.0pt;mso-wrap-distance-right:0.0pt;mso-wrap-distance-bottom:0.0pt;" stroked="false">
                      <v:path textboxrect="0,0,0,0"/>
                      <v:imagedata r:id="rId30"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多功能椅</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56" name="图片_19"/>
                      <wp:cNvGraphicFramePr/>
                      <a:graphic xmlns:a="http://schemas.openxmlformats.org/drawingml/2006/main">
                        <a:graphicData uri="http://schemas.openxmlformats.org/drawingml/2006/picture">
                          <pic:pic xmlns:pic="http://schemas.openxmlformats.org/drawingml/2006/picture">
                            <pic:nvPicPr>
                              <pic:cNvPr id="73" name="图片_19"/>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57" name="图片_18"/>
                      <wp:cNvGraphicFramePr/>
                      <a:graphic xmlns:a="http://schemas.openxmlformats.org/drawingml/2006/main">
                        <a:graphicData uri="http://schemas.openxmlformats.org/drawingml/2006/picture">
                          <pic:pic xmlns:pic="http://schemas.openxmlformats.org/drawingml/2006/picture">
                            <pic:nvPicPr>
                              <pic:cNvPr id="76" name="图片_1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坐深≥46cm，专业办公网布饰面，1、PP一体注塑成型椅背</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2、人体工学设计弹力椅背贴合人体曲线，在疲备的时候能够适当的伸展释放腰部的压力。弧型镂空后背，透气又护腰。坐板有底壳。</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3、座椅下带万向轮</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58" name="图片_80"/>
                      <wp:cNvGraphicFramePr/>
                      <a:graphic xmlns:a="http://schemas.openxmlformats.org/drawingml/2006/main">
                        <a:graphicData uri="http://schemas.openxmlformats.org/drawingml/2006/picture">
                          <pic:pic xmlns:pic="http://schemas.openxmlformats.org/drawingml/2006/picture">
                            <pic:nvPicPr>
                              <pic:cNvPr id="67" name="图片_8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59" name="图片_77"/>
                      <wp:cNvGraphicFramePr/>
                      <a:graphic xmlns:a="http://schemas.openxmlformats.org/drawingml/2006/main">
                        <a:graphicData uri="http://schemas.openxmlformats.org/drawingml/2006/picture">
                          <pic:pic xmlns:pic="http://schemas.openxmlformats.org/drawingml/2006/picture">
                            <pic:nvPicPr>
                              <pic:cNvPr id="71" name="图片_7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30</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68425" cy="1368425"/>
                      <wp:effectExtent l="0" t="0" r="3175" b="3175"/>
                      <wp:docPr id="60" name="图片 173" descr="b9646d29a6edf40c68867cb0d6f0fa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3" descr="b9646d29a6edf40c68867cb0d6f0fa4e"/>
                              <pic:cNvPicPr>
                                <a:picLocks noChangeAspect="1"/>
                              </pic:cNvPicPr>
                              <pic:nvPr/>
                            </pic:nvPicPr>
                            <pic:blipFill>
                              <a:blip r:embed="rId31"/>
                              <a:stretch/>
                            </pic:blipFill>
                            <pic:spPr bwMode="auto">
                              <a:xfrm>
                                <a:off x="0" y="0"/>
                                <a:ext cx="1368425" cy="1368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07.8pt;height:107.8pt;mso-wrap-distance-left:0.0pt;mso-wrap-distance-top:0.0pt;mso-wrap-distance-right:0.0pt;mso-wrap-distance-bottom:0.0pt;" stroked="false">
                      <v:path textboxrect="0,0,0,0"/>
                      <v:imagedata r:id="rId31" o:title=""/>
                    </v:shape>
                  </w:pict>
                </mc:Fallback>
              </mc:AlternateContent>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2049780</wp:posOffset>
                      </wp:positionH>
                      <wp:positionV relativeFrom="paragraph">
                        <wp:posOffset>0</wp:posOffset>
                      </wp:positionV>
                      <wp:extent cx="10160" cy="10160"/>
                      <wp:effectExtent l="0" t="0" r="0" b="0"/>
                      <wp:wrapNone/>
                      <wp:docPr id="61" name="图片_20"/>
                      <wp:cNvGraphicFramePr/>
                      <a:graphic xmlns:a="http://schemas.openxmlformats.org/drawingml/2006/main">
                        <a:graphicData uri="http://schemas.openxmlformats.org/drawingml/2006/picture">
                          <pic:pic xmlns:pic="http://schemas.openxmlformats.org/drawingml/2006/picture">
                            <pic:nvPicPr>
                              <pic:cNvPr id="84" name="图片_2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1312;o:allowoverlap:true;o:allowincell:true;mso-position-horizontal-relative:text;margin-left:161.4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62" name="图片_78"/>
                      <wp:cNvGraphicFramePr/>
                      <a:graphic xmlns:a="http://schemas.openxmlformats.org/drawingml/2006/main">
                        <a:graphicData uri="http://schemas.openxmlformats.org/drawingml/2006/picture">
                          <pic:pic xmlns:pic="http://schemas.openxmlformats.org/drawingml/2006/picture">
                            <pic:nvPicPr>
                              <pic:cNvPr id="68" name="图片_7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团委（2间）</w:t>
            </w:r>
            <w:r/>
          </w:p>
        </w:tc>
        <w:tc>
          <w:tcPr>
            <w:gridSpan w:val="2"/>
            <w:shd w:val="clear" w:color="auto" w:fill="auto"/>
            <w:tcW w:w="828" w:type="pct"/>
            <w:vAlign w:val="center"/>
            <w:textDirection w:val="lrTb"/>
            <w:noWrap/>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长方桌</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规格：≥1400*900*760mm，台面采用橡胶木30mm指接板拼接，框架采用橡胶木实木，立柱≥60*80mm. 环保油漆处理，表面光滑无毛刺。</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软包方凳</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方凳尺寸≥350*250*440,高度≥440mm,面板厚度≥16mm,立柱≥45*30mm,，横撑≥30*20mm,橡胶木。</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16</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展示柜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柜子单组尺寸：≥1200*400*900，整体橡胶木≥18mm指接板，带钢化玻璃防护罩。</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旗杆</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高2米不锈钢主架加3号队徽旗帜</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付</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旗杆座</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木制底座组装焊接不锈钢管</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米</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7.2</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宣传展板</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规格：≥60*90*5mm，亚克力UV平板喷绘加10mmPVC底板</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块</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63" name="图片_89"/>
                      <wp:cNvGraphicFramePr/>
                      <a:graphic xmlns:a="http://schemas.openxmlformats.org/drawingml/2006/main">
                        <a:graphicData uri="http://schemas.openxmlformats.org/drawingml/2006/picture">
                          <pic:pic xmlns:pic="http://schemas.openxmlformats.org/drawingml/2006/picture">
                            <pic:nvPicPr>
                              <pic:cNvPr id="77" name="图片_89"/>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64" name="图片_87"/>
                      <wp:cNvGraphicFramePr/>
                      <a:graphic xmlns:a="http://schemas.openxmlformats.org/drawingml/2006/main">
                        <a:graphicData uri="http://schemas.openxmlformats.org/drawingml/2006/picture">
                          <pic:pic xmlns:pic="http://schemas.openxmlformats.org/drawingml/2006/picture">
                            <pic:nvPicPr>
                              <pic:cNvPr id="88" name="图片_8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65" name="图片_86"/>
                      <wp:cNvGraphicFramePr/>
                      <a:graphic xmlns:a="http://schemas.openxmlformats.org/drawingml/2006/main">
                        <a:graphicData uri="http://schemas.openxmlformats.org/drawingml/2006/picture">
                          <pic:pic xmlns:pic="http://schemas.openxmlformats.org/drawingml/2006/picture">
                            <pic:nvPicPr>
                              <pic:cNvPr id="85" name="图片_8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66" name="图片_85"/>
                      <wp:cNvGraphicFramePr/>
                      <a:graphic xmlns:a="http://schemas.openxmlformats.org/drawingml/2006/main">
                        <a:graphicData uri="http://schemas.openxmlformats.org/drawingml/2006/picture">
                          <pic:pic xmlns:pic="http://schemas.openxmlformats.org/drawingml/2006/picture">
                            <pic:nvPicPr>
                              <pic:cNvPr id="87" name="图片_8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67" name="图片_83"/>
                      <wp:cNvGraphicFramePr/>
                      <a:graphic xmlns:a="http://schemas.openxmlformats.org/drawingml/2006/main">
                        <a:graphicData uri="http://schemas.openxmlformats.org/drawingml/2006/picture">
                          <pic:pic xmlns:pic="http://schemas.openxmlformats.org/drawingml/2006/picture">
                            <pic:nvPicPr>
                              <pic:cNvPr id="91" name="图片_8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保密室、试卷保密室、账本保密室、题库保密室</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保密柜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尺寸：≥1800mm*850mm*390mm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材质：加厚冷轧钢板，静电粉末喷塑</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开锁方式：电子密码锁,密码+钥匙双重保险</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报警系统：双重报警机制，密码输错三次报警，柜体受到震动敲打报警</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30</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桌子</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规格：≥1600*1100*760mm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1、台面采用≥25mm厚E1级三聚氰胺饰面刨花板经≥1.0mm厚PVC封边条封边。拉板采用≥1300*300mm*16mm厚三聚氰胺板材。</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桌腿采用方管钢板材料≥25*50*1.5mm厚一次性弯曲成型，立柱板材采用优质冷扎板厚度≥1.0mm冲压成型，内置预留插座孔，经酸洗磷化、防锈、防腐处理,塑料底脚采用优质环保聚乙烯材料做成，美观牢固，永不脱落。</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椅子</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尺寸≥47*47*90cm，椅面采用网布+加厚海绵材质，5cm加宽扶手，尼龙材质五星脚，静音pu万向轮</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把</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10</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68" name="图片_95"/>
                      <wp:cNvGraphicFramePr/>
                      <a:graphic xmlns:a="http://schemas.openxmlformats.org/drawingml/2006/main">
                        <a:graphicData uri="http://schemas.openxmlformats.org/drawingml/2006/picture">
                          <pic:pic xmlns:pic="http://schemas.openxmlformats.org/drawingml/2006/picture">
                            <pic:nvPicPr>
                              <pic:cNvPr id="89" name="图片_9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69" name="图片_94"/>
                      <wp:cNvGraphicFramePr/>
                      <a:graphic xmlns:a="http://schemas.openxmlformats.org/drawingml/2006/main">
                        <a:graphicData uri="http://schemas.openxmlformats.org/drawingml/2006/picture">
                          <pic:pic xmlns:pic="http://schemas.openxmlformats.org/drawingml/2006/picture">
                            <pic:nvPicPr>
                              <pic:cNvPr id="72" name="图片_94"/>
                              <pic:cNvPicPr/>
                              <pic:nvPr/>
                            </pic:nvPicPr>
                            <pic:blipFill>
                              <a:blip r:embed="rId20"/>
                              <a:stretch/>
                            </pic:blipFill>
                            <pic:spPr bwMode="auto">
                              <a:xfrm>
                                <a:off x="0" y="0"/>
                                <a:ext cx="10160" cy="101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70" name="图片_93"/>
                      <wp:cNvGraphicFramePr/>
                      <a:graphic xmlns:a="http://schemas.openxmlformats.org/drawingml/2006/main">
                        <a:graphicData uri="http://schemas.openxmlformats.org/drawingml/2006/picture">
                          <pic:pic xmlns:pic="http://schemas.openxmlformats.org/drawingml/2006/picture">
                            <pic:nvPicPr>
                              <pic:cNvPr id="92" name="图片_9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71" name="图片_92"/>
                      <wp:cNvGraphicFramePr/>
                      <a:graphic xmlns:a="http://schemas.openxmlformats.org/drawingml/2006/main">
                        <a:graphicData uri="http://schemas.openxmlformats.org/drawingml/2006/picture">
                          <pic:pic xmlns:pic="http://schemas.openxmlformats.org/drawingml/2006/picture">
                            <pic:nvPicPr>
                              <pic:cNvPr id="81" name="图片_9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72" name="图片_91"/>
                      <wp:cNvGraphicFramePr/>
                      <a:graphic xmlns:a="http://schemas.openxmlformats.org/drawingml/2006/main">
                        <a:graphicData uri="http://schemas.openxmlformats.org/drawingml/2006/picture">
                          <pic:pic xmlns:pic="http://schemas.openxmlformats.org/drawingml/2006/picture">
                            <pic:nvPicPr>
                              <pic:cNvPr id="90" name="图片_9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73" name="图片_90"/>
                      <wp:cNvGraphicFramePr/>
                      <a:graphic xmlns:a="http://schemas.openxmlformats.org/drawingml/2006/main">
                        <a:graphicData uri="http://schemas.openxmlformats.org/drawingml/2006/picture">
                          <pic:pic xmlns:pic="http://schemas.openxmlformats.org/drawingml/2006/picture">
                            <pic:nvPicPr>
                              <pic:cNvPr id="95" name="图片_9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74" name="图片_84"/>
                      <wp:cNvGraphicFramePr/>
                      <a:graphic xmlns:a="http://schemas.openxmlformats.org/drawingml/2006/main">
                        <a:graphicData uri="http://schemas.openxmlformats.org/drawingml/2006/picture">
                          <pic:pic xmlns:pic="http://schemas.openxmlformats.org/drawingml/2006/picture">
                            <pic:nvPicPr>
                              <pic:cNvPr id="74" name="图片_8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教工之家</w:t>
            </w:r>
            <w:r/>
          </w:p>
        </w:tc>
        <w:tc>
          <w:tcPr>
            <w:gridSpan w:val="2"/>
            <w:shd w:val="clear" w:color="auto" w:fill="auto"/>
            <w:tcW w:w="828" w:type="pct"/>
            <w:vAlign w:val="center"/>
            <w:textDirection w:val="lrTb"/>
            <w:noWrap/>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桌子</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1、整体尺寸：≥长4000mm×宽1600mm×高760mm；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2、材质：≥25mm厚E1级环保三聚氰胺饰面刨花板；饰面刨花板气味等级达到国家标准要求的 1 级；</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3、封边：采用与面板同色的PVC封边条，厚度≥2mm；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4、钢管规格：横截面≥ 60mm×30mm，壁厚≥1.2mm，材质为冷轧钢，焊接工艺：采用二氧化碳气体保护焊接，焊点无虚焊、漏焊、焊瘤，加固设计：两个分桌体的桌架之间，沿长度方向均匀设置3道同规格钢管（≥60×30×1.2mm）加固连接，加固钢管与分桌架焊接牢固，表面处理：桌架经磷化除锈后静电喷塑，涂层厚度60μ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5、桌面预设2个多功能线盒（均匀分布在桌面中间或两侧，方便多区域使用），线盒嵌入桌面（与桌面平齐，无凸起）；</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6、采用优质五金件连接 。</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11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椅子</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75" name="图片_21"/>
                      <wp:cNvGraphicFramePr/>
                      <a:graphic xmlns:a="http://schemas.openxmlformats.org/drawingml/2006/main">
                        <a:graphicData uri="http://schemas.openxmlformats.org/drawingml/2006/picture">
                          <pic:pic xmlns:pic="http://schemas.openxmlformats.org/drawingml/2006/picture">
                            <pic:nvPicPr>
                              <pic:cNvPr id="93" name="图片_2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总高：≥1040mm，背高：≥600mm，座高：≥460mm，座深：≥510mm， 内宽 ：≥ 500mm，外宽：≥ 620mm，PP玻纤黑色背扶手，透气3D透气耐磨座背网，高密度切割棉，2.0mm厚黑色喷漆圆管弓形架。</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76" name="图片_88"/>
                      <wp:cNvGraphicFramePr/>
                      <a:graphic xmlns:a="http://schemas.openxmlformats.org/drawingml/2006/main">
                        <a:graphicData uri="http://schemas.openxmlformats.org/drawingml/2006/picture">
                          <pic:pic xmlns:pic="http://schemas.openxmlformats.org/drawingml/2006/picture">
                            <pic:nvPicPr>
                              <pic:cNvPr id="86" name="图片_8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16</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77" name="图片_108"/>
                      <wp:cNvGraphicFramePr/>
                      <a:graphic xmlns:a="http://schemas.openxmlformats.org/drawingml/2006/main">
                        <a:graphicData uri="http://schemas.openxmlformats.org/drawingml/2006/picture">
                          <pic:pic xmlns:pic="http://schemas.openxmlformats.org/drawingml/2006/picture">
                            <pic:nvPicPr>
                              <pic:cNvPr id="75" name="图片_10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78" name="图片_107"/>
                      <wp:cNvGraphicFramePr/>
                      <a:graphic xmlns:a="http://schemas.openxmlformats.org/drawingml/2006/main">
                        <a:graphicData uri="http://schemas.openxmlformats.org/drawingml/2006/picture">
                          <pic:pic xmlns:pic="http://schemas.openxmlformats.org/drawingml/2006/picture">
                            <pic:nvPicPr>
                              <pic:cNvPr id="94" name="图片_10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79" name="图片_97"/>
                      <wp:cNvGraphicFramePr/>
                      <a:graphic xmlns:a="http://schemas.openxmlformats.org/drawingml/2006/main">
                        <a:graphicData uri="http://schemas.openxmlformats.org/drawingml/2006/picture">
                          <pic:pic xmlns:pic="http://schemas.openxmlformats.org/drawingml/2006/picture">
                            <pic:nvPicPr>
                              <pic:cNvPr id="83" name="图片_9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80" name="图片_96"/>
                      <wp:cNvGraphicFramePr/>
                      <a:graphic xmlns:a="http://schemas.openxmlformats.org/drawingml/2006/main">
                        <a:graphicData uri="http://schemas.openxmlformats.org/drawingml/2006/picture">
                          <pic:pic xmlns:pic="http://schemas.openxmlformats.org/drawingml/2006/picture">
                            <pic:nvPicPr>
                              <pic:cNvPr id="64" name="图片_9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小会议室</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会议桌</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规格：≥3600*1200*1050mm,白蜡木+暖白</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1、优质三聚氰胺板饰面，硬度高，不易磨花。</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2、基材：选用E1级优质实木颗粒板，具有环保、质地均匀恒定的特点。甲醛释放量,吸水膨胀率符合国家标准，台面厚度为25MM；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3、封边: ≥2.0mm同色优质PVC封边，甲醛释放量符合国家标准。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4、五金件：采用优质五金件 钢制脚架喷涂工艺。</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椅子</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81" name="图片_22"/>
                      <wp:cNvGraphicFramePr/>
                      <a:graphic xmlns:a="http://schemas.openxmlformats.org/drawingml/2006/main">
                        <a:graphicData uri="http://schemas.openxmlformats.org/drawingml/2006/picture">
                          <pic:pic xmlns:pic="http://schemas.openxmlformats.org/drawingml/2006/picture">
                            <pic:nvPicPr>
                              <pic:cNvPr id="65" name="图片_2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总高：≥1040mm，背高：≥600mm，座高：≥460mm，座深：≥510mm， 内宽 ：≥ 500mm，外宽：≥ 620mm，PP玻纤黑色背扶手，透气3D透气耐磨座背网，高密度切割棉，2.0mm厚黑色喷漆圆管弓形架。</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把</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24</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ffffff"/>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9525"/>
                      <wp:effectExtent l="0" t="0" r="8890" b="0"/>
                      <wp:wrapNone/>
                      <wp:docPr id="82" name="图片_114"/>
                      <wp:cNvGraphicFramePr/>
                      <a:graphic xmlns:a="http://schemas.openxmlformats.org/drawingml/2006/main">
                        <a:graphicData uri="http://schemas.openxmlformats.org/drawingml/2006/picture">
                          <pic:pic xmlns:pic="http://schemas.openxmlformats.org/drawingml/2006/picture">
                            <pic:nvPicPr>
                              <pic:cNvPr id="78" name="图片_114"/>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83" name="图片_112"/>
                      <wp:cNvGraphicFramePr/>
                      <a:graphic xmlns:a="http://schemas.openxmlformats.org/drawingml/2006/main">
                        <a:graphicData uri="http://schemas.openxmlformats.org/drawingml/2006/picture">
                          <pic:pic xmlns:pic="http://schemas.openxmlformats.org/drawingml/2006/picture">
                            <pic:nvPicPr>
                              <pic:cNvPr id="82" name="图片_11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84" name="图片_104"/>
                      <wp:cNvGraphicFramePr/>
                      <a:graphic xmlns:a="http://schemas.openxmlformats.org/drawingml/2006/main">
                        <a:graphicData uri="http://schemas.openxmlformats.org/drawingml/2006/picture">
                          <pic:pic xmlns:pic="http://schemas.openxmlformats.org/drawingml/2006/picture">
                            <pic:nvPicPr>
                              <pic:cNvPr id="70" name="图片_10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9525"/>
                      <wp:effectExtent l="0" t="0" r="8890" b="0"/>
                      <wp:wrapNone/>
                      <wp:docPr id="85" name="图片_103"/>
                      <wp:cNvGraphicFramePr/>
                      <a:graphic xmlns:a="http://schemas.openxmlformats.org/drawingml/2006/main">
                        <a:graphicData uri="http://schemas.openxmlformats.org/drawingml/2006/picture">
                          <pic:pic xmlns:pic="http://schemas.openxmlformats.org/drawingml/2006/picture">
                            <pic:nvPicPr>
                              <pic:cNvPr id="79" name="图片_103"/>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9525"/>
                      <wp:effectExtent l="0" t="0" r="8890" b="0"/>
                      <wp:wrapNone/>
                      <wp:docPr id="86" name="图片_102"/>
                      <wp:cNvGraphicFramePr/>
                      <a:graphic xmlns:a="http://schemas.openxmlformats.org/drawingml/2006/main">
                        <a:graphicData uri="http://schemas.openxmlformats.org/drawingml/2006/picture">
                          <pic:pic xmlns:pic="http://schemas.openxmlformats.org/drawingml/2006/picture">
                            <pic:nvPicPr>
                              <pic:cNvPr id="66" name="图片_102"/>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87" name="图片_101"/>
                      <wp:cNvGraphicFramePr/>
                      <a:graphic xmlns:a="http://schemas.openxmlformats.org/drawingml/2006/main">
                        <a:graphicData uri="http://schemas.openxmlformats.org/drawingml/2006/picture">
                          <pic:pic xmlns:pic="http://schemas.openxmlformats.org/drawingml/2006/picture">
                            <pic:nvPicPr>
                              <pic:cNvPr id="69" name="图片_10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9525"/>
                      <wp:effectExtent l="0" t="0" r="8890" b="0"/>
                      <wp:wrapNone/>
                      <wp:docPr id="88" name="图片_113"/>
                      <wp:cNvGraphicFramePr/>
                      <a:graphic xmlns:a="http://schemas.openxmlformats.org/drawingml/2006/main">
                        <a:graphicData uri="http://schemas.openxmlformats.org/drawingml/2006/picture">
                          <pic:pic xmlns:pic="http://schemas.openxmlformats.org/drawingml/2006/picture">
                            <pic:nvPicPr>
                              <pic:cNvPr id="109" name="图片_113"/>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89" name="图片_132"/>
                      <wp:cNvGraphicFramePr/>
                      <a:graphic xmlns:a="http://schemas.openxmlformats.org/drawingml/2006/main">
                        <a:graphicData uri="http://schemas.openxmlformats.org/drawingml/2006/picture">
                          <pic:pic xmlns:pic="http://schemas.openxmlformats.org/drawingml/2006/picture">
                            <pic:nvPicPr>
                              <pic:cNvPr id="124" name="图片_13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90" name="图片_131"/>
                      <wp:cNvGraphicFramePr/>
                      <a:graphic xmlns:a="http://schemas.openxmlformats.org/drawingml/2006/main">
                        <a:graphicData uri="http://schemas.openxmlformats.org/drawingml/2006/picture">
                          <pic:pic xmlns:pic="http://schemas.openxmlformats.org/drawingml/2006/picture">
                            <pic:nvPicPr>
                              <pic:cNvPr id="102" name="图片_13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91" name="图片_130"/>
                      <wp:cNvGraphicFramePr/>
                      <a:graphic xmlns:a="http://schemas.openxmlformats.org/drawingml/2006/main">
                        <a:graphicData uri="http://schemas.openxmlformats.org/drawingml/2006/picture">
                          <pic:pic xmlns:pic="http://schemas.openxmlformats.org/drawingml/2006/picture">
                            <pic:nvPicPr>
                              <pic:cNvPr id="101" name="图片_13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92" name="图片_126"/>
                      <wp:cNvGraphicFramePr/>
                      <a:graphic xmlns:a="http://schemas.openxmlformats.org/drawingml/2006/main">
                        <a:graphicData uri="http://schemas.openxmlformats.org/drawingml/2006/picture">
                          <pic:pic xmlns:pic="http://schemas.openxmlformats.org/drawingml/2006/picture">
                            <pic:nvPicPr>
                              <pic:cNvPr id="107" name="图片_12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93" name="图片_119"/>
                      <wp:cNvGraphicFramePr/>
                      <a:graphic xmlns:a="http://schemas.openxmlformats.org/drawingml/2006/main">
                        <a:graphicData uri="http://schemas.openxmlformats.org/drawingml/2006/picture">
                          <pic:pic xmlns:pic="http://schemas.openxmlformats.org/drawingml/2006/picture">
                            <pic:nvPicPr>
                              <pic:cNvPr id="98" name="图片_119"/>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94" name="图片_118"/>
                      <wp:cNvGraphicFramePr/>
                      <a:graphic xmlns:a="http://schemas.openxmlformats.org/drawingml/2006/main">
                        <a:graphicData uri="http://schemas.openxmlformats.org/drawingml/2006/picture">
                          <pic:pic xmlns:pic="http://schemas.openxmlformats.org/drawingml/2006/picture">
                            <pic:nvPicPr>
                              <pic:cNvPr id="106" name="图片_11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95" name="图片_117"/>
                      <wp:cNvGraphicFramePr/>
                      <a:graphic xmlns:a="http://schemas.openxmlformats.org/drawingml/2006/main">
                        <a:graphicData uri="http://schemas.openxmlformats.org/drawingml/2006/picture">
                          <pic:pic xmlns:pic="http://schemas.openxmlformats.org/drawingml/2006/picture">
                            <pic:nvPicPr>
                              <pic:cNvPr id="118" name="图片_11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96" name="图片_116"/>
                      <wp:cNvGraphicFramePr/>
                      <a:graphic xmlns:a="http://schemas.openxmlformats.org/drawingml/2006/main">
                        <a:graphicData uri="http://schemas.openxmlformats.org/drawingml/2006/picture">
                          <pic:pic xmlns:pic="http://schemas.openxmlformats.org/drawingml/2006/picture">
                            <pic:nvPicPr>
                              <pic:cNvPr id="99" name="图片_11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97" name="图片_115"/>
                      <wp:cNvGraphicFramePr/>
                      <a:graphic xmlns:a="http://schemas.openxmlformats.org/drawingml/2006/main">
                        <a:graphicData uri="http://schemas.openxmlformats.org/drawingml/2006/picture">
                          <pic:pic xmlns:pic="http://schemas.openxmlformats.org/drawingml/2006/picture">
                            <pic:nvPicPr>
                              <pic:cNvPr id="125" name="图片_11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后勤维修器材室、装配室</w:t>
            </w:r>
            <w:r/>
          </w:p>
        </w:tc>
        <w:tc>
          <w:tcPr>
            <w:gridSpan w:val="2"/>
            <w:shd w:val="clear" w:color="auto" w:fill="ffffff"/>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ffffff"/>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ffffff"/>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ffffff"/>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办公桌</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98" name="图片_25"/>
                      <wp:cNvGraphicFramePr/>
                      <a:graphic xmlns:a="http://schemas.openxmlformats.org/drawingml/2006/main">
                        <a:graphicData uri="http://schemas.openxmlformats.org/drawingml/2006/picture">
                          <pic:pic xmlns:pic="http://schemas.openxmlformats.org/drawingml/2006/picture">
                            <pic:nvPicPr>
                              <pic:cNvPr id="97" name="图片_2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99" name="图片_23"/>
                      <wp:cNvGraphicFramePr/>
                      <a:graphic xmlns:a="http://schemas.openxmlformats.org/drawingml/2006/main">
                        <a:graphicData uri="http://schemas.openxmlformats.org/drawingml/2006/picture">
                          <pic:pic xmlns:pic="http://schemas.openxmlformats.org/drawingml/2006/picture">
                            <pic:nvPicPr>
                              <pic:cNvPr id="103" name="图片_2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规格：≥1550*1400*1100mm，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屏风：铝合金包边，双面贴双色环保板，带地脚线可走线，带条砂玻璃，</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面材：桌面采用≥25mm厚E1级三聚氰胺饰面刨花板,其余部分采用≥18mm厚E1级三聚氰胺饰面刨花板。</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封边：优质PVC封边，颜色均匀、美观</w:t>
            </w:r>
            <w:r/>
          </w:p>
        </w:tc>
        <w:tc>
          <w:tcPr>
            <w:shd w:val="clear" w:color="auto" w:fill="ffffff"/>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100" name="图片_133"/>
                      <wp:cNvGraphicFramePr/>
                      <a:graphic xmlns:a="http://schemas.openxmlformats.org/drawingml/2006/main">
                        <a:graphicData uri="http://schemas.openxmlformats.org/drawingml/2006/picture">
                          <pic:pic xmlns:pic="http://schemas.openxmlformats.org/drawingml/2006/picture">
                            <pic:nvPicPr>
                              <pic:cNvPr id="119" name="图片_13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ffffff"/>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ffffff"/>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办公椅</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总高：≥1040mm，背高：≥600mm，座高：≥460mm，座深：≥510mm， 内宽 ：≥ 500mm，外宽：≥ 620mm，PP玻纤黑色背扶手，透气3D透气耐磨座背网，高密度切割棉，2.0mm厚黑色喷漆圆管弓形架。</w:t>
            </w:r>
            <w:r/>
          </w:p>
        </w:tc>
        <w:tc>
          <w:tcPr>
            <w:shd w:val="clear" w:color="auto" w:fill="ffffff"/>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ffffff"/>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ffffff"/>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货架</w:t>
            </w:r>
            <w:r/>
          </w:p>
        </w:tc>
        <w:tc>
          <w:tcPr>
            <w:shd w:val="clear" w:color="auto" w:fill="ffffff"/>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≥1000*500*2000mm，1、用材：选用钢，立柱使用1.5mm冷轧钢板,搁板使用≥1.0mm冷轧钢板，稳重、坚固。</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2、表面处理：采用先进的喷塑工艺处理，不褪色。防锈，磷化，酸洗处理,表面静电喷塑粉末喷涂,光滑美观，富有金属质感.不生锈。</w:t>
            </w:r>
            <w:r/>
          </w:p>
        </w:tc>
        <w:tc>
          <w:tcPr>
            <w:shd w:val="clear" w:color="auto" w:fill="ffffff"/>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节</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ffffff"/>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9525"/>
                      <wp:effectExtent l="0" t="0" r="8890" b="0"/>
                      <wp:wrapNone/>
                      <wp:docPr id="101" name="图片_140"/>
                      <wp:cNvGraphicFramePr/>
                      <a:graphic xmlns:a="http://schemas.openxmlformats.org/drawingml/2006/main">
                        <a:graphicData uri="http://schemas.openxmlformats.org/drawingml/2006/picture">
                          <pic:pic xmlns:pic="http://schemas.openxmlformats.org/drawingml/2006/picture">
                            <pic:nvPicPr>
                              <pic:cNvPr id="114" name="图片_140"/>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02" name="图片_139"/>
                      <wp:cNvGraphicFramePr/>
                      <a:graphic xmlns:a="http://schemas.openxmlformats.org/drawingml/2006/main">
                        <a:graphicData uri="http://schemas.openxmlformats.org/drawingml/2006/picture">
                          <pic:pic xmlns:pic="http://schemas.openxmlformats.org/drawingml/2006/picture">
                            <pic:nvPicPr>
                              <pic:cNvPr id="100" name="图片_139"/>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9525"/>
                      <wp:effectExtent l="0" t="0" r="8890" b="0"/>
                      <wp:wrapNone/>
                      <wp:docPr id="103" name="图片_123"/>
                      <wp:cNvGraphicFramePr/>
                      <a:graphic xmlns:a="http://schemas.openxmlformats.org/drawingml/2006/main">
                        <a:graphicData uri="http://schemas.openxmlformats.org/drawingml/2006/picture">
                          <pic:pic xmlns:pic="http://schemas.openxmlformats.org/drawingml/2006/picture">
                            <pic:nvPicPr>
                              <pic:cNvPr id="104" name="图片_123"/>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04" name="图片_138"/>
                      <wp:cNvGraphicFramePr/>
                      <a:graphic xmlns:a="http://schemas.openxmlformats.org/drawingml/2006/main">
                        <a:graphicData uri="http://schemas.openxmlformats.org/drawingml/2006/picture">
                          <pic:pic xmlns:pic="http://schemas.openxmlformats.org/drawingml/2006/picture">
                            <pic:nvPicPr>
                              <pic:cNvPr id="110" name="图片_13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05" name="图片_137"/>
                      <wp:cNvGraphicFramePr/>
                      <a:graphic xmlns:a="http://schemas.openxmlformats.org/drawingml/2006/main">
                        <a:graphicData uri="http://schemas.openxmlformats.org/drawingml/2006/picture">
                          <pic:pic xmlns:pic="http://schemas.openxmlformats.org/drawingml/2006/picture">
                            <pic:nvPicPr>
                              <pic:cNvPr id="117" name="图片_13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06" name="图片_136"/>
                      <wp:cNvGraphicFramePr/>
                      <a:graphic xmlns:a="http://schemas.openxmlformats.org/drawingml/2006/main">
                        <a:graphicData uri="http://schemas.openxmlformats.org/drawingml/2006/picture">
                          <pic:pic xmlns:pic="http://schemas.openxmlformats.org/drawingml/2006/picture">
                            <pic:nvPicPr>
                              <pic:cNvPr id="105" name="图片_13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07" name="图片_134"/>
                      <wp:cNvGraphicFramePr/>
                      <a:graphic xmlns:a="http://schemas.openxmlformats.org/drawingml/2006/main">
                        <a:graphicData uri="http://schemas.openxmlformats.org/drawingml/2006/picture">
                          <pic:pic xmlns:pic="http://schemas.openxmlformats.org/drawingml/2006/picture">
                            <pic:nvPicPr>
                              <pic:cNvPr id="108" name="图片_13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08" name="图片_135"/>
                      <wp:cNvGraphicFramePr/>
                      <a:graphic xmlns:a="http://schemas.openxmlformats.org/drawingml/2006/main">
                        <a:graphicData uri="http://schemas.openxmlformats.org/drawingml/2006/picture">
                          <pic:pic xmlns:pic="http://schemas.openxmlformats.org/drawingml/2006/picture">
                            <pic:nvPicPr>
                              <pic:cNvPr id="115" name="图片_13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09" name="图片_129"/>
                      <wp:cNvGraphicFramePr/>
                      <a:graphic xmlns:a="http://schemas.openxmlformats.org/drawingml/2006/main">
                        <a:graphicData uri="http://schemas.openxmlformats.org/drawingml/2006/picture">
                          <pic:pic xmlns:pic="http://schemas.openxmlformats.org/drawingml/2006/picture">
                            <pic:nvPicPr>
                              <pic:cNvPr id="127" name="图片_129"/>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10" name="图片_128"/>
                      <wp:cNvGraphicFramePr/>
                      <a:graphic xmlns:a="http://schemas.openxmlformats.org/drawingml/2006/main">
                        <a:graphicData uri="http://schemas.openxmlformats.org/drawingml/2006/picture">
                          <pic:pic xmlns:pic="http://schemas.openxmlformats.org/drawingml/2006/picture">
                            <pic:nvPicPr>
                              <pic:cNvPr id="120" name="图片_12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11" name="图片_127"/>
                      <wp:cNvGraphicFramePr/>
                      <a:graphic xmlns:a="http://schemas.openxmlformats.org/drawingml/2006/main">
                        <a:graphicData uri="http://schemas.openxmlformats.org/drawingml/2006/picture">
                          <pic:pic xmlns:pic="http://schemas.openxmlformats.org/drawingml/2006/picture">
                            <pic:nvPicPr>
                              <pic:cNvPr id="111" name="图片_12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9525"/>
                      <wp:effectExtent l="0" t="0" r="8890" b="0"/>
                      <wp:wrapNone/>
                      <wp:docPr id="112" name="图片_125"/>
                      <wp:cNvGraphicFramePr/>
                      <a:graphic xmlns:a="http://schemas.openxmlformats.org/drawingml/2006/main">
                        <a:graphicData uri="http://schemas.openxmlformats.org/drawingml/2006/picture">
                          <pic:pic xmlns:pic="http://schemas.openxmlformats.org/drawingml/2006/picture">
                            <pic:nvPicPr>
                              <pic:cNvPr id="112" name="图片_125"/>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13" name="图片_124"/>
                      <wp:cNvGraphicFramePr/>
                      <a:graphic xmlns:a="http://schemas.openxmlformats.org/drawingml/2006/main">
                        <a:graphicData uri="http://schemas.openxmlformats.org/drawingml/2006/picture">
                          <pic:pic xmlns:pic="http://schemas.openxmlformats.org/drawingml/2006/picture">
                            <pic:nvPicPr>
                              <pic:cNvPr id="126" name="图片_12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14" name="图片_122"/>
                      <wp:cNvGraphicFramePr/>
                      <a:graphic xmlns:a="http://schemas.openxmlformats.org/drawingml/2006/main">
                        <a:graphicData uri="http://schemas.openxmlformats.org/drawingml/2006/picture">
                          <pic:pic xmlns:pic="http://schemas.openxmlformats.org/drawingml/2006/picture">
                            <pic:nvPicPr>
                              <pic:cNvPr id="96" name="图片_12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15" name="图片_121"/>
                      <wp:cNvGraphicFramePr/>
                      <a:graphic xmlns:a="http://schemas.openxmlformats.org/drawingml/2006/main">
                        <a:graphicData uri="http://schemas.openxmlformats.org/drawingml/2006/picture">
                          <pic:pic xmlns:pic="http://schemas.openxmlformats.org/drawingml/2006/picture">
                            <pic:nvPicPr>
                              <pic:cNvPr id="121" name="图片_12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16" name="图片_120"/>
                      <wp:cNvGraphicFramePr/>
                      <a:graphic xmlns:a="http://schemas.openxmlformats.org/drawingml/2006/main">
                        <a:graphicData uri="http://schemas.openxmlformats.org/drawingml/2006/picture">
                          <pic:pic xmlns:pic="http://schemas.openxmlformats.org/drawingml/2006/picture">
                            <pic:nvPicPr>
                              <pic:cNvPr id="122" name="图片_12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保管室</w:t>
            </w:r>
            <w:r/>
          </w:p>
        </w:tc>
        <w:tc>
          <w:tcPr>
            <w:gridSpan w:val="2"/>
            <w:shd w:val="clear" w:color="auto" w:fill="ffffff"/>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ffffff"/>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ffffff"/>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ffffff"/>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货架</w:t>
            </w:r>
            <w:r/>
          </w:p>
        </w:tc>
        <w:tc>
          <w:tcPr>
            <w:shd w:val="clear" w:color="auto" w:fill="ffffff"/>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≥1000*500*2000mm，1、用材：选用钢，立柱使用≥1.5mm冷轧钢板,搁板使用≥1.0mm冷轧钢板，稳重、坚固。</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2、表面处理：采用先进的喷塑工艺处理，不褪色。防锈，磷化，酸洗处理,表面静电喷塑粉末喷涂。</w:t>
            </w:r>
            <w:r/>
          </w:p>
        </w:tc>
        <w:tc>
          <w:tcPr>
            <w:shd w:val="clear" w:color="auto" w:fill="ffffff"/>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节</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ffffff"/>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ffffff"/>
            <w:tcW w:w="517"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柜子</w:t>
            </w:r>
            <w:r/>
          </w:p>
        </w:tc>
        <w:tc>
          <w:tcPr>
            <w:shd w:val="clear" w:color="auto" w:fill="ffffff"/>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规格：≥900mm*400mm*1850mm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产品均采用优质冷轧钢板，厚度为0.6mm.耐压，强度大，抗冲击不易变形；采用静电粉末喷塑，无有机溶剂，无污染：开启灵活、扣手新颖个性。铝合金更加美观耐用。焊接部分采用高标准熔接焊，表面光滑平。</w:t>
            </w:r>
            <w:r/>
          </w:p>
        </w:tc>
        <w:tc>
          <w:tcPr>
            <w:shd w:val="clear" w:color="auto" w:fill="ffffff"/>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24</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ffffff"/>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ffffff"/>
            <w:tcW w:w="517"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桌子</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规格：≥1600*1100*760mm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1、台面采用≥25mm厚E1级三聚氰胺饰面刨花板经≥1.0mm厚PVC封边条封边。拉板采用≥1300*300mm*16mm厚三聚氰胺板材。</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2、桌腿采用方管钢板材料≥25*50*1.5mm厚一次性弯曲成型，立柱板材采用优质冷扎板厚度≥1.0mm冲压成型，内置预留插座孔，经酸洗磷化、防锈、防腐处理,塑料底脚采用优质环保聚乙烯材料做成。</w:t>
            </w:r>
            <w:r/>
          </w:p>
        </w:tc>
        <w:tc>
          <w:tcPr>
            <w:shd w:val="clear" w:color="auto" w:fill="ffffff"/>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ffffff"/>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ffffff"/>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椅子</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尺寸≥47*47*90cm，椅面采用网布+加厚海绵材质，5cm加宽扶手，尼龙材质五星脚，静音pu万向轮</w:t>
            </w:r>
            <w:r/>
          </w:p>
        </w:tc>
        <w:tc>
          <w:tcPr>
            <w:shd w:val="clear" w:color="auto" w:fill="ffffff"/>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把</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ffffff"/>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小会议室、党总支</w:t>
            </w:r>
            <w:r/>
          </w:p>
        </w:tc>
        <w:tc>
          <w:tcPr>
            <w:gridSpan w:val="2"/>
            <w:shd w:val="clear" w:color="auto" w:fill="auto"/>
            <w:tcW w:w="828" w:type="pct"/>
            <w:vAlign w:val="center"/>
            <w:textDirection w:val="lrTb"/>
            <w:noWrap/>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会议桌</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规格：≥3600*1200*1050mm,白蜡木+暖白</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1、优质三聚氰胺板饰面，硬度高，不易磨花。</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2、基材：选用E1级优质实木颗粒板，具有环保、质地均匀恒定的特点。甲醛释放量,吸水膨胀率符合国家标准，台面厚度为25MM；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3、封边: ≥2.0mm同色优质PVC封边，甲醛释放量符合国家标准。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4、五金件：采用优质五金件 钢制脚架喷涂工艺。</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椅子</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117" name="图片_32"/>
                      <wp:cNvGraphicFramePr/>
                      <a:graphic xmlns:a="http://schemas.openxmlformats.org/drawingml/2006/main">
                        <a:graphicData uri="http://schemas.openxmlformats.org/drawingml/2006/picture">
                          <pic:pic xmlns:pic="http://schemas.openxmlformats.org/drawingml/2006/picture">
                            <pic:nvPicPr>
                              <pic:cNvPr id="123" name="图片_3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1.白色尼龙加玻纤背架。</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2.白色尼龙玻纤独立扶手，座包采用定型绵。</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3.固定扶手连接椅背和椅座。</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4.弓型架采用2.0mm电镀铁管。</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5.采用优质螺丝。</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118" name="图片_147"/>
                      <wp:cNvGraphicFramePr/>
                      <a:graphic xmlns:a="http://schemas.openxmlformats.org/drawingml/2006/main">
                        <a:graphicData uri="http://schemas.openxmlformats.org/drawingml/2006/picture">
                          <pic:pic xmlns:pic="http://schemas.openxmlformats.org/drawingml/2006/picture">
                            <pic:nvPicPr>
                              <pic:cNvPr id="113" name="图片_14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把</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32</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ffffff"/>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大会议室（2间）</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ffffff"/>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ffffff"/>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会议桌</w:t>
            </w:r>
            <w:r/>
          </w:p>
        </w:tc>
        <w:tc>
          <w:tcPr>
            <w:shd w:val="clear" w:color="auto" w:fill="ffffff"/>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尺寸≥8米*2米，材质：E1级加厚密度板，厚度≥5CM</w:t>
            </w:r>
            <w:r/>
          </w:p>
        </w:tc>
        <w:tc>
          <w:tcPr>
            <w:shd w:val="clear" w:color="auto" w:fill="ffffff"/>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ffffff"/>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ffffff"/>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会议椅</w:t>
            </w:r>
            <w:r/>
          </w:p>
        </w:tc>
        <w:tc>
          <w:tcPr>
            <w:shd w:val="clear" w:color="auto" w:fill="ffffff"/>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尺寸：≥45*43*90cm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材质：优质pu皮</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木质：橡木</w:t>
            </w:r>
            <w:r/>
          </w:p>
        </w:tc>
        <w:tc>
          <w:tcPr>
            <w:shd w:val="clear" w:color="auto" w:fill="ffffff"/>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把</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100</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19" name="图片_141"/>
                      <wp:cNvGraphicFramePr/>
                      <a:graphic xmlns:a="http://schemas.openxmlformats.org/drawingml/2006/main">
                        <a:graphicData uri="http://schemas.openxmlformats.org/drawingml/2006/picture">
                          <pic:pic xmlns:pic="http://schemas.openxmlformats.org/drawingml/2006/picture">
                            <pic:nvPicPr>
                              <pic:cNvPr id="116" name="图片_14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校长、副校长室</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ffffff"/>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办公桌</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规格：≥2000*1600*760mm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1、面材：采用优质三聚氰胺浸渍胶膜纸饰面人造板，具有阻燃、耐酸碱、耐磨、防水、硬度高等特点；</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2、基材：采用符合E1优质刨花板，甲醛含量≤1.5mg/L，经防潮、防虫、防腐处理，强度高、刚性好、不变形。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3、封边：采用≥2mm厚优质同色PVC封边条。</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ffffff"/>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文件柜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120" name="图片_33"/>
                      <wp:cNvGraphicFramePr/>
                      <a:graphic xmlns:a="http://schemas.openxmlformats.org/drawingml/2006/main">
                        <a:graphicData uri="http://schemas.openxmlformats.org/drawingml/2006/picture">
                          <pic:pic xmlns:pic="http://schemas.openxmlformats.org/drawingml/2006/picture">
                            <pic:nvPicPr>
                              <pic:cNvPr id="132" name="图片_3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规格：≥2400*400*1900mm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1、面材：采用优质三聚氰胺浸渍胶膜纸饰面人造板，具有阻燃、耐酸碱、耐磨、防水、硬度高等特点；</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2、基材：采用符合E1优质刨花板，甲醛含量≤1.5mg/L，经防潮、防虫、防腐处理，强度高、刚性好、不变形。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3、封边：采用≥2mm厚优质同色PVC封边条。</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121" name="图片_143"/>
                      <wp:cNvGraphicFramePr/>
                      <a:graphic xmlns:a="http://schemas.openxmlformats.org/drawingml/2006/main">
                        <a:graphicData uri="http://schemas.openxmlformats.org/drawingml/2006/picture">
                          <pic:pic xmlns:pic="http://schemas.openxmlformats.org/drawingml/2006/picture">
                            <pic:nvPicPr>
                              <pic:cNvPr id="129" name="图片_14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组</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ffffff"/>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大班椅</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1、定型棉，久坐不变形，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2、灰色固定扶手</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3、原位锁定底盘</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4、120沉6气杆30万次升降，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5、灰色尼龙脚</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6、60mmPU轮子滑行≥10万次</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ffffff"/>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班前椅</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1、网布，抗张、透气、耐磨性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2、定型棉，久坐不变形，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3、灰色固定扶手，                                                       </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4、灰色喷涂架</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16</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ffffff"/>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沙发</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1、优质西皮饰面。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2、用的高速车及粗线车制皮套，直接包面。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3、采用蛇簧垫底，多层强力拉筋包背。</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4、采用高密度发泡高回弹PU海绵，不变形，根据人体工程学原理设计，做点舒适。</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5、五金：采用优质五金配件，结构简单，链接牢固，安装快捷。</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组</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ffffff"/>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茶几</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规格：≥1200*600*460mm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面板：12mm劳伦黑金/雪山白岩板面</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架子：优质黑砂喷涂钢架</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ffffff"/>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ffffff"/>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W w:w="3048"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22" name="图片_2_SpCnt_3"/>
                      <wp:cNvGraphicFramePr/>
                      <a:graphic xmlns:a="http://schemas.openxmlformats.org/drawingml/2006/main">
                        <a:graphicData uri="http://schemas.openxmlformats.org/drawingml/2006/picture">
                          <pic:pic xmlns:pic="http://schemas.openxmlformats.org/drawingml/2006/picture">
                            <pic:nvPicPr>
                              <pic:cNvPr id="154" name="图片_2_SpCnt_3"/>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23" name="图片_34"/>
                      <wp:cNvGraphicFramePr/>
                      <a:graphic xmlns:a="http://schemas.openxmlformats.org/drawingml/2006/main">
                        <a:graphicData uri="http://schemas.openxmlformats.org/drawingml/2006/picture">
                          <pic:pic xmlns:pic="http://schemas.openxmlformats.org/drawingml/2006/picture">
                            <pic:nvPicPr>
                              <pic:cNvPr id="159" name="图片_3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24" name="图片_39"/>
                      <wp:cNvGraphicFramePr/>
                      <a:graphic xmlns:a="http://schemas.openxmlformats.org/drawingml/2006/main">
                        <a:graphicData uri="http://schemas.openxmlformats.org/drawingml/2006/picture">
                          <pic:pic xmlns:pic="http://schemas.openxmlformats.org/drawingml/2006/picture">
                            <pic:nvPicPr>
                              <pic:cNvPr id="151" name="图片_39"/>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25" name="图片_38"/>
                      <wp:cNvGraphicFramePr/>
                      <a:graphic xmlns:a="http://schemas.openxmlformats.org/drawingml/2006/main">
                        <a:graphicData uri="http://schemas.openxmlformats.org/drawingml/2006/picture">
                          <pic:pic xmlns:pic="http://schemas.openxmlformats.org/drawingml/2006/picture">
                            <pic:nvPicPr>
                              <pic:cNvPr id="155" name="图片_3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26" name="图片_167"/>
                      <wp:cNvGraphicFramePr/>
                      <a:graphic xmlns:a="http://schemas.openxmlformats.org/drawingml/2006/main">
                        <a:graphicData uri="http://schemas.openxmlformats.org/drawingml/2006/picture">
                          <pic:pic xmlns:pic="http://schemas.openxmlformats.org/drawingml/2006/picture">
                            <pic:nvPicPr>
                              <pic:cNvPr id="160" name="图片_16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27" name="图片_168"/>
                      <wp:cNvGraphicFramePr/>
                      <a:graphic xmlns:a="http://schemas.openxmlformats.org/drawingml/2006/main">
                        <a:graphicData uri="http://schemas.openxmlformats.org/drawingml/2006/picture">
                          <pic:pic xmlns:pic="http://schemas.openxmlformats.org/drawingml/2006/picture">
                            <pic:nvPicPr>
                              <pic:cNvPr id="161" name="图片_16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28" name="图片_44"/>
                      <wp:cNvGraphicFramePr/>
                      <a:graphic xmlns:a="http://schemas.openxmlformats.org/drawingml/2006/main">
                        <a:graphicData uri="http://schemas.openxmlformats.org/drawingml/2006/picture">
                          <pic:pic xmlns:pic="http://schemas.openxmlformats.org/drawingml/2006/picture">
                            <pic:nvPicPr>
                              <pic:cNvPr id="163" name="图片_4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29" name="图片_40"/>
                      <wp:cNvGraphicFramePr/>
                      <a:graphic xmlns:a="http://schemas.openxmlformats.org/drawingml/2006/main">
                        <a:graphicData uri="http://schemas.openxmlformats.org/drawingml/2006/picture">
                          <pic:pic xmlns:pic="http://schemas.openxmlformats.org/drawingml/2006/picture">
                            <pic:nvPicPr>
                              <pic:cNvPr id="165" name="图片_40"/>
                              <pic:cNvPicPr/>
                              <pic:nvPr/>
                            </pic:nvPicPr>
                            <pic:blipFill>
                              <a:blip r:embed="rId20"/>
                              <a:stretch/>
                            </pic:blipFill>
                            <pic:spPr bwMode="auto">
                              <a:xfrm>
                                <a:off x="0" y="0"/>
                                <a:ext cx="10160" cy="101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30" name="图片_35"/>
                      <wp:cNvGraphicFramePr/>
                      <a:graphic xmlns:a="http://schemas.openxmlformats.org/drawingml/2006/main">
                        <a:graphicData uri="http://schemas.openxmlformats.org/drawingml/2006/picture">
                          <pic:pic xmlns:pic="http://schemas.openxmlformats.org/drawingml/2006/picture">
                            <pic:nvPicPr>
                              <pic:cNvPr id="136" name="图片_3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31" name="图片_41"/>
                      <wp:cNvGraphicFramePr/>
                      <a:graphic xmlns:a="http://schemas.openxmlformats.org/drawingml/2006/main">
                        <a:graphicData uri="http://schemas.openxmlformats.org/drawingml/2006/picture">
                          <pic:pic xmlns:pic="http://schemas.openxmlformats.org/drawingml/2006/picture">
                            <pic:nvPicPr>
                              <pic:cNvPr id="166" name="图片_4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32" name="图片_42"/>
                      <wp:cNvGraphicFramePr/>
                      <a:graphic xmlns:a="http://schemas.openxmlformats.org/drawingml/2006/main">
                        <a:graphicData uri="http://schemas.openxmlformats.org/drawingml/2006/picture">
                          <pic:pic xmlns:pic="http://schemas.openxmlformats.org/drawingml/2006/picture">
                            <pic:nvPicPr>
                              <pic:cNvPr id="137" name="图片_4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33" name="图片_166"/>
                      <wp:cNvGraphicFramePr/>
                      <a:graphic xmlns:a="http://schemas.openxmlformats.org/drawingml/2006/main">
                        <a:graphicData uri="http://schemas.openxmlformats.org/drawingml/2006/picture">
                          <pic:pic xmlns:pic="http://schemas.openxmlformats.org/drawingml/2006/picture">
                            <pic:nvPicPr>
                              <pic:cNvPr id="139" name="图片_16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34" name="图片_24"/>
                      <wp:cNvGraphicFramePr/>
                      <a:graphic xmlns:a="http://schemas.openxmlformats.org/drawingml/2006/main">
                        <a:graphicData uri="http://schemas.openxmlformats.org/drawingml/2006/picture">
                          <pic:pic xmlns:pic="http://schemas.openxmlformats.org/drawingml/2006/picture">
                            <pic:nvPicPr>
                              <pic:cNvPr id="170" name="图片_2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35" name="图片_37"/>
                      <wp:cNvGraphicFramePr/>
                      <a:graphic xmlns:a="http://schemas.openxmlformats.org/drawingml/2006/main">
                        <a:graphicData uri="http://schemas.openxmlformats.org/drawingml/2006/picture">
                          <pic:pic xmlns:pic="http://schemas.openxmlformats.org/drawingml/2006/picture">
                            <pic:nvPicPr>
                              <pic:cNvPr id="172" name="图片_3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61312;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办公室</w:t>
            </w:r>
            <w:r/>
          </w:p>
        </w:tc>
        <w:tc>
          <w:tcPr>
            <w:gridSpan w:val="2"/>
            <w:shd w:val="clear" w:color="auto" w:fill="auto"/>
            <w:tcW w:w="828" w:type="pct"/>
            <w:vAlign w:val="center"/>
            <w:textDirection w:val="lrTb"/>
            <w:noWrap w:val="false"/>
          </w:tcPr>
          <w:p>
            <w:pPr>
              <w:jc w:val="cente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r>
            <w:r/>
          </w:p>
        </w:tc>
        <w:tc>
          <w:tcPr>
            <w:shd w:val="clear" w:color="auto" w:fill="auto"/>
            <w:tcW w:w="1123" w:type="pct"/>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序号</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名称</w:t>
            </w:r>
            <w:r/>
          </w:p>
        </w:tc>
        <w:tc>
          <w:tcPr>
            <w:shd w:val="clear" w:color="auto" w:fill="auto"/>
            <w:tcW w:w="213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技术参数</w:t>
            </w:r>
            <w:r/>
          </w:p>
        </w:tc>
        <w:tc>
          <w:tcPr>
            <w:shd w:val="clear" w:color="auto" w:fill="auto"/>
            <w:tcW w:w="363"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数量</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办公桌</w:t>
            </w:r>
            <w:r/>
          </w:p>
        </w:tc>
        <w:tc>
          <w:tcPr>
            <w:shd w:val="clear" w:color="auto" w:fill="auto"/>
            <w:tcW w:w="2132" w:type="pct"/>
            <w:vAlign w:val="center"/>
            <w:textDirection w:val="lrTb"/>
            <w:noWrap w:val="false"/>
          </w:tcPr>
          <w:p>
            <w:pPr>
              <w:jc w:val="left"/>
              <w:keepLines w:val="0"/>
              <w:keepNext w:val="0"/>
              <w:widowControl/>
              <w:rPr>
                <w:rFonts w:hint="default"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0"/>
                <w:szCs w:val="20"/>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0160" cy="10160"/>
                      <wp:effectExtent l="0" t="0" r="8890" b="3810"/>
                      <wp:wrapNone/>
                      <wp:docPr id="136" name="图片_142"/>
                      <wp:cNvGraphicFramePr/>
                      <a:graphic xmlns:a="http://schemas.openxmlformats.org/drawingml/2006/main">
                        <a:graphicData uri="http://schemas.openxmlformats.org/drawingml/2006/picture">
                          <pic:pic xmlns:pic="http://schemas.openxmlformats.org/drawingml/2006/picture">
                            <pic:nvPicPr>
                              <pic:cNvPr id="175" name="图片_142"/>
                              <pic:cNvPicPr/>
                              <pic:nvPr/>
                            </pic:nvPicPr>
                            <pic:blipFill>
                              <a:blip r:embed="rId33"/>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6233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规格：≥1550*1400*1100mm，</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屏风：铝合金包边，双面贴双色环保板，带地脚线可走线，带条砂玻璃，</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面材：桌面采用≥25mm厚E1级三聚氰胺饰面刨花板,其余部分采用≥18mm厚E1级三聚氰胺饰面刨花板。</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封边：优质PVC封边。</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提供有效期内国家认可的检测机构出具的25mm厚E1级三聚氰胺饰面刨花板检测报告，检测内容包含：气味等级达到国家标准要求的1级及以上。</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137" name="图片_36"/>
                      <wp:cNvGraphicFramePr/>
                      <a:graphic xmlns:a="http://schemas.openxmlformats.org/drawingml/2006/main">
                        <a:graphicData uri="http://schemas.openxmlformats.org/drawingml/2006/picture">
                          <pic:pic xmlns:pic="http://schemas.openxmlformats.org/drawingml/2006/picture">
                            <pic:nvPicPr>
                              <pic:cNvPr id="171" name="图片_3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310</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181735" cy="865505"/>
                      <wp:effectExtent l="0" t="0" r="8890" b="1270"/>
                      <wp:docPr id="13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 descr="IMG_256"/>
                              <pic:cNvPicPr>
                                <a:picLocks noChangeAspect="1"/>
                              </pic:cNvPicPr>
                              <pic:nvPr/>
                            </pic:nvPicPr>
                            <pic:blipFill>
                              <a:blip r:embed="rId34"/>
                              <a:stretch/>
                            </pic:blipFill>
                            <pic:spPr bwMode="auto">
                              <a:xfrm>
                                <a:off x="0" y="0"/>
                                <a:ext cx="1181735" cy="8655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93.0pt;height:68.1pt;mso-wrap-distance-left:0.0pt;mso-wrap-distance-top:0.0pt;mso-wrap-distance-right:0.0pt;mso-wrap-distance-bottom:0.0pt;" stroked="f" strokeweight="0.75pt">
                      <v:path textboxrect="0,0,0,0"/>
                      <v:imagedata r:id="rId3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984885</wp:posOffset>
                      </wp:positionH>
                      <wp:positionV relativeFrom="paragraph">
                        <wp:posOffset>0</wp:posOffset>
                      </wp:positionV>
                      <wp:extent cx="10160" cy="10160"/>
                      <wp:effectExtent l="0" t="0" r="8890" b="3810"/>
                      <wp:wrapNone/>
                      <wp:docPr id="139" name="图片_2"/>
                      <wp:cNvGraphicFramePr/>
                      <a:graphic xmlns:a="http://schemas.openxmlformats.org/drawingml/2006/main">
                        <a:graphicData uri="http://schemas.openxmlformats.org/drawingml/2006/picture">
                          <pic:pic xmlns:pic="http://schemas.openxmlformats.org/drawingml/2006/picture">
                            <pic:nvPicPr>
                              <pic:cNvPr id="143" name="图片_2"/>
                              <pic:cNvPicPr/>
                              <pic:nvPr/>
                            </pic:nvPicPr>
                            <pic:blipFill>
                              <a:blip r:embed="rId3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65408;o:allowoverlap:true;o:allowincell:true;mso-position-horizontal-relative:text;margin-left:77.5pt;mso-position-horizontal:absolute;mso-position-vertical-relative:text;margin-top:0.0pt;mso-position-vertical:absolute;width:0.8pt;height:0.8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984885</wp:posOffset>
                      </wp:positionH>
                      <wp:positionV relativeFrom="paragraph">
                        <wp:posOffset>0</wp:posOffset>
                      </wp:positionV>
                      <wp:extent cx="10160" cy="10160"/>
                      <wp:effectExtent l="0" t="0" r="8890" b="3810"/>
                      <wp:wrapNone/>
                      <wp:docPr id="140" name="图片_8"/>
                      <wp:cNvGraphicFramePr/>
                      <a:graphic xmlns:a="http://schemas.openxmlformats.org/drawingml/2006/main">
                        <a:graphicData uri="http://schemas.openxmlformats.org/drawingml/2006/picture">
                          <pic:pic xmlns:pic="http://schemas.openxmlformats.org/drawingml/2006/picture">
                            <pic:nvPicPr>
                              <pic:cNvPr id="144" name="图片_8"/>
                              <pic:cNvPicPr/>
                              <pic:nvPr/>
                            </pic:nvPicPr>
                            <pic:blipFill>
                              <a:blip r:embed="rId3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65408;o:allowoverlap:true;o:allowincell:true;mso-position-horizontal-relative:text;margin-left:77.5pt;mso-position-horizontal:absolute;mso-position-vertical-relative:text;margin-top:0.0pt;mso-position-vertical:absolute;width:0.8pt;height:0.8pt;mso-wrap-distance-left:9.0pt;mso-wrap-distance-top:0.0pt;mso-wrap-distance-right:9.0pt;mso-wrap-distance-bottom:0.0pt;" stroked="f">
                      <v:path textboxrect="0,0,0,0"/>
                      <v:imagedata r:id="rId35"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办公椅</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总高：≥1040mm，背高：≥600mm，座高：≥460mm，座深：≥510mm， 内宽 ：≥ 500mm，外宽：≥ 620mm，PP玻纤黑色背扶手，透气3D透气耐磨座背网，高密度切割棉，2.0mm厚黑色喷漆圆管弓形架。</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310</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711835" cy="845185"/>
                      <wp:effectExtent l="0" t="0" r="2540" b="2540"/>
                      <wp:docPr id="14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6"/>
                              <pic:cNvPicPr>
                                <a:picLocks noChangeAspect="1"/>
                              </pic:cNvPicPr>
                              <pic:nvPr/>
                            </pic:nvPicPr>
                            <pic:blipFill>
                              <a:blip r:embed="rId36"/>
                              <a:stretch/>
                            </pic:blipFill>
                            <pic:spPr bwMode="auto">
                              <a:xfrm>
                                <a:off x="0" y="0"/>
                                <a:ext cx="711835" cy="8451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56.0pt;height:66.5pt;mso-wrap-distance-left:0.0pt;mso-wrap-distance-top:0.0pt;mso-wrap-distance-right:0.0pt;mso-wrap-distance-bottom:0.0pt;" stroked="f" strokeweight="0.75pt">
                      <v:path textboxrect="0,0,0,0"/>
                      <v:imagedata r:id="rId36"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文件柜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规格：≥900mm*400mm*1850mm,板厚≥0.6mm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    产品均采用优质冷轧钢板，厚度为0.6mm.耐压，强度大，抗冲击不易变形；采用静电粉末喷塑：开启灵活、扣手新颖个性。铝合金更加美观耐用。焊接部分采用高标准熔接焊，表面光滑平。</w:t>
            </w:r>
            <w:r/>
          </w:p>
          <w:p>
            <w:pPr>
              <w:pStyle w:val="744"/>
              <w:ind w:left="0" w:firstLine="0"/>
              <w:rPr>
                <w:rFonts w:hint="eastAsia"/>
              </w:rPr>
            </w:pP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▲提供</w:t>
            </w:r>
            <w:r>
              <w:rPr>
                <w:rFonts w:hint="eastAsia" w:ascii="宋体" w:hAnsi="宋体" w:cs="宋体"/>
                <w:b w:val="0"/>
                <w:bCs w:val="0"/>
                <w:i w:val="0"/>
                <w:iCs w:val="0"/>
                <w:color w:val="000000"/>
                <w:sz w:val="20"/>
                <w:szCs w:val="20"/>
                <w:highlight w:val="none"/>
                <w:u w:val="none"/>
                <w:lang w:val="en-US" w:eastAsia="zh-CN" w:bidi="ar"/>
              </w:rPr>
              <w:t xml:space="preserve">有效期内</w:t>
            </w:r>
            <w:r>
              <w:rPr>
                <w:rFonts w:hint="eastAsia" w:ascii="宋体" w:hAnsi="宋体" w:eastAsia="宋体" w:cs="宋体"/>
                <w:b w:val="0"/>
                <w:bCs w:val="0"/>
                <w:i w:val="0"/>
                <w:iCs w:val="0"/>
                <w:color w:val="000000"/>
                <w:sz w:val="20"/>
                <w:szCs w:val="20"/>
                <w:highlight w:val="none"/>
                <w:u w:val="none"/>
                <w:lang w:val="en-US" w:eastAsia="zh-CN" w:bidi="ar"/>
              </w:rPr>
              <w:t xml:space="preserve">国家认可的检测机构出具</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的</w:t>
            </w:r>
            <w:r>
              <w:rPr>
                <w:rFonts w:hint="eastAsia" w:ascii="宋体" w:hAnsi="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产品质量检测</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报告。</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319</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1830" cy="1236345"/>
                      <wp:effectExtent l="0" t="0" r="4445" b="1905"/>
                      <wp:docPr id="14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2" descr="IMG_256"/>
                              <pic:cNvPicPr>
                                <a:picLocks noChangeAspect="1"/>
                              </pic:cNvPicPr>
                              <pic:nvPr/>
                            </pic:nvPicPr>
                            <pic:blipFill>
                              <a:blip r:embed="rId37"/>
                              <a:stretch/>
                            </pic:blipFill>
                            <pic:spPr bwMode="auto">
                              <a:xfrm>
                                <a:off x="0" y="0"/>
                                <a:ext cx="671830" cy="12363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52.9pt;height:97.3pt;mso-wrap-distance-left:0.0pt;mso-wrap-distance-top:0.0pt;mso-wrap-distance-right:0.0pt;mso-wrap-distance-bottom:0.0pt;" stroked="f" strokeweight="0.75pt">
                      <v:path textboxrect="0,0,0,0"/>
                      <v:imagedata r:id="rId37"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茶水柜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规格：≥1200*400*800mm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1、优质三聚氰胺板饰面，硬度高，不易磨花。</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2、基材：选用E0级浸渍胶膜纸饰面刨花板，具有环保、质地均匀恒定的特点。甲醛释放量,吸水膨胀率符合国家标准，台面厚度为25MM；</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3、封边: ≥2.0mm同色优质PVC封边，甲醛释放量符合国家标准。</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4、五金件：采用优质五金件 颜色：可选 白腊木色+暖白色</w:t>
            </w:r>
            <w:r/>
          </w:p>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提供有效期内国家认可的检测机构出具的</w:t>
            </w: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E0级浸渍胶膜纸饰面刨花板</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检测报告，甲醛释放量≤0.050mg/m³。</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91</w:t>
            </w:r>
            <w:r/>
          </w:p>
        </w:tc>
        <w:tc>
          <w:tcPr>
            <w:shd w:val="clear" w:color="auto" w:fill="auto"/>
            <w:tcW w:w="112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104265" cy="898525"/>
                      <wp:effectExtent l="0" t="0" r="635" b="6350"/>
                      <wp:docPr id="14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3" descr="IMG_256"/>
                              <pic:cNvPicPr>
                                <a:picLocks noChangeAspect="1"/>
                              </pic:cNvPicPr>
                              <pic:nvPr/>
                            </pic:nvPicPr>
                            <pic:blipFill>
                              <a:blip r:embed="rId38"/>
                              <a:stretch/>
                            </pic:blipFill>
                            <pic:spPr bwMode="auto">
                              <a:xfrm>
                                <a:off x="0" y="0"/>
                                <a:ext cx="1104265" cy="898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87.0pt;height:70.8pt;mso-wrap-distance-left:0.0pt;mso-wrap-distance-top:0.0pt;mso-wrap-distance-right:0.0pt;mso-wrap-distance-bottom:0.0pt;" stroked="f" strokeweight="0.75pt">
                      <v:path textboxrect="0,0,0,0"/>
                      <v:imagedata r:id="rId38" o:title=""/>
                    </v:shape>
                  </w:pict>
                </mc:Fallback>
              </mc:AlternateContent>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教室清洁工具</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包括扫把、簸箕、垃圾桶、拖把、水桶</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91</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shd w:val="clear" w:color="auto" w:fill="auto"/>
            <w:tcW w:w="39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W w:w="51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卫生柜</w:t>
            </w:r>
            <w:r/>
          </w:p>
        </w:tc>
        <w:tc>
          <w:tcPr>
            <w:shd w:val="clear" w:color="auto" w:fill="auto"/>
            <w:tcW w:w="213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≥1800*850*400，双门高脚，不锈钢制</w:t>
            </w:r>
            <w:r/>
          </w:p>
        </w:tc>
        <w:tc>
          <w:tcPr>
            <w:shd w:val="clear" w:color="auto" w:fill="auto"/>
            <w:tcW w:w="36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W w:w="4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177</w:t>
            </w:r>
            <w:r/>
          </w:p>
        </w:tc>
        <w:tc>
          <w:tcPr>
            <w:shd w:val="clear" w:color="auto" w:fill="auto"/>
            <w:tcW w:w="112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3048"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5829300</wp:posOffset>
                      </wp:positionH>
                      <wp:positionV relativeFrom="paragraph">
                        <wp:posOffset>0</wp:posOffset>
                      </wp:positionV>
                      <wp:extent cx="10160" cy="10160"/>
                      <wp:effectExtent l="0" t="0" r="8890" b="3810"/>
                      <wp:wrapNone/>
                      <wp:docPr id="144" name="图片_1"/>
                      <wp:cNvGraphicFramePr/>
                      <a:graphic xmlns:a="http://schemas.openxmlformats.org/drawingml/2006/main">
                        <a:graphicData uri="http://schemas.openxmlformats.org/drawingml/2006/picture">
                          <pic:pic xmlns:pic="http://schemas.openxmlformats.org/drawingml/2006/picture">
                            <pic:nvPicPr>
                              <pic:cNvPr id="1" name="图片_1"/>
                              <pic:cNvPicPr/>
                              <pic:nvPr/>
                            </pic:nvPicPr>
                            <pic:blipFill>
                              <a:blip r:embed="rId32"/>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63360;o:allowoverlap:true;o:allowincell:true;mso-position-horizontal-relative:text;margin-left:459.0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5829300</wp:posOffset>
                      </wp:positionH>
                      <wp:positionV relativeFrom="paragraph">
                        <wp:posOffset>0</wp:posOffset>
                      </wp:positionV>
                      <wp:extent cx="10160" cy="10160"/>
                      <wp:effectExtent l="0" t="0" r="8890" b="3810"/>
                      <wp:wrapNone/>
                      <wp:docPr id="145" name="图片_2"/>
                      <wp:cNvGraphicFramePr/>
                      <a:graphic xmlns:a="http://schemas.openxmlformats.org/drawingml/2006/main">
                        <a:graphicData uri="http://schemas.openxmlformats.org/drawingml/2006/picture">
                          <pic:pic xmlns:pic="http://schemas.openxmlformats.org/drawingml/2006/picture">
                            <pic:nvPicPr>
                              <pic:cNvPr id="5" name="图片_2"/>
                              <pic:cNvPicPr/>
                              <pic:nvPr/>
                            </pic:nvPicPr>
                            <pic:blipFill>
                              <a:blip r:embed="rId32"/>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63360;o:allowoverlap:true;o:allowincell:true;mso-position-horizontal-relative:text;margin-left:459.0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教室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总高：≥1040mm，背高：≥600mm，座高：≥460mm，座深：≥510mm， 内宽 ：≥ 500mm，外宽：≥ 620mm，PP玻纤黑色背扶手，透气3D透气耐磨座背网，高密度切割棉，2.0mm厚黑色喷漆圆管弓形架。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单人塑钢调节课桌凳</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jc w:val="left"/>
              <w:keepLines w:val="0"/>
              <w:keepNext w:val="0"/>
              <w:widowControl/>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课桌规格：长*宽：≥650mm*450mm（高度：按照低中高年级配置三种不同高度，700mm，730mm，760mm）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桌面尺寸及要求：≥650mm*450mm*20mm厚，面板重量≥2KG/张，桌面板前设有隐藏笔盒尺寸：≥240mm*80mm*20mm，翻起笔盒盖板可以支撑书本，桌面两侧有防止文具滑落的半圆不小于3mm的凸起圆角。笔盒右侧设有水杯槽设计尺寸直径≥80mm，整体采用 ABS 环保塑料粒子注塑成型，全部新料，无旧料、废料，面板下有日字型加强筋，前后钢管尺寸为≥15mm*30mm，无毒无味，渗入抗紫外线，光稳定剂及抗静电剂，高级颜料粉，防脱色元素，韧性好，高强度，表面光滑，防破裂，抗静电，防褪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提供有效期内国家认可的检测机构出具的ABS塑料检测报告，检测内容包含：自然日光气候老化、闪燃及自然和阻燃均符合国家标准要求，且N,N-二甲基甲酰胺DMFa)含量符合国家标准要求。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2.书斗：书洞规格：斗长≥500*300*145mm，采用≥0.6mm优质冷轧钢板板一次冲压成型；开口部位卷边。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3.桌子立柱：立柱主管采用≥30*60*1.2mm厚椭圆管, 立柱升降连接采用≥25*50*1.2mm厚椭圆管，脚踏横管连接采用≥25*50*1.2mm厚椭圆管，底部采用底部采用≥40*50mm*1.2mm D型管落地，金属部分均采用二氧化碳气体保护焊，平整光滑，并全部进行除油、除锈、磷化处理，静电喷涂塑粉，表面光滑平 整无气泡，脚套采用低密度聚氯乙稀，不易脱落。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▲提供有效期内国家认可的检测机构出具的塑粉检测报告，检测内容包含：</w:t>
            </w:r>
            <w:r/>
          </w:p>
          <w:p>
            <w:pPr>
              <w:jc w:val="left"/>
              <w:keepLines w:val="0"/>
              <w:keepNext w:val="0"/>
              <w:widowControl/>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①.I型I类热固性粉末涂料性能要求达到附着力（干附着力）≤1级、铅笔硬度（内聚破坏中擦伤）≥H、耐磨性（750g/500r）≤50mg。</w:t>
            </w:r>
            <w:r/>
          </w:p>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②.爆炸物检测为不属于爆炸性物质、自反应物质和混合物检测为不属于自反应物质且热稳定性测定为放热分解能低于300焦耳/克。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4.网兜采用直径≥16mm圆管及直径≥5mm圆钢弯曲工艺，采用二氧化碳气体保护焊，平整光滑，并全部进行除油、除锈、磷化处理，静电喷塑，表面光滑平 整无气泡。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5.书包挂钩：采用优质环保ABS塑料一次注塑成型。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学生凳规格：≥355*255*高440mm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方凳面板：长×宽×厚：≥255*355*32mm，整体造型根据人体工程学及力学原理设计，长久坐不感疲劳，采用优质环保PP塑料一次注塑成型，无毒无味，渗入抗紫外线，光稳定剂及抗静电剂，高级颜料粉，防脱色元素，韧性好，高强度，表面光滑，不会破裂，造型美观，抗静电，色彩鲜艳，不褪色，经久耐用，安全、环保、不易老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提供有效期内国家认可的检测机构出具的PP塑料检测报告，检测内容包含：抗菌率(大肠杆菌、金黄色葡萄球菌)≥99%，防霉达到级0级。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凳腿：采用双立柱款式，主管为≥25*50*1.2mm厚椭圆管,脚踏横管连接采用≥25*50*1.2mm厚椭圆管，底部采用≥40*50mm*1.2mm D型管落地，金属部分均采用二氧化碳气体保护焊，平整光滑，并全部进行除油、除锈、磷化处理，静电喷塑，表面光滑平 整无气泡，脚套采用低密度聚氯乙稀，不易脱落。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3.五金：采用优质环保五金螺丝连接。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提供有效期内国家认可的检测机构出具的单人塑钢调节课桌检测报告，检测内容包含：安全要求、金属件喷涂层表面理化性能（抗盐雾）、力学性能均为</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合格</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default" w:ascii="宋体" w:hAnsi="宋体" w:eastAsia="宋体" w:cs="宋体"/>
                <w:i w:val="0"/>
                <w:iCs w:val="0"/>
                <w:color w:val="000000" w:themeColor="text1"/>
                <w:sz w:val="18"/>
                <w:szCs w:val="18"/>
                <w:highlight w:val="none"/>
                <w:u w:val="none"/>
                <w:lang w:val="en-US"/>
                <w14:textFill>
                  <w14:solidFill>
                    <w14:schemeClr w14:val="tx1"/>
                  </w14:solidFill>
                </w14:textFill>
              </w:rPr>
              <w:suppressLineNumbers w:val="0"/>
            </w:pPr>
            <w:r>
              <w:rPr>
                <w:rFonts w:hint="default"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default" w:ascii="宋体" w:hAnsi="宋体" w:eastAsia="宋体" w:cs="宋体"/>
                <w:i w:val="0"/>
                <w:iCs w:val="0"/>
                <w:color w:val="000000"/>
                <w:sz w:val="18"/>
                <w:szCs w:val="18"/>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书包柜</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shd w:val="clear" w:color="auto" w:fill="ffffff"/>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0160" cy="10160"/>
                      <wp:effectExtent l="0" t="0" r="8890" b="3810"/>
                      <wp:wrapNone/>
                      <wp:docPr id="146" name="图片_143"/>
                      <wp:cNvGraphicFramePr/>
                      <a:graphic xmlns:a="http://schemas.openxmlformats.org/drawingml/2006/main">
                        <a:graphicData uri="http://schemas.openxmlformats.org/drawingml/2006/picture">
                          <pic:pic xmlns:pic="http://schemas.openxmlformats.org/drawingml/2006/picture">
                            <pic:nvPicPr>
                              <pic:cNvPr id="2" name="图片_143"/>
                              <pic:cNvPicPr/>
                              <pic:nvPr/>
                            </pic:nvPicPr>
                            <pic:blipFill>
                              <a:blip r:embed="rId33"/>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6438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单门规格：高≥305mm*宽≥385mm*深≥468mm （不含底座）。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2、板材框架厚度：侧板≥22mm 顶板≥30mm 底板≥30mm 门板≥27mm  底座 ≥80mm。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3、采用100%全新ABS塑料，五大合成树脂之一制成，柜体不使用任何五金件（锁具除外）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4、柜体顶部和外侧板采用凸起设计，凸起部分需大于8mm，以增强承重力。</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5、每门标配配件：无孔拉手*1个，眼镜盒*1个，门牌号*1张。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6、大型钢模注塑，无需另外加工。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7、使用榫卯链接结构，卡槽设计，并合理布局加强筋。柜体与柜门安装时使用全塑尼龙铰链连接，不使用螺丝和其他五金连接件，可反复拆装。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8、全塑尼龙铰链具有环保、防水防锈防腐蚀功能，使用寿命长等特点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9、门板与侧板连接处设计有防盗插销并采用高强度尼龙防水铰链和上下门轴双重加固，双重防盗保险更牢固耐用。门板与底板、顶板使用尼龙L轴连接。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10、背插板上下端各有两处凸起造型设计，可以更好的锁住板材，柜子更牢固。中间位置设计有小孔组成的大圆圈，让柜子内部空气得到流通。</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11、底座为正长方形四周无任何拱型凸位，放平后为全密闭底座，有利于阻挡污水赃物进入底座内侧，底座高度80mm。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提供</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有效期内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检验依据为：GB/T 10357.5-2023 《家具力学性能试验 第5部分：柜类强度和耐久性》检测报告、GB/T 10357.4-2023《家具力学性能试验 第4部分：柜类稳定性》检测报告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提供</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有效期内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检验依据为：GB/T 32487-2016《塑料家具通用技术条件》质量检测报告、GB/T 35607-2024《绿色产品评价 家具：甲醛释放量、总挥发性有机物、可迁移重金属》检测报告</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10160"/>
                      <wp:effectExtent l="0" t="0" r="0" b="0"/>
                      <wp:wrapNone/>
                      <wp:docPr id="147" name="图片_3"/>
                      <wp:cNvGraphicFramePr/>
                      <a:graphic xmlns:a="http://schemas.openxmlformats.org/drawingml/2006/main">
                        <a:graphicData uri="http://schemas.openxmlformats.org/drawingml/2006/picture">
                          <pic:pic xmlns:pic="http://schemas.openxmlformats.org/drawingml/2006/picture">
                            <pic:nvPicPr>
                              <pic:cNvPr id="3" name="图片_3"/>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63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10160"/>
                      <wp:effectExtent l="0" t="0" r="0" b="0"/>
                      <wp:wrapNone/>
                      <wp:docPr id="148" name="图片_10"/>
                      <wp:cNvGraphicFramePr/>
                      <a:graphic xmlns:a="http://schemas.openxmlformats.org/drawingml/2006/main">
                        <a:graphicData uri="http://schemas.openxmlformats.org/drawingml/2006/picture">
                          <pic:pic xmlns:pic="http://schemas.openxmlformats.org/drawingml/2006/picture">
                            <pic:nvPicPr>
                              <pic:cNvPr id="4" name="图片_10"/>
                              <pic:cNvPicPr/>
                              <pic:nvPr/>
                            </pic:nvPicPr>
                            <pic:blipFill>
                              <a:blip r:embed="rId23"/>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63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val="0"/>
                <w:bCs/>
                <w:sz w:val="21"/>
                <w:szCs w:val="21"/>
                <w:highlight w:val="none"/>
              </w:rPr>
              <mc:AlternateContent>
                <mc:Choice Requires="wpg">
                  <w:drawing>
                    <wp:inline xmlns:wp="http://schemas.openxmlformats.org/drawingml/2006/wordprocessingDrawing" distT="0" distB="0" distL="0" distR="0">
                      <wp:extent cx="1134110" cy="1134110"/>
                      <wp:effectExtent l="0" t="0" r="8890" b="8890"/>
                      <wp:docPr id="149" name="图片 4" descr="35028eaa9e9cb005b4593b7e891de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4" descr="35028eaa9e9cb005b4593b7e891ded6"/>
                              <pic:cNvPicPr>
                                <a:picLocks noChangeAspect="1"/>
                              </pic:cNvPicPr>
                              <pic:nvPr/>
                            </pic:nvPicPr>
                            <pic:blipFill>
                              <a:blip r:embed="rId39"/>
                              <a:stretch/>
                            </pic:blipFill>
                            <pic:spPr bwMode="auto">
                              <a:xfrm>
                                <a:off x="0" y="0"/>
                                <a:ext cx="1134110" cy="1134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89.3pt;height:89.3pt;mso-wrap-distance-left:0.0pt;mso-wrap-distance-top:0.0pt;mso-wrap-distance-right:0.0pt;mso-wrap-distance-bottom:0.0pt;" stroked="f">
                      <v:path textboxrect="0,0,0,0"/>
                      <v:imagedata r:id="rId39" o:title=""/>
                    </v:shape>
                  </w:pict>
                </mc:Fallback>
              </mc:AlternateConten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后墙黑板</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规格：≥1200*4000（mm）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1、面板：厚度≥0.23mm，表面有保护膜，漆膜厚度≥5μm。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内芯：选用高强度消音七层瓦楞纸板（面纸300g，底纸120g）、消音蜂窝纸板或高密度泡沫板（厚度≥20mm），采用先进工艺，改善书写手感，书写无吱吱声，蜂窝纸板每平方可承受800kg压力（防盗门亦采用此工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3、背板：优质镀锌板，厚度0.2mm,每隔8cm设置2cm的加强槽。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4、胶合剂：采用优质环保胶合剂。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5、边框：规格：20*30（mm），高强度工业用铝合金，表面经过电泳氧化处理，立体加强双梯形设计，壁厚0.7mm，硬度值HRC12度。</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6、包角：防老化ABS工程塑料。</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教室清洁工具</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包括扫把、簸箕、垃圾桶、拖把、水桶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组合桌</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10160"/>
                      <wp:effectExtent l="0" t="0" r="0" b="0"/>
                      <wp:wrapNone/>
                      <wp:docPr id="150" name="图片_31"/>
                      <wp:cNvGraphicFramePr/>
                      <a:graphic xmlns:a="http://schemas.openxmlformats.org/drawingml/2006/main">
                        <a:graphicData uri="http://schemas.openxmlformats.org/drawingml/2006/picture">
                          <pic:pic xmlns:pic="http://schemas.openxmlformats.org/drawingml/2006/picture">
                            <pic:nvPicPr>
                              <pic:cNvPr id="6" name="图片_3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63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10160"/>
                      <wp:effectExtent l="0" t="0" r="0" b="0"/>
                      <wp:wrapNone/>
                      <wp:docPr id="151" name="图片_32"/>
                      <wp:cNvGraphicFramePr/>
                      <a:graphic xmlns:a="http://schemas.openxmlformats.org/drawingml/2006/main">
                        <a:graphicData uri="http://schemas.openxmlformats.org/drawingml/2006/picture">
                          <pic:pic xmlns:pic="http://schemas.openxmlformats.org/drawingml/2006/picture">
                            <pic:nvPicPr>
                              <pic:cNvPr id="19" name="图片_3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63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长≥75cm，三角形桌面，可自由组合拼接1、面板为≥25厘米厚麻面实木颗粒三聚氰胺板，接近色≥1.7厘厚PVC封边条，板材等级E1级；封边采用全自动封边机热熔胶封边。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2、架子底架钢架选用优质钢材下架，经打磨抛光、酸洗、磷化、防腐等工艺处理。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3、脚轮：尼龙轮。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4、组合拼接件为ABS工程塑料子母扣，手动旋转式活动，使用方便。</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10160"/>
                      <wp:effectExtent l="0" t="0" r="0" b="0"/>
                      <wp:wrapNone/>
                      <wp:docPr id="152" name="图片_7"/>
                      <wp:cNvGraphicFramePr/>
                      <a:graphic xmlns:a="http://schemas.openxmlformats.org/drawingml/2006/main">
                        <a:graphicData uri="http://schemas.openxmlformats.org/drawingml/2006/picture">
                          <pic:pic xmlns:pic="http://schemas.openxmlformats.org/drawingml/2006/picture">
                            <pic:nvPicPr>
                              <pic:cNvPr id="38" name="图片_7"/>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63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10160"/>
                      <wp:effectExtent l="0" t="0" r="0" b="0"/>
                      <wp:wrapNone/>
                      <wp:docPr id="153" name="图片_12"/>
                      <wp:cNvGraphicFramePr/>
                      <a:graphic xmlns:a="http://schemas.openxmlformats.org/drawingml/2006/main">
                        <a:graphicData uri="http://schemas.openxmlformats.org/drawingml/2006/picture">
                          <pic:pic xmlns:pic="http://schemas.openxmlformats.org/drawingml/2006/picture">
                            <pic:nvPicPr>
                              <pic:cNvPr id="40" name="图片_1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63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10160"/>
                      <wp:effectExtent l="0" t="0" r="0" b="0"/>
                      <wp:wrapNone/>
                      <wp:docPr id="154" name="图片_6"/>
                      <wp:cNvGraphicFramePr/>
                      <a:graphic xmlns:a="http://schemas.openxmlformats.org/drawingml/2006/main">
                        <a:graphicData uri="http://schemas.openxmlformats.org/drawingml/2006/picture">
                          <pic:pic xmlns:pic="http://schemas.openxmlformats.org/drawingml/2006/picture">
                            <pic:nvPicPr>
                              <pic:cNvPr id="42" name="图片_6"/>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63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10160"/>
                      <wp:effectExtent l="0" t="0" r="0" b="0"/>
                      <wp:wrapNone/>
                      <wp:docPr id="155" name="图片_8"/>
                      <wp:cNvGraphicFramePr/>
                      <a:graphic xmlns:a="http://schemas.openxmlformats.org/drawingml/2006/main">
                        <a:graphicData uri="http://schemas.openxmlformats.org/drawingml/2006/picture">
                          <pic:pic xmlns:pic="http://schemas.openxmlformats.org/drawingml/2006/picture">
                            <pic:nvPicPr>
                              <pic:cNvPr id="43" name="图片_8"/>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63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10160"/>
                      <wp:effectExtent l="0" t="0" r="0" b="0"/>
                      <wp:wrapNone/>
                      <wp:docPr id="156" name="图片_11"/>
                      <wp:cNvGraphicFramePr/>
                      <a:graphic xmlns:a="http://schemas.openxmlformats.org/drawingml/2006/main">
                        <a:graphicData uri="http://schemas.openxmlformats.org/drawingml/2006/picture">
                          <pic:pic xmlns:pic="http://schemas.openxmlformats.org/drawingml/2006/picture">
                            <pic:nvPicPr>
                              <pic:cNvPr id="44" name="图片_11"/>
                              <pic:cNvPicPr/>
                              <pic:nvPr/>
                            </pic:nvPicPr>
                            <pic:blipFill>
                              <a:blip r:embed="rId24"/>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63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10160"/>
                      <wp:effectExtent l="0" t="0" r="0" b="0"/>
                      <wp:wrapNone/>
                      <wp:docPr id="157" name="图片_5"/>
                      <wp:cNvGraphicFramePr/>
                      <a:graphic xmlns:a="http://schemas.openxmlformats.org/drawingml/2006/main">
                        <a:graphicData uri="http://schemas.openxmlformats.org/drawingml/2006/picture">
                          <pic:pic xmlns:pic="http://schemas.openxmlformats.org/drawingml/2006/picture">
                            <pic:nvPicPr>
                              <pic:cNvPr id="48" name="图片_5"/>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63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10160"/>
                      <wp:effectExtent l="0" t="0" r="0" b="0"/>
                      <wp:wrapNone/>
                      <wp:docPr id="158" name="图片_4"/>
                      <wp:cNvGraphicFramePr/>
                      <a:graphic xmlns:a="http://schemas.openxmlformats.org/drawingml/2006/main">
                        <a:graphicData uri="http://schemas.openxmlformats.org/drawingml/2006/picture">
                          <pic:pic xmlns:pic="http://schemas.openxmlformats.org/drawingml/2006/picture">
                            <pic:nvPicPr>
                              <pic:cNvPr id="80" name="图片_4"/>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63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71600" cy="1291590"/>
                      <wp:effectExtent l="0" t="0" r="0" b="3810"/>
                      <wp:docPr id="159" name="图片 181" descr="c518619c56cf46ebc12bfe7affd88d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81" descr="c518619c56cf46ebc12bfe7affd88dba"/>
                              <pic:cNvPicPr>
                                <a:picLocks noChangeAspect="1"/>
                              </pic:cNvPicPr>
                              <pic:nvPr/>
                            </pic:nvPicPr>
                            <pic:blipFill>
                              <a:blip r:embed="rId30"/>
                              <a:stretch/>
                            </pic:blipFill>
                            <pic:spPr bwMode="auto">
                              <a:xfrm>
                                <a:off x="0" y="0"/>
                                <a:ext cx="1371600" cy="12915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108.0pt;height:101.7pt;mso-wrap-distance-left:0.0pt;mso-wrap-distance-top:0.0pt;mso-wrap-distance-right:0.0pt;mso-wrap-distance-bottom:0.0pt;" stroked="false">
                      <v:path textboxrect="0,0,0,0"/>
                      <v:imagedata r:id="rId30" o:title=""/>
                    </v:shape>
                  </w:pict>
                </mc:Fallback>
              </mc:AlternateConten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多功能椅</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10160"/>
                      <wp:effectExtent l="0" t="0" r="0" b="0"/>
                      <wp:wrapNone/>
                      <wp:docPr id="160" name="图片_33"/>
                      <wp:cNvGraphicFramePr/>
                      <a:graphic xmlns:a="http://schemas.openxmlformats.org/drawingml/2006/main">
                        <a:graphicData uri="http://schemas.openxmlformats.org/drawingml/2006/picture">
                          <pic:pic xmlns:pic="http://schemas.openxmlformats.org/drawingml/2006/picture">
                            <pic:nvPicPr>
                              <pic:cNvPr id="128" name="图片_3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63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坐深≥46cm，专业办公网布饰面，1、PP一体注塑成型椅背</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2、人体工学设计弹力椅背贴合人体曲线，在疲备的时候能够适当的伸展释放腰部的压力。弧型镂空后背，透气又护腰。坐板有底壳。</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3、座椅下带万向轮</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10160"/>
                      <wp:effectExtent l="0" t="0" r="0" b="0"/>
                      <wp:wrapNone/>
                      <wp:docPr id="161" name="图片_9"/>
                      <wp:cNvGraphicFramePr/>
                      <a:graphic xmlns:a="http://schemas.openxmlformats.org/drawingml/2006/main">
                        <a:graphicData uri="http://schemas.openxmlformats.org/drawingml/2006/picture">
                          <pic:pic xmlns:pic="http://schemas.openxmlformats.org/drawingml/2006/picture">
                            <pic:nvPicPr>
                              <pic:cNvPr id="130" name="图片_9"/>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63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68425" cy="1368425"/>
                      <wp:effectExtent l="0" t="0" r="3175" b="3175"/>
                      <wp:docPr id="162" name="图片 178" descr="b9646d29a6edf40c68867cb0d6f0fa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78" descr="b9646d29a6edf40c68867cb0d6f0fa4e"/>
                              <pic:cNvPicPr>
                                <a:picLocks noChangeAspect="1"/>
                              </pic:cNvPicPr>
                              <pic:nvPr/>
                            </pic:nvPicPr>
                            <pic:blipFill>
                              <a:blip r:embed="rId31"/>
                              <a:stretch/>
                            </pic:blipFill>
                            <pic:spPr bwMode="auto">
                              <a:xfrm>
                                <a:off x="0" y="0"/>
                                <a:ext cx="1368425" cy="1368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107.8pt;height:107.8pt;mso-wrap-distance-left:0.0pt;mso-wrap-distance-top:0.0pt;mso-wrap-distance-right:0.0pt;mso-wrap-distance-bottom:0.0pt;" stroked="false">
                      <v:path textboxrect="0,0,0,0"/>
                      <v:imagedata r:id="rId31" o:title=""/>
                    </v:shape>
                  </w:pict>
                </mc:Fallback>
              </mc:AlternateConten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报告厅礼堂椅</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座椅宽扶手中至中≥ 580mm，座高 ≥430mm，扶手高 ≥630mm，后背离地总高度≥ 1030mm，底座棉垫长 ≥450mm。 </w:t>
            </w:r>
            <w:r/>
          </w:p>
          <w:p>
            <w:pPr>
              <w:numPr>
                <w:ilvl w:val="0"/>
                <w:numId w:val="7"/>
              </w:numPr>
              <w:ind w:left="0" w:firstLine="0"/>
              <w:jc w:val="both"/>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支撑腿采用≥2.5mm 冷轧钢板，经冲压焊接而成，地脚采用≥3mm 冷轧钢板冲压拉伸成型，支撑腿与地脚用冷拔钢管，40×80mm，壁厚≥2mm 相连接。所有钢件均通过除油、除锈、酸洗、磷化、静电喷涂。</w:t>
            </w:r>
            <w:r/>
          </w:p>
          <w:p>
            <w:pPr>
              <w:numPr>
                <w:ilvl w:val="0"/>
                <w:numId w:val="7"/>
              </w:numPr>
              <w:ind w:left="0" w:firstLine="0"/>
              <w:jc w:val="both"/>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背封板厚度≥18mm，涂环保胶，利用高频压机一次模压成型，外部用高级实木做装饰。</w:t>
            </w:r>
            <w:r/>
          </w:p>
          <w:p>
            <w:pPr>
              <w:numPr>
                <w:ilvl w:val="0"/>
                <w:numId w:val="0"/>
              </w:numPr>
              <w:jc w:val="both"/>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 4 .座封板厚度≥15mm，采用优质桦木多层板，外表面贴天然榉木皮厚度≥0.6mm，钻 64 - 81 和圆孔，具有吸音降噪功能，透气性好。</w:t>
            </w:r>
            <w:r/>
          </w:p>
          <w:p>
            <w:pPr>
              <w:numPr>
                <w:ilvl w:val="0"/>
                <w:numId w:val="0"/>
              </w:numPr>
              <w:jc w:val="both"/>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5.扶手板采用优质榉木加工成型，座椅右侧配活动写字板，板厚 16mm。椅背、椅座泡沫采用聚氨酯冷发工艺、一次发泡成型，背厚 120mm，密度 55KG/M3，座厚 150mm，密度 60KG/M3，外覆优质阻燃亚麻高级面料，椅座、椅背拉线定位并加垫丝光棉，面料颜色为中性色调。</w:t>
            </w:r>
            <w:r/>
          </w:p>
          <w:p>
            <w:pPr>
              <w:numPr>
                <w:ilvl w:val="0"/>
                <w:numId w:val="0"/>
              </w:numPr>
              <w:jc w:val="both"/>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 6. 回弹部件采用弹簧扭转式，坐板和回弹件用防遇丝固定。配有阻尼器，使坐垫缓慢回位，无噪音，回位准确。座椅采用相应不锈钢内角圆柱膨胀螺丝固定于地板。 </w:t>
            </w:r>
            <w:r/>
          </w:p>
          <w:p>
            <w:pPr>
              <w:numPr>
                <w:ilvl w:val="0"/>
                <w:numId w:val="0"/>
              </w:numPr>
              <w:jc w:val="both"/>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.所有木质均喷优质环保亚光聚酯油漆。背板、写字板、扶手为枣红色。座椅甲醛释放量满足 GB18580 - 2001 中 E1 级标准要求。</w:t>
            </w:r>
            <w:r/>
          </w:p>
          <w:p>
            <w:pPr>
              <w:numPr>
                <w:ilvl w:val="0"/>
                <w:numId w:val="0"/>
              </w:numPr>
              <w:jc w:val="both"/>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 .背面靠板底面座板，外观要求木质面皮，皮质均匀无开裂。</w:t>
            </w:r>
            <w:r/>
          </w:p>
          <w:p>
            <w:pPr>
              <w:numPr>
                <w:ilvl w:val="0"/>
                <w:numId w:val="0"/>
              </w:numPr>
              <w:jc w:val="both"/>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▲提供有效期内国家认可的检测机构出具的</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报告厅礼堂椅</w:t>
            </w:r>
            <w:r>
              <w:rPr>
                <w:rFonts w:hint="eastAsia" w:ascii="宋体" w:hAnsi="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质量检测</w:t>
            </w:r>
            <w:r>
              <w:rPr>
                <w:rFonts w:hint="eastAsia" w:ascii="宋体" w:hAnsi="宋体" w:eastAsia="宋体" w:cs="宋体"/>
                <w:b w:val="0"/>
                <w:bCs w:val="0"/>
                <w:i w:val="0"/>
                <w:iCs w:val="0"/>
                <w:color w:val="000000" w:themeColor="text1"/>
                <w:sz w:val="20"/>
                <w:szCs w:val="20"/>
                <w:highlight w:val="none"/>
                <w:u w:val="none"/>
                <w:lang w:val="en-US" w:eastAsia="zh-CN" w:bidi="ar"/>
                <w14:textFill>
                  <w14:solidFill>
                    <w14:schemeClr w14:val="tx1"/>
                  </w14:solidFill>
                </w14:textFill>
              </w:rPr>
              <w:t xml:space="preserve">报告。</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1367790" cy="1720215"/>
                      <wp:effectExtent l="0" t="0" r="3810" b="3810"/>
                      <wp:docPr id="16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5"/>
                              <pic:cNvPicPr>
                                <a:picLocks noChangeAspect="1"/>
                              </pic:cNvPicPr>
                              <pic:nvPr/>
                            </pic:nvPicPr>
                            <pic:blipFill>
                              <a:blip r:embed="rId40"/>
                              <a:stretch/>
                            </pic:blipFill>
                            <pic:spPr bwMode="auto">
                              <a:xfrm>
                                <a:off x="0" y="0"/>
                                <a:ext cx="1367790" cy="172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107.7pt;height:135.4pt;mso-wrap-distance-left:0.0pt;mso-wrap-distance-top:0.0pt;mso-wrap-distance-right:0.0pt;mso-wrap-distance-bottom:0.0pt;" stroked="f">
                      <v:path textboxrect="0,0,0,0"/>
                      <v:imagedata r:id="rId40" o:title=""/>
                    </v:shape>
                  </w:pict>
                </mc:Fallback>
              </mc:AlternateContent>
            </w:r>
            <w:r/>
          </w:p>
        </w:tc>
      </w:tr>
      <w:tr>
        <w:trPr>
          <w:jc w:val="center"/>
          <w:trHeight w:val="90"/>
        </w:trPr>
        <w:tc>
          <w:tcPr>
            <w:shd w:val="clear" w:color="auto" w:fill="ffffff"/>
            <w:tcBorders>
              <w:top w:val="single" w:color="000000" w:sz="4" w:space="0"/>
              <w:left w:val="single" w:color="000000" w:sz="4" w:space="0"/>
              <w:bottom w:val="single" w:color="auto"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51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看台座椅</w:t>
            </w:r>
            <w:r/>
          </w:p>
        </w:tc>
        <w:tc>
          <w:tcPr>
            <w:shd w:val="clear" w:color="auto" w:fill="auto"/>
            <w:tcBorders>
              <w:top w:val="single" w:color="000000" w:sz="4" w:space="0"/>
              <w:left w:val="single" w:color="000000" w:sz="4" w:space="0"/>
              <w:bottom w:val="single" w:color="auto" w:sz="4" w:space="0"/>
              <w:right w:val="single" w:color="000000" w:sz="4" w:space="0"/>
            </w:tcBorders>
            <w:tcW w:w="2132" w:type="pct"/>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椅面采用中空吹塑制造工艺，选用高密度聚乙烯材料一次加工成型。</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2、椅面外形尺寸：座椅宽度×座椅深度×座椅背高≥420×450×310（㎜），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3、支架：采用精密铝压铸斜挂式支架。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4、连接圆管：采用外径为≥Φ32镀锌管，圆管端头采用橡胶塞头封口。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5、所有钢构件均经除锈后在自动喷涂线上完成静电喷塑。</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6、紧固件：座椅、连接板与支架采用螺丝加缓冲软垫连接。支架用膨胀螺栓与看台地面混凝土连接，连接牢固无松动。</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7、斜挂式安装，通过膨胀螺栓连接，可根据客户要求排列组合。安装间距为480～500mm，椅面距地面高度为425mm。  </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提供有效期内国家认可的检测机构出具的看台座椅的检测合格报告，检测内容包含高温性能、低温性能、脱色性能、防火等级、大肠杆菌抗菌性能、金黄色葡萄球菌抗菌性能、可溶性重金属含量、极限荷载性能、横梁扣件老化性能、横梁扣件光泽曝光率等。</w:t>
            </w:r>
            <w:r/>
          </w:p>
        </w:tc>
        <w:tc>
          <w:tcPr>
            <w:shd w:val="clear" w:color="auto" w:fill="auto"/>
            <w:tcBorders>
              <w:top w:val="single" w:color="000000" w:sz="4" w:space="0"/>
              <w:left w:val="single" w:color="000000" w:sz="4" w:space="0"/>
              <w:bottom w:val="single" w:color="auto"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座</w:t>
            </w:r>
            <w:r/>
          </w:p>
        </w:tc>
        <w:tc>
          <w:tcPr>
            <w:shd w:val="clear" w:color="auto" w:fill="auto"/>
            <w:tcBorders>
              <w:top w:val="single" w:color="000000" w:sz="4" w:space="0"/>
              <w:left w:val="single" w:color="000000" w:sz="4" w:space="0"/>
              <w:bottom w:val="single" w:color="auto"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3320</w:t>
            </w:r>
            <w:r/>
          </w:p>
        </w:tc>
        <w:tc>
          <w:tcPr>
            <w:shd w:val="clear" w:color="auto" w:fill="auto"/>
            <w:tcBorders>
              <w:top w:val="single" w:color="000000" w:sz="4" w:space="0"/>
              <w:left w:val="single" w:color="000000" w:sz="4" w:space="0"/>
              <w:bottom w:val="single" w:color="auto" w:sz="4" w:space="0"/>
              <w:right w:val="single" w:color="000000" w:sz="4" w:space="0"/>
            </w:tcBorders>
            <w:tcW w:w="112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71600" cy="1149985"/>
                      <wp:effectExtent l="0" t="0" r="0" b="2540"/>
                      <wp:docPr id="164" name="图片 182" descr="afc045e608765d617eb0a4ca10a458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82" descr="afc045e608765d617eb0a4ca10a4580a"/>
                              <pic:cNvPicPr>
                                <a:picLocks noChangeAspect="1"/>
                              </pic:cNvPicPr>
                              <pic:nvPr/>
                            </pic:nvPicPr>
                            <pic:blipFill>
                              <a:blip r:embed="rId41"/>
                              <a:stretch/>
                            </pic:blipFill>
                            <pic:spPr bwMode="auto">
                              <a:xfrm>
                                <a:off x="0" y="0"/>
                                <a:ext cx="1371600" cy="11499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108.0pt;height:90.5pt;mso-wrap-distance-left:0.0pt;mso-wrap-distance-top:0.0pt;mso-wrap-distance-right:0.0pt;mso-wrap-distance-bottom:0.0pt;" stroked="false">
                      <v:path textboxrect="0,0,0,0"/>
                      <v:imagedata r:id="rId41" o:title=""/>
                    </v:shape>
                  </w:pict>
                </mc:Fallback>
              </mc:AlternateContent>
            </w:r>
            <w:r/>
          </w:p>
        </w:tc>
      </w:tr>
    </w:tbl>
    <w:p>
      <w:pPr>
        <w:keepLines w:val="0"/>
        <w:keepNext w:val="0"/>
        <w:pageBreakBefore w:val="0"/>
        <w:spacing w:line="360" w:lineRule="exact"/>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lang w:val="en-US" w:eastAsia="zh-CN"/>
        </w:rPr>
        <w:t xml:space="preserve">、其他要求：</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1、质保期：</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年 。</w:t>
      </w:r>
      <w:r/>
    </w:p>
    <w:p>
      <w:pPr>
        <w:ind w:firstLine="480"/>
        <w:keepLines w:val="0"/>
        <w:keepNext w:val="0"/>
        <w:pageBreakBefore w:val="0"/>
        <w:spacing w:line="360" w:lineRule="exact"/>
        <w:widowControl w:val="off"/>
        <w:rPr>
          <w:rFonts w:hint="eastAsia" w:ascii="宋体" w:hAnsi="宋体" w:eastAsia="宋体" w:cs="宋体"/>
          <w:sz w:val="24"/>
          <w:highlight w:val="none"/>
          <w:lang w:eastAsia="zh-CN"/>
        </w:rPr>
      </w:pPr>
      <w:r>
        <w:rPr>
          <w:rFonts w:hint="eastAsia" w:ascii="宋体" w:hAnsi="宋体" w:eastAsia="宋体" w:cs="宋体"/>
          <w:sz w:val="24"/>
          <w:szCs w:val="24"/>
          <w:highlight w:val="none"/>
          <w:lang w:val="en-US" w:eastAsia="zh-CN"/>
        </w:rPr>
        <w:t xml:space="preserve">2、供货期限</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合同签订后30天内供货完毕并验收合格</w:t>
      </w:r>
      <w:r>
        <w:rPr>
          <w:rFonts w:hint="eastAsia" w:ascii="宋体" w:hAnsi="宋体" w:cs="宋体"/>
          <w:sz w:val="24"/>
          <w:highlight w:val="none"/>
          <w:lang w:eastAsia="zh-CN"/>
        </w:rPr>
        <w:t xml:space="preserve">。</w:t>
      </w:r>
      <w:r/>
    </w:p>
    <w:p>
      <w:pPr>
        <w:ind w:firstLine="480"/>
        <w:keepLines w:val="0"/>
        <w:keepNext w:val="0"/>
        <w:pageBreakBefore w:val="0"/>
        <w:spacing w:line="36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付款方式：合同签订后预付合同价款的40%，项目全部供货、安装、调试、验收合格并正式交付使用后，采购人支付合同价款的60%尾款。如因财政审批导致的迟延支付，采购人不承担迟延支付的违约责任，付款进度以财政资金下款时间为准。</w:t>
      </w:r>
      <w:r/>
    </w:p>
    <w:p>
      <w:pPr>
        <w:ind w:firstLine="480"/>
        <w:keepLines w:val="0"/>
        <w:keepNext w:val="0"/>
        <w:pageBreakBefore w:val="0"/>
        <w:spacing w:line="360" w:lineRule="exact"/>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★4、以上所有规格、尺寸的参数有一项负偏离的作无效标处理。</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注：本项目报价包含完成该项目所发生的所有费用。</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在投标报价时应根据</w:t>
      </w:r>
      <w:r>
        <w:rPr>
          <w:rFonts w:hint="eastAsia" w:ascii="宋体" w:hAnsi="宋体" w:cs="宋体"/>
          <w:sz w:val="24"/>
          <w:szCs w:val="24"/>
          <w:highlight w:val="none"/>
          <w:lang w:val="en-US" w:eastAsia="zh-CN"/>
        </w:rPr>
        <w:t xml:space="preserve">招标文件</w:t>
      </w:r>
      <w:r>
        <w:rPr>
          <w:rFonts w:hint="eastAsia" w:ascii="宋体" w:hAnsi="宋体" w:eastAsia="宋体" w:cs="宋体"/>
          <w:sz w:val="24"/>
          <w:szCs w:val="24"/>
          <w:highlight w:val="none"/>
          <w:lang w:val="en-US" w:eastAsia="zh-CN"/>
        </w:rPr>
        <w:t xml:space="preserve">要求并自行踏勘现场，在投标报价时应充分考虑项目实施期间的各类风险并计入报价中，结算时单价不再调整。采购人不组织</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踏勘现场，由</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自行对现场和周围环境进行勘察。</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踏勘现场发生的费用自理并自行负责在踏勘现场中所发生的人员伤亡和财产损失。</w:t>
      </w:r>
      <w:r/>
    </w:p>
    <w:p>
      <w:pPr>
        <w:ind w:right="0"/>
        <w:jc w:val="center"/>
        <w:keepLines w:val="0"/>
        <w:keepNext w:val="0"/>
        <w:pageBreakBefore/>
        <w:widowControl w:val="off"/>
        <w:rPr>
          <w:rFonts w:hint="eastAsia" w:ascii="宋体" w:hAnsi="宋体" w:eastAsia="宋体" w:cs="宋体"/>
          <w:b/>
          <w:bCs/>
          <w:sz w:val="32"/>
          <w:szCs w:val="32"/>
          <w:highlight w:val="none"/>
          <w:lang w:val="en-US" w:eastAsia="zh-CN"/>
        </w:rPr>
        <w:outlineLvl w:val="0"/>
      </w:pPr>
      <w:r/>
      <w:bookmarkStart w:id="37" w:name="_Toc114"/>
      <w:r>
        <w:rPr>
          <w:rFonts w:hint="eastAsia" w:ascii="宋体" w:hAnsi="宋体" w:eastAsia="宋体" w:cs="宋体"/>
          <w:b/>
          <w:bCs/>
          <w:sz w:val="36"/>
          <w:szCs w:val="36"/>
          <w:highlight w:val="none"/>
        </w:rPr>
        <w:t xml:space="preserve">第六章  </w:t>
      </w:r>
      <w:r>
        <w:rPr>
          <w:rFonts w:hint="eastAsia" w:ascii="宋体" w:hAnsi="宋体" w:eastAsia="宋体" w:cs="宋体"/>
          <w:b/>
          <w:bCs/>
          <w:sz w:val="36"/>
          <w:szCs w:val="36"/>
          <w:highlight w:val="none"/>
          <w:lang w:val="en-US" w:eastAsia="zh-CN"/>
        </w:rPr>
        <w:t xml:space="preserve">投标</w:t>
      </w:r>
      <w:r>
        <w:rPr>
          <w:rFonts w:hint="eastAsia" w:ascii="宋体" w:hAnsi="宋体" w:eastAsia="宋体" w:cs="宋体"/>
          <w:b/>
          <w:bCs/>
          <w:sz w:val="36"/>
          <w:szCs w:val="36"/>
          <w:highlight w:val="none"/>
        </w:rPr>
        <w:t xml:space="preserve">文件</w:t>
      </w:r>
      <w:r>
        <w:rPr>
          <w:rFonts w:hint="eastAsia" w:ascii="宋体" w:hAnsi="宋体" w:eastAsia="宋体" w:cs="宋体"/>
          <w:b/>
          <w:bCs/>
          <w:sz w:val="36"/>
          <w:szCs w:val="36"/>
          <w:highlight w:val="none"/>
          <w:lang w:val="en-US" w:eastAsia="zh-CN"/>
        </w:rPr>
        <w:t xml:space="preserve">格式</w:t>
      </w:r>
      <w:bookmarkEnd w:id="37"/>
      <w:r/>
      <w:r/>
    </w:p>
    <w:p>
      <w:pPr>
        <w:pStyle w:val="966"/>
        <w:ind w:right="0" w:firstLine="2640"/>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966"/>
        <w:ind w:right="0"/>
        <w:jc w:val="center"/>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lang w:val="en-US" w:eastAsia="zh-CN"/>
        </w:rPr>
        <w:t xml:space="preserve">投 </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标</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文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件 </w:t>
      </w:r>
      <w:r/>
    </w:p>
    <w:p>
      <w:pPr>
        <w:pStyle w:val="966"/>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966"/>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ind w:right="0" w:firstLine="1446"/>
        <w:keepLines w:val="0"/>
        <w:keepNext w:val="0"/>
        <w:spacing w:line="400" w:lineRule="exact"/>
        <w:rPr>
          <w:rFonts w:hint="eastAsia" w:ascii="宋体" w:hAnsi="宋体" w:eastAsia="宋体" w:cs="宋体"/>
          <w:b/>
          <w:bCs/>
          <w:sz w:val="36"/>
          <w:highlight w:val="none"/>
        </w:rPr>
      </w:pPr>
      <w:r>
        <w:rPr>
          <w:rFonts w:hint="eastAsia" w:ascii="宋体" w:hAnsi="宋体" w:eastAsia="宋体" w:cs="宋体"/>
          <w:b/>
          <w:bCs/>
          <w:sz w:val="36"/>
          <w:highlight w:val="none"/>
        </w:rPr>
        <w:t xml:space="preserve">项目名称</w:t>
      </w:r>
      <w:r>
        <w:rPr>
          <w:rFonts w:hint="eastAsia" w:ascii="宋体" w:hAnsi="宋体" w:eastAsia="宋体" w:cs="宋体"/>
          <w:b/>
          <w:bCs/>
          <w:sz w:val="36"/>
          <w:highlight w:val="none"/>
          <w:lang w:eastAsia="zh-CN"/>
        </w:rPr>
        <w:t xml:space="preserve">：</w:t>
      </w:r>
      <w:r/>
    </w:p>
    <w:p>
      <w:pPr>
        <w:pStyle w:val="966"/>
        <w:ind w:right="0"/>
        <w:keepLines w:val="0"/>
        <w:keepNext w:val="0"/>
        <w:rPr>
          <w:rFonts w:ascii="宋体" w:hAnsi="宋体" w:eastAsia="宋体" w:cs="宋体"/>
          <w:b/>
          <w:sz w:val="36"/>
          <w:szCs w:val="24"/>
          <w:highlight w:val="none"/>
          <w:lang w:val="en-US" w:eastAsia="zh-CN"/>
        </w:rPr>
      </w:pPr>
      <w:r>
        <w:rPr>
          <w:rFonts w:ascii="宋体" w:hAnsi="宋体" w:eastAsia="宋体" w:cs="宋体"/>
          <w:b/>
          <w:sz w:val="36"/>
          <w:szCs w:val="24"/>
          <w:highlight w:val="none"/>
          <w:lang w:val="en-US" w:eastAsia="zh-CN"/>
        </w:rPr>
      </w:r>
      <w:r/>
    </w:p>
    <w:p>
      <w:pPr>
        <w:pStyle w:val="966"/>
        <w:ind w:right="0" w:firstLine="1066"/>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r>
      <w:r/>
    </w:p>
    <w:p>
      <w:pPr>
        <w:pStyle w:val="966"/>
        <w:ind w:right="0" w:firstLine="1428"/>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t xml:space="preserve">项目编号</w:t>
      </w:r>
      <w:r>
        <w:rPr>
          <w:rFonts w:hint="eastAsia" w:ascii="宋体" w:hAnsi="宋体" w:eastAsia="宋体" w:cs="宋体"/>
          <w:b/>
          <w:sz w:val="36"/>
          <w:szCs w:val="24"/>
          <w:highlight w:val="none"/>
          <w:lang w:eastAsia="zh-CN"/>
        </w:rPr>
        <w:t xml:space="preserve">：</w:t>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firstLine="1428"/>
        <w:keepLines w:val="0"/>
        <w:keepNext w:val="0"/>
        <w:spacing w:line="400" w:lineRule="exact"/>
        <w:rPr>
          <w:rFonts w:hint="eastAsia" w:ascii="宋体" w:hAnsi="宋体" w:eastAsia="宋体" w:cs="宋体"/>
          <w:b/>
          <w:bCs/>
          <w:sz w:val="32"/>
          <w:highlight w:val="none"/>
        </w:rPr>
      </w:pPr>
      <w:r>
        <w:rPr>
          <w:rFonts w:hint="eastAsia" w:ascii="宋体" w:hAnsi="宋体" w:eastAsia="宋体" w:cs="宋体"/>
          <w:b/>
          <w:bCs/>
          <w:sz w:val="36"/>
          <w:highlight w:val="none"/>
          <w:lang w:eastAsia="zh-CN"/>
        </w:rPr>
        <w:t xml:space="preserve">投</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标</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人：</w:t>
      </w:r>
      <w:r/>
    </w:p>
    <w:p>
      <w:pPr>
        <w:pStyle w:val="966"/>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966"/>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966"/>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966"/>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966"/>
        <w:ind w:right="0" w:firstLine="2645"/>
        <w:keepLines w:val="0"/>
        <w:keepNext w:val="0"/>
        <w:rPr>
          <w:rFonts w:hint="eastAsia" w:ascii="宋体" w:hAnsi="宋体" w:eastAsia="宋体" w:cs="宋体"/>
          <w:b/>
          <w:sz w:val="32"/>
          <w:highlight w:val="none"/>
        </w:rPr>
      </w:pPr>
      <w:r>
        <w:rPr>
          <w:rFonts w:hint="eastAsia" w:ascii="宋体" w:hAnsi="宋体" w:eastAsia="宋体" w:cs="宋体"/>
          <w:b/>
          <w:sz w:val="36"/>
          <w:szCs w:val="24"/>
          <w:highlight w:val="none"/>
        </w:rPr>
        <w:t xml:space="preserve">二</w:t>
      </w:r>
      <w:r>
        <w:rPr>
          <w:rFonts w:hint="eastAsia" w:ascii="宋体" w:hAnsi="宋体" w:eastAsia="宋体" w:cs="宋体"/>
          <w:b/>
          <w:sz w:val="36"/>
          <w:szCs w:val="24"/>
          <w:highlight w:val="none"/>
          <w:lang w:val="en-US" w:eastAsia="zh-CN"/>
        </w:rPr>
        <w:t xml:space="preserve">〇</w:t>
      </w:r>
      <w:r>
        <w:rPr>
          <w:rFonts w:hint="eastAsia" w:ascii="宋体" w:hAnsi="宋体" w:eastAsia="宋体" w:cs="宋体"/>
          <w:b/>
          <w:sz w:val="36"/>
          <w:szCs w:val="24"/>
          <w:highlight w:val="none"/>
        </w:rPr>
        <w:t xml:space="preserve">二</w:t>
      </w:r>
      <w:r>
        <w:rPr>
          <w:rFonts w:hint="eastAsia" w:hAnsi="宋体" w:eastAsia="宋体" w:cs="宋体"/>
          <w:b/>
          <w:sz w:val="36"/>
          <w:szCs w:val="24"/>
          <w:highlight w:val="none"/>
          <w:lang w:val="en-US" w:eastAsia="zh-CN"/>
        </w:rPr>
        <w:t xml:space="preserve">六</w:t>
      </w:r>
      <w:r>
        <w:rPr>
          <w:rFonts w:hint="eastAsia" w:ascii="宋体" w:hAnsi="宋体" w:eastAsia="宋体" w:cs="宋体"/>
          <w:b/>
          <w:sz w:val="36"/>
          <w:szCs w:val="24"/>
          <w:highlight w:val="none"/>
        </w:rPr>
        <w:t xml:space="preserve">年    月    日</w:t>
      </w:r>
      <w:r/>
    </w:p>
    <w:p>
      <w:pPr>
        <w:ind w:right="0"/>
        <w:keepLines w:val="0"/>
        <w:keepNext w:val="0"/>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96"/>
        <w:ind w:left="0" w:right="0" w:firstLine="0"/>
        <w:keepLines w:val="0"/>
        <w:keepNext w:val="0"/>
        <w:pageBreakBefore/>
        <w:spacing w:after="0"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尊敬的</w:t>
      </w:r>
      <w:r>
        <w:rPr>
          <w:rFonts w:hint="eastAsia" w:ascii="宋体" w:hAnsi="宋体" w:eastAsia="宋体" w:cs="宋体"/>
          <w:sz w:val="24"/>
          <w:highlight w:val="none"/>
          <w:lang w:eastAsia="zh-CN"/>
        </w:rPr>
        <w:t xml:space="preserve">投标人：</w:t>
      </w:r>
      <w:r/>
    </w:p>
    <w:p>
      <w:pPr>
        <w:ind w:right="0" w:firstLine="480"/>
        <w:keepLines w:val="0"/>
        <w:keepNext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sz w:val="24"/>
          <w:highlight w:val="none"/>
        </w:rPr>
        <w:t xml:space="preserve">请按照以下文件的格式要求、内容制作响应文件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否则可能将影响对响应文件的评价。</w:t>
      </w:r>
      <w:r>
        <w:rPr>
          <w:rFonts w:hint="eastAsia" w:ascii="宋体" w:hAnsi="宋体" w:eastAsia="宋体" w:cs="宋体"/>
          <w:b/>
          <w:bCs/>
          <w:color w:val="000000"/>
          <w:sz w:val="24"/>
          <w:highlight w:val="none"/>
        </w:rPr>
        <w:t xml:space="preserve">电子投标文件格式中所有要求签字和盖章的部分</w:t>
      </w:r>
      <w:r>
        <w:rPr>
          <w:rFonts w:hint="eastAsia" w:ascii="宋体" w:hAnsi="宋体" w:eastAsia="宋体" w:cs="宋体"/>
          <w:b/>
          <w:bCs/>
          <w:color w:val="000000"/>
          <w:sz w:val="24"/>
          <w:highlight w:val="none"/>
          <w:lang w:eastAsia="zh-CN"/>
        </w:rPr>
        <w:t xml:space="preserve">只需</w:t>
      </w:r>
      <w:r>
        <w:rPr>
          <w:rFonts w:hint="eastAsia" w:ascii="宋体" w:hAnsi="宋体" w:eastAsia="宋体" w:cs="宋体"/>
          <w:b/>
          <w:bCs/>
          <w:color w:val="000000"/>
          <w:sz w:val="24"/>
          <w:highlight w:val="none"/>
        </w:rPr>
        <w:t xml:space="preserve">加盖电子签章。</w:t>
      </w:r>
      <w:r/>
    </w:p>
    <w:p>
      <w:pPr>
        <w:ind w:right="0"/>
        <w:jc w:val="center"/>
        <w:keepLines w:val="0"/>
        <w:keepNext w:val="0"/>
        <w:spacing w:line="44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函</w:t>
      </w:r>
      <w:r/>
    </w:p>
    <w:p>
      <w:pPr>
        <w:pStyle w:val="789"/>
        <w:ind w:right="0"/>
        <w:jc w:val="left"/>
        <w:keepLines w:val="0"/>
        <w:keepNext w:val="0"/>
        <w:pageBreakBefore w:val="0"/>
        <w:spacing w:line="360" w:lineRule="exact"/>
        <w:widowControl w:val="off"/>
        <w:tabs>
          <w:tab w:val="left" w:pos="2764" w:leader="none"/>
        </w:tabs>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（采购人）</w:t>
      </w:r>
      <w:r>
        <w:rPr>
          <w:rFonts w:hint="eastAsia" w:ascii="宋体" w:hAnsi="宋体" w:eastAsia="宋体" w:cs="宋体"/>
          <w:sz w:val="24"/>
          <w:szCs w:val="24"/>
          <w:highlight w:val="none"/>
          <w:u w:val="single"/>
          <w:lang w:val="en-US" w:eastAsia="zh-CN"/>
        </w:rPr>
        <w:t xml:space="preserve"> </w:t>
      </w:r>
      <w:r/>
    </w:p>
    <w:p>
      <w:pPr>
        <w:pStyle w:val="1016"/>
        <w:ind w:right="0" w:firstLine="480"/>
        <w:jc w:val="left"/>
        <w:keepLines w:val="0"/>
        <w:keepNext w:val="0"/>
        <w:pageBreakBefore w:val="0"/>
        <w:spacing w:before="0" w:after="0"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文件（包括更正公告，如果有的话）收悉，我们经详细审阅和研究，现决定参加本项目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单位名称），全权处理本次项目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的有关事宜。</w:t>
      </w:r>
      <w:r/>
    </w:p>
    <w:p>
      <w:pPr>
        <w:ind w:right="0"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参加本次采购活动前，我方没有被“信用中国”网站、“中国政府采购网”列入失信被执行人名单、重大税收违法案件当事人名单、政府采购严重违法失信行为记录名单。</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各项要求，我方愿以</w:t>
      </w:r>
      <w:r>
        <w:rPr>
          <w:rFonts w:hint="eastAsia" w:ascii="宋体" w:hAnsi="宋体" w:eastAsia="宋体" w:cs="宋体"/>
          <w:sz w:val="24"/>
          <w:szCs w:val="24"/>
          <w:highlight w:val="none"/>
          <w:lang w:val="en-US" w:eastAsia="zh-CN"/>
        </w:rPr>
        <w:t xml:space="preserve">总</w:t>
      </w:r>
      <w:r>
        <w:rPr>
          <w:rFonts w:hint="eastAsia" w:ascii="宋体" w:hAnsi="宋体" w:eastAsia="宋体" w:cs="宋体"/>
          <w:sz w:val="24"/>
          <w:szCs w:val="24"/>
          <w:highlight w:val="none"/>
        </w:rPr>
        <w:t xml:space="preserve">价（大写、人民币）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如果我们成交，我们将按</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文件的规定要求提供所需</w:t>
      </w:r>
      <w:r>
        <w:rPr>
          <w:rFonts w:hint="eastAsia" w:ascii="宋体" w:hAnsi="宋体" w:eastAsia="宋体" w:cs="宋体"/>
          <w:sz w:val="24"/>
          <w:szCs w:val="24"/>
          <w:highlight w:val="none"/>
          <w:lang w:val="en-US" w:eastAsia="zh-CN"/>
        </w:rPr>
        <w:t xml:space="preserve">货物和</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交货时间</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合同签订后20天内供货完毕并验收合格，办公桌椅、文件柜、更衣柜、单人塑钢调节课桌凳、书包柜、组合桌于9月1日前供货完成。</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我公司具备履行合同所必需的设备和专业技术能力。</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我公司具备《中华人民共和国政府采购法》第二十二条第一款规定的六项条件。</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我们接受招标文件的</w:t>
      </w:r>
      <w:r>
        <w:rPr>
          <w:rFonts w:hint="eastAsia" w:ascii="宋体" w:hAnsi="宋体" w:eastAsia="宋体" w:cs="宋体"/>
          <w:sz w:val="24"/>
          <w:szCs w:val="24"/>
          <w:highlight w:val="none"/>
          <w:lang w:eastAsia="zh-CN"/>
        </w:rPr>
        <w:t xml:space="preserve">所有</w:t>
      </w:r>
      <w:r>
        <w:rPr>
          <w:rFonts w:hint="eastAsia" w:ascii="宋体" w:hAnsi="宋体" w:eastAsia="宋体" w:cs="宋体"/>
          <w:sz w:val="24"/>
          <w:szCs w:val="24"/>
          <w:highlight w:val="none"/>
        </w:rPr>
        <w:t xml:space="preserve">条款和规定。</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我们同意按照招标文件第二章第1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条的规定，本投标文件的有效期为从开标之</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rPr>
        <w:t xml:space="preserve">起计算的九十天，在此期间，本投标文件将始终对我们具有约束力，并可随时被接受。如果我们中标，本投标文件在此期间之后将继续保持有效。</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我们理解，你们无义务必须接受投标价最低的投标。同时也理解你们不承担我们本次投标的费用。</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我们同意向贵方提供贵方可能要求的与投标有关的任何证据或资料，并保证所提供的都是真实的、准确的。</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一旦我方中标，我方将根据招标文件的规定，严格履行合同的责任和义务，并保证</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rPr>
        <w:t xml:space="preserve">招标文件中规定的时间内供货，并完成项目的施工、调试、交付买方验收、使用。否则我们的履约保证金将被贵方没收。</w:t>
      </w:r>
      <w:r/>
    </w:p>
    <w:p>
      <w:pPr>
        <w:ind w:right="0" w:firstLine="567"/>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16"/>
        <w:ind w:right="0" w:firstLine="3840"/>
        <w:keepLines w:val="0"/>
        <w:keepNext w:val="0"/>
        <w:pageBreakBefore w:val="0"/>
        <w:spacing w:before="0" w:after="0" w:line="36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（电子签章）           </w:t>
      </w:r>
      <w:r>
        <w:rPr>
          <w:rFonts w:hint="eastAsia" w:ascii="宋体" w:hAnsi="宋体" w:eastAsia="宋体" w:cs="宋体"/>
          <w:sz w:val="24"/>
          <w:szCs w:val="24"/>
          <w:highlight w:val="none"/>
          <w:u w:val="single"/>
          <w:lang w:val="en-US" w:eastAsia="zh-CN"/>
        </w:rPr>
        <w:t xml:space="preserve"> </w:t>
      </w:r>
      <w:r/>
    </w:p>
    <w:p>
      <w:pPr>
        <w:pStyle w:val="1016"/>
        <w:ind w:right="0" w:firstLine="3840"/>
        <w:keepLines w:val="0"/>
        <w:keepNext w:val="0"/>
        <w:pageBreakBefore w:val="0"/>
        <w:spacing w:before="0" w:after="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p>
    <w:p>
      <w:pPr>
        <w:ind w:right="0" w:firstLine="3840"/>
        <w:keepLines w:val="0"/>
        <w:keepNext w:val="0"/>
        <w:pageBreakBefore w:val="0"/>
        <w:spacing w:line="3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p>
    <w:p>
      <w:pPr>
        <w:pStyle w:val="966"/>
        <w:ind w:right="0" w:firstLine="360"/>
        <w:jc w:val="center"/>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right="0" w:firstLine="3408"/>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highlight w:val="none"/>
        </w:rPr>
        <w:t xml:space="preserve">二、开标一览表</w:t>
      </w:r>
      <w:r/>
    </w:p>
    <w:tbl>
      <w:tblPr>
        <w:tblStyle w:val="743"/>
        <w:tblW w:w="0" w:type="auto"/>
        <w:tblInd w:w="2" w:type="dxa"/>
        <w:tblLayout w:type="fixed"/>
        <w:tblCellMar>
          <w:left w:w="108" w:type="dxa"/>
          <w:top w:w="0" w:type="dxa"/>
          <w:right w:w="108" w:type="dxa"/>
          <w:bottom w:w="0" w:type="dxa"/>
        </w:tblCellMar>
        <w:tblLook w:val="04A0" w:firstRow="1" w:lastRow="0" w:firstColumn="1" w:lastColumn="0" w:noHBand="0" w:noVBand="1"/>
      </w:tblPr>
      <w:tblGrid>
        <w:gridCol w:w="1747"/>
        <w:gridCol w:w="7648"/>
      </w:tblGrid>
      <w:tr>
        <w:trPr>
          <w:trHeight w:val="1055" w:hRule="exact"/>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right="0"/>
              <w:keepLines w:val="0"/>
              <w:keepNext w:val="0"/>
              <w:spacing w:line="440" w:lineRule="exact"/>
              <w:tabs>
                <w:tab w:val="left" w:pos="900" w:leader="none"/>
              </w:tabs>
              <w:rPr>
                <w:rFonts w:ascii="宋体" w:hAnsi="宋体" w:eastAsia="宋体" w:cs="宋体"/>
                <w:sz w:val="24"/>
                <w:highlight w:val="none"/>
                <w:lang w:val="en-US" w:eastAsia="zh-CN"/>
              </w:rPr>
            </w:pPr>
            <w:r>
              <w:rPr>
                <w:rFonts w:hint="eastAsia" w:ascii="宋体" w:hAnsi="宋体" w:cs="宋体"/>
                <w:sz w:val="24"/>
                <w:highlight w:val="none"/>
                <w:lang w:val="zh-CN"/>
              </w:rPr>
              <w:t xml:space="preserve">金湖中等专业学校异地扩建项目办公家具及课桌凳设备采购项目</w:t>
            </w:r>
            <w:r/>
          </w:p>
        </w:tc>
      </w:tr>
      <w:tr>
        <w:trPr>
          <w:trHeight w:val="193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lang w:val="zh-CN"/>
              </w:rPr>
              <w:t xml:space="preserve">报价总计</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right="0"/>
              <w:keepLines w:val="0"/>
              <w:keepNext w:val="0"/>
              <w:spacing w:line="360" w:lineRule="auto"/>
              <w:rPr>
                <w:rFonts w:hint="eastAsia" w:ascii="宋体" w:hAnsi="宋体" w:cs="宋体"/>
                <w:sz w:val="24"/>
                <w:highlight w:val="none"/>
                <w:u w:val="single"/>
                <w:lang w:val="zh-CN"/>
              </w:rPr>
            </w:pPr>
            <w:r>
              <w:rPr>
                <w:rFonts w:hint="eastAsia" w:ascii="宋体" w:hAnsi="宋体" w:cs="宋体"/>
                <w:sz w:val="24"/>
                <w:highlight w:val="none"/>
                <w:lang w:val="zh-CN"/>
              </w:rPr>
              <w:t xml:space="preserve">（小写）¥：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 元</w:t>
            </w:r>
            <w:r/>
          </w:p>
          <w:p>
            <w:pPr>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highlight w:val="none"/>
                <w:lang w:val="zh-CN"/>
              </w:rPr>
              <w:t xml:space="preserve">（大写）人民币：</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元</w:t>
            </w:r>
            <w:r/>
          </w:p>
        </w:tc>
      </w:tr>
      <w:tr>
        <w:trPr>
          <w:trHeight w:val="46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right="0"/>
              <w:jc w:val="center"/>
              <w:keepLines w:val="0"/>
              <w:keepNext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eastAsia="zh-CN"/>
              </w:rPr>
              <w:t xml:space="preserve">供货期限</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right="0"/>
              <w:keepLines w:val="0"/>
              <w:keepNext w:val="0"/>
              <w:spacing w:line="360" w:lineRule="auto"/>
              <w:rPr>
                <w:rFonts w:hint="eastAsia" w:ascii="宋体" w:hAnsi="宋体" w:eastAsia="宋体" w:cs="宋体"/>
                <w:sz w:val="24"/>
                <w:highlight w:val="none"/>
                <w:lang w:val="zh-CN" w:eastAsia="zh-CN"/>
              </w:rPr>
            </w:pPr>
            <w:r>
              <w:rPr>
                <w:rFonts w:hint="eastAsia" w:ascii="宋体" w:hAnsi="宋体" w:cs="宋体"/>
                <w:sz w:val="24"/>
                <w:highlight w:val="none"/>
                <w:lang w:eastAsia="zh-CN"/>
              </w:rPr>
              <w:t xml:space="preserve">合同签订后20天内供货完毕并验收合格，办公桌椅、文件柜、更衣柜、单人塑钢调节课桌凳、书包柜、组合桌于9月1日前供货完成。</w:t>
            </w:r>
            <w:r/>
          </w:p>
        </w:tc>
      </w:tr>
    </w:tbl>
    <w:p>
      <w:pPr>
        <w:ind w:right="0"/>
        <w:keepLines w:val="0"/>
        <w:keepNext w:val="0"/>
        <w:spacing w:line="640" w:lineRule="exact"/>
        <w:tabs>
          <w:tab w:val="left" w:pos="2119" w:leader="none"/>
          <w:tab w:val="left" w:pos="4039"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w:t>
      </w:r>
      <w:r/>
    </w:p>
    <w:p>
      <w:pPr>
        <w:ind w:right="0"/>
        <w:keepLines w:val="0"/>
        <w:keepNext w:val="0"/>
        <w:spacing w:line="640" w:lineRule="exact"/>
        <w:tabs>
          <w:tab w:val="left" w:pos="5419"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法人或其委托受托人签字：</w:t>
      </w:r>
      <w:r>
        <w:rPr>
          <w:rFonts w:hint="eastAsia" w:ascii="宋体" w:hAnsi="宋体" w:eastAsia="宋体" w:cs="宋体"/>
          <w:sz w:val="24"/>
          <w:highlight w:val="none"/>
          <w:u w:val="single"/>
        </w:rPr>
        <w:t xml:space="preserve">                    </w:t>
      </w:r>
      <w:r/>
    </w:p>
    <w:p>
      <w:pPr>
        <w:pStyle w:val="971"/>
        <w:ind w:right="0"/>
        <w:keepLines w:val="0"/>
        <w:keepNext w:val="0"/>
        <w:rPr>
          <w:rFonts w:hint="eastAsia" w:ascii="宋体" w:hAnsi="宋体" w:eastAsia="宋体" w:cs="宋体"/>
          <w:highlight w:val="none"/>
        </w:rPr>
      </w:pPr>
      <w:r>
        <w:rPr>
          <w:rFonts w:hint="eastAsia" w:ascii="宋体" w:hAnsi="宋体" w:eastAsia="宋体" w:cs="宋体"/>
          <w:highlight w:val="none"/>
        </w:rPr>
      </w:r>
      <w:r/>
    </w:p>
    <w:p>
      <w:pPr>
        <w:ind w:right="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报价总计应满足</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须知</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报价所述内容。</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（2）开标一览表格式不得自行改动。</w:t>
      </w:r>
      <w:bookmarkStart w:id="38" w:name="_Toc157775459"/>
      <w:r/>
      <w:bookmarkStart w:id="39" w:name="_Toc136924766"/>
      <w:r/>
      <w:bookmarkEnd w:id="38"/>
      <w:r/>
      <w:bookmarkEnd w:id="39"/>
      <w:r/>
      <w:r/>
    </w:p>
    <w:p>
      <w:pPr>
        <w:ind w:right="0" w:firstLine="3408"/>
        <w:keepLines w:val="0"/>
        <w:keepNext w:val="0"/>
        <w:spacing w:line="440" w:lineRule="exact"/>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numPr>
          <w:ilvl w:val="0"/>
          <w:numId w:val="4"/>
        </w:numPr>
        <w:ind w:left="0" w:right="0" w:firstLine="0"/>
        <w:jc w:val="center"/>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highlight w:val="none"/>
          <w:lang w:eastAsia="zh-CN"/>
        </w:rPr>
        <w:t xml:space="preserve">投标</w:t>
      </w:r>
      <w:r>
        <w:rPr>
          <w:rFonts w:hint="eastAsia" w:ascii="宋体" w:hAnsi="宋体" w:eastAsia="宋体" w:cs="宋体"/>
          <w:b/>
          <w:bCs/>
          <w:spacing w:val="20"/>
          <w:sz w:val="32"/>
          <w:szCs w:val="32"/>
          <w:highlight w:val="none"/>
        </w:rPr>
        <w:t xml:space="preserve">报价明细表</w:t>
      </w:r>
      <w:r/>
    </w:p>
    <w:p>
      <w:pPr>
        <w:pStyle w:val="756"/>
        <w:numPr>
          <w:ilvl w:val="0"/>
          <w:numId w:val="0"/>
        </w:numPr>
        <w:rPr>
          <w:rFonts w:hint="eastAsia"/>
          <w:highlight w:val="none"/>
          <w:lang w:val="en-US" w:eastAsia="zh-CN"/>
        </w:rPr>
      </w:pPr>
      <w:r>
        <w:rPr>
          <w:rFonts w:hint="eastAsia"/>
          <w:highlight w:val="none"/>
          <w:lang w:val="en-US" w:eastAsia="zh-CN"/>
        </w:rPr>
      </w:r>
      <w:r/>
    </w:p>
    <w:tbl>
      <w:tblPr>
        <w:tblStyle w:val="743"/>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8"/>
        <w:gridCol w:w="1535"/>
        <w:gridCol w:w="2888"/>
        <w:gridCol w:w="656"/>
        <w:gridCol w:w="694"/>
        <w:gridCol w:w="1012"/>
        <w:gridCol w:w="999"/>
      </w:tblGrid>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w:t xml:space="preserve">2号楼报告厅</w:t>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w:t xml:space="preserve">报告厅及休息室家具</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名称</w:t>
            </w:r>
            <w:r/>
          </w:p>
        </w:tc>
        <w:tc>
          <w:tcPr>
            <w:shd w:val="clear" w:color="auto" w:fill="auto"/>
            <w:tcW w:w="28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技术参数</w:t>
            </w:r>
            <w:r/>
          </w:p>
        </w:tc>
        <w:tc>
          <w:tcPr>
            <w:shd w:val="clear" w:color="auto" w:fill="auto"/>
            <w:tcW w:w="65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单位</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数量</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单价（元）</w:t>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总价（元）</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主席台</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65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16</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主席椅</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48</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长条桌</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135</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长条桌</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演讲台</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排椅</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275</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长条桌</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137</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椅子</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413</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文件柜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w:t xml:space="preserve">2号楼团委活动室、1号楼党员活动室及团员活动室</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更衣柜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20</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休闲长桌</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W w:w="153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休闲椅</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40</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长条椅</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20</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9号楼实践中心</w:t>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w:t xml:space="preserve">9号楼档案管理、1号楼档案室、学籍档案室</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密集柜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立方</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156.2</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w:t xml:space="preserve">宣讲室</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演讲台</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教职工休息室</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教师床</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364</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席梦思</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364</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床头柜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364</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衣柜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套</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364</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宿舍组合休息沙发</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套</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182</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电视柜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套</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182</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床上用品</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套</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364</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w:t xml:space="preserve">14、15门卫、及1号楼保安室</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办公桌</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椅子</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资料柜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24</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头盔</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强光手电</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橡皮警棍</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防刺手套</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防刺背心</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w:t>
            </w:r>
            <w:r/>
          </w:p>
        </w:tc>
        <w:tc>
          <w:tcPr>
            <w:shd w:val="clear" w:color="auto" w:fill="auto"/>
            <w:tcW w:w="153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储物柜</w:t>
            </w:r>
            <w:r/>
          </w:p>
        </w:tc>
        <w:tc>
          <w:tcPr>
            <w:shd w:val="clear" w:color="auto" w:fill="auto"/>
            <w:tcW w:w="28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w:t>
            </w:r>
            <w:r/>
          </w:p>
        </w:tc>
        <w:tc>
          <w:tcPr>
            <w:shd w:val="clear" w:color="auto" w:fill="auto"/>
            <w:tcW w:w="153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床</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床头柜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12</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衣柜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套</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w:t xml:space="preserve">垃圾桶</w:t>
            </w:r>
            <w:r/>
          </w:p>
        </w:tc>
      </w:tr>
      <w:tr>
        <w:trPr>
          <w:jc w:val="center"/>
          <w:trHeight w:val="0"/>
        </w:trPr>
        <w:tc>
          <w:tcPr>
            <w:shd w:val="clear" w:color="auto" w:fill="auto"/>
            <w:tcW w:w="73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校园垃圾桶</w:t>
            </w:r>
            <w:r/>
          </w:p>
        </w:tc>
        <w:tc>
          <w:tcPr>
            <w:shd w:val="clear" w:color="auto" w:fill="auto"/>
            <w:tcW w:w="28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50</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148"/>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w:t xml:space="preserve">导览台</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导览台</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导览台椅子</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w:t xml:space="preserve">200人报告厅</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排椅</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200</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w:t xml:space="preserve">20人小会议室</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组合桌</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20</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多功能椅</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165" name="图片_75"/>
                      <wp:cNvGraphicFramePr/>
                      <a:graphic xmlns:a="http://schemas.openxmlformats.org/drawingml/2006/main">
                        <a:graphicData uri="http://schemas.openxmlformats.org/drawingml/2006/picture">
                          <pic:pic xmlns:pic="http://schemas.openxmlformats.org/drawingml/2006/picture">
                            <pic:nvPicPr>
                              <pic:cNvPr id="300" name="图片_7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20</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茶水柜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20</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w:t xml:space="preserve">贵宾休息接待室</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接待室沙发</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套</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茶几</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66" name="图片_76"/>
                      <wp:cNvGraphicFramePr/>
                      <a:graphic xmlns:a="http://schemas.openxmlformats.org/drawingml/2006/main">
                        <a:graphicData uri="http://schemas.openxmlformats.org/drawingml/2006/picture">
                          <pic:pic xmlns:pic="http://schemas.openxmlformats.org/drawingml/2006/picture">
                            <pic:nvPicPr>
                              <pic:cNvPr id="301" name="图片_7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30人中会议室</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组合桌</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30</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多功能椅</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167" name="图片_80"/>
                      <wp:cNvGraphicFramePr/>
                      <a:graphic xmlns:a="http://schemas.openxmlformats.org/drawingml/2006/main">
                        <a:graphicData uri="http://schemas.openxmlformats.org/drawingml/2006/picture">
                          <pic:pic xmlns:pic="http://schemas.openxmlformats.org/drawingml/2006/picture">
                            <pic:nvPicPr>
                              <pic:cNvPr id="302" name="图片_8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168" name="图片_77"/>
                      <wp:cNvGraphicFramePr/>
                      <a:graphic xmlns:a="http://schemas.openxmlformats.org/drawingml/2006/main">
                        <a:graphicData uri="http://schemas.openxmlformats.org/drawingml/2006/picture">
                          <pic:pic xmlns:pic="http://schemas.openxmlformats.org/drawingml/2006/picture">
                            <pic:nvPicPr>
                              <pic:cNvPr id="303" name="图片_7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30</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2049780</wp:posOffset>
                      </wp:positionH>
                      <wp:positionV relativeFrom="paragraph">
                        <wp:posOffset>0</wp:posOffset>
                      </wp:positionV>
                      <wp:extent cx="10160" cy="10160"/>
                      <wp:effectExtent l="0" t="0" r="0" b="0"/>
                      <wp:wrapNone/>
                      <wp:docPr id="169" name="图片_20"/>
                      <wp:cNvGraphicFramePr/>
                      <a:graphic xmlns:a="http://schemas.openxmlformats.org/drawingml/2006/main">
                        <a:graphicData uri="http://schemas.openxmlformats.org/drawingml/2006/picture">
                          <pic:pic xmlns:pic="http://schemas.openxmlformats.org/drawingml/2006/picture">
                            <pic:nvPicPr>
                              <pic:cNvPr id="304" name="图片_2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9264;o:allowoverlap:true;o:allowincell:true;mso-position-horizontal-relative:text;margin-left:161.4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70" name="图片_78"/>
                      <wp:cNvGraphicFramePr/>
                      <a:graphic xmlns:a="http://schemas.openxmlformats.org/drawingml/2006/main">
                        <a:graphicData uri="http://schemas.openxmlformats.org/drawingml/2006/picture">
                          <pic:pic xmlns:pic="http://schemas.openxmlformats.org/drawingml/2006/picture">
                            <pic:nvPicPr>
                              <pic:cNvPr id="305" name="图片_7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团委（2间）</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长方桌</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软包方凳</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16</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展示柜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旗杆</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付</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12</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旗杆座</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米</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7.2</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宣传展板</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块</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12</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71" name="图片_89"/>
                      <wp:cNvGraphicFramePr/>
                      <a:graphic xmlns:a="http://schemas.openxmlformats.org/drawingml/2006/main">
                        <a:graphicData uri="http://schemas.openxmlformats.org/drawingml/2006/picture">
                          <pic:pic xmlns:pic="http://schemas.openxmlformats.org/drawingml/2006/picture">
                            <pic:nvPicPr>
                              <pic:cNvPr id="306" name="图片_89"/>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72" name="图片_87"/>
                      <wp:cNvGraphicFramePr/>
                      <a:graphic xmlns:a="http://schemas.openxmlformats.org/drawingml/2006/main">
                        <a:graphicData uri="http://schemas.openxmlformats.org/drawingml/2006/picture">
                          <pic:pic xmlns:pic="http://schemas.openxmlformats.org/drawingml/2006/picture">
                            <pic:nvPicPr>
                              <pic:cNvPr id="307" name="图片_8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73" name="图片_86"/>
                      <wp:cNvGraphicFramePr/>
                      <a:graphic xmlns:a="http://schemas.openxmlformats.org/drawingml/2006/main">
                        <a:graphicData uri="http://schemas.openxmlformats.org/drawingml/2006/picture">
                          <pic:pic xmlns:pic="http://schemas.openxmlformats.org/drawingml/2006/picture">
                            <pic:nvPicPr>
                              <pic:cNvPr id="308" name="图片_8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74" name="图片_85"/>
                      <wp:cNvGraphicFramePr/>
                      <a:graphic xmlns:a="http://schemas.openxmlformats.org/drawingml/2006/main">
                        <a:graphicData uri="http://schemas.openxmlformats.org/drawingml/2006/picture">
                          <pic:pic xmlns:pic="http://schemas.openxmlformats.org/drawingml/2006/picture">
                            <pic:nvPicPr>
                              <pic:cNvPr id="309" name="图片_8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75" name="图片_83"/>
                      <wp:cNvGraphicFramePr/>
                      <a:graphic xmlns:a="http://schemas.openxmlformats.org/drawingml/2006/main">
                        <a:graphicData uri="http://schemas.openxmlformats.org/drawingml/2006/picture">
                          <pic:pic xmlns:pic="http://schemas.openxmlformats.org/drawingml/2006/picture">
                            <pic:nvPicPr>
                              <pic:cNvPr id="310" name="图片_8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保密室、试卷保密室、账本保密室、题库保密室</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保密柜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30</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桌子</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椅子</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76" name="图片_95"/>
                      <wp:cNvGraphicFramePr/>
                      <a:graphic xmlns:a="http://schemas.openxmlformats.org/drawingml/2006/main">
                        <a:graphicData uri="http://schemas.openxmlformats.org/drawingml/2006/picture">
                          <pic:pic xmlns:pic="http://schemas.openxmlformats.org/drawingml/2006/picture">
                            <pic:nvPicPr>
                              <pic:cNvPr id="311" name="图片_9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77" name="图片_94"/>
                      <wp:cNvGraphicFramePr/>
                      <a:graphic xmlns:a="http://schemas.openxmlformats.org/drawingml/2006/main">
                        <a:graphicData uri="http://schemas.openxmlformats.org/drawingml/2006/picture">
                          <pic:pic xmlns:pic="http://schemas.openxmlformats.org/drawingml/2006/picture">
                            <pic:nvPicPr>
                              <pic:cNvPr id="312" name="图片_9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78" name="图片_93"/>
                      <wp:cNvGraphicFramePr/>
                      <a:graphic xmlns:a="http://schemas.openxmlformats.org/drawingml/2006/main">
                        <a:graphicData uri="http://schemas.openxmlformats.org/drawingml/2006/picture">
                          <pic:pic xmlns:pic="http://schemas.openxmlformats.org/drawingml/2006/picture">
                            <pic:nvPicPr>
                              <pic:cNvPr id="313" name="图片_9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79" name="图片_92"/>
                      <wp:cNvGraphicFramePr/>
                      <a:graphic xmlns:a="http://schemas.openxmlformats.org/drawingml/2006/main">
                        <a:graphicData uri="http://schemas.openxmlformats.org/drawingml/2006/picture">
                          <pic:pic xmlns:pic="http://schemas.openxmlformats.org/drawingml/2006/picture">
                            <pic:nvPicPr>
                              <pic:cNvPr id="314" name="图片_9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80" name="图片_91"/>
                      <wp:cNvGraphicFramePr/>
                      <a:graphic xmlns:a="http://schemas.openxmlformats.org/drawingml/2006/main">
                        <a:graphicData uri="http://schemas.openxmlformats.org/drawingml/2006/picture">
                          <pic:pic xmlns:pic="http://schemas.openxmlformats.org/drawingml/2006/picture">
                            <pic:nvPicPr>
                              <pic:cNvPr id="315" name="图片_9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81" name="图片_90"/>
                      <wp:cNvGraphicFramePr/>
                      <a:graphic xmlns:a="http://schemas.openxmlformats.org/drawingml/2006/main">
                        <a:graphicData uri="http://schemas.openxmlformats.org/drawingml/2006/picture">
                          <pic:pic xmlns:pic="http://schemas.openxmlformats.org/drawingml/2006/picture">
                            <pic:nvPicPr>
                              <pic:cNvPr id="316" name="图片_9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82" name="图片_84"/>
                      <wp:cNvGraphicFramePr/>
                      <a:graphic xmlns:a="http://schemas.openxmlformats.org/drawingml/2006/main">
                        <a:graphicData uri="http://schemas.openxmlformats.org/drawingml/2006/picture">
                          <pic:pic xmlns:pic="http://schemas.openxmlformats.org/drawingml/2006/picture">
                            <pic:nvPicPr>
                              <pic:cNvPr id="317" name="图片_8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教工之家</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桌子</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椅子</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183" name="图片_88"/>
                      <wp:cNvGraphicFramePr/>
                      <a:graphic xmlns:a="http://schemas.openxmlformats.org/drawingml/2006/main">
                        <a:graphicData uri="http://schemas.openxmlformats.org/drawingml/2006/picture">
                          <pic:pic xmlns:pic="http://schemas.openxmlformats.org/drawingml/2006/picture">
                            <pic:nvPicPr>
                              <pic:cNvPr id="318" name="图片_8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16</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84" name="图片_108"/>
                      <wp:cNvGraphicFramePr/>
                      <a:graphic xmlns:a="http://schemas.openxmlformats.org/drawingml/2006/main">
                        <a:graphicData uri="http://schemas.openxmlformats.org/drawingml/2006/picture">
                          <pic:pic xmlns:pic="http://schemas.openxmlformats.org/drawingml/2006/picture">
                            <pic:nvPicPr>
                              <pic:cNvPr id="319" name="图片_10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85" name="图片_107"/>
                      <wp:cNvGraphicFramePr/>
                      <a:graphic xmlns:a="http://schemas.openxmlformats.org/drawingml/2006/main">
                        <a:graphicData uri="http://schemas.openxmlformats.org/drawingml/2006/picture">
                          <pic:pic xmlns:pic="http://schemas.openxmlformats.org/drawingml/2006/picture">
                            <pic:nvPicPr>
                              <pic:cNvPr id="320" name="图片_10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86" name="图片_97"/>
                      <wp:cNvGraphicFramePr/>
                      <a:graphic xmlns:a="http://schemas.openxmlformats.org/drawingml/2006/main">
                        <a:graphicData uri="http://schemas.openxmlformats.org/drawingml/2006/picture">
                          <pic:pic xmlns:pic="http://schemas.openxmlformats.org/drawingml/2006/picture">
                            <pic:nvPicPr>
                              <pic:cNvPr id="321" name="图片_9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87" name="图片_96"/>
                      <wp:cNvGraphicFramePr/>
                      <a:graphic xmlns:a="http://schemas.openxmlformats.org/drawingml/2006/main">
                        <a:graphicData uri="http://schemas.openxmlformats.org/drawingml/2006/picture">
                          <pic:pic xmlns:pic="http://schemas.openxmlformats.org/drawingml/2006/picture">
                            <pic:nvPicPr>
                              <pic:cNvPr id="322" name="图片_9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小会议室</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会议桌</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椅子</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24</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ffffff"/>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9525"/>
                      <wp:effectExtent l="0" t="0" r="0" b="0"/>
                      <wp:wrapNone/>
                      <wp:docPr id="188" name="图片_114"/>
                      <wp:cNvGraphicFramePr/>
                      <a:graphic xmlns:a="http://schemas.openxmlformats.org/drawingml/2006/main">
                        <a:graphicData uri="http://schemas.openxmlformats.org/drawingml/2006/picture">
                          <pic:pic xmlns:pic="http://schemas.openxmlformats.org/drawingml/2006/picture">
                            <pic:nvPicPr>
                              <pic:cNvPr id="323" name="图片_114"/>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89" name="图片_112"/>
                      <wp:cNvGraphicFramePr/>
                      <a:graphic xmlns:a="http://schemas.openxmlformats.org/drawingml/2006/main">
                        <a:graphicData uri="http://schemas.openxmlformats.org/drawingml/2006/picture">
                          <pic:pic xmlns:pic="http://schemas.openxmlformats.org/drawingml/2006/picture">
                            <pic:nvPicPr>
                              <pic:cNvPr id="324" name="图片_11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90" name="图片_104"/>
                      <wp:cNvGraphicFramePr/>
                      <a:graphic xmlns:a="http://schemas.openxmlformats.org/drawingml/2006/main">
                        <a:graphicData uri="http://schemas.openxmlformats.org/drawingml/2006/picture">
                          <pic:pic xmlns:pic="http://schemas.openxmlformats.org/drawingml/2006/picture">
                            <pic:nvPicPr>
                              <pic:cNvPr id="325" name="图片_10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9525"/>
                      <wp:effectExtent l="0" t="0" r="0" b="0"/>
                      <wp:wrapNone/>
                      <wp:docPr id="191" name="图片_103"/>
                      <wp:cNvGraphicFramePr/>
                      <a:graphic xmlns:a="http://schemas.openxmlformats.org/drawingml/2006/main">
                        <a:graphicData uri="http://schemas.openxmlformats.org/drawingml/2006/picture">
                          <pic:pic xmlns:pic="http://schemas.openxmlformats.org/drawingml/2006/picture">
                            <pic:nvPicPr>
                              <pic:cNvPr id="326" name="图片_103"/>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9525"/>
                      <wp:effectExtent l="0" t="0" r="0" b="0"/>
                      <wp:wrapNone/>
                      <wp:docPr id="192" name="图片_102"/>
                      <wp:cNvGraphicFramePr/>
                      <a:graphic xmlns:a="http://schemas.openxmlformats.org/drawingml/2006/main">
                        <a:graphicData uri="http://schemas.openxmlformats.org/drawingml/2006/picture">
                          <pic:pic xmlns:pic="http://schemas.openxmlformats.org/drawingml/2006/picture">
                            <pic:nvPicPr>
                              <pic:cNvPr id="327" name="图片_102"/>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93" name="图片_101"/>
                      <wp:cNvGraphicFramePr/>
                      <a:graphic xmlns:a="http://schemas.openxmlformats.org/drawingml/2006/main">
                        <a:graphicData uri="http://schemas.openxmlformats.org/drawingml/2006/picture">
                          <pic:pic xmlns:pic="http://schemas.openxmlformats.org/drawingml/2006/picture">
                            <pic:nvPicPr>
                              <pic:cNvPr id="328" name="图片_10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9525"/>
                      <wp:effectExtent l="0" t="0" r="0" b="0"/>
                      <wp:wrapNone/>
                      <wp:docPr id="194" name="图片_113"/>
                      <wp:cNvGraphicFramePr/>
                      <a:graphic xmlns:a="http://schemas.openxmlformats.org/drawingml/2006/main">
                        <a:graphicData uri="http://schemas.openxmlformats.org/drawingml/2006/picture">
                          <pic:pic xmlns:pic="http://schemas.openxmlformats.org/drawingml/2006/picture">
                            <pic:nvPicPr>
                              <pic:cNvPr id="329" name="图片_113"/>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95" name="图片_132"/>
                      <wp:cNvGraphicFramePr/>
                      <a:graphic xmlns:a="http://schemas.openxmlformats.org/drawingml/2006/main">
                        <a:graphicData uri="http://schemas.openxmlformats.org/drawingml/2006/picture">
                          <pic:pic xmlns:pic="http://schemas.openxmlformats.org/drawingml/2006/picture">
                            <pic:nvPicPr>
                              <pic:cNvPr id="330" name="图片_13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96" name="图片_131"/>
                      <wp:cNvGraphicFramePr/>
                      <a:graphic xmlns:a="http://schemas.openxmlformats.org/drawingml/2006/main">
                        <a:graphicData uri="http://schemas.openxmlformats.org/drawingml/2006/picture">
                          <pic:pic xmlns:pic="http://schemas.openxmlformats.org/drawingml/2006/picture">
                            <pic:nvPicPr>
                              <pic:cNvPr id="331" name="图片_13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97" name="图片_130"/>
                      <wp:cNvGraphicFramePr/>
                      <a:graphic xmlns:a="http://schemas.openxmlformats.org/drawingml/2006/main">
                        <a:graphicData uri="http://schemas.openxmlformats.org/drawingml/2006/picture">
                          <pic:pic xmlns:pic="http://schemas.openxmlformats.org/drawingml/2006/picture">
                            <pic:nvPicPr>
                              <pic:cNvPr id="332" name="图片_13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98" name="图片_126"/>
                      <wp:cNvGraphicFramePr/>
                      <a:graphic xmlns:a="http://schemas.openxmlformats.org/drawingml/2006/main">
                        <a:graphicData uri="http://schemas.openxmlformats.org/drawingml/2006/picture">
                          <pic:pic xmlns:pic="http://schemas.openxmlformats.org/drawingml/2006/picture">
                            <pic:nvPicPr>
                              <pic:cNvPr id="333" name="图片_12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199" name="图片_119"/>
                      <wp:cNvGraphicFramePr/>
                      <a:graphic xmlns:a="http://schemas.openxmlformats.org/drawingml/2006/main">
                        <a:graphicData uri="http://schemas.openxmlformats.org/drawingml/2006/picture">
                          <pic:pic xmlns:pic="http://schemas.openxmlformats.org/drawingml/2006/picture">
                            <pic:nvPicPr>
                              <pic:cNvPr id="334" name="图片_119"/>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00" name="图片_118"/>
                      <wp:cNvGraphicFramePr/>
                      <a:graphic xmlns:a="http://schemas.openxmlformats.org/drawingml/2006/main">
                        <a:graphicData uri="http://schemas.openxmlformats.org/drawingml/2006/picture">
                          <pic:pic xmlns:pic="http://schemas.openxmlformats.org/drawingml/2006/picture">
                            <pic:nvPicPr>
                              <pic:cNvPr id="335" name="图片_11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01" name="图片_117"/>
                      <wp:cNvGraphicFramePr/>
                      <a:graphic xmlns:a="http://schemas.openxmlformats.org/drawingml/2006/main">
                        <a:graphicData uri="http://schemas.openxmlformats.org/drawingml/2006/picture">
                          <pic:pic xmlns:pic="http://schemas.openxmlformats.org/drawingml/2006/picture">
                            <pic:nvPicPr>
                              <pic:cNvPr id="336" name="图片_11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02" name="图片_116"/>
                      <wp:cNvGraphicFramePr/>
                      <a:graphic xmlns:a="http://schemas.openxmlformats.org/drawingml/2006/main">
                        <a:graphicData uri="http://schemas.openxmlformats.org/drawingml/2006/picture">
                          <pic:pic xmlns:pic="http://schemas.openxmlformats.org/drawingml/2006/picture">
                            <pic:nvPicPr>
                              <pic:cNvPr id="337" name="图片_11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03" name="图片_115"/>
                      <wp:cNvGraphicFramePr/>
                      <a:graphic xmlns:a="http://schemas.openxmlformats.org/drawingml/2006/main">
                        <a:graphicData uri="http://schemas.openxmlformats.org/drawingml/2006/picture">
                          <pic:pic xmlns:pic="http://schemas.openxmlformats.org/drawingml/2006/picture">
                            <pic:nvPicPr>
                              <pic:cNvPr id="338" name="图片_11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后勤维修器材室、装配室</w:t>
            </w:r>
            <w:r/>
          </w:p>
        </w:tc>
      </w:tr>
      <w:tr>
        <w:trPr>
          <w:jc w:val="center"/>
          <w:trHeight w:val="0"/>
        </w:trPr>
        <w:tc>
          <w:tcPr>
            <w:shd w:val="clear" w:color="auto" w:fill="ffffff"/>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ffffff"/>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办公桌</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ffffff"/>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204" name="图片_133"/>
                      <wp:cNvGraphicFramePr/>
                      <a:graphic xmlns:a="http://schemas.openxmlformats.org/drawingml/2006/main">
                        <a:graphicData uri="http://schemas.openxmlformats.org/drawingml/2006/picture">
                          <pic:pic xmlns:pic="http://schemas.openxmlformats.org/drawingml/2006/picture">
                            <pic:nvPicPr>
                              <pic:cNvPr id="339" name="图片_13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ffffff"/>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ffffff"/>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ffffff"/>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ffffff"/>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ffffff"/>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货架</w:t>
            </w:r>
            <w:r/>
          </w:p>
        </w:tc>
        <w:tc>
          <w:tcPr>
            <w:shd w:val="clear" w:color="auto" w:fill="ffffff"/>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ffffff"/>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节</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ffffff"/>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9525"/>
                      <wp:effectExtent l="0" t="0" r="0" b="0"/>
                      <wp:wrapNone/>
                      <wp:docPr id="205" name="图片_140"/>
                      <wp:cNvGraphicFramePr/>
                      <a:graphic xmlns:a="http://schemas.openxmlformats.org/drawingml/2006/main">
                        <a:graphicData uri="http://schemas.openxmlformats.org/drawingml/2006/picture">
                          <pic:pic xmlns:pic="http://schemas.openxmlformats.org/drawingml/2006/picture">
                            <pic:nvPicPr>
                              <pic:cNvPr id="340" name="图片_140"/>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06" name="图片_139"/>
                      <wp:cNvGraphicFramePr/>
                      <a:graphic xmlns:a="http://schemas.openxmlformats.org/drawingml/2006/main">
                        <a:graphicData uri="http://schemas.openxmlformats.org/drawingml/2006/picture">
                          <pic:pic xmlns:pic="http://schemas.openxmlformats.org/drawingml/2006/picture">
                            <pic:nvPicPr>
                              <pic:cNvPr id="341" name="图片_139"/>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9525"/>
                      <wp:effectExtent l="0" t="0" r="0" b="0"/>
                      <wp:wrapNone/>
                      <wp:docPr id="207" name="图片_123"/>
                      <wp:cNvGraphicFramePr/>
                      <a:graphic xmlns:a="http://schemas.openxmlformats.org/drawingml/2006/main">
                        <a:graphicData uri="http://schemas.openxmlformats.org/drawingml/2006/picture">
                          <pic:pic xmlns:pic="http://schemas.openxmlformats.org/drawingml/2006/picture">
                            <pic:nvPicPr>
                              <pic:cNvPr id="342" name="图片_123"/>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08" name="图片_138"/>
                      <wp:cNvGraphicFramePr/>
                      <a:graphic xmlns:a="http://schemas.openxmlformats.org/drawingml/2006/main">
                        <a:graphicData uri="http://schemas.openxmlformats.org/drawingml/2006/picture">
                          <pic:pic xmlns:pic="http://schemas.openxmlformats.org/drawingml/2006/picture">
                            <pic:nvPicPr>
                              <pic:cNvPr id="343" name="图片_13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09" name="图片_137"/>
                      <wp:cNvGraphicFramePr/>
                      <a:graphic xmlns:a="http://schemas.openxmlformats.org/drawingml/2006/main">
                        <a:graphicData uri="http://schemas.openxmlformats.org/drawingml/2006/picture">
                          <pic:pic xmlns:pic="http://schemas.openxmlformats.org/drawingml/2006/picture">
                            <pic:nvPicPr>
                              <pic:cNvPr id="344" name="图片_13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10" name="图片_136"/>
                      <wp:cNvGraphicFramePr/>
                      <a:graphic xmlns:a="http://schemas.openxmlformats.org/drawingml/2006/main">
                        <a:graphicData uri="http://schemas.openxmlformats.org/drawingml/2006/picture">
                          <pic:pic xmlns:pic="http://schemas.openxmlformats.org/drawingml/2006/picture">
                            <pic:nvPicPr>
                              <pic:cNvPr id="345" name="图片_13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11" name="图片_134"/>
                      <wp:cNvGraphicFramePr/>
                      <a:graphic xmlns:a="http://schemas.openxmlformats.org/drawingml/2006/main">
                        <a:graphicData uri="http://schemas.openxmlformats.org/drawingml/2006/picture">
                          <pic:pic xmlns:pic="http://schemas.openxmlformats.org/drawingml/2006/picture">
                            <pic:nvPicPr>
                              <pic:cNvPr id="346" name="图片_13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12" name="图片_135"/>
                      <wp:cNvGraphicFramePr/>
                      <a:graphic xmlns:a="http://schemas.openxmlformats.org/drawingml/2006/main">
                        <a:graphicData uri="http://schemas.openxmlformats.org/drawingml/2006/picture">
                          <pic:pic xmlns:pic="http://schemas.openxmlformats.org/drawingml/2006/picture">
                            <pic:nvPicPr>
                              <pic:cNvPr id="347" name="图片_13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13" name="图片_129"/>
                      <wp:cNvGraphicFramePr/>
                      <a:graphic xmlns:a="http://schemas.openxmlformats.org/drawingml/2006/main">
                        <a:graphicData uri="http://schemas.openxmlformats.org/drawingml/2006/picture">
                          <pic:pic xmlns:pic="http://schemas.openxmlformats.org/drawingml/2006/picture">
                            <pic:nvPicPr>
                              <pic:cNvPr id="348" name="图片_129"/>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14" name="图片_128"/>
                      <wp:cNvGraphicFramePr/>
                      <a:graphic xmlns:a="http://schemas.openxmlformats.org/drawingml/2006/main">
                        <a:graphicData uri="http://schemas.openxmlformats.org/drawingml/2006/picture">
                          <pic:pic xmlns:pic="http://schemas.openxmlformats.org/drawingml/2006/picture">
                            <pic:nvPicPr>
                              <pic:cNvPr id="349" name="图片_12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15" name="图片_127"/>
                      <wp:cNvGraphicFramePr/>
                      <a:graphic xmlns:a="http://schemas.openxmlformats.org/drawingml/2006/main">
                        <a:graphicData uri="http://schemas.openxmlformats.org/drawingml/2006/picture">
                          <pic:pic xmlns:pic="http://schemas.openxmlformats.org/drawingml/2006/picture">
                            <pic:nvPicPr>
                              <pic:cNvPr id="350" name="图片_12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9525"/>
                      <wp:effectExtent l="0" t="0" r="0" b="0"/>
                      <wp:wrapNone/>
                      <wp:docPr id="216" name="图片_125"/>
                      <wp:cNvGraphicFramePr/>
                      <a:graphic xmlns:a="http://schemas.openxmlformats.org/drawingml/2006/main">
                        <a:graphicData uri="http://schemas.openxmlformats.org/drawingml/2006/picture">
                          <pic:pic xmlns:pic="http://schemas.openxmlformats.org/drawingml/2006/picture">
                            <pic:nvPicPr>
                              <pic:cNvPr id="351" name="图片_125"/>
                              <pic:cNvPicPr/>
                              <pic:nvPr/>
                            </pic:nvPicPr>
                            <pic:blipFill>
                              <a:blip r:embed="rId32"/>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17" name="图片_124"/>
                      <wp:cNvGraphicFramePr/>
                      <a:graphic xmlns:a="http://schemas.openxmlformats.org/drawingml/2006/main">
                        <a:graphicData uri="http://schemas.openxmlformats.org/drawingml/2006/picture">
                          <pic:pic xmlns:pic="http://schemas.openxmlformats.org/drawingml/2006/picture">
                            <pic:nvPicPr>
                              <pic:cNvPr id="352" name="图片_12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18" name="图片_122"/>
                      <wp:cNvGraphicFramePr/>
                      <a:graphic xmlns:a="http://schemas.openxmlformats.org/drawingml/2006/main">
                        <a:graphicData uri="http://schemas.openxmlformats.org/drawingml/2006/picture">
                          <pic:pic xmlns:pic="http://schemas.openxmlformats.org/drawingml/2006/picture">
                            <pic:nvPicPr>
                              <pic:cNvPr id="353" name="图片_12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19" name="图片_121"/>
                      <wp:cNvGraphicFramePr/>
                      <a:graphic xmlns:a="http://schemas.openxmlformats.org/drawingml/2006/main">
                        <a:graphicData uri="http://schemas.openxmlformats.org/drawingml/2006/picture">
                          <pic:pic xmlns:pic="http://schemas.openxmlformats.org/drawingml/2006/picture">
                            <pic:nvPicPr>
                              <pic:cNvPr id="354" name="图片_12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20" name="图片_120"/>
                      <wp:cNvGraphicFramePr/>
                      <a:graphic xmlns:a="http://schemas.openxmlformats.org/drawingml/2006/main">
                        <a:graphicData uri="http://schemas.openxmlformats.org/drawingml/2006/picture">
                          <pic:pic xmlns:pic="http://schemas.openxmlformats.org/drawingml/2006/picture">
                            <pic:nvPicPr>
                              <pic:cNvPr id="355" name="图片_12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保管室</w:t>
            </w:r>
            <w:r/>
          </w:p>
        </w:tc>
      </w:tr>
      <w:tr>
        <w:trPr>
          <w:jc w:val="center"/>
          <w:trHeight w:val="0"/>
        </w:trPr>
        <w:tc>
          <w:tcPr>
            <w:shd w:val="clear" w:color="auto" w:fill="ffffff"/>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ffffff"/>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货架</w:t>
            </w:r>
            <w:r/>
          </w:p>
        </w:tc>
        <w:tc>
          <w:tcPr>
            <w:shd w:val="clear" w:color="auto" w:fill="ffffff"/>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ffffff"/>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节</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12</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ffffff"/>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ffffff"/>
            <w:tcW w:w="153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柜子</w:t>
            </w:r>
            <w:r/>
          </w:p>
        </w:tc>
        <w:tc>
          <w:tcPr>
            <w:shd w:val="clear" w:color="auto" w:fill="ffffff"/>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ffffff"/>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24</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ffffff"/>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ffffff"/>
            <w:tcW w:w="153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桌子</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ffffff"/>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ffffff"/>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ffffff"/>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椅子</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ffffff"/>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ffffff"/>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w:t xml:space="preserve">小会议室、党总支</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会议桌</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椅子</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221" name="图片_147"/>
                      <wp:cNvGraphicFramePr/>
                      <a:graphic xmlns:a="http://schemas.openxmlformats.org/drawingml/2006/main">
                        <a:graphicData uri="http://schemas.openxmlformats.org/drawingml/2006/picture">
                          <pic:pic xmlns:pic="http://schemas.openxmlformats.org/drawingml/2006/picture">
                            <pic:nvPicPr>
                              <pic:cNvPr id="356" name="图片_14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32</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ffffff"/>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w:t xml:space="preserve">大会议室（2间）</w:t>
            </w:r>
            <w:r/>
          </w:p>
        </w:tc>
      </w:tr>
      <w:tr>
        <w:trPr>
          <w:jc w:val="center"/>
          <w:trHeight w:val="0"/>
        </w:trPr>
        <w:tc>
          <w:tcPr>
            <w:shd w:val="clear" w:color="auto" w:fill="ffffff"/>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ffffff"/>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会议桌</w:t>
            </w:r>
            <w:r/>
          </w:p>
        </w:tc>
        <w:tc>
          <w:tcPr>
            <w:shd w:val="clear" w:color="auto" w:fill="ffffff"/>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ffffff"/>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ffffff"/>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ffffff"/>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会议椅</w:t>
            </w:r>
            <w:r/>
          </w:p>
        </w:tc>
        <w:tc>
          <w:tcPr>
            <w:shd w:val="clear" w:color="auto" w:fill="ffffff"/>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ffffff"/>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100</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22" name="图片_141"/>
                      <wp:cNvGraphicFramePr/>
                      <a:graphic xmlns:a="http://schemas.openxmlformats.org/drawingml/2006/main">
                        <a:graphicData uri="http://schemas.openxmlformats.org/drawingml/2006/picture">
                          <pic:pic xmlns:pic="http://schemas.openxmlformats.org/drawingml/2006/picture">
                            <pic:nvPicPr>
                              <pic:cNvPr id="357" name="图片_14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校长、副校长室</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ffffff"/>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办公桌</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ffffff"/>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文件柜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223" name="图片_143"/>
                      <wp:cNvGraphicFramePr/>
                      <a:graphic xmlns:a="http://schemas.openxmlformats.org/drawingml/2006/main">
                        <a:graphicData uri="http://schemas.openxmlformats.org/drawingml/2006/picture">
                          <pic:pic xmlns:pic="http://schemas.openxmlformats.org/drawingml/2006/picture">
                            <pic:nvPicPr>
                              <pic:cNvPr id="358" name="图片_143"/>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ffffff"/>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大班椅</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ffffff"/>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班前椅</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16</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ffffff"/>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沙发</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ffffff"/>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茶几</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ffffff"/>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ffffff"/>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ffffff"/>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W w:w="8522" w:type="dxa"/>
            <w:vAlign w:val="center"/>
            <w:textDirection w:val="lrTb"/>
            <w:noWrap w:val="false"/>
          </w:tcPr>
          <w:p>
            <w:pPr>
              <w:jc w:val="center"/>
              <w:rPr>
                <w:rFonts w:hint="eastAsia" w:ascii="宋体" w:hAnsi="宋体" w:eastAsia="宋体" w:cs="宋体"/>
                <w:b w:val="0"/>
                <w:bCs w:val="0"/>
                <w:i w:val="0"/>
                <w:iCs w:val="0"/>
                <w:color w:val="000000"/>
                <w:sz w:val="18"/>
                <w:szCs w:val="18"/>
                <w:highlight w:val="none"/>
                <w:u w:val="none"/>
              </w:rPr>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24" name="图片_2_SpCnt_3"/>
                      <wp:cNvGraphicFramePr/>
                      <a:graphic xmlns:a="http://schemas.openxmlformats.org/drawingml/2006/main">
                        <a:graphicData uri="http://schemas.openxmlformats.org/drawingml/2006/picture">
                          <pic:pic xmlns:pic="http://schemas.openxmlformats.org/drawingml/2006/picture">
                            <pic:nvPicPr>
                              <pic:cNvPr id="359" name="图片_2_SpCnt_3"/>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25" name="图片_34"/>
                      <wp:cNvGraphicFramePr/>
                      <a:graphic xmlns:a="http://schemas.openxmlformats.org/drawingml/2006/main">
                        <a:graphicData uri="http://schemas.openxmlformats.org/drawingml/2006/picture">
                          <pic:pic xmlns:pic="http://schemas.openxmlformats.org/drawingml/2006/picture">
                            <pic:nvPicPr>
                              <pic:cNvPr id="360" name="图片_3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26" name="图片_39"/>
                      <wp:cNvGraphicFramePr/>
                      <a:graphic xmlns:a="http://schemas.openxmlformats.org/drawingml/2006/main">
                        <a:graphicData uri="http://schemas.openxmlformats.org/drawingml/2006/picture">
                          <pic:pic xmlns:pic="http://schemas.openxmlformats.org/drawingml/2006/picture">
                            <pic:nvPicPr>
                              <pic:cNvPr id="361" name="图片_39"/>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27" name="图片_38"/>
                      <wp:cNvGraphicFramePr/>
                      <a:graphic xmlns:a="http://schemas.openxmlformats.org/drawingml/2006/main">
                        <a:graphicData uri="http://schemas.openxmlformats.org/drawingml/2006/picture">
                          <pic:pic xmlns:pic="http://schemas.openxmlformats.org/drawingml/2006/picture">
                            <pic:nvPicPr>
                              <pic:cNvPr id="362" name="图片_3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28" name="图片_167"/>
                      <wp:cNvGraphicFramePr/>
                      <a:graphic xmlns:a="http://schemas.openxmlformats.org/drawingml/2006/main">
                        <a:graphicData uri="http://schemas.openxmlformats.org/drawingml/2006/picture">
                          <pic:pic xmlns:pic="http://schemas.openxmlformats.org/drawingml/2006/picture">
                            <pic:nvPicPr>
                              <pic:cNvPr id="363" name="图片_16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29" name="图片_168"/>
                      <wp:cNvGraphicFramePr/>
                      <a:graphic xmlns:a="http://schemas.openxmlformats.org/drawingml/2006/main">
                        <a:graphicData uri="http://schemas.openxmlformats.org/drawingml/2006/picture">
                          <pic:pic xmlns:pic="http://schemas.openxmlformats.org/drawingml/2006/picture">
                            <pic:nvPicPr>
                              <pic:cNvPr id="364" name="图片_168"/>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30" name="图片_44"/>
                      <wp:cNvGraphicFramePr/>
                      <a:graphic xmlns:a="http://schemas.openxmlformats.org/drawingml/2006/main">
                        <a:graphicData uri="http://schemas.openxmlformats.org/drawingml/2006/picture">
                          <pic:pic xmlns:pic="http://schemas.openxmlformats.org/drawingml/2006/picture">
                            <pic:nvPicPr>
                              <pic:cNvPr id="365" name="图片_4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31" name="图片_40"/>
                      <wp:cNvGraphicFramePr/>
                      <a:graphic xmlns:a="http://schemas.openxmlformats.org/drawingml/2006/main">
                        <a:graphicData uri="http://schemas.openxmlformats.org/drawingml/2006/picture">
                          <pic:pic xmlns:pic="http://schemas.openxmlformats.org/drawingml/2006/picture">
                            <pic:nvPicPr>
                              <pic:cNvPr id="366" name="图片_40"/>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32" name="图片_35"/>
                      <wp:cNvGraphicFramePr/>
                      <a:graphic xmlns:a="http://schemas.openxmlformats.org/drawingml/2006/main">
                        <a:graphicData uri="http://schemas.openxmlformats.org/drawingml/2006/picture">
                          <pic:pic xmlns:pic="http://schemas.openxmlformats.org/drawingml/2006/picture">
                            <pic:nvPicPr>
                              <pic:cNvPr id="367" name="图片_35"/>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33" name="图片_41"/>
                      <wp:cNvGraphicFramePr/>
                      <a:graphic xmlns:a="http://schemas.openxmlformats.org/drawingml/2006/main">
                        <a:graphicData uri="http://schemas.openxmlformats.org/drawingml/2006/picture">
                          <pic:pic xmlns:pic="http://schemas.openxmlformats.org/drawingml/2006/picture">
                            <pic:nvPicPr>
                              <pic:cNvPr id="368" name="图片_41"/>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34" name="图片_42"/>
                      <wp:cNvGraphicFramePr/>
                      <a:graphic xmlns:a="http://schemas.openxmlformats.org/drawingml/2006/main">
                        <a:graphicData uri="http://schemas.openxmlformats.org/drawingml/2006/picture">
                          <pic:pic xmlns:pic="http://schemas.openxmlformats.org/drawingml/2006/picture">
                            <pic:nvPicPr>
                              <pic:cNvPr id="369" name="图片_4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35" name="图片_166"/>
                      <wp:cNvGraphicFramePr/>
                      <a:graphic xmlns:a="http://schemas.openxmlformats.org/drawingml/2006/main">
                        <a:graphicData uri="http://schemas.openxmlformats.org/drawingml/2006/picture">
                          <pic:pic xmlns:pic="http://schemas.openxmlformats.org/drawingml/2006/picture">
                            <pic:nvPicPr>
                              <pic:cNvPr id="370" name="图片_16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36" name="图片_24"/>
                      <wp:cNvGraphicFramePr/>
                      <a:graphic xmlns:a="http://schemas.openxmlformats.org/drawingml/2006/main">
                        <a:graphicData uri="http://schemas.openxmlformats.org/drawingml/2006/picture">
                          <pic:pic xmlns:pic="http://schemas.openxmlformats.org/drawingml/2006/picture">
                            <pic:nvPicPr>
                              <pic:cNvPr id="371" name="图片_24"/>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5335905</wp:posOffset>
                      </wp:positionH>
                      <wp:positionV relativeFrom="paragraph">
                        <wp:posOffset>0</wp:posOffset>
                      </wp:positionV>
                      <wp:extent cx="10160" cy="10160"/>
                      <wp:effectExtent l="0" t="0" r="0" b="0"/>
                      <wp:wrapNone/>
                      <wp:docPr id="237" name="图片_37"/>
                      <wp:cNvGraphicFramePr/>
                      <a:graphic xmlns:a="http://schemas.openxmlformats.org/drawingml/2006/main">
                        <a:graphicData uri="http://schemas.openxmlformats.org/drawingml/2006/picture">
                          <pic:pic xmlns:pic="http://schemas.openxmlformats.org/drawingml/2006/picture">
                            <pic:nvPicPr>
                              <pic:cNvPr id="372" name="图片_37"/>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9264;o:allowoverlap:true;o:allowincell:true;mso-position-horizontal-relative:text;margin-left:420.1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办公室</w:t>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名称</w:t>
            </w:r>
            <w:r/>
          </w:p>
        </w:tc>
        <w:tc>
          <w:tcPr>
            <w:shd w:val="clear" w:color="auto" w:fill="auto"/>
            <w:tcW w:w="28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技术参数</w:t>
            </w:r>
            <w:r/>
          </w:p>
        </w:tc>
        <w:tc>
          <w:tcPr>
            <w:shd w:val="clear" w:color="auto" w:fill="auto"/>
            <w:tcW w:w="65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单位</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数量</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办公桌</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238" name="图片_36"/>
                      <wp:cNvGraphicFramePr/>
                      <a:graphic xmlns:a="http://schemas.openxmlformats.org/drawingml/2006/main">
                        <a:graphicData uri="http://schemas.openxmlformats.org/drawingml/2006/picture">
                          <pic:pic xmlns:pic="http://schemas.openxmlformats.org/drawingml/2006/picture">
                            <pic:nvPicPr>
                              <pic:cNvPr id="373" name="图片_36"/>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310</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310</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文件柜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319</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茶水柜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91</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教室清洁工具</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套</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91</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W w:w="73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W w:w="15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卫生柜</w:t>
            </w:r>
            <w:r/>
          </w:p>
        </w:tc>
        <w:tc>
          <w:tcPr>
            <w:shd w:val="clear" w:color="auto" w:fill="auto"/>
            <w:tcW w:w="288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rPr>
            </w:r>
            <w:r/>
          </w:p>
        </w:tc>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套</w:t>
            </w:r>
            <w:r/>
          </w:p>
        </w:tc>
        <w:tc>
          <w:tcPr>
            <w:shd w:val="clear" w:color="auto" w:fill="auto"/>
            <w:tcW w:w="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177</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5829300</wp:posOffset>
                      </wp:positionH>
                      <wp:positionV relativeFrom="paragraph">
                        <wp:posOffset>0</wp:posOffset>
                      </wp:positionV>
                      <wp:extent cx="10160" cy="10160"/>
                      <wp:effectExtent l="0" t="0" r="0" b="0"/>
                      <wp:wrapNone/>
                      <wp:docPr id="239" name="图片_1"/>
                      <wp:cNvGraphicFramePr/>
                      <a:graphic xmlns:a="http://schemas.openxmlformats.org/drawingml/2006/main">
                        <a:graphicData uri="http://schemas.openxmlformats.org/drawingml/2006/picture">
                          <pic:pic xmlns:pic="http://schemas.openxmlformats.org/drawingml/2006/picture">
                            <pic:nvPicPr>
                              <pic:cNvPr id="374" name="图片_1"/>
                              <pic:cNvPicPr/>
                              <pic:nvPr/>
                            </pic:nvPicPr>
                            <pic:blipFill>
                              <a:blip r:embed="rId32"/>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60288;o:allowoverlap:true;o:allowincell:true;mso-position-horizontal-relative:text;margin-left:459.0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bCs/>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5829300</wp:posOffset>
                      </wp:positionH>
                      <wp:positionV relativeFrom="paragraph">
                        <wp:posOffset>0</wp:posOffset>
                      </wp:positionV>
                      <wp:extent cx="10160" cy="10160"/>
                      <wp:effectExtent l="0" t="0" r="0" b="0"/>
                      <wp:wrapNone/>
                      <wp:docPr id="240" name="图片_2"/>
                      <wp:cNvGraphicFramePr/>
                      <a:graphic xmlns:a="http://schemas.openxmlformats.org/drawingml/2006/main">
                        <a:graphicData uri="http://schemas.openxmlformats.org/drawingml/2006/picture">
                          <pic:pic xmlns:pic="http://schemas.openxmlformats.org/drawingml/2006/picture">
                            <pic:nvPicPr>
                              <pic:cNvPr id="375" name="图片_2"/>
                              <pic:cNvPicPr/>
                              <pic:nvPr/>
                            </pic:nvPicPr>
                            <pic:blipFill>
                              <a:blip r:embed="rId32"/>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60288;o:allowoverlap:true;o:allowincell:true;mso-position-horizontal-relative:text;margin-left:459.0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bCs/>
                <w:i w:val="0"/>
                <w:iCs w:val="0"/>
                <w:color w:val="000000"/>
                <w:sz w:val="18"/>
                <w:szCs w:val="18"/>
                <w:highlight w:val="none"/>
                <w:u w:val="none"/>
                <w:lang w:val="en-US" w:eastAsia="zh-CN" w:bidi="ar"/>
              </w:rPr>
              <w:t xml:space="preserve">教室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单人塑钢调节课桌凳</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default" w:ascii="宋体" w:hAnsi="宋体" w:eastAsia="宋体" w:cs="宋体"/>
                <w:i w:val="0"/>
                <w:iCs w:val="0"/>
                <w:color w:val="000000"/>
                <w:sz w:val="18"/>
                <w:szCs w:val="18"/>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default"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default" w:ascii="宋体" w:hAnsi="宋体" w:eastAsia="宋体" w:cs="宋体"/>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书包柜</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0160" cy="10160"/>
                      <wp:effectExtent l="0" t="0" r="0" b="0"/>
                      <wp:wrapNone/>
                      <wp:docPr id="241" name="图片_3"/>
                      <wp:cNvGraphicFramePr/>
                      <a:graphic xmlns:a="http://schemas.openxmlformats.org/drawingml/2006/main">
                        <a:graphicData uri="http://schemas.openxmlformats.org/drawingml/2006/picture">
                          <pic:pic xmlns:pic="http://schemas.openxmlformats.org/drawingml/2006/picture">
                            <pic:nvPicPr>
                              <pic:cNvPr id="376" name="图片_3"/>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60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0160" cy="10160"/>
                      <wp:effectExtent l="0" t="0" r="0" b="0"/>
                      <wp:wrapNone/>
                      <wp:docPr id="242" name="图片_10"/>
                      <wp:cNvGraphicFramePr/>
                      <a:graphic xmlns:a="http://schemas.openxmlformats.org/drawingml/2006/main">
                        <a:graphicData uri="http://schemas.openxmlformats.org/drawingml/2006/picture">
                          <pic:pic xmlns:pic="http://schemas.openxmlformats.org/drawingml/2006/picture">
                            <pic:nvPicPr>
                              <pic:cNvPr id="377" name="图片_10"/>
                              <pic:cNvPicPr/>
                              <pic:nvPr/>
                            </pic:nvPicPr>
                            <pic:blipFill>
                              <a:blip r:embed="rId23"/>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60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后墙黑板</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教室清洁工具</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组合桌</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0160" cy="10160"/>
                      <wp:effectExtent l="0" t="0" r="0" b="0"/>
                      <wp:wrapNone/>
                      <wp:docPr id="243" name="图片_7"/>
                      <wp:cNvGraphicFramePr/>
                      <a:graphic xmlns:a="http://schemas.openxmlformats.org/drawingml/2006/main">
                        <a:graphicData uri="http://schemas.openxmlformats.org/drawingml/2006/picture">
                          <pic:pic xmlns:pic="http://schemas.openxmlformats.org/drawingml/2006/picture">
                            <pic:nvPicPr>
                              <pic:cNvPr id="378" name="图片_7"/>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660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0160" cy="10160"/>
                      <wp:effectExtent l="0" t="0" r="0" b="0"/>
                      <wp:wrapNone/>
                      <wp:docPr id="244" name="图片_12"/>
                      <wp:cNvGraphicFramePr/>
                      <a:graphic xmlns:a="http://schemas.openxmlformats.org/drawingml/2006/main">
                        <a:graphicData uri="http://schemas.openxmlformats.org/drawingml/2006/picture">
                          <pic:pic xmlns:pic="http://schemas.openxmlformats.org/drawingml/2006/picture">
                            <pic:nvPicPr>
                              <pic:cNvPr id="379" name="图片_12"/>
                              <pic:cNvPicPr/>
                              <pic:nvPr/>
                            </pic:nvPicPr>
                            <pic:blipFill>
                              <a:blip r:embed="rId20"/>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660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0160" cy="10160"/>
                      <wp:effectExtent l="0" t="0" r="0" b="0"/>
                      <wp:wrapNone/>
                      <wp:docPr id="245" name="图片_6"/>
                      <wp:cNvGraphicFramePr/>
                      <a:graphic xmlns:a="http://schemas.openxmlformats.org/drawingml/2006/main">
                        <a:graphicData uri="http://schemas.openxmlformats.org/drawingml/2006/picture">
                          <pic:pic xmlns:pic="http://schemas.openxmlformats.org/drawingml/2006/picture">
                            <pic:nvPicPr>
                              <pic:cNvPr id="380" name="图片_6"/>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660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0160" cy="10160"/>
                      <wp:effectExtent l="0" t="0" r="0" b="0"/>
                      <wp:wrapNone/>
                      <wp:docPr id="246" name="图片_8"/>
                      <wp:cNvGraphicFramePr/>
                      <a:graphic xmlns:a="http://schemas.openxmlformats.org/drawingml/2006/main">
                        <a:graphicData uri="http://schemas.openxmlformats.org/drawingml/2006/picture">
                          <pic:pic xmlns:pic="http://schemas.openxmlformats.org/drawingml/2006/picture">
                            <pic:nvPicPr>
                              <pic:cNvPr id="381" name="图片_8"/>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660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0160" cy="10160"/>
                      <wp:effectExtent l="0" t="0" r="0" b="0"/>
                      <wp:wrapNone/>
                      <wp:docPr id="247" name="图片_11"/>
                      <wp:cNvGraphicFramePr/>
                      <a:graphic xmlns:a="http://schemas.openxmlformats.org/drawingml/2006/main">
                        <a:graphicData uri="http://schemas.openxmlformats.org/drawingml/2006/picture">
                          <pic:pic xmlns:pic="http://schemas.openxmlformats.org/drawingml/2006/picture">
                            <pic:nvPicPr>
                              <pic:cNvPr id="382" name="图片_11"/>
                              <pic:cNvPicPr/>
                              <pic:nvPr/>
                            </pic:nvPicPr>
                            <pic:blipFill>
                              <a:blip r:embed="rId24"/>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660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0160" cy="10160"/>
                      <wp:effectExtent l="0" t="0" r="0" b="0"/>
                      <wp:wrapNone/>
                      <wp:docPr id="248" name="图片_5"/>
                      <wp:cNvGraphicFramePr/>
                      <a:graphic xmlns:a="http://schemas.openxmlformats.org/drawingml/2006/main">
                        <a:graphicData uri="http://schemas.openxmlformats.org/drawingml/2006/picture">
                          <pic:pic xmlns:pic="http://schemas.openxmlformats.org/drawingml/2006/picture">
                            <pic:nvPicPr>
                              <pic:cNvPr id="383" name="图片_5"/>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660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0160" cy="10160"/>
                      <wp:effectExtent l="0" t="0" r="0" b="0"/>
                      <wp:wrapNone/>
                      <wp:docPr id="249" name="图片_4"/>
                      <wp:cNvGraphicFramePr/>
                      <a:graphic xmlns:a="http://schemas.openxmlformats.org/drawingml/2006/main">
                        <a:graphicData uri="http://schemas.openxmlformats.org/drawingml/2006/picture">
                          <pic:pic xmlns:pic="http://schemas.openxmlformats.org/drawingml/2006/picture">
                            <pic:nvPicPr>
                              <pic:cNvPr id="384" name="图片_4"/>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660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多功能椅</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0160" cy="10160"/>
                      <wp:effectExtent l="0" t="0" r="0" b="0"/>
                      <wp:wrapNone/>
                      <wp:docPr id="250" name="图片_9"/>
                      <wp:cNvGraphicFramePr/>
                      <a:graphic xmlns:a="http://schemas.openxmlformats.org/drawingml/2006/main">
                        <a:graphicData uri="http://schemas.openxmlformats.org/drawingml/2006/picture">
                          <pic:pic xmlns:pic="http://schemas.openxmlformats.org/drawingml/2006/picture">
                            <pic:nvPicPr>
                              <pic:cNvPr id="385" name="图片_9"/>
                              <pic:cNvPicPr/>
                              <pic:nvPr/>
                            </pic:nvPicPr>
                            <pic:blipFill>
                              <a:blip r:embed="rId19"/>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660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报告厅礼堂椅</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看台座椅</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3320</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jc w:val="center"/>
          <w:trHeight w:val="0"/>
        </w:trPr>
        <w:tc>
          <w:tcPr>
            <w:gridSpan w:val="2"/>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249"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大写：                  （¥：             元）</w:t>
            </w:r>
            <w:r/>
          </w:p>
        </w:tc>
      </w:tr>
      <w:tr>
        <w:trPr>
          <w:jc w:val="center"/>
          <w:trHeight w:val="0"/>
        </w:trPr>
        <w:tc>
          <w:tcPr>
            <w:gridSpan w:val="7"/>
            <w:shd w:val="clear" w:color="auto" w:fill="ffffff"/>
            <w:tcBorders>
              <w:top w:val="single" w:color="000000" w:sz="4" w:space="0"/>
              <w:left w:val="single" w:color="000000" w:sz="4" w:space="0"/>
              <w:bottom w:val="single" w:color="auto" w:sz="4" w:space="0"/>
              <w:right w:val="single" w:color="000000" w:sz="4" w:space="0"/>
            </w:tcBorders>
            <w:tcW w:w="8522" w:type="dxa"/>
            <w:vAlign w:val="center"/>
            <w:textDirection w:val="lrTb"/>
            <w:noWrap/>
          </w:tcPr>
          <w:p>
            <w:pPr>
              <w:jc w:val="both"/>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4"/>
                <w:szCs w:val="24"/>
                <w:highlight w:val="none"/>
                <w:u w:val="single"/>
                <w:lang w:val="en-US" w:eastAsia="zh-CN" w:bidi="ar"/>
              </w:rPr>
              <w:t xml:space="preserve">        </w:t>
            </w:r>
            <w:r>
              <w:rPr>
                <w:rFonts w:hint="eastAsia" w:ascii="宋体" w:hAnsi="宋体" w:eastAsia="宋体" w:cs="宋体"/>
                <w:b/>
                <w:bCs/>
                <w:i w:val="0"/>
                <w:iCs w:val="0"/>
                <w:color w:val="000000"/>
                <w:sz w:val="24"/>
                <w:szCs w:val="24"/>
                <w:highlight w:val="none"/>
                <w:u w:val="none"/>
                <w:lang w:val="en-US" w:eastAsia="zh-CN" w:bidi="ar"/>
              </w:rPr>
              <w:t xml:space="preserve">%</w:t>
            </w:r>
            <w:r/>
          </w:p>
        </w:tc>
      </w:tr>
    </w:tbl>
    <w:p>
      <w:pPr>
        <w:pStyle w:val="1070"/>
        <w:ind w:left="0" w:firstLine="0"/>
        <w:jc w:val="left"/>
        <w:keepLines w:val="0"/>
        <w:keepNext w:val="0"/>
        <w:pageBreakBefore w:val="0"/>
        <w:spacing w:before="157" w:after="157" w:line="400" w:lineRule="exact"/>
        <w:widowControl/>
        <w:rPr>
          <w:rFonts w:hint="eastAsia" w:ascii="宋体" w:hAnsi="宋体" w:eastAsia="宋体" w:cs="宋体"/>
          <w:b/>
          <w:bCs/>
          <w:sz w:val="24"/>
          <w:szCs w:val="24"/>
          <w:highlight w:val="none"/>
          <w:u w:val="none"/>
          <w:lang w:val="en-US" w:eastAsia="zh-CN"/>
        </w:rPr>
      </w:pPr>
      <w:r>
        <w:rPr>
          <w:rFonts w:hint="eastAsia" w:ascii="宋体" w:hAnsi="宋体" w:eastAsia="宋体" w:cs="宋体"/>
          <w:b/>
          <w:bCs/>
          <w:sz w:val="24"/>
          <w:szCs w:val="24"/>
          <w:highlight w:val="none"/>
          <w:u w:val="none"/>
          <w:lang w:val="en-US" w:eastAsia="zh-CN"/>
        </w:rPr>
      </w:r>
      <w:r/>
    </w:p>
    <w:p>
      <w:pPr>
        <w:ind w:right="0"/>
        <w:jc w:val="left"/>
        <w:keepLines w:val="0"/>
        <w:keepNext w:val="0"/>
        <w:spacing w:line="560" w:lineRule="exact"/>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法定代表人或其委托受托人签字：</w:t>
      </w:r>
      <w:r>
        <w:rPr>
          <w:rFonts w:hint="eastAsia" w:ascii="宋体" w:hAnsi="宋体" w:eastAsia="宋体" w:cs="宋体"/>
          <w:sz w:val="24"/>
          <w:highlight w:val="none"/>
          <w:u w:val="single"/>
        </w:rPr>
        <w:t xml:space="preserve">                 </w:t>
      </w:r>
      <w:r/>
    </w:p>
    <w:p>
      <w:pPr>
        <w:pStyle w:val="966"/>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66"/>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pStyle w:val="966"/>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（1）所有价格系人民币表示。</w:t>
      </w:r>
      <w:r/>
    </w:p>
    <w:p>
      <w:pPr>
        <w:pStyle w:val="966"/>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（2）上述表中的单价应包括人工、</w:t>
      </w:r>
      <w:r>
        <w:rPr>
          <w:rFonts w:hint="eastAsia" w:ascii="宋体" w:hAnsi="宋体" w:eastAsia="宋体" w:cs="宋体"/>
          <w:sz w:val="24"/>
          <w:szCs w:val="24"/>
          <w:highlight w:val="none"/>
          <w:lang w:val="en-US" w:eastAsia="zh-CN"/>
        </w:rPr>
        <w:t xml:space="preserve">货物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安装调试</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检验检测、装卸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运输</w:t>
      </w:r>
      <w:r>
        <w:rPr>
          <w:rFonts w:hint="eastAsia" w:ascii="宋体" w:hAnsi="宋体" w:eastAsia="宋体" w:cs="宋体"/>
          <w:sz w:val="24"/>
          <w:szCs w:val="24"/>
          <w:highlight w:val="none"/>
        </w:rPr>
        <w:t xml:space="preserve">、保险（意外保险）以及服务过程中一切可能发生的所有费用，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不得再以其他任何理由要求采购人支付其他任何费用。</w:t>
      </w:r>
      <w:r/>
    </w:p>
    <w:p>
      <w:pPr>
        <w:pStyle w:val="966"/>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（3）如果单价和总价不符时，以单价为准。</w:t>
      </w:r>
      <w:r/>
    </w:p>
    <w:p>
      <w:pPr>
        <w:pStyle w:val="966"/>
        <w:ind w:right="0" w:firstLine="240"/>
        <w:keepLines w:val="0"/>
        <w:keepNext w:val="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（4）本采购包中含有多种产品时，</w:t>
      </w:r>
      <w:r>
        <w:rPr>
          <w:rFonts w:hint="eastAsia" w:hAnsi="宋体" w:cs="宋体"/>
          <w:sz w:val="24"/>
          <w:szCs w:val="24"/>
          <w:highlight w:val="none"/>
          <w:lang w:val="en-US" w:eastAsia="zh-CN" w:bidi="ar-SA"/>
        </w:rPr>
        <w:t xml:space="preserve">投标人</w:t>
      </w:r>
      <w:r>
        <w:rPr>
          <w:rFonts w:hint="eastAsia" w:ascii="宋体" w:hAnsi="宋体" w:eastAsia="宋体" w:cs="宋体"/>
          <w:sz w:val="24"/>
          <w:szCs w:val="24"/>
          <w:highlight w:val="none"/>
          <w:lang w:val="en-US" w:eastAsia="zh-CN" w:bidi="ar-SA"/>
        </w:rPr>
        <w:t xml:space="preserve">未填写本采购包中提供的符合本国产品标准的产品成本之和占该采购包提供的全部产品成本之和的比例数值的，或比例数值未达到80%的，将不享受本国产品价格评审优惠。</w:t>
      </w:r>
      <w:r/>
    </w:p>
    <w:p>
      <w:pPr>
        <w:numPr>
          <w:ilvl w:val="0"/>
          <w:numId w:val="0"/>
        </w:numPr>
        <w:ind w:right="0"/>
        <w:jc w:val="center"/>
        <w:keepLines w:val="0"/>
        <w:keepNext w:val="0"/>
        <w:pageBreakBefore/>
        <w:widowControl w:val="off"/>
        <w:rPr>
          <w:rFonts w:hint="eastAsia" w:ascii="宋体" w:hAnsi="宋体" w:eastAsia="宋体" w:cs="宋体"/>
          <w:b/>
          <w:bCs/>
          <w:spacing w:val="20"/>
          <w:sz w:val="32"/>
          <w:szCs w:val="32"/>
          <w:highlight w:val="none"/>
          <w:lang w:val="en-US" w:eastAsia="zh-CN" w:bidi="ar-SA"/>
        </w:rPr>
        <w:outlineLvl w:val="9"/>
      </w:pPr>
      <w:r>
        <w:rPr>
          <w:rFonts w:hint="eastAsia" w:ascii="宋体" w:hAnsi="宋体" w:eastAsia="宋体" w:cs="宋体"/>
          <w:b/>
          <w:bCs/>
          <w:spacing w:val="20"/>
          <w:sz w:val="32"/>
          <w:szCs w:val="32"/>
          <w:highlight w:val="none"/>
          <w:lang w:val="en-US" w:eastAsia="zh-CN" w:bidi="ar-SA"/>
        </w:rPr>
        <w:t xml:space="preserve">四、技术要求响应偏离表</w:t>
      </w:r>
      <w:r/>
    </w:p>
    <w:tbl>
      <w:tblPr>
        <w:tblStyle w:val="743"/>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525"/>
        <w:gridCol w:w="3540"/>
        <w:gridCol w:w="900"/>
        <w:gridCol w:w="975"/>
      </w:tblGrid>
      <w:tr>
        <w:trPr>
          <w:trHeight w:val="905"/>
        </w:trPr>
        <w:tc>
          <w:tcPr>
            <w:tcW w:w="84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35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项目采购需求中主要技术条款描述</w:t>
            </w:r>
            <w:r/>
          </w:p>
        </w:tc>
        <w:tc>
          <w:tcPr>
            <w:tcW w:w="354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所投产品规格、型号及相应技术参数描述</w:t>
            </w:r>
            <w:r/>
          </w:p>
        </w:tc>
        <w:tc>
          <w:tcPr>
            <w:tcW w:w="9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偏离情况</w:t>
            </w:r>
            <w:r/>
          </w:p>
        </w:tc>
        <w:tc>
          <w:tcPr>
            <w:tcW w:w="9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备注</w:t>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2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0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2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0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2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0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2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0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2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0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2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0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2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0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2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0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2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0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2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0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2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0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2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0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2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54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00"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5" w:type="dxa"/>
            <w:vAlign w:val="center"/>
            <w:textDirection w:val="lrTb"/>
            <w:noWrap w:val="false"/>
          </w:tcPr>
          <w:p>
            <w:pPr>
              <w:jc w:val="cente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投标人： </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法定代表人或其委托受托人签字：</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注：（1）此表为表样，行数可自行添加，但表式不变。 </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（2）是否偏离用符号“+、=、-”分别表示正偏离、完全响应、负偏离。</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（3）投标人必须仔细阅读本招标文件第五章项目采购需求及总体要求</w:t>
      </w:r>
      <w:r>
        <w:rPr>
          <w:rFonts w:hint="eastAsia" w:ascii="宋体" w:hAnsi="宋体" w:eastAsia="宋体" w:cs="宋体"/>
          <w:sz w:val="24"/>
          <w:highlight w:val="none"/>
          <w:lang w:val="en-US" w:eastAsia="zh-CN"/>
        </w:rPr>
        <w:t xml:space="preserve">中设备技术参数要求</w:t>
      </w:r>
      <w:r>
        <w:rPr>
          <w:rFonts w:hint="eastAsia" w:ascii="宋体" w:hAnsi="宋体" w:eastAsia="宋体" w:cs="宋体"/>
          <w:sz w:val="24"/>
          <w:highlight w:val="none"/>
          <w:lang w:eastAsia="zh-CN"/>
        </w:rPr>
        <w:t xml:space="preserve">，并将</w:t>
      </w:r>
      <w:r>
        <w:rPr>
          <w:rFonts w:hint="eastAsia" w:ascii="宋体" w:hAnsi="宋体" w:eastAsia="宋体" w:cs="宋体"/>
          <w:sz w:val="24"/>
          <w:highlight w:val="none"/>
          <w:lang w:val="en-US" w:eastAsia="zh-CN"/>
        </w:rPr>
        <w:t xml:space="preserve">拟投采购包</w:t>
      </w:r>
      <w:r>
        <w:rPr>
          <w:rFonts w:hint="eastAsia" w:ascii="宋体" w:hAnsi="宋体" w:eastAsia="宋体" w:cs="宋体"/>
          <w:sz w:val="24"/>
          <w:highlight w:val="none"/>
          <w:lang w:eastAsia="zh-CN"/>
        </w:rPr>
        <w:t xml:space="preserve">响应情况及偏离情况逐项填入上表，</w:t>
      </w:r>
      <w:r>
        <w:rPr>
          <w:rFonts w:hint="eastAsia" w:ascii="宋体" w:hAnsi="宋体" w:eastAsia="宋体" w:cs="宋体"/>
          <w:sz w:val="24"/>
          <w:highlight w:val="none"/>
          <w:lang w:val="en-US" w:eastAsia="zh-CN"/>
        </w:rPr>
        <w:t xml:space="preserve">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项的不接受负偏离</w:t>
      </w:r>
      <w:r>
        <w:rPr>
          <w:rFonts w:hint="eastAsia" w:ascii="宋体" w:hAnsi="宋体" w:eastAsia="宋体" w:cs="宋体"/>
          <w:sz w:val="24"/>
          <w:highlight w:val="none"/>
          <w:lang w:eastAsia="zh-CN"/>
        </w:rPr>
        <w:t xml:space="preserve">。</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right="0"/>
        <w:jc w:val="center"/>
        <w:keepLines w:val="0"/>
        <w:keepNext w:val="0"/>
        <w:pageBreakBefore/>
        <w:spacing w:line="520" w:lineRule="exact"/>
        <w:rPr>
          <w:rFonts w:hint="eastAsia" w:ascii="宋体" w:hAnsi="宋体" w:eastAsia="宋体" w:cs="宋体"/>
          <w:b/>
          <w:sz w:val="32"/>
          <w:szCs w:val="32"/>
          <w:highlight w:val="none"/>
        </w:rPr>
        <w:outlineLvl w:val="9"/>
      </w:pPr>
      <w:r>
        <w:rPr>
          <w:rFonts w:hint="eastAsia" w:ascii="宋体" w:hAnsi="宋体" w:eastAsia="宋体" w:cs="宋体"/>
          <w:b/>
          <w:sz w:val="32"/>
          <w:szCs w:val="32"/>
          <w:highlight w:val="none"/>
          <w:lang w:val="en-US" w:eastAsia="zh-CN"/>
        </w:rPr>
        <w:t xml:space="preserve">五</w:t>
      </w:r>
      <w:r>
        <w:rPr>
          <w:rFonts w:hint="eastAsia" w:ascii="宋体" w:hAnsi="宋体" w:eastAsia="宋体" w:cs="宋体"/>
          <w:b/>
          <w:sz w:val="32"/>
          <w:szCs w:val="32"/>
          <w:highlight w:val="none"/>
        </w:rPr>
        <w:t xml:space="preserve">、服务承诺</w:t>
      </w:r>
      <w:r/>
    </w:p>
    <w:p>
      <w:pPr>
        <w:pStyle w:val="1063"/>
        <w:ind w:right="0"/>
        <w:jc w:val="center"/>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自定、加盖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公章）</w:t>
      </w:r>
      <w:r/>
    </w:p>
    <w:p>
      <w:pPr>
        <w:pStyle w:val="966"/>
        <w:ind w:right="0"/>
        <w:keepLines w:val="0"/>
        <w:keepNext w:val="0"/>
        <w:spacing w:line="6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ind w:right="0"/>
        <w:jc w:val="left"/>
        <w:keepLines w:val="0"/>
        <w:keepNext w:val="0"/>
        <w:pageBreakBefore/>
        <w:spacing w:line="520" w:lineRule="exact"/>
        <w:rPr>
          <w:rFonts w:hint="eastAsia" w:ascii="宋体" w:hAnsi="宋体" w:eastAsia="宋体" w:cs="宋体"/>
          <w:b/>
          <w:bCs/>
          <w:sz w:val="32"/>
          <w:szCs w:val="32"/>
          <w:highlight w:val="none"/>
        </w:rPr>
        <w:outlineLvl w:val="9"/>
      </w:pPr>
      <w:r/>
      <w:bookmarkStart w:id="40" w:name="_Toc157775454"/>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资质审查时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必须提交的资格证明文件</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符合《中华人民共和国政府采购法》第二十二条规定</w:t>
      </w:r>
      <w:r>
        <w:rPr>
          <w:rFonts w:hint="eastAsia" w:ascii="宋体" w:hAnsi="宋体" w:eastAsia="宋体" w:cs="宋体"/>
          <w:sz w:val="24"/>
          <w:highlight w:val="none"/>
          <w:lang w:val="en-US" w:eastAsia="zh-CN"/>
        </w:rPr>
        <w:t xml:space="preserve">条件</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lang w:val="en-US" w:eastAsia="zh-CN"/>
        </w:rPr>
        <w:t xml:space="preserve">声明函</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rPr>
        <w:t xml:space="preserve">（格式按照示范格式三要求提供）</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投标投标人</w:t>
      </w:r>
      <w:r>
        <w:rPr>
          <w:rFonts w:hint="eastAsia" w:ascii="宋体" w:hAnsi="宋体" w:eastAsia="宋体" w:cs="宋体"/>
          <w:sz w:val="24"/>
          <w:highlight w:val="none"/>
        </w:rPr>
        <w:t xml:space="preserve">提供下列之一</w:t>
      </w:r>
      <w:r>
        <w:rPr>
          <w:rFonts w:hint="eastAsia" w:ascii="宋体" w:hAnsi="宋体" w:eastAsia="宋体" w:cs="宋体"/>
          <w:b/>
          <w:bCs/>
          <w:sz w:val="24"/>
          <w:highlight w:val="none"/>
        </w:rPr>
        <w:t xml:space="preserve">（提供相关材料）：</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法定代表人参加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的，提供法定代表人资格证明（格式按照示范格式一要求）和法定代表人有效身份证</w:t>
      </w:r>
      <w:r>
        <w:rPr>
          <w:rFonts w:hint="eastAsia" w:ascii="宋体" w:hAnsi="宋体" w:eastAsia="宋体" w:cs="宋体"/>
          <w:b/>
          <w:bCs/>
          <w:sz w:val="24"/>
          <w:highlight w:val="none"/>
        </w:rPr>
        <w:t xml:space="preserve">（提供法人资格证明和身份证原件扫描件）；</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授权委托人参加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的，提供授权委托书（格式按照示范格式二要求）和受托人有效身份证</w:t>
      </w:r>
      <w:r>
        <w:rPr>
          <w:rFonts w:hint="eastAsia" w:ascii="宋体" w:hAnsi="宋体" w:eastAsia="宋体" w:cs="宋体"/>
          <w:b/>
          <w:bCs/>
          <w:sz w:val="24"/>
          <w:highlight w:val="none"/>
        </w:rPr>
        <w:t xml:space="preserve">（提供授权委托书和身份证原件扫描件）。</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落实政府采购政策需满足的资格要求</w:t>
      </w:r>
      <w:r>
        <w:rPr>
          <w:rFonts w:hint="eastAsia" w:ascii="宋体" w:hAnsi="宋体" w:eastAsia="宋体" w:cs="宋体"/>
          <w:b/>
          <w:bCs/>
          <w:sz w:val="24"/>
          <w:highlight w:val="none"/>
        </w:rPr>
        <w:t xml:space="preserve">（提供下列任一项材料即可）</w:t>
      </w:r>
      <w:r>
        <w:rPr>
          <w:rFonts w:hint="eastAsia" w:ascii="宋体" w:hAnsi="宋体" w:eastAsia="宋体" w:cs="宋体"/>
          <w:sz w:val="24"/>
          <w:highlight w:val="none"/>
        </w:rPr>
        <w:t xml:space="preserve">：</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中小</w:t>
      </w:r>
      <w:r>
        <w:rPr>
          <w:rFonts w:hint="eastAsia" w:ascii="宋体" w:hAnsi="宋体" w:eastAsia="宋体" w:cs="宋体"/>
          <w:sz w:val="24"/>
          <w:highlight w:val="none"/>
        </w:rPr>
        <w:t xml:space="preserve">企业声明函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（2）《残疾人福利性单位声明函》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p>
    <w:p>
      <w:pPr>
        <w:ind w:right="0" w:firstLine="480"/>
        <w:jc w:val="left"/>
        <w:keepLines w:val="0"/>
        <w:keepNext w:val="0"/>
        <w:spacing w:line="48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（3）由省级以上监狱管理局、戒毒管理局（含新疆生产建设兵团）出具的属于监狱企业的证明文件。</w:t>
      </w:r>
      <w:r>
        <w:rPr>
          <w:rFonts w:hint="eastAsia" w:ascii="宋体" w:hAnsi="宋体" w:eastAsia="宋体" w:cs="宋体"/>
          <w:b/>
          <w:bCs/>
          <w:sz w:val="24"/>
          <w:highlight w:val="none"/>
        </w:rPr>
        <w:t xml:space="preserve">（提供加盖出具单位公章的原件扫描件上传）</w:t>
      </w:r>
      <w:r>
        <w:rPr>
          <w:rFonts w:hint="eastAsia" w:ascii="宋体" w:hAnsi="宋体" w:eastAsia="宋体" w:cs="宋体"/>
          <w:sz w:val="24"/>
          <w:highlight w:val="none"/>
          <w:lang w:eastAsia="zh-CN"/>
        </w:rPr>
        <w:t xml:space="preserve">；</w:t>
      </w:r>
      <w:r/>
    </w:p>
    <w:p>
      <w:pPr>
        <w:numPr>
          <w:ilvl w:val="0"/>
          <w:numId w:val="0"/>
        </w:num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本项目不接受联合体</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w:t>
      </w:r>
      <w:r>
        <w:rPr>
          <w:rFonts w:hint="eastAsia" w:ascii="宋体" w:hAnsi="宋体" w:eastAsia="宋体" w:cs="宋体"/>
          <w:b/>
          <w:bCs/>
          <w:sz w:val="24"/>
          <w:highlight w:val="none"/>
        </w:rPr>
        <w:t xml:space="preserve">（不是联合体即可）</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拒绝符合下述条件的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参加本次采购活动</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要求提供）：</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采购人（代理机构）通过“信用中国”网站（www.creditchina.gov.cn）、“中国政府采购网”网站（www.ccgp.gov.cn）等渠道查询</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在采购公告发布之日前的信用记录并保存，查询结果以网页打印的形式留存并归档。</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以上所有要求提供的证明材料在投标截止时间之前</w:t>
      </w:r>
      <w:r>
        <w:rPr>
          <w:rFonts w:hint="eastAsia" w:ascii="宋体" w:hAnsi="宋体" w:eastAsia="宋体" w:cs="宋体"/>
          <w:sz w:val="24"/>
          <w:highlight w:val="none"/>
          <w:lang w:eastAsia="zh-CN"/>
        </w:rPr>
        <w:t xml:space="preserve">，使</w:t>
      </w:r>
      <w:r>
        <w:rPr>
          <w:rFonts w:hint="eastAsia" w:ascii="宋体" w:hAnsi="宋体" w:eastAsia="宋体" w:cs="宋体"/>
          <w:color w:val="0000ff"/>
          <w:sz w:val="24"/>
          <w:highlight w:val="none"/>
        </w:rPr>
        <w:t xml:space="preserve">用投标文件制作工具制作并生成上传至苏</w:t>
      </w:r>
      <w:r>
        <w:rPr>
          <w:rFonts w:hint="eastAsia" w:ascii="宋体" w:hAnsi="宋体" w:eastAsia="宋体" w:cs="宋体"/>
          <w:color w:val="0000ff"/>
          <w:sz w:val="24"/>
          <w:highlight w:val="none"/>
          <w:lang w:val="en-US" w:eastAsia="zh-CN"/>
        </w:rPr>
        <w:t xml:space="preserve">采</w:t>
      </w:r>
      <w:r>
        <w:rPr>
          <w:rFonts w:hint="eastAsia" w:ascii="宋体" w:hAnsi="宋体" w:eastAsia="宋体" w:cs="宋体"/>
          <w:color w:val="0000ff"/>
          <w:sz w:val="24"/>
          <w:highlight w:val="none"/>
        </w:rPr>
        <w:t xml:space="preserve">云平台</w:t>
      </w:r>
      <w:r>
        <w:rPr>
          <w:rFonts w:hint="eastAsia" w:ascii="宋体" w:hAnsi="宋体" w:eastAsia="宋体" w:cs="宋体"/>
          <w:sz w:val="24"/>
          <w:highlight w:val="none"/>
        </w:rPr>
        <w:t xml:space="preserve">，纸质文件不作为审查对象。如电子投标文件无法查阅上述所要求提供的证明材料的评审小组将以未提供证明材料取消其继续参加评审的资格。</w:t>
      </w:r>
      <w:r/>
    </w:p>
    <w:p>
      <w:pPr>
        <w:ind w:right="0" w:firstLine="480"/>
        <w:jc w:val="left"/>
        <w:keepLines w:val="0"/>
        <w:keepNext w:val="0"/>
        <w:spacing w:line="480" w:lineRule="exact"/>
        <w:widowControl w:val="off"/>
        <w:rPr>
          <w:rFonts w:hint="eastAsia" w:ascii="宋体" w:hAnsi="宋体" w:eastAsia="宋体" w:cs="宋体"/>
          <w:b/>
          <w:bCs/>
          <w:sz w:val="32"/>
          <w:szCs w:val="32"/>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所提供的资格证明材料应真实、有效，采购人保留对</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提供的资格证明材料进行核查的权利。如发现</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提供虚假资格证明材料，采购人将对其进行严肃处理。</w:t>
      </w:r>
      <w:r>
        <w:rPr>
          <w:rFonts w:hint="eastAsia" w:ascii="宋体" w:hAnsi="宋体" w:eastAsia="宋体" w:cs="宋体"/>
          <w:b/>
          <w:bCs/>
          <w:sz w:val="32"/>
          <w:szCs w:val="32"/>
          <w:highlight w:val="none"/>
          <w:lang w:val="en-US" w:eastAsia="zh-CN"/>
        </w:rPr>
        <w:t xml:space="preserve">七</w:t>
      </w:r>
      <w:r>
        <w:rPr>
          <w:rFonts w:hint="eastAsia" w:ascii="宋体" w:hAnsi="宋体" w:eastAsia="宋体" w:cs="宋体"/>
          <w:b/>
          <w:bCs/>
          <w:sz w:val="32"/>
          <w:szCs w:val="32"/>
          <w:highlight w:val="none"/>
        </w:rPr>
        <w:t xml:space="preserve">、涉及无效响应文件条款中</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必须提供的证明文件</w:t>
      </w:r>
      <w:r/>
    </w:p>
    <w:p>
      <w:pPr>
        <w:ind w:right="0" w:firstLine="480"/>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参加投标时，按照招标文件相关要求提供材料。</w:t>
      </w:r>
      <w:r/>
    </w:p>
    <w:p>
      <w:pPr>
        <w:ind w:right="0"/>
        <w:jc w:val="left"/>
        <w:keepLines w:val="0"/>
        <w:keepNext w:val="0"/>
        <w:spacing w:line="480" w:lineRule="exact"/>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八</w:t>
      </w:r>
      <w:r>
        <w:rPr>
          <w:rFonts w:hint="eastAsia" w:ascii="宋体" w:hAnsi="宋体" w:eastAsia="宋体" w:cs="宋体"/>
          <w:b/>
          <w:bCs/>
          <w:sz w:val="32"/>
          <w:szCs w:val="32"/>
          <w:highlight w:val="none"/>
        </w:rPr>
        <w:t xml:space="preserve">、评审时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需提供的证明文件</w:t>
      </w:r>
      <w:r/>
    </w:p>
    <w:p>
      <w:pPr>
        <w:ind w:right="0" w:firstLine="480"/>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请</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仔细阅读</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文件中评标办法及评分细则。</w:t>
      </w:r>
      <w:r/>
    </w:p>
    <w:p>
      <w:pPr>
        <w:ind w:right="0"/>
        <w:jc w:val="left"/>
        <w:keepLines w:val="0"/>
        <w:keepNext w:val="0"/>
        <w:spacing w:line="480" w:lineRule="exact"/>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认为有必要提供并说明的其他资料</w:t>
      </w:r>
      <w:r/>
    </w:p>
    <w:p>
      <w:pPr>
        <w:ind w:right="0" w:firstLine="480"/>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格式由</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自定，加盖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公章。</w:t>
      </w:r>
      <w:r/>
    </w:p>
    <w:p>
      <w:pPr>
        <w:ind w:right="0" w:firstLine="2877"/>
        <w:keepLines w:val="0"/>
        <w:keepNext w:val="0"/>
        <w:spacing w:line="480" w:lineRule="exact"/>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十</w:t>
      </w:r>
      <w:r>
        <w:rPr>
          <w:rFonts w:hint="eastAsia" w:ascii="宋体" w:hAnsi="宋体" w:eastAsia="宋体" w:cs="宋体"/>
          <w:b/>
          <w:sz w:val="28"/>
          <w:szCs w:val="28"/>
          <w:highlight w:val="none"/>
        </w:rPr>
        <w:t xml:space="preserve">、示范格式</w:t>
      </w:r>
      <w:r/>
    </w:p>
    <w:p>
      <w:pPr>
        <w:ind w:right="0"/>
        <w:keepLines w:val="0"/>
        <w:keepNext w:val="0"/>
        <w:spacing w:line="440" w:lineRule="exact"/>
        <w:rPr>
          <w:rFonts w:hint="eastAsia" w:ascii="宋体" w:hAnsi="宋体" w:eastAsia="宋体" w:cs="宋体"/>
          <w:b/>
          <w:sz w:val="24"/>
          <w:szCs w:val="24"/>
          <w:highlight w:val="none"/>
        </w:rPr>
      </w:pPr>
      <w:r>
        <w:rPr>
          <w:rFonts w:hint="eastAsia" w:ascii="宋体" w:hAnsi="宋体" w:eastAsia="宋体" w:cs="宋体"/>
          <w:b/>
          <w:sz w:val="28"/>
          <w:szCs w:val="28"/>
          <w:highlight w:val="none"/>
        </w:rPr>
        <w:t xml:space="preserve">示范格式一</w:t>
      </w:r>
      <w:r/>
    </w:p>
    <w:p>
      <w:pPr>
        <w:ind w:right="0" w:firstLine="1928"/>
        <w:keepLines w:val="0"/>
        <w:keepNext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bookmarkEnd w:id="40"/>
      <w:r/>
      <w:r/>
    </w:p>
    <w:p>
      <w:pPr>
        <w:ind w:right="0" w:firstLine="2891"/>
        <w:keepLines w:val="0"/>
        <w:keepNext w:val="0"/>
        <w:spacing w:line="640" w:lineRule="exact"/>
        <w:rPr>
          <w:rFonts w:hint="eastAsia" w:ascii="宋体" w:hAnsi="宋体" w:eastAsia="宋体" w:cs="宋体"/>
          <w:b/>
          <w:bCs/>
          <w:sz w:val="32"/>
          <w:szCs w:val="32"/>
          <w:highlight w:val="none"/>
          <w:lang w:val="zh-CN"/>
        </w:rPr>
      </w:pPr>
      <w:r>
        <w:rPr>
          <w:rFonts w:hint="eastAsia" w:ascii="宋体" w:hAnsi="宋体" w:eastAsia="宋体" w:cs="宋体"/>
          <w:b/>
          <w:bCs/>
          <w:sz w:val="32"/>
          <w:szCs w:val="32"/>
          <w:highlight w:val="none"/>
          <w:lang w:val="zh-CN"/>
        </w:rPr>
        <w:t xml:space="preserve">法定代表人资格证明</w:t>
      </w:r>
      <w:r/>
    </w:p>
    <w:p>
      <w:pPr>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单位名称：</w:t>
      </w:r>
      <w:r>
        <w:rPr>
          <w:rFonts w:hint="eastAsia" w:ascii="宋体" w:hAnsi="宋体" w:eastAsia="宋体" w:cs="宋体"/>
          <w:sz w:val="24"/>
          <w:highlight w:val="none"/>
          <w:u w:val="single"/>
        </w:rPr>
        <w:t xml:space="preserve">                    </w:t>
      </w:r>
      <w:r/>
    </w:p>
    <w:p>
      <w:pPr>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地址：</w:t>
      </w:r>
      <w:r>
        <w:rPr>
          <w:rFonts w:hint="eastAsia" w:ascii="宋体" w:hAnsi="宋体" w:eastAsia="宋体" w:cs="宋体"/>
          <w:sz w:val="24"/>
          <w:highlight w:val="none"/>
          <w:u w:val="single"/>
        </w:rPr>
        <w:t xml:space="preserve">                        </w:t>
      </w:r>
      <w:r/>
    </w:p>
    <w:p>
      <w:pPr>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val="zh-CN"/>
        </w:rPr>
        <w:t xml:space="preserve">       性别：</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年龄：</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职务：</w:t>
      </w:r>
      <w:r>
        <w:rPr>
          <w:rFonts w:hint="eastAsia" w:ascii="宋体" w:hAnsi="宋体" w:eastAsia="宋体" w:cs="宋体"/>
          <w:sz w:val="24"/>
          <w:highlight w:val="none"/>
          <w:u w:val="single"/>
        </w:rPr>
        <w:t xml:space="preserve">       </w:t>
      </w:r>
      <w:r/>
    </w:p>
    <w:p>
      <w:pPr>
        <w:ind w:left="1" w:right="0" w:firstLine="4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系</w:t>
      </w:r>
      <w:r>
        <w:rPr>
          <w:rFonts w:hint="eastAsia" w:ascii="宋体" w:hAnsi="宋体" w:eastAsia="宋体" w:cs="宋体"/>
          <w:sz w:val="24"/>
          <w:highlight w:val="none"/>
          <w:u w:val="single"/>
          <w:lang w:val="zh-CN"/>
        </w:rPr>
        <w:t xml:space="preserve"> （投标人名称）</w:t>
      </w:r>
      <w:r>
        <w:rPr>
          <w:rFonts w:hint="eastAsia" w:ascii="宋体" w:hAnsi="宋体" w:eastAsia="宋体" w:cs="宋体"/>
          <w:sz w:val="24"/>
          <w:highlight w:val="none"/>
          <w:lang w:val="zh-CN"/>
        </w:rPr>
        <w:t xml:space="preserve">的法定代表人。</w:t>
      </w:r>
      <w:r>
        <w:rPr>
          <w:rFonts w:hint="eastAsia" w:ascii="宋体" w:hAnsi="宋体" w:eastAsia="宋体" w:cs="宋体"/>
          <w:sz w:val="24"/>
          <w:highlight w:val="none"/>
        </w:rPr>
        <w:t xml:space="preserve">为参与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项目，签署上述项目的响应文件、进行</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、签署合同和处理与之有关的一切事务。</w:t>
      </w:r>
      <w:r/>
    </w:p>
    <w:p>
      <w:pPr>
        <w:ind w:right="0" w:firstLine="28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0" w:firstLine="28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特此证明。</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投标人：</w:t>
      </w:r>
      <w:r>
        <w:rPr>
          <w:rFonts w:hint="eastAsia" w:ascii="宋体" w:hAnsi="宋体" w:eastAsia="宋体" w:cs="宋体"/>
          <w:sz w:val="24"/>
          <w:szCs w:val="24"/>
          <w:highlight w:val="none"/>
          <w:u w:val="single"/>
          <w:lang w:val="zh-CN"/>
        </w:rPr>
        <w:t xml:space="preserve">    （电子签章）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p>
    <w:p>
      <w:pPr>
        <w:pStyle w:val="1016"/>
        <w:ind w:left="4500" w:right="0" w:hanging="1560"/>
        <w:keepLines w:val="0"/>
        <w:keepNext w:val="0"/>
        <w:spacing w:before="0" w:after="0"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p>
    <w:p>
      <w:pPr>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p>
    <w:p>
      <w:pPr>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示范格式二</w:t>
      </w:r>
      <w:r/>
    </w:p>
    <w:p>
      <w:pPr>
        <w:ind w:right="0"/>
        <w:jc w:val="center"/>
        <w:keepLines w:val="0"/>
        <w:keepNext w:val="0"/>
        <w:pageBreakBefore w:val="0"/>
        <w:spacing w:line="52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授权委托书</w:t>
      </w:r>
      <w:r/>
    </w:p>
    <w:p>
      <w:pPr>
        <w:ind w:right="0"/>
        <w:jc w:val="left"/>
        <w:keepLines w:val="0"/>
        <w:keepNext w:val="0"/>
        <w:spacing w:line="6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lang w:eastAsia="zh-CN"/>
        </w:rPr>
        <w:t xml:space="preserve">：</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本授权书宣告：</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地址：</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出生日期：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所在单位：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职务：</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 份 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联系方式：</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兹委托受托人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代表我公司参加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组织的</w:t>
      </w:r>
      <w:r>
        <w:rPr>
          <w:rFonts w:hint="eastAsia" w:ascii="宋体" w:hAnsi="宋体" w:eastAsia="宋体" w:cs="宋体"/>
          <w:color w:val="000000"/>
          <w:sz w:val="24"/>
          <w:highlight w:val="none"/>
          <w:u w:val="single"/>
        </w:rPr>
        <w:t xml:space="preserve">项目名称（项目编号：        ）</w:t>
      </w:r>
      <w:r>
        <w:rPr>
          <w:rFonts w:hint="eastAsia" w:ascii="宋体" w:hAnsi="宋体" w:eastAsia="宋体" w:cs="宋体"/>
          <w:color w:val="000000"/>
          <w:sz w:val="24"/>
          <w:highlight w:val="none"/>
        </w:rPr>
        <w:t xml:space="preserve">采购项目的政府采购活动，受托人有权在该</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活动中，以我单位的名义签署</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函和响应文件，与采购人协商、澄清、解释，签订合同书并执行一切与此有关的事项。</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受托人在办理上述事宜过程中以其自己的名义所签署的所有文件我公司均予以承认。受托人无转委托权。</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委托期限：至上述事宜处理完毕止。</w:t>
      </w:r>
      <w:r/>
    </w:p>
    <w:p>
      <w:pPr>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right="0" w:firstLine="48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委托单位</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    </w:t>
      </w:r>
      <w:r/>
    </w:p>
    <w:p>
      <w:pPr>
        <w:ind w:right="0" w:firstLine="4800"/>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p>
    <w:p>
      <w:pPr>
        <w:ind w:right="0" w:firstLine="5481"/>
        <w:keepLines w:val="0"/>
        <w:keepNext w:val="0"/>
        <w:spacing w:line="560" w:lineRule="exact"/>
        <w:rPr>
          <w:rFonts w:hint="eastAsia" w:ascii="宋体" w:hAnsi="宋体" w:eastAsia="宋体" w:cs="宋体"/>
          <w:b/>
          <w:bCs/>
          <w:sz w:val="28"/>
          <w:highlight w:val="none"/>
        </w:rPr>
      </w:pPr>
      <w:r>
        <w:rPr>
          <w:rFonts w:hint="eastAsia" w:ascii="宋体" w:hAnsi="宋体" w:eastAsia="宋体" w:cs="宋体"/>
          <w:b/>
          <w:bCs/>
          <w:sz w:val="28"/>
          <w:highlight w:val="none"/>
        </w:rPr>
      </w:r>
      <w:r/>
    </w:p>
    <w:p>
      <w:pPr>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p>
    <w:p>
      <w:pPr>
        <w:ind w:right="0"/>
        <w:jc w:val="left"/>
        <w:keepLines w:val="0"/>
        <w:keepNext w:val="0"/>
        <w:pageBreakBefore/>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示范格式三</w:t>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1"/>
        <w:ind w:right="0"/>
        <w:jc w:val="center"/>
        <w:keepLines w:val="0"/>
        <w:keepNext w:val="0"/>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符合《</w:t>
      </w:r>
      <w:r>
        <w:rPr>
          <w:rFonts w:hint="eastAsia" w:ascii="宋体" w:hAnsi="宋体" w:eastAsia="宋体" w:cs="宋体"/>
          <w:b/>
          <w:sz w:val="30"/>
          <w:szCs w:val="30"/>
          <w:highlight w:val="none"/>
          <w:lang w:eastAsia="zh-CN"/>
        </w:rPr>
        <w:t xml:space="preserve">中华人民共和国政府采购法</w:t>
      </w:r>
      <w:r>
        <w:rPr>
          <w:rFonts w:hint="eastAsia" w:ascii="宋体" w:hAnsi="宋体" w:eastAsia="宋体" w:cs="宋体"/>
          <w:b/>
          <w:sz w:val="30"/>
          <w:szCs w:val="30"/>
          <w:highlight w:val="none"/>
        </w:rPr>
        <w:t xml:space="preserve">》第二十二条规定条件的声明函</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我公司参加</w:t>
      </w:r>
      <w:r>
        <w:rPr>
          <w:rFonts w:hint="eastAsia" w:ascii="宋体" w:hAnsi="宋体" w:cs="宋体"/>
          <w:color w:val="000000"/>
          <w:sz w:val="24"/>
          <w:highlight w:val="none"/>
          <w:u w:val="single"/>
          <w:lang w:eastAsia="zh-CN"/>
        </w:rPr>
        <w:t xml:space="preserve">金湖县教育体育局</w:t>
      </w:r>
      <w:r>
        <w:rPr>
          <w:rFonts w:hint="eastAsia" w:ascii="宋体" w:hAnsi="宋体" w:eastAsia="宋体" w:cs="宋体"/>
          <w:color w:val="000000"/>
          <w:sz w:val="24"/>
          <w:highlight w:val="none"/>
        </w:rPr>
        <w:t xml:space="preserve">组织实施的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采购项目的政府采购活动。针对《中华人民共和国政府采购法》第二十二条规定作出如下声明：</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我单位具有独立承担民事责任的能力；</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我单位具有良好的商业信誉和健全的财务会计制度；</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我单位具有履行合同所必需的设备和专业技术能力；</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我单位有依法缴纳税收和社会保障资金的良好记录；</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参加本次政府采购活动前</w:t>
      </w:r>
      <w:r>
        <w:rPr>
          <w:rFonts w:hint="eastAsia" w:ascii="宋体" w:hAnsi="宋体" w:eastAsia="宋体" w:cs="宋体"/>
          <w:color w:val="000000"/>
          <w:sz w:val="24"/>
          <w:highlight w:val="none"/>
          <w:lang w:val="en-US" w:eastAsia="zh-CN"/>
        </w:rPr>
        <w:t xml:space="preserve">三年</w:t>
      </w:r>
      <w:r>
        <w:rPr>
          <w:rFonts w:hint="eastAsia" w:ascii="宋体" w:hAnsi="宋体" w:eastAsia="宋体" w:cs="宋体"/>
          <w:color w:val="000000"/>
          <w:sz w:val="24"/>
          <w:highlight w:val="none"/>
        </w:rPr>
        <w:t xml:space="preserve">内，我公司在经营活动中没有因违法经营受到刑事处罚或者责令停产停业、吊销许可证或者执照、较大数额罚款等行政处罚；</w:t>
      </w:r>
      <w:r/>
    </w:p>
    <w:p>
      <w:pPr>
        <w:ind w:right="0" w:firstLine="480"/>
        <w:jc w:val="left"/>
        <w:keepLines w:val="0"/>
        <w:keepNext w:val="0"/>
        <w:pageBreakBefore w:val="0"/>
        <w:spacing w:line="600" w:lineRule="exact"/>
        <w:widowControl w:val="off"/>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我单位满足法律、行政法规规定的其他条件。</w:t>
      </w:r>
      <w:r/>
    </w:p>
    <w:p>
      <w:pPr>
        <w:pStyle w:val="971"/>
        <w:ind w:right="0" w:firstLine="4320"/>
        <w:keepLines w:val="0"/>
        <w:keepNext w:val="0"/>
        <w:spacing w:line="6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71"/>
        <w:ind w:right="0" w:firstLine="4320"/>
        <w:keepLines w:val="0"/>
        <w:keepNext w:val="0"/>
        <w:spacing w:line="6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right="0" w:firstLine="60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承诺人：</w:t>
      </w:r>
      <w:r>
        <w:rPr>
          <w:rFonts w:hint="eastAsia" w:ascii="宋体" w:hAnsi="宋体" w:eastAsia="宋体" w:cs="宋体"/>
          <w:color w:val="000000"/>
          <w:sz w:val="24"/>
          <w:highlight w:val="none"/>
          <w:u w:val="single"/>
        </w:rPr>
        <w:t xml:space="preserve">（</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w:t>
      </w:r>
      <w:r/>
    </w:p>
    <w:p>
      <w:pPr>
        <w:ind w:right="0"/>
        <w:keepLines w:val="0"/>
        <w:keepNext w:val="0"/>
        <w:spacing w:line="600" w:lineRule="exact"/>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right="0"/>
        <w:keepLines w:val="0"/>
        <w:keepNext w:val="0"/>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pageBreakBefore/>
        <w:widowControl w:val="off"/>
        <w:rPr>
          <w:rFonts w:hint="eastAsia" w:ascii="宋体" w:hAnsi="宋体" w:eastAsia="宋体" w:cs="宋体"/>
          <w:sz w:val="24"/>
          <w:szCs w:val="24"/>
          <w:highlight w:val="none"/>
        </w:rPr>
      </w:pPr>
      <w:r>
        <w:rPr>
          <w:rFonts w:hint="eastAsia" w:ascii="宋体" w:hAnsi="宋体" w:eastAsia="宋体" w:cs="宋体"/>
          <w:b/>
          <w:sz w:val="28"/>
          <w:szCs w:val="28"/>
          <w:highlight w:val="none"/>
        </w:rPr>
        <w:t xml:space="preserve">示范格式四</w:t>
      </w:r>
      <w:r/>
    </w:p>
    <w:p>
      <w:pPr>
        <w:ind w:right="0"/>
        <w:jc w:val="center"/>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 xml:space="preserve">中小企业声明函（货物类）</w:t>
      </w:r>
      <w:r/>
    </w:p>
    <w:p>
      <w:pPr>
        <w:pStyle w:val="955"/>
        <w:ind w:left="0" w:right="0" w:firstLine="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采购人</w:t>
      </w:r>
      <w:r>
        <w:rPr>
          <w:rFonts w:hint="eastAsia" w:ascii="宋体" w:hAnsi="宋体" w:eastAsia="宋体" w:cs="宋体"/>
          <w:bCs/>
          <w:color w:val="000000"/>
          <w:sz w:val="24"/>
          <w:szCs w:val="24"/>
          <w:highlight w:val="none"/>
          <w:u w:val="single"/>
          <w:lang w:val="en-US" w:eastAsia="zh-CN"/>
        </w:rPr>
        <w:t xml:space="preserve">）</w:t>
      </w:r>
      <w:r/>
    </w:p>
    <w:p>
      <w:pPr>
        <w:pStyle w:val="955"/>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采购活动，提供的货物全部由符合政策要求的中小企业制造。相关企业的具体情况如下： </w:t>
      </w:r>
      <w:r/>
    </w:p>
    <w:p>
      <w:pPr>
        <w:pStyle w:val="955"/>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p>
    <w:p>
      <w:pPr>
        <w:pStyle w:val="955"/>
        <w:ind w:right="0" w:firstLine="560"/>
        <w:keepLines w:val="0"/>
        <w:keepNext w:val="0"/>
        <w:spacing w:line="64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p>
    <w:p>
      <w:pPr>
        <w:pStyle w:val="955"/>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pStyle w:val="955"/>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p>
    <w:p>
      <w:pPr>
        <w:pStyle w:val="955"/>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日</w:t>
      </w:r>
      <w:r/>
    </w:p>
    <w:p>
      <w:pPr>
        <w:pStyle w:val="955"/>
        <w:ind w:right="0" w:firstLine="48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注：从业人员、营业收入、资产总额填报上一年度数据，无上一年度数据的新成立企业可不填报。</w:t>
      </w:r>
      <w:r/>
    </w:p>
    <w:p>
      <w:pPr>
        <w:ind w:right="0"/>
        <w:jc w:val="left"/>
        <w:keepLines w:val="0"/>
        <w:keepNext w:val="0"/>
        <w:pageBreakBefore/>
        <w:spacing w:line="640" w:lineRule="exact"/>
        <w:rPr>
          <w:rFonts w:hint="eastAsia" w:ascii="宋体" w:hAnsi="宋体" w:eastAsia="宋体" w:cs="宋体"/>
          <w:b/>
          <w:sz w:val="28"/>
          <w:szCs w:val="28"/>
          <w:highlight w:val="none"/>
        </w:rPr>
        <w:outlineLvl w:val="9"/>
      </w:pPr>
      <w:r/>
      <w:bookmarkStart w:id="41" w:name="_Toc7099"/>
      <w:r>
        <w:rPr>
          <w:rFonts w:hint="eastAsia" w:ascii="宋体" w:hAnsi="宋体" w:eastAsia="宋体" w:cs="宋体"/>
          <w:b/>
          <w:sz w:val="28"/>
          <w:szCs w:val="28"/>
          <w:highlight w:val="none"/>
        </w:rPr>
        <w:t xml:space="preserve">示范格式五</w:t>
      </w:r>
      <w:bookmarkEnd w:id="41"/>
      <w:r/>
      <w:r/>
    </w:p>
    <w:p>
      <w:pPr>
        <w:ind w:right="0"/>
        <w:jc w:val="center"/>
        <w:keepLines w:val="0"/>
        <w:keepNext w:val="0"/>
        <w:spacing w:line="640" w:lineRule="exact"/>
        <w:widowControl/>
        <w:rPr>
          <w:rFonts w:hint="eastAsia" w:ascii="宋体" w:hAnsi="宋体" w:eastAsia="宋体" w:cs="宋体"/>
          <w:sz w:val="32"/>
          <w:szCs w:val="32"/>
          <w:highlight w:val="none"/>
        </w:rPr>
        <w:outlineLvl w:val="9"/>
      </w:pPr>
      <w:r/>
      <w:bookmarkStart w:id="42" w:name="_Toc7212"/>
      <w:r>
        <w:rPr>
          <w:rFonts w:hint="eastAsia" w:ascii="宋体" w:hAnsi="宋体" w:eastAsia="宋体" w:cs="宋体"/>
          <w:b/>
          <w:bCs/>
          <w:color w:val="000000"/>
          <w:sz w:val="32"/>
          <w:szCs w:val="32"/>
          <w:highlight w:val="none"/>
        </w:rPr>
        <w:t xml:space="preserve">残疾人福利性单位声明函</w:t>
      </w:r>
      <w:bookmarkEnd w:id="42"/>
      <w:r/>
      <w:r/>
    </w:p>
    <w:p>
      <w:pPr>
        <w:pStyle w:val="955"/>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宋体" w:hAnsi="宋体" w:eastAsia="宋体" w:cs="宋体"/>
          <w:bCs/>
          <w:color w:val="000000"/>
          <w:sz w:val="24"/>
          <w:szCs w:val="24"/>
          <w:highlight w:val="none"/>
          <w:lang w:eastAsia="zh-CN"/>
        </w:rPr>
        <w:t xml:space="preserve">：</w:t>
      </w:r>
      <w:r/>
    </w:p>
    <w:p>
      <w:pPr>
        <w:pStyle w:val="955"/>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1、根据《财政部民政部中国残疾人联合会关于促进残疾人就业政府采购政策的通知》（财库〔2017〕141号）规定的划分标准，本公司为残疾人福利性企业。</w:t>
      </w:r>
      <w:r/>
    </w:p>
    <w:p>
      <w:pPr>
        <w:pStyle w:val="955"/>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955"/>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rPr>
        <w:t xml:space="preserve">本公司对上述声明的真实性负责。如有虚假，将依法承担相应责任。</w:t>
      </w:r>
      <w:r/>
    </w:p>
    <w:p>
      <w:pPr>
        <w:pStyle w:val="955"/>
        <w:ind w:right="0" w:firstLine="56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p>
    <w:p>
      <w:pPr>
        <w:ind w:right="0" w:firstLine="484"/>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非</w:t>
      </w:r>
      <w:r>
        <w:rPr>
          <w:rFonts w:hint="eastAsia" w:ascii="宋体" w:hAnsi="宋体" w:eastAsia="宋体" w:cs="宋体"/>
          <w:color w:val="000000"/>
          <w:sz w:val="24"/>
          <w:szCs w:val="24"/>
          <w:highlight w:val="none"/>
        </w:rPr>
        <w:t xml:space="preserve">残疾人福利性单位不</w:t>
      </w:r>
      <w:r>
        <w:rPr>
          <w:rFonts w:hint="eastAsia" w:ascii="宋体" w:hAnsi="宋体" w:eastAsia="宋体" w:cs="宋体"/>
          <w:sz w:val="24"/>
          <w:szCs w:val="24"/>
          <w:highlight w:val="none"/>
        </w:rPr>
        <w:t xml:space="preserve">需提供此函。</w:t>
      </w:r>
      <w:r/>
    </w:p>
    <w:p>
      <w:pPr>
        <w:ind w:right="0"/>
        <w:jc w:val="center"/>
        <w:keepLines w:val="0"/>
        <w:keepNext w:val="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ind w:right="0" w:firstLine="548"/>
        <w:keepLines w:val="0"/>
        <w:keepNext w:val="0"/>
        <w:spacing w:line="520" w:lineRule="exact"/>
        <w:rPr>
          <w:rFonts w:hint="eastAsia" w:ascii="宋体" w:hAnsi="宋体" w:eastAsia="宋体" w:cs="宋体"/>
          <w:bCs/>
          <w:sz w:val="28"/>
          <w:highlight w:val="none"/>
        </w:rPr>
      </w:pPr>
      <w:r>
        <w:rPr>
          <w:rFonts w:hint="eastAsia" w:ascii="宋体" w:hAnsi="宋体" w:eastAsia="宋体" w:cs="宋体"/>
          <w:bCs/>
          <w:sz w:val="28"/>
          <w:highlight w:val="none"/>
        </w:rPr>
      </w:r>
      <w:r/>
    </w:p>
    <w:p>
      <w:pPr>
        <w:ind w:right="0"/>
        <w:jc w:val="left"/>
        <w:keepLines w:val="0"/>
        <w:keepNext w:val="0"/>
        <w:pageBreakBefore/>
        <w:spacing w:line="640" w:lineRule="exact"/>
        <w:rPr>
          <w:rFonts w:hint="eastAsia" w:ascii="宋体" w:hAnsi="宋体" w:eastAsia="宋体" w:cs="宋体"/>
          <w:highlight w:val="none"/>
        </w:rPr>
        <w:outlineLvl w:val="9"/>
      </w:pPr>
      <w:r/>
      <w:bookmarkStart w:id="43" w:name="_Toc20345"/>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六</w:t>
      </w:r>
      <w:bookmarkEnd w:id="43"/>
      <w:r/>
      <w:r/>
    </w:p>
    <w:p>
      <w:pPr>
        <w:ind w:right="0"/>
        <w:jc w:val="center"/>
        <w:keepLines w:val="0"/>
        <w:keepNext w:val="0"/>
        <w:spacing w:line="6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承 诺 书</w:t>
      </w:r>
      <w:r/>
    </w:p>
    <w:p>
      <w:pPr>
        <w:ind w:right="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我单位参加本次采购活动，未存在以下情形，承诺如下：</w:t>
      </w:r>
      <w:r/>
    </w:p>
    <w:p>
      <w:pPr>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p>
    <w:p>
      <w:pPr>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p>
    <w:p>
      <w:pPr>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p>
    <w:p>
      <w:pPr>
        <w:ind w:right="0" w:firstLine="480"/>
        <w:keepLines w:val="0"/>
        <w:keepNext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rPr>
        <w:t xml:space="preserve">）：</w:t>
      </w:r>
      <w:r/>
    </w:p>
    <w:p>
      <w:pPr>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359" w:right="0" w:firstLine="234"/>
        <w:keepLines w:val="0"/>
        <w:keepNext w:val="0"/>
        <w:spacing w:line="640" w:lineRule="exact"/>
        <w:rPr>
          <w:rFonts w:hint="eastAsia" w:ascii="宋体" w:hAnsi="宋体" w:eastAsia="宋体" w:cs="宋体"/>
          <w:b/>
          <w:szCs w:val="21"/>
          <w:highlight w:val="none"/>
        </w:rPr>
      </w:pPr>
      <w:r>
        <w:rPr>
          <w:rFonts w:hint="eastAsia" w:ascii="宋体" w:hAnsi="宋体" w:eastAsia="宋体" w:cs="宋体"/>
          <w:b/>
          <w:szCs w:val="21"/>
          <w:highlight w:val="none"/>
        </w:rPr>
      </w:r>
      <w:r/>
    </w:p>
    <w:p>
      <w:pPr>
        <w:ind w:right="0"/>
        <w:keepLines w:val="0"/>
        <w:keepNext w:val="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left"/>
        <w:keepLines w:val="0"/>
        <w:keepNext w:val="0"/>
        <w:pageBreakBefore/>
        <w:spacing w:line="640" w:lineRule="exact"/>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七</w:t>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t xml:space="preserve">关于符合本国产品标准的声明函</w:t>
      </w:r>
      <w:r/>
    </w:p>
    <w:p>
      <w:pPr>
        <w:pStyle w:val="975"/>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Style w:val="980"/>
          <w:rFonts w:hint="eastAsia" w:ascii="宋体" w:hAnsi="宋体" w:eastAsia="宋体" w:cs="宋体"/>
          <w:i w:val="0"/>
          <w:color w:val="000000"/>
          <w:sz w:val="24"/>
          <w:szCs w:val="24"/>
          <w:highlight w:val="none"/>
          <w:u w:val="single"/>
          <w:shd w:val="clear" w:color="auto" w:fill="ffffff"/>
        </w:rPr>
        <w:t xml:space="preserve">（产品名称1）</w:t>
      </w:r>
      <w:r>
        <w:rPr>
          <w:rStyle w:val="980"/>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980"/>
          <w:rFonts w:hint="eastAsia" w:ascii="宋体" w:hAnsi="宋体" w:eastAsia="宋体" w:cs="宋体"/>
          <w:i w:val="0"/>
          <w:color w:val="000000"/>
          <w:sz w:val="24"/>
          <w:szCs w:val="24"/>
          <w:highlight w:val="none"/>
          <w:u w:val="single"/>
          <w:shd w:val="clear" w:color="auto" w:fill="ffffff"/>
        </w:rPr>
        <w:t xml:space="preserve">（厂名）</w:t>
      </w:r>
      <w:r>
        <w:rPr>
          <w:rStyle w:val="980"/>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980"/>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980"/>
          <w:rFonts w:hint="eastAsia" w:ascii="宋体" w:hAnsi="宋体" w:eastAsia="宋体" w:cs="宋体"/>
          <w:i w:val="0"/>
          <w:strike/>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980"/>
          <w:rFonts w:hint="eastAsia" w:ascii="宋体" w:hAnsi="宋体" w:eastAsia="宋体" w:cs="宋体"/>
          <w:i w:val="0"/>
          <w:strike/>
          <w:color w:val="000000"/>
          <w:sz w:val="24"/>
          <w:szCs w:val="24"/>
          <w:highlight w:val="none"/>
          <w:u w:val="single"/>
          <w:shd w:val="clear" w:color="auto" w:fill="ffffff"/>
        </w:rPr>
        <w:t xml:space="preserve">（规定比例）</w:t>
      </w:r>
      <w:r>
        <w:rPr>
          <w:rStyle w:val="980"/>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980"/>
          <w:rFonts w:hint="eastAsia" w:ascii="宋体" w:hAnsi="宋体" w:eastAsia="宋体" w:cs="宋体"/>
          <w:i w:val="0"/>
          <w:strike/>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980"/>
          <w:rFonts w:hint="eastAsia" w:ascii="宋体" w:hAnsi="宋体" w:eastAsia="宋体" w:cs="宋体"/>
          <w:i w:val="0"/>
          <w:strike/>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980"/>
          <w:rFonts w:hint="eastAsia" w:ascii="宋体" w:hAnsi="宋体" w:eastAsia="宋体" w:cs="宋体"/>
          <w:i w:val="0"/>
          <w:strike/>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980"/>
          <w:rFonts w:hint="eastAsia" w:ascii="宋体" w:hAnsi="宋体" w:eastAsia="宋体" w:cs="宋体"/>
          <w:i w:val="0"/>
          <w:strike/>
          <w:color w:val="000000"/>
          <w:sz w:val="24"/>
          <w:szCs w:val="24"/>
          <w:highlight w:val="none"/>
          <w:u w:val="single"/>
          <w:shd w:val="clear" w:color="auto" w:fill="ffffff"/>
        </w:rPr>
        <w:t xml:space="preserve">（关键工序）</w:t>
      </w:r>
      <w:r>
        <w:rPr>
          <w:rStyle w:val="980"/>
          <w:rFonts w:hint="eastAsia" w:ascii="宋体" w:hAnsi="宋体" w:eastAsia="宋体" w:cs="宋体"/>
          <w:i w:val="0"/>
          <w:strike/>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w:t>
      </w:r>
      <w:r>
        <w:rPr>
          <w:rStyle w:val="980"/>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980"/>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980"/>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980"/>
          <w:rFonts w:hint="eastAsia" w:ascii="宋体" w:hAnsi="宋体" w:eastAsia="宋体" w:cs="宋体"/>
          <w:i w:val="0"/>
          <w:strike/>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980"/>
          <w:rFonts w:hint="eastAsia" w:ascii="宋体" w:hAnsi="宋体" w:eastAsia="宋体" w:cs="宋体"/>
          <w:i w:val="0"/>
          <w:strike/>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980"/>
          <w:rFonts w:hint="eastAsia" w:ascii="宋体" w:hAnsi="宋体" w:eastAsia="宋体" w:cs="宋体"/>
          <w:i w:val="0"/>
          <w:strike/>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980"/>
          <w:rFonts w:hint="eastAsia" w:ascii="宋体" w:hAnsi="宋体" w:eastAsia="宋体" w:cs="宋体"/>
          <w:i w:val="0"/>
          <w:strike/>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980"/>
          <w:rFonts w:hint="eastAsia" w:ascii="宋体" w:hAnsi="宋体" w:eastAsia="宋体" w:cs="宋体"/>
          <w:i w:val="0"/>
          <w:strike/>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980"/>
          <w:rFonts w:hint="eastAsia" w:ascii="宋体" w:hAnsi="宋体" w:eastAsia="宋体" w:cs="宋体"/>
          <w:i w:val="0"/>
          <w:strike/>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pStyle w:val="975"/>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w:t>
      </w:r>
      <w:r>
        <w:rPr>
          <w:rFonts w:hint="eastAsia" w:ascii="宋体" w:hAnsi="宋体" w:eastAsia="宋体" w:cs="宋体"/>
          <w:color w:val="000000"/>
          <w:sz w:val="24"/>
          <w:szCs w:val="24"/>
          <w:highlight w:val="none"/>
          <w:shd w:val="clear" w:color="auto" w:fill="ffffff"/>
          <w:lang w:val="en-US" w:eastAsia="zh-CN"/>
        </w:rPr>
        <w:t xml:space="preserve">横线</w:t>
      </w:r>
      <w:r>
        <w:rPr>
          <w:rFonts w:hint="eastAsia" w:ascii="宋体" w:hAnsi="宋体" w:eastAsia="宋体" w:cs="宋体"/>
          <w:color w:val="000000"/>
          <w:sz w:val="24"/>
          <w:szCs w:val="24"/>
          <w:highlight w:val="none"/>
          <w:shd w:val="clear" w:color="auto" w:fill="ffffff"/>
        </w:rPr>
        <w:t xml:space="preserve">划除的地方无需填写。</w:t>
      </w:r>
      <w:r/>
    </w:p>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华文行楷">
    <w:panose1 w:val="02010800040101010101"/>
  </w:font>
  <w:font w:name="Symbol">
    <w:panose1 w:val="05050102010706020507"/>
  </w:font>
  <w:font w:name="Wingdings">
    <w:panose1 w:val="05000000000000000000"/>
  </w:font>
  <w:font w:name="Segoe Print">
    <w:panose1 w:val="02000600000000000000"/>
  </w:font>
  <w:font w:name="Tahoma">
    <w:panose1 w:val="020B0604030504040204"/>
  </w:font>
  <w:font w:name="方正仿宋简体">
    <w:panose1 w:val="020B0503020202020204"/>
  </w:font>
  <w:font w:name="华文彩云">
    <w:panose1 w:val="02010800040101010101"/>
  </w:font>
  <w:font w:name="楷体_GB2312">
    <w:panose1 w:val="02010609060101010101"/>
  </w:font>
  <w:font w:name="仿宋">
    <w:panose1 w:val="0201060906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78"/>
      </w:rPr>
      <w:framePr w:wrap="around" w:vAnchor="text" w:hAnchor="margin" w:xAlign="center" w:y="1"/>
    </w:pPr>
    <w:r>
      <w:fldChar w:fldCharType="begin"/>
    </w:r>
    <w:r>
      <w:rPr>
        <w:rStyle w:val="978"/>
      </w:rPr>
      <w:instrText xml:space="preserve">PAGE  </w:instrText>
    </w:r>
    <w:r>
      <w:fldChar w:fldCharType="end"/>
    </w:r>
    <w:r/>
  </w:p>
  <w:p>
    <w:pPr>
      <w:pStyle w:val="9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ind w:left="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20</w:t>
    </w:r>
    <w:r>
      <w:fldChar w:fldCharType="end"/>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w:t>
    </w:r>
    <w:r>
      <w:rPr>
        <w:rFonts w:hint="eastAsia" w:ascii="华文行楷" w:hAnsi="黑体" w:eastAsia="华文行楷"/>
        <w:sz w:val="28"/>
        <w:szCs w:val="28"/>
        <w:lang w:val="en-US" w:eastAsia="zh-CN"/>
      </w:rPr>
      <w:t xml:space="preserve">公开招标</w:t>
    </w:r>
    <w:r>
      <w:rPr>
        <w:rFonts w:hint="eastAsia" w:ascii="华文行楷" w:hAnsi="黑体" w:eastAsia="华文行楷"/>
        <w:sz w:val="28"/>
        <w:szCs w:val="28"/>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1050" w:hanging="420"/>
      </w:pPr>
      <w:rPr>
        <w:rFonts w:hint="eastAsia" w:ascii="宋体" w:hAnsi="宋体" w:eastAsia="宋体" w:cs="宋体"/>
      </w:rPr>
    </w:lvl>
    <w:lvl w:ilvl="1">
      <w:start w:val="1"/>
      <w:numFmt w:val="lowerLetter"/>
      <w:isLgl w:val="false"/>
      <w:suff w:val="tab"/>
      <w:lvlText w:val="%2)"/>
      <w:lvlJc w:val="left"/>
      <w:pPr>
        <w:ind w:left="1320" w:hanging="420"/>
      </w:pPr>
      <w:rPr>
        <w:rFonts w:hint="eastAsia" w:ascii="宋体" w:hAnsi="宋体" w:eastAsia="宋体" w:cs="宋体"/>
      </w:rPr>
    </w:lvl>
    <w:lvl w:ilvl="2">
      <w:start w:val="1"/>
      <w:numFmt w:val="lowerRoman"/>
      <w:isLgl w:val="false"/>
      <w:suff w:val="tab"/>
      <w:lvlText w:val="%3."/>
      <w:lvlJc w:val="right"/>
      <w:pPr>
        <w:ind w:left="1740" w:hanging="420"/>
      </w:pPr>
      <w:rPr>
        <w:rFonts w:hint="eastAsia" w:ascii="宋体" w:hAnsi="宋体" w:eastAsia="宋体" w:cs="宋体"/>
      </w:rPr>
    </w:lvl>
    <w:lvl w:ilvl="3">
      <w:start w:val="1"/>
      <w:numFmt w:val="decimal"/>
      <w:isLgl w:val="false"/>
      <w:suff w:val="nothing"/>
      <w:lvlText w:val="%4."/>
      <w:lvlJc w:val="left"/>
      <w:pPr>
        <w:ind w:left="2160" w:hanging="420"/>
      </w:pPr>
      <w:rPr>
        <w:rFonts w:hint="eastAsia" w:ascii="宋体" w:hAnsi="宋体" w:eastAsia="宋体" w:cs="宋体"/>
      </w:rPr>
    </w:lvl>
    <w:lvl w:ilvl="4">
      <w:start w:val="1"/>
      <w:numFmt w:val="lowerLetter"/>
      <w:isLgl w:val="false"/>
      <w:suff w:val="tab"/>
      <w:lvlText w:val="%5)"/>
      <w:lvlJc w:val="left"/>
      <w:pPr>
        <w:ind w:left="2580" w:hanging="420"/>
      </w:pPr>
      <w:rPr>
        <w:rFonts w:hint="eastAsia" w:ascii="宋体" w:hAnsi="宋体" w:eastAsia="宋体" w:cs="宋体"/>
      </w:rPr>
    </w:lvl>
    <w:lvl w:ilvl="5">
      <w:start w:val="1"/>
      <w:numFmt w:val="lowerRoman"/>
      <w:isLgl w:val="false"/>
      <w:suff w:val="tab"/>
      <w:lvlText w:val="%6."/>
      <w:lvlJc w:val="right"/>
      <w:pPr>
        <w:ind w:left="3000" w:hanging="420"/>
      </w:pPr>
      <w:rPr>
        <w:rFonts w:hint="eastAsia" w:ascii="宋体" w:hAnsi="宋体" w:eastAsia="宋体" w:cs="宋体"/>
      </w:rPr>
    </w:lvl>
    <w:lvl w:ilvl="6">
      <w:start w:val="1"/>
      <w:numFmt w:val="decimal"/>
      <w:isLgl w:val="false"/>
      <w:suff w:val="tab"/>
      <w:lvlText w:val="%7."/>
      <w:lvlJc w:val="left"/>
      <w:pPr>
        <w:ind w:left="3420" w:hanging="420"/>
      </w:pPr>
      <w:rPr>
        <w:rFonts w:hint="eastAsia" w:ascii="宋体" w:hAnsi="宋体" w:eastAsia="宋体" w:cs="宋体"/>
      </w:rPr>
    </w:lvl>
    <w:lvl w:ilvl="7">
      <w:start w:val="1"/>
      <w:numFmt w:val="lowerLetter"/>
      <w:isLgl w:val="false"/>
      <w:suff w:val="tab"/>
      <w:lvlText w:val="%8)"/>
      <w:lvlJc w:val="left"/>
      <w:pPr>
        <w:ind w:left="3840" w:hanging="420"/>
      </w:pPr>
      <w:rPr>
        <w:rFonts w:hint="eastAsia" w:ascii="宋体" w:hAnsi="宋体" w:eastAsia="宋体" w:cs="宋体"/>
      </w:rPr>
    </w:lvl>
    <w:lvl w:ilvl="8">
      <w:start w:val="1"/>
      <w:numFmt w:val="lowerRoman"/>
      <w:isLgl w:val="false"/>
      <w:suff w:val="tab"/>
      <w:lvlText w:val="%9."/>
      <w:lvlJc w:val="right"/>
      <w:pPr>
        <w:ind w:left="4260" w:hanging="420"/>
      </w:pPr>
      <w:rPr>
        <w:rFonts w:hint="eastAsia" w:ascii="宋体" w:hAnsi="宋体" w:eastAsia="宋体" w:cs="宋体"/>
      </w:rPr>
    </w:lvl>
  </w:abstractNum>
  <w:abstractNum w:abstractNumId="5">
    <w:multiLevelType w:val="hybridMultilevel"/>
    <w:lvl w:ilvl="0">
      <w:start w:val="1"/>
      <w:numFmt w:val="decimal"/>
      <w:pStyle w:val="95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54"/>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3"/>
  </w:num>
  <w:num w:numId="5">
    <w:abstractNumId w:val="6"/>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link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name w:val="Heading 1"/>
    <w:basedOn w:val="732"/>
    <w:next w:val="732"/>
    <w:link w:val="805"/>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806"/>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807"/>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808"/>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809"/>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810"/>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12"/>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13"/>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Body Text First Indent 2"/>
    <w:basedOn w:val="745"/>
    <w:next w:val="732"/>
    <w:uiPriority w:val="0"/>
    <w:qFormat/>
    <w:pPr>
      <w:ind w:firstLine="420"/>
    </w:pPr>
  </w:style>
  <w:style w:type="paragraph" w:styleId="745">
    <w:name w:val="Body Text Indent"/>
    <w:basedOn w:val="732"/>
    <w:next w:val="746"/>
    <w:uiPriority w:val="0"/>
    <w:qFormat/>
    <w:pPr>
      <w:ind w:left="420"/>
      <w:spacing w:after="120"/>
    </w:pPr>
  </w:style>
  <w:style w:type="paragraph" w:styleId="746">
    <w:name w:val="envelope return"/>
    <w:basedOn w:val="732"/>
    <w:uiPriority w:val="0"/>
    <w:qFormat/>
    <w:rPr>
      <w:rFonts w:ascii="Arial" w:hAnsi="Arial" w:eastAsia="宋体" w:cs="Times New Roman"/>
    </w:rPr>
  </w:style>
  <w:style w:type="paragraph" w:styleId="747">
    <w:name w:val="toc 7"/>
    <w:basedOn w:val="732"/>
    <w:next w:val="732"/>
    <w:uiPriority w:val="39"/>
    <w:unhideWhenUsed/>
    <w:qFormat/>
    <w:pPr>
      <w:ind w:left="1701" w:right="0" w:firstLine="0"/>
      <w:spacing w:after="57"/>
    </w:pPr>
  </w:style>
  <w:style w:type="paragraph" w:styleId="748">
    <w:name w:val="Normal Indent"/>
    <w:basedOn w:val="732"/>
    <w:uiPriority w:val="0"/>
    <w:qFormat/>
    <w:pPr>
      <w:ind w:firstLine="420"/>
    </w:pPr>
    <w:rPr>
      <w:szCs w:val="20"/>
    </w:rPr>
  </w:style>
  <w:style w:type="paragraph" w:styleId="749">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Body Text"/>
    <w:basedOn w:val="732"/>
    <w:uiPriority w:val="99"/>
    <w:unhideWhenUsed/>
    <w:qFormat/>
    <w:pPr>
      <w:spacing w:after="120"/>
    </w:pPr>
  </w:style>
  <w:style w:type="paragraph" w:styleId="751">
    <w:name w:val="toc 5"/>
    <w:basedOn w:val="732"/>
    <w:next w:val="732"/>
    <w:uiPriority w:val="39"/>
    <w:unhideWhenUsed/>
    <w:qFormat/>
    <w:pPr>
      <w:ind w:left="1134" w:right="0" w:firstLine="0"/>
      <w:spacing w:after="57"/>
    </w:pPr>
  </w:style>
  <w:style w:type="paragraph" w:styleId="752">
    <w:name w:val="toc 3"/>
    <w:basedOn w:val="732"/>
    <w:next w:val="732"/>
    <w:uiPriority w:val="39"/>
    <w:unhideWhenUsed/>
    <w:qFormat/>
    <w:pPr>
      <w:ind w:left="567" w:right="0" w:firstLine="0"/>
      <w:spacing w:after="57"/>
    </w:pPr>
  </w:style>
  <w:style w:type="paragraph" w:styleId="753">
    <w:name w:val="Plain Text"/>
    <w:basedOn w:val="732"/>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宋体" w:cs="Times New Roman"/>
      <w:sz w:val="21"/>
      <w:szCs w:val="21"/>
      <w:lang w:val="en-US" w:eastAsia="zh-CN" w:bidi="ar"/>
    </w:rPr>
  </w:style>
  <w:style w:type="paragraph" w:styleId="754">
    <w:name w:val="toc 8"/>
    <w:basedOn w:val="732"/>
    <w:next w:val="732"/>
    <w:uiPriority w:val="39"/>
    <w:unhideWhenUsed/>
    <w:qFormat/>
    <w:pPr>
      <w:ind w:left="1984" w:right="0" w:firstLine="0"/>
      <w:spacing w:after="57"/>
    </w:pPr>
  </w:style>
  <w:style w:type="paragraph" w:styleId="755">
    <w:name w:val="endnote text"/>
    <w:basedOn w:val="732"/>
    <w:link w:val="951"/>
    <w:uiPriority w:val="99"/>
    <w:semiHidden/>
    <w:unhideWhenUsed/>
    <w:qFormat/>
    <w:pPr>
      <w:spacing w:after="0" w:line="240" w:lineRule="auto"/>
    </w:pPr>
    <w:rPr>
      <w:sz w:val="20"/>
    </w:rPr>
  </w:style>
  <w:style w:type="paragraph" w:styleId="756">
    <w:name w:val="Footer"/>
    <w:basedOn w:val="732"/>
    <w:link w:val="824"/>
    <w:uiPriority w:val="99"/>
    <w:unhideWhenUsed/>
    <w:qFormat/>
    <w:pPr>
      <w:spacing w:after="0" w:line="240" w:lineRule="auto"/>
      <w:tabs>
        <w:tab w:val="center" w:pos="7143" w:leader="none"/>
        <w:tab w:val="right" w:pos="14287" w:leader="none"/>
      </w:tabs>
    </w:pPr>
  </w:style>
  <w:style w:type="paragraph" w:styleId="757">
    <w:name w:val="Header"/>
    <w:basedOn w:val="732"/>
    <w:link w:val="822"/>
    <w:uiPriority w:val="99"/>
    <w:unhideWhenUsed/>
    <w:qFormat/>
    <w:pPr>
      <w:spacing w:after="0" w:line="240" w:lineRule="auto"/>
      <w:tabs>
        <w:tab w:val="center" w:pos="7143" w:leader="none"/>
        <w:tab w:val="right" w:pos="14287" w:leader="none"/>
      </w:tabs>
    </w:pPr>
  </w:style>
  <w:style w:type="paragraph" w:styleId="758">
    <w:name w:val="toc 1"/>
    <w:basedOn w:val="732"/>
    <w:next w:val="732"/>
    <w:uiPriority w:val="39"/>
    <w:unhideWhenUsed/>
    <w:qFormat/>
    <w:pPr>
      <w:ind w:left="0" w:right="0" w:firstLine="0"/>
      <w:spacing w:after="57"/>
    </w:pPr>
  </w:style>
  <w:style w:type="paragraph" w:styleId="759">
    <w:name w:val="toc 4"/>
    <w:basedOn w:val="732"/>
    <w:next w:val="732"/>
    <w:uiPriority w:val="39"/>
    <w:unhideWhenUsed/>
    <w:qFormat/>
    <w:pPr>
      <w:ind w:left="850" w:right="0" w:firstLine="0"/>
      <w:spacing w:after="57"/>
    </w:pPr>
  </w:style>
  <w:style w:type="paragraph" w:styleId="760">
    <w:name w:val="Subtitle"/>
    <w:basedOn w:val="732"/>
    <w:next w:val="732"/>
    <w:link w:val="817"/>
    <w:uiPriority w:val="11"/>
    <w:qFormat/>
    <w:pPr>
      <w:spacing w:before="200" w:after="200"/>
    </w:pPr>
    <w:rPr>
      <w:sz w:val="24"/>
      <w:szCs w:val="24"/>
    </w:rPr>
  </w:style>
  <w:style w:type="paragraph" w:styleId="761">
    <w:name w:val="footnote text"/>
    <w:basedOn w:val="732"/>
    <w:link w:val="950"/>
    <w:uiPriority w:val="99"/>
    <w:semiHidden/>
    <w:unhideWhenUsed/>
    <w:qFormat/>
    <w:pPr>
      <w:spacing w:after="40" w:line="240" w:lineRule="auto"/>
    </w:pPr>
    <w:rPr>
      <w:sz w:val="18"/>
    </w:rPr>
  </w:style>
  <w:style w:type="paragraph" w:styleId="762">
    <w:name w:val="toc 6"/>
    <w:basedOn w:val="732"/>
    <w:next w:val="732"/>
    <w:uiPriority w:val="39"/>
    <w:unhideWhenUsed/>
    <w:qFormat/>
    <w:pPr>
      <w:ind w:left="1417" w:right="0" w:firstLine="0"/>
      <w:spacing w:after="57"/>
    </w:pPr>
  </w:style>
  <w:style w:type="paragraph" w:styleId="763">
    <w:name w:val="table of figures"/>
    <w:basedOn w:val="732"/>
    <w:next w:val="732"/>
    <w:uiPriority w:val="99"/>
    <w:unhideWhenUsed/>
    <w:qFormat/>
    <w:pPr>
      <w:spacing w:after="0" w:afterAutospacing="0"/>
    </w:pPr>
  </w:style>
  <w:style w:type="paragraph" w:styleId="764">
    <w:name w:val="toc 2"/>
    <w:basedOn w:val="732"/>
    <w:next w:val="732"/>
    <w:uiPriority w:val="39"/>
    <w:unhideWhenUsed/>
    <w:qFormat/>
    <w:pPr>
      <w:ind w:left="283" w:right="0" w:firstLine="0"/>
      <w:spacing w:after="57"/>
    </w:pPr>
  </w:style>
  <w:style w:type="paragraph" w:styleId="765">
    <w:name w:val="toc 9"/>
    <w:basedOn w:val="732"/>
    <w:next w:val="732"/>
    <w:uiPriority w:val="39"/>
    <w:unhideWhenUsed/>
    <w:qFormat/>
    <w:pPr>
      <w:ind w:left="2268" w:right="0" w:firstLine="0"/>
      <w:spacing w:after="57"/>
    </w:pPr>
  </w:style>
  <w:style w:type="paragraph" w:styleId="766">
    <w:name w:val="Normal (Web)"/>
    <w:basedOn w:val="732"/>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67">
    <w:name w:val="Title"/>
    <w:basedOn w:val="732"/>
    <w:next w:val="732"/>
    <w:link w:val="816"/>
    <w:uiPriority w:val="10"/>
    <w:qFormat/>
    <w:pPr>
      <w:contextualSpacing/>
      <w:spacing w:before="300" w:after="200"/>
    </w:pPr>
    <w:rPr>
      <w:sz w:val="48"/>
      <w:szCs w:val="48"/>
    </w:rPr>
  </w:style>
  <w:style w:type="paragraph" w:styleId="768">
    <w:name w:val="Body Text First Indent"/>
    <w:basedOn w:val="750"/>
    <w:next w:val="744"/>
    <w:uiPriority w:val="99"/>
    <w:unhideWhenUsed/>
    <w:qFormat/>
    <w:pPr>
      <w:ind w:firstLine="420"/>
      <w:spacing w:after="120" w:line="240" w:lineRule="auto"/>
    </w:pPr>
    <w:rPr>
      <w:rFonts w:ascii="Calibri" w:hAnsi="Calibri" w:eastAsia="宋体" w:cs="Times New Roman"/>
      <w:sz w:val="21"/>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42"/>
    <w:uiPriority w:val="22"/>
    <w:qFormat/>
  </w:style>
  <w:style w:type="character" w:styleId="771">
    <w:name w:val="endnote reference"/>
    <w:uiPriority w:val="99"/>
    <w:semiHidden/>
    <w:unhideWhenUsed/>
    <w:qFormat/>
    <w:rPr>
      <w:vertAlign w:val="superscript"/>
    </w:rPr>
  </w:style>
  <w:style w:type="character" w:styleId="772">
    <w:name w:val="FollowedHyperlink"/>
    <w:basedOn w:val="742"/>
    <w:uiPriority w:val="99"/>
    <w:semiHidden/>
    <w:unhideWhenUsed/>
    <w:qFormat/>
    <w:rPr>
      <w:color w:val="333333"/>
      <w:u w:val="none"/>
    </w:rPr>
  </w:style>
  <w:style w:type="character" w:styleId="773">
    <w:name w:val="Emphasis"/>
    <w:basedOn w:val="742"/>
    <w:uiPriority w:val="20"/>
    <w:qFormat/>
  </w:style>
  <w:style w:type="character" w:styleId="774">
    <w:name w:val="HTML Definition"/>
    <w:basedOn w:val="742"/>
    <w:uiPriority w:val="99"/>
    <w:semiHidden/>
    <w:unhideWhenUsed/>
    <w:qFormat/>
  </w:style>
  <w:style w:type="character" w:styleId="775">
    <w:name w:val="HTML Typewriter"/>
    <w:basedOn w:val="742"/>
    <w:uiPriority w:val="99"/>
    <w:semiHidden/>
    <w:unhideWhenUsed/>
    <w:qFormat/>
    <w:rPr>
      <w:rFonts w:hint="default" w:ascii="monospace" w:hAnsi="monospace" w:eastAsia="monospace" w:cs="monospace"/>
      <w:sz w:val="20"/>
    </w:rPr>
  </w:style>
  <w:style w:type="character" w:styleId="776">
    <w:name w:val="HTML Acronym"/>
    <w:basedOn w:val="742"/>
    <w:uiPriority w:val="99"/>
    <w:semiHidden/>
    <w:unhideWhenUsed/>
    <w:qFormat/>
  </w:style>
  <w:style w:type="character" w:styleId="777">
    <w:name w:val="HTML Variable"/>
    <w:basedOn w:val="742"/>
    <w:uiPriority w:val="99"/>
    <w:semiHidden/>
    <w:unhideWhenUsed/>
    <w:qFormat/>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HTML Code"/>
    <w:basedOn w:val="742"/>
    <w:uiPriority w:val="99"/>
    <w:semiHidden/>
    <w:unhideWhenUsed/>
    <w:qFormat/>
    <w:rPr>
      <w:rFonts w:hint="default" w:ascii="monospace" w:hAnsi="monospace" w:eastAsia="monospace" w:cs="monospace"/>
      <w:sz w:val="20"/>
    </w:rPr>
  </w:style>
  <w:style w:type="character" w:styleId="780">
    <w:name w:val="HTML Cite"/>
    <w:basedOn w:val="742"/>
    <w:uiPriority w:val="99"/>
    <w:semiHidden/>
    <w:unhideWhenUsed/>
    <w:qFormat/>
  </w:style>
  <w:style w:type="character" w:styleId="781">
    <w:name w:val="footnote reference"/>
    <w:uiPriority w:val="99"/>
    <w:unhideWhenUsed/>
    <w:qFormat/>
    <w:rPr>
      <w:vertAlign w:val="superscript"/>
    </w:rPr>
  </w:style>
  <w:style w:type="character" w:styleId="782">
    <w:name w:val="HTML Keyboard"/>
    <w:basedOn w:val="742"/>
    <w:uiPriority w:val="99"/>
    <w:semiHidden/>
    <w:unhideWhenUsed/>
    <w:qFormat/>
    <w:rPr>
      <w:rFonts w:hint="default" w:ascii="monospace" w:hAnsi="monospace" w:eastAsia="monospace" w:cs="monospace"/>
      <w:sz w:val="20"/>
    </w:rPr>
  </w:style>
  <w:style w:type="character" w:styleId="783">
    <w:name w:val="HTML Sample"/>
    <w:basedOn w:val="742"/>
    <w:uiPriority w:val="99"/>
    <w:semiHidden/>
    <w:unhideWhenUsed/>
    <w:qFormat/>
    <w:rPr>
      <w:rFonts w:ascii="monospace" w:hAnsi="monospace" w:eastAsia="monospace" w:cs="monospace"/>
    </w:rPr>
  </w:style>
  <w:style w:type="paragraph" w:styleId="784" w:customStyle="1">
    <w:name w:val="一级条标题"/>
    <w:basedOn w:val="785"/>
    <w:next w:val="7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5" w:customStyle="1">
    <w:name w:val="章标题"/>
    <w:next w:val="78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86" w:customStyle="1">
    <w:name w:val="正文1"/>
    <w:basedOn w:val="787"/>
    <w:next w:val="799"/>
    <w:uiPriority w:val="0"/>
    <w:qFormat/>
    <w:pPr>
      <w:contextualSpacing/>
      <w:ind w:firstLine="200"/>
      <w:jc w:val="left"/>
      <w:spacing w:before="120" w:after="120"/>
      <w:widowControl/>
    </w:pPr>
    <w:rPr>
      <w:rFonts w:ascii="Calibri" w:hAnsi="Calibri" w:eastAsia="仿宋" w:cs="Times New Roman"/>
      <w:szCs w:val="21"/>
    </w:rPr>
  </w:style>
  <w:style w:type="paragraph" w:styleId="787" w:customStyle="1">
    <w:name w:val="正文111"/>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正文首行缩进1"/>
    <w:basedOn w:val="789"/>
    <w:next w:val="796"/>
    <w:uiPriority w:val="0"/>
    <w:qFormat/>
    <w:pPr>
      <w:ind w:firstLine="420"/>
      <w:spacing w:after="120"/>
    </w:pPr>
    <w:rPr>
      <w:rFonts w:ascii="Times New Roman" w:hAnsi="Times New Roman" w:eastAsia="宋体"/>
      <w:sz w:val="21"/>
      <w:szCs w:val="24"/>
    </w:rPr>
  </w:style>
  <w:style w:type="paragraph" w:styleId="789" w:customStyle="1">
    <w:name w:val="正文文本11"/>
    <w:basedOn w:val="790"/>
    <w:next w:val="791"/>
    <w:uiPriority w:val="0"/>
    <w:qFormat/>
    <w:pPr>
      <w:jc w:val="center"/>
    </w:pPr>
    <w:rPr>
      <w:rFonts w:eastAsia="仿宋"/>
      <w:sz w:val="28"/>
    </w:rPr>
  </w:style>
  <w:style w:type="paragraph" w:styleId="790" w:customStyle="1">
    <w:name w:val="正文112"/>
    <w:next w:val="789"/>
    <w:uiPriority w:val="0"/>
    <w:qFormat/>
    <w:pPr>
      <w:spacing w:after="200" w:line="276" w:lineRule="auto"/>
    </w:pPr>
    <w:rPr>
      <w:rFonts w:hint="default" w:ascii="Arial" w:hAnsi="Arial" w:eastAsia="Arial" w:cs="Times New Roman"/>
      <w:sz w:val="22"/>
      <w:szCs w:val="22"/>
      <w:lang w:val="en-US" w:eastAsia="en-US" w:bidi="ar-SA"/>
    </w:rPr>
  </w:style>
  <w:style w:type="paragraph" w:styleId="791" w:customStyle="1">
    <w:name w:val="正文11"/>
    <w:next w:val="792"/>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792" w:customStyle="1">
    <w:name w:val="正文首行缩进11"/>
    <w:basedOn w:val="789"/>
    <w:next w:val="793"/>
    <w:uiPriority w:val="0"/>
    <w:qFormat/>
    <w:pPr>
      <w:ind w:firstLine="420"/>
    </w:pPr>
    <w:rPr>
      <w:rFonts w:ascii="仿宋_GB2312" w:eastAsia="仿宋_GB2312"/>
      <w:sz w:val="30"/>
      <w:szCs w:val="30"/>
    </w:rPr>
  </w:style>
  <w:style w:type="paragraph" w:styleId="793" w:customStyle="1">
    <w:name w:val="正文首行缩进 211"/>
    <w:basedOn w:val="794"/>
    <w:uiPriority w:val="0"/>
    <w:qFormat/>
    <w:pPr>
      <w:ind w:left="420" w:firstLine="420"/>
      <w:spacing w:after="120"/>
      <w:widowControl/>
    </w:pPr>
    <w:rPr>
      <w:rFonts w:ascii="仿宋_GB2312" w:eastAsia="仿宋_GB2312"/>
      <w:color w:val="ff6600"/>
      <w:szCs w:val="20"/>
    </w:rPr>
  </w:style>
  <w:style w:type="paragraph" w:styleId="794" w:customStyle="1">
    <w:name w:val="正文文本缩进11"/>
    <w:basedOn w:val="732"/>
    <w:next w:val="795"/>
    <w:uiPriority w:val="99"/>
    <w:qFormat/>
    <w:pPr>
      <w:ind w:firstLine="630"/>
    </w:pPr>
    <w:rPr>
      <w:rFonts w:ascii="楷体_GB2312" w:eastAsia="楷体_GB2312"/>
      <w:sz w:val="32"/>
      <w:szCs w:val="20"/>
    </w:rPr>
  </w:style>
  <w:style w:type="paragraph" w:styleId="795" w:customStyle="1">
    <w:name w:val="寄信人地址11"/>
    <w:basedOn w:val="791"/>
    <w:uiPriority w:val="0"/>
    <w:qFormat/>
    <w:rPr>
      <w:rFonts w:ascii="Arial" w:hAnsi="Arial"/>
    </w:rPr>
  </w:style>
  <w:style w:type="paragraph" w:styleId="796" w:customStyle="1">
    <w:name w:val="正文首行缩进 21"/>
    <w:basedOn w:val="797"/>
    <w:next w:val="787"/>
    <w:link w:val="976"/>
    <w:uiPriority w:val="0"/>
    <w:qFormat/>
    <w:pPr>
      <w:ind w:firstLine="420"/>
    </w:pPr>
  </w:style>
  <w:style w:type="paragraph" w:styleId="797" w:customStyle="1">
    <w:name w:val="正文文本缩进1"/>
    <w:basedOn w:val="732"/>
    <w:next w:val="798"/>
    <w:link w:val="964"/>
    <w:uiPriority w:val="0"/>
    <w:qFormat/>
    <w:pPr>
      <w:ind w:left="420"/>
      <w:spacing w:after="120"/>
    </w:pPr>
  </w:style>
  <w:style w:type="paragraph" w:styleId="798" w:customStyle="1">
    <w:name w:val="寄信人地址1"/>
    <w:basedOn w:val="732"/>
    <w:uiPriority w:val="0"/>
    <w:qFormat/>
    <w:rPr>
      <w:rFonts w:ascii="Arial" w:hAnsi="Arial" w:eastAsia="宋体" w:cs="Times New Roman"/>
    </w:rPr>
  </w:style>
  <w:style w:type="paragraph" w:styleId="799" w:customStyle="1">
    <w:name w:val="目录 11"/>
    <w:basedOn w:val="800"/>
    <w:next w:val="786"/>
    <w:uiPriority w:val="0"/>
    <w:qFormat/>
  </w:style>
  <w:style w:type="paragraph" w:styleId="800" w:customStyle="1">
    <w:name w:val="正文12"/>
    <w:next w:val="801"/>
    <w:uiPriority w:val="0"/>
    <w:qFormat/>
    <w:pPr>
      <w:jc w:val="both"/>
      <w:widowControl w:val="off"/>
    </w:pPr>
    <w:rPr>
      <w:rFonts w:hint="default" w:ascii="Calibri" w:hAnsi="Calibri" w:eastAsia="宋体" w:cs="Times New Roman"/>
      <w:sz w:val="21"/>
      <w:szCs w:val="24"/>
      <w:lang w:val="en-US" w:eastAsia="zh-CN" w:bidi="ar-SA"/>
    </w:rPr>
  </w:style>
  <w:style w:type="paragraph" w:styleId="801" w:customStyle="1">
    <w:name w:val="正文文本111"/>
    <w:basedOn w:val="800"/>
    <w:next w:val="800"/>
    <w:uiPriority w:val="0"/>
    <w:qFormat/>
  </w:style>
  <w:style w:type="paragraph" w:styleId="802" w:customStyle="1">
    <w:name w:val="列表段落1"/>
    <w:basedOn w:val="786"/>
    <w:next w:val="732"/>
    <w:uiPriority w:val="99"/>
    <w:qFormat/>
    <w:pPr>
      <w:ind w:firstLine="420"/>
    </w:pPr>
  </w:style>
  <w:style w:type="paragraph" w:styleId="803" w:customStyle="1">
    <w:name w:val="段"/>
    <w:basedOn w:val="786"/>
    <w:next w:val="732"/>
    <w:uiPriority w:val="0"/>
    <w:qFormat/>
    <w:pPr>
      <w:ind w:firstLine="200"/>
      <w:widowControl/>
    </w:pPr>
    <w:rPr>
      <w:sz w:val="20"/>
    </w:rPr>
  </w:style>
  <w:style w:type="paragraph" w:styleId="804" w:customStyle="1">
    <w:name w:val="正文文本1"/>
    <w:basedOn w:val="732"/>
    <w:next w:val="78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805" w:customStyle="1">
    <w:name w:val="Heading 1 Char"/>
    <w:link w:val="733"/>
    <w:uiPriority w:val="9"/>
    <w:qFormat/>
    <w:rPr>
      <w:rFonts w:ascii="Arial" w:hAnsi="Arial" w:eastAsia="Arial" w:cs="Arial"/>
      <w:sz w:val="40"/>
      <w:szCs w:val="40"/>
    </w:rPr>
  </w:style>
  <w:style w:type="character" w:styleId="806" w:customStyle="1">
    <w:name w:val="Heading 2 Char"/>
    <w:link w:val="734"/>
    <w:uiPriority w:val="9"/>
    <w:qFormat/>
    <w:rPr>
      <w:rFonts w:ascii="Arial" w:hAnsi="Arial" w:eastAsia="Arial" w:cs="Arial"/>
      <w:sz w:val="34"/>
    </w:rPr>
  </w:style>
  <w:style w:type="character" w:styleId="807" w:customStyle="1">
    <w:name w:val="Heading 3 Char"/>
    <w:link w:val="735"/>
    <w:uiPriority w:val="9"/>
    <w:qFormat/>
    <w:rPr>
      <w:rFonts w:ascii="Arial" w:hAnsi="Arial" w:eastAsia="Arial" w:cs="Arial"/>
      <w:sz w:val="30"/>
      <w:szCs w:val="30"/>
    </w:rPr>
  </w:style>
  <w:style w:type="character" w:styleId="808" w:customStyle="1">
    <w:name w:val="Heading 4 Char"/>
    <w:link w:val="736"/>
    <w:uiPriority w:val="9"/>
    <w:qFormat/>
    <w:rPr>
      <w:rFonts w:ascii="Arial" w:hAnsi="Arial" w:eastAsia="Arial" w:cs="Arial"/>
      <w:b/>
      <w:bCs/>
      <w:sz w:val="26"/>
      <w:szCs w:val="26"/>
    </w:rPr>
  </w:style>
  <w:style w:type="character" w:styleId="809" w:customStyle="1">
    <w:name w:val="Heading 5 Char"/>
    <w:link w:val="737"/>
    <w:uiPriority w:val="9"/>
    <w:qFormat/>
    <w:rPr>
      <w:rFonts w:ascii="Arial" w:hAnsi="Arial" w:eastAsia="Arial" w:cs="Arial"/>
      <w:b/>
      <w:bCs/>
      <w:sz w:val="24"/>
      <w:szCs w:val="24"/>
    </w:rPr>
  </w:style>
  <w:style w:type="character" w:styleId="810" w:customStyle="1">
    <w:name w:val="Heading 6 Char"/>
    <w:link w:val="738"/>
    <w:uiPriority w:val="9"/>
    <w:qFormat/>
    <w:rPr>
      <w:rFonts w:ascii="Arial" w:hAnsi="Arial" w:eastAsia="Arial" w:cs="Arial"/>
      <w:b/>
      <w:bCs/>
      <w:sz w:val="22"/>
      <w:szCs w:val="22"/>
    </w:rPr>
  </w:style>
  <w:style w:type="character" w:styleId="811" w:customStyle="1">
    <w:name w:val="Heading 7 Char"/>
    <w:link w:val="739"/>
    <w:uiPriority w:val="9"/>
    <w:qFormat/>
    <w:rPr>
      <w:rFonts w:ascii="Arial" w:hAnsi="Arial" w:eastAsia="Arial" w:cs="Arial"/>
      <w:b/>
      <w:bCs/>
      <w:i/>
      <w:iCs/>
      <w:sz w:val="22"/>
      <w:szCs w:val="22"/>
    </w:rPr>
  </w:style>
  <w:style w:type="character" w:styleId="812" w:customStyle="1">
    <w:name w:val="Heading 8 Char"/>
    <w:link w:val="740"/>
    <w:uiPriority w:val="9"/>
    <w:qFormat/>
    <w:rPr>
      <w:rFonts w:ascii="Arial" w:hAnsi="Arial" w:eastAsia="Arial" w:cs="Arial"/>
      <w:i/>
      <w:iCs/>
      <w:sz w:val="22"/>
      <w:szCs w:val="22"/>
    </w:rPr>
  </w:style>
  <w:style w:type="character" w:styleId="813" w:customStyle="1">
    <w:name w:val="Heading 9 Char"/>
    <w:link w:val="741"/>
    <w:uiPriority w:val="9"/>
    <w:qFormat/>
    <w:rPr>
      <w:rFonts w:ascii="Arial" w:hAnsi="Arial" w:eastAsia="Arial" w:cs="Arial"/>
      <w:i/>
      <w:iCs/>
      <w:sz w:val="21"/>
      <w:szCs w:val="21"/>
    </w:rPr>
  </w:style>
  <w:style w:type="paragraph" w:styleId="814">
    <w:name w:val="List Paragraph"/>
    <w:basedOn w:val="732"/>
    <w:uiPriority w:val="34"/>
    <w:qFormat/>
    <w:pPr>
      <w:contextualSpacing/>
      <w:ind w:left="720"/>
    </w:pPr>
  </w:style>
  <w:style w:type="paragraph" w:styleId="815">
    <w:name w:val="No Spacing"/>
    <w:uiPriority w:val="1"/>
    <w:qFormat/>
    <w:pPr>
      <w:spacing w:before="0" w:after="0" w:line="240" w:lineRule="auto"/>
    </w:pPr>
    <w:rPr>
      <w:rFonts w:hint="default" w:ascii="Times New Roman" w:hAnsi="Times New Roman" w:eastAsia="宋体" w:cs="Times New Roman"/>
    </w:rPr>
  </w:style>
  <w:style w:type="character" w:styleId="816" w:customStyle="1">
    <w:name w:val="Title Char"/>
    <w:link w:val="767"/>
    <w:uiPriority w:val="10"/>
    <w:qFormat/>
    <w:rPr>
      <w:sz w:val="48"/>
      <w:szCs w:val="48"/>
    </w:rPr>
  </w:style>
  <w:style w:type="character" w:styleId="817" w:customStyle="1">
    <w:name w:val="Subtitle Char"/>
    <w:link w:val="760"/>
    <w:uiPriority w:val="11"/>
    <w:qFormat/>
    <w:rPr>
      <w:sz w:val="24"/>
      <w:szCs w:val="24"/>
    </w:rPr>
  </w:style>
  <w:style w:type="paragraph" w:styleId="818">
    <w:name w:val="Quote"/>
    <w:basedOn w:val="732"/>
    <w:next w:val="732"/>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32"/>
    <w:next w:val="732"/>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link w:val="757"/>
    <w:uiPriority w:val="99"/>
    <w:qFormat/>
  </w:style>
  <w:style w:type="character" w:styleId="823" w:customStyle="1">
    <w:name w:val="Footer Char"/>
    <w:link w:val="756"/>
    <w:uiPriority w:val="99"/>
    <w:qFormat/>
  </w:style>
  <w:style w:type="character" w:styleId="824" w:customStyle="1">
    <w:name w:val="Caption Char"/>
    <w:link w:val="756"/>
    <w:uiPriority w:val="99"/>
    <w:qFormat/>
  </w:style>
  <w:style w:type="table" w:styleId="8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Footnote Text Char"/>
    <w:link w:val="761"/>
    <w:uiPriority w:val="99"/>
    <w:qFormat/>
    <w:rPr>
      <w:sz w:val="18"/>
    </w:rPr>
  </w:style>
  <w:style w:type="character" w:styleId="951" w:customStyle="1">
    <w:name w:val="Endnote Text Char"/>
    <w:link w:val="755"/>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paragraph" w:styleId="953" w:customStyle="1">
    <w:name w:val="标题 11"/>
    <w:basedOn w:val="732"/>
    <w:next w:val="732"/>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54" w:customStyle="1">
    <w:name w:val="标题 311"/>
    <w:basedOn w:val="732"/>
    <w:next w:val="955"/>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955" w:customStyle="1">
    <w:name w:val="正文缩进1"/>
    <w:basedOn w:val="732"/>
    <w:link w:val="961"/>
    <w:uiPriority w:val="0"/>
    <w:qFormat/>
    <w:pPr>
      <w:ind w:firstLine="420"/>
    </w:pPr>
  </w:style>
  <w:style w:type="paragraph" w:styleId="956" w:customStyle="1">
    <w:name w:val="标题 41"/>
    <w:basedOn w:val="732"/>
    <w:next w:val="732"/>
    <w:uiPriority w:val="0"/>
    <w:unhideWhenUsed/>
    <w:qFormat/>
    <w:pPr>
      <w:jc w:val="left"/>
      <w:spacing w:before="100" w:beforeAutospacing="1" w:after="100" w:afterAutospacing="1"/>
      <w:outlineLvl w:val="3"/>
    </w:pPr>
    <w:rPr>
      <w:rFonts w:hint="eastAsia" w:ascii="宋体" w:hAnsi="宋体" w:eastAsia="宋体" w:cs="宋体"/>
      <w:b/>
      <w:bCs/>
      <w:sz w:val="24"/>
      <w:szCs w:val="24"/>
      <w:lang w:val="en-US" w:eastAsia="zh-CN" w:bidi="ar"/>
    </w:rPr>
  </w:style>
  <w:style w:type="paragraph" w:styleId="957" w:customStyle="1">
    <w:name w:val="标题 51"/>
    <w:basedOn w:val="732"/>
    <w:next w:val="732"/>
    <w:uiPriority w:val="1"/>
    <w:qFormat/>
    <w:pPr>
      <w:ind w:left="522"/>
      <w:outlineLvl w:val="4"/>
    </w:pPr>
    <w:rPr>
      <w:rFonts w:ascii="仿宋" w:hAnsi="仿宋" w:eastAsia="仿宋" w:cs="仿宋"/>
      <w:b/>
      <w:bCs/>
      <w:sz w:val="28"/>
      <w:szCs w:val="28"/>
      <w:lang w:val="zh-CN" w:eastAsia="zh-CN" w:bidi="zh-CN"/>
    </w:rPr>
  </w:style>
  <w:style w:type="paragraph" w:styleId="958" w:customStyle="1">
    <w:name w:val="标题 81"/>
    <w:basedOn w:val="732"/>
    <w:next w:val="732"/>
    <w:uiPriority w:val="0"/>
    <w:qFormat/>
    <w:pPr>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4"/>
    </w:rPr>
  </w:style>
  <w:style w:type="character" w:styleId="959" w:customStyle="1">
    <w:name w:val="默认段落字体1"/>
    <w:link w:val="732"/>
    <w:uiPriority w:val="0"/>
    <w:semiHidden/>
    <w:qFormat/>
  </w:style>
  <w:style w:type="table" w:styleId="960" w:customStyle="1">
    <w:name w:val="普通表格11"/>
    <w:uiPriority w:val="0"/>
    <w:semiHidden/>
    <w:qFormat/>
    <w:tblPr/>
  </w:style>
  <w:style w:type="character" w:styleId="961" w:customStyle="1">
    <w:name w:val="正文缩进 Char"/>
    <w:link w:val="955"/>
    <w:uiPriority w:val="0"/>
    <w:qFormat/>
    <w:rPr>
      <w:sz w:val="21"/>
      <w:szCs w:val="24"/>
    </w:rPr>
  </w:style>
  <w:style w:type="paragraph" w:styleId="962" w:customStyle="1">
    <w:name w:val="文档结构图1"/>
    <w:basedOn w:val="732"/>
    <w:uiPriority w:val="0"/>
    <w:semiHidden/>
    <w:qFormat/>
    <w:pPr>
      <w:shd w:val="clear" w:color="auto" w:fill="000080"/>
    </w:pPr>
  </w:style>
  <w:style w:type="paragraph" w:styleId="963" w:customStyle="1">
    <w:name w:val="正文文本 31"/>
    <w:basedOn w:val="732"/>
    <w:uiPriority w:val="0"/>
    <w:qFormat/>
    <w:pPr>
      <w:jc w:val="center"/>
    </w:pPr>
    <w:rPr>
      <w:rFonts w:eastAsia="黑体"/>
      <w:sz w:val="72"/>
    </w:rPr>
  </w:style>
  <w:style w:type="character" w:styleId="964" w:customStyle="1">
    <w:name w:val="正文文本缩进 Char"/>
    <w:link w:val="797"/>
    <w:uiPriority w:val="0"/>
    <w:qFormat/>
    <w:rPr>
      <w:sz w:val="21"/>
      <w:szCs w:val="24"/>
    </w:rPr>
  </w:style>
  <w:style w:type="paragraph" w:styleId="965" w:customStyle="1">
    <w:name w:val="文本块1"/>
    <w:basedOn w:val="732"/>
    <w:uiPriority w:val="0"/>
    <w:qFormat/>
    <w:pPr>
      <w:ind w:left="420" w:right="33"/>
      <w:jc w:val="left"/>
    </w:pPr>
    <w:rPr>
      <w:sz w:val="24"/>
      <w:szCs w:val="20"/>
    </w:rPr>
  </w:style>
  <w:style w:type="paragraph" w:styleId="966" w:customStyle="1">
    <w:name w:val="纯文本11"/>
    <w:basedOn w:val="732"/>
    <w:link w:val="967"/>
    <w:uiPriority w:val="0"/>
    <w:qFormat/>
    <w:rPr>
      <w:rFonts w:ascii="宋体" w:hAnsi="Courier New"/>
      <w:szCs w:val="20"/>
    </w:rPr>
  </w:style>
  <w:style w:type="character" w:styleId="967" w:customStyle="1">
    <w:name w:val="纯文本 Char"/>
    <w:link w:val="966"/>
    <w:uiPriority w:val="0"/>
    <w:qFormat/>
    <w:rPr>
      <w:rFonts w:ascii="宋体" w:hAnsi="Courier New" w:eastAsia="宋体"/>
      <w:sz w:val="21"/>
      <w:lang w:val="en-US" w:eastAsia="zh-CN" w:bidi="ar-SA"/>
    </w:rPr>
  </w:style>
  <w:style w:type="paragraph" w:styleId="968" w:customStyle="1">
    <w:name w:val="日期1"/>
    <w:basedOn w:val="732"/>
    <w:next w:val="732"/>
    <w:uiPriority w:val="0"/>
    <w:qFormat/>
    <w:pPr>
      <w:ind w:left="100"/>
    </w:pPr>
    <w:rPr>
      <w:rFonts w:ascii="黑体" w:eastAsia="黑体"/>
      <w:sz w:val="72"/>
    </w:rPr>
  </w:style>
  <w:style w:type="paragraph" w:styleId="969" w:customStyle="1">
    <w:name w:val="正文文本缩进 21"/>
    <w:basedOn w:val="732"/>
    <w:uiPriority w:val="0"/>
    <w:qFormat/>
    <w:pPr>
      <w:ind w:right="-2" w:firstLine="540"/>
      <w:tabs>
        <w:tab w:val="left" w:pos="9741" w:leader="none"/>
      </w:tabs>
    </w:pPr>
    <w:rPr>
      <w:rFonts w:eastAsia="仿宋"/>
      <w:sz w:val="28"/>
    </w:rPr>
  </w:style>
  <w:style w:type="paragraph" w:styleId="970" w:customStyle="1">
    <w:name w:val="批注框文本1"/>
    <w:basedOn w:val="732"/>
    <w:uiPriority w:val="0"/>
    <w:semiHidden/>
    <w:qFormat/>
    <w:rPr>
      <w:sz w:val="18"/>
      <w:szCs w:val="18"/>
    </w:rPr>
  </w:style>
  <w:style w:type="paragraph" w:styleId="971" w:customStyle="1">
    <w:name w:val="页脚1"/>
    <w:basedOn w:val="732"/>
    <w:uiPriority w:val="0"/>
    <w:qFormat/>
    <w:pPr>
      <w:jc w:val="left"/>
      <w:tabs>
        <w:tab w:val="center" w:pos="4153" w:leader="none"/>
        <w:tab w:val="right" w:pos="8306" w:leader="none"/>
      </w:tabs>
    </w:pPr>
    <w:rPr>
      <w:sz w:val="18"/>
      <w:szCs w:val="18"/>
    </w:rPr>
  </w:style>
  <w:style w:type="paragraph" w:styleId="972" w:customStyle="1">
    <w:name w:val="页眉1"/>
    <w:basedOn w:val="732"/>
    <w:uiPriority w:val="0"/>
    <w:qFormat/>
    <w:pPr>
      <w:jc w:val="center"/>
      <w:tabs>
        <w:tab w:val="center" w:pos="4153" w:leader="none"/>
        <w:tab w:val="right" w:pos="8306" w:leader="none"/>
      </w:tabs>
      <w:pBdr>
        <w:bottom w:val="single" w:color="000000" w:sz="6" w:space="1"/>
      </w:pBdr>
    </w:pPr>
    <w:rPr>
      <w:sz w:val="18"/>
      <w:szCs w:val="18"/>
    </w:rPr>
  </w:style>
  <w:style w:type="paragraph" w:styleId="973" w:customStyle="1">
    <w:name w:val="正文文本缩进 31"/>
    <w:basedOn w:val="732"/>
    <w:uiPriority w:val="0"/>
    <w:qFormat/>
    <w:pPr>
      <w:ind w:firstLine="435"/>
    </w:pPr>
    <w:rPr>
      <w:rFonts w:ascii="仿宋" w:hAnsi="宋体" w:eastAsia="仿宋"/>
      <w:sz w:val="28"/>
    </w:rPr>
  </w:style>
  <w:style w:type="paragraph" w:styleId="974" w:customStyle="1">
    <w:name w:val="正文文本 21"/>
    <w:basedOn w:val="732"/>
    <w:uiPriority w:val="0"/>
    <w:qFormat/>
    <w:rPr>
      <w:rFonts w:ascii="仿宋" w:eastAsia="仿宋"/>
      <w:sz w:val="28"/>
    </w:rPr>
  </w:style>
  <w:style w:type="paragraph" w:styleId="975" w:customStyle="1">
    <w:name w:val="普通(网站)1"/>
    <w:basedOn w:val="732"/>
    <w:uiPriority w:val="99"/>
    <w:unhideWhenUsed/>
    <w:qFormat/>
    <w:pPr>
      <w:jc w:val="left"/>
      <w:spacing w:before="100" w:beforeAutospacing="1" w:after="100" w:afterAutospacing="1"/>
    </w:pPr>
    <w:rPr>
      <w:sz w:val="24"/>
      <w:szCs w:val="20"/>
    </w:rPr>
  </w:style>
  <w:style w:type="character" w:styleId="976" w:customStyle="1">
    <w:name w:val="正文首行缩进 2 Char"/>
    <w:basedOn w:val="964"/>
    <w:link w:val="796"/>
    <w:uiPriority w:val="0"/>
    <w:qFormat/>
  </w:style>
  <w:style w:type="table" w:styleId="977" w:customStyle="1">
    <w:name w:val="网格型11"/>
    <w:basedOn w:val="960"/>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78" w:customStyle="1">
    <w:name w:val="页码1"/>
    <w:link w:val="732"/>
    <w:uiPriority w:val="0"/>
    <w:qFormat/>
  </w:style>
  <w:style w:type="character" w:styleId="979" w:customStyle="1">
    <w:name w:val="已访问的超链接1"/>
    <w:link w:val="732"/>
    <w:uiPriority w:val="0"/>
    <w:qFormat/>
    <w:rPr>
      <w:color w:val="800080"/>
      <w:u w:val="single"/>
    </w:rPr>
  </w:style>
  <w:style w:type="character" w:styleId="980" w:customStyle="1">
    <w:name w:val="强调1"/>
    <w:link w:val="732"/>
    <w:uiPriority w:val="0"/>
    <w:qFormat/>
    <w:rPr>
      <w:i/>
    </w:rPr>
  </w:style>
  <w:style w:type="character" w:styleId="981" w:customStyle="1">
    <w:name w:val="超链接1"/>
    <w:basedOn w:val="959"/>
    <w:link w:val="732"/>
    <w:uiPriority w:val="0"/>
    <w:qFormat/>
    <w:rPr>
      <w:color w:val="0000ff"/>
      <w:u w:val="single"/>
    </w:rPr>
  </w:style>
  <w:style w:type="paragraph" w:styleId="982" w:customStyle="1">
    <w:name w:val="标题 31"/>
    <w:basedOn w:val="732"/>
    <w:next w:val="732"/>
    <w:uiPriority w:val="9"/>
    <w:qFormat/>
    <w:pPr>
      <w:keepLines/>
      <w:keepNext/>
      <w:spacing w:before="260" w:after="260" w:line="413" w:lineRule="auto"/>
      <w:outlineLvl w:val="2"/>
    </w:pPr>
    <w:rPr>
      <w:rFonts w:ascii="Arial" w:hAnsi="Arial"/>
      <w:b/>
      <w:sz w:val="32"/>
      <w:szCs w:val="20"/>
    </w:rPr>
  </w:style>
  <w:style w:type="character" w:styleId="983" w:customStyle="1">
    <w:name w:val="纯文本 Char1"/>
    <w:link w:val="732"/>
    <w:uiPriority w:val="0"/>
    <w:qFormat/>
    <w:rPr>
      <w:rFonts w:ascii="宋体" w:hAnsi="Courier New"/>
      <w:sz w:val="21"/>
    </w:rPr>
  </w:style>
  <w:style w:type="paragraph" w:styleId="984" w:customStyle="1">
    <w:name w:val="font6"/>
    <w:basedOn w:val="732"/>
    <w:uiPriority w:val="0"/>
    <w:qFormat/>
    <w:pPr>
      <w:jc w:val="left"/>
      <w:spacing w:before="100" w:beforeAutospacing="1" w:after="100" w:afterAutospacing="1"/>
      <w:widowControl/>
    </w:pPr>
    <w:rPr>
      <w:rFonts w:eastAsia="宋体"/>
      <w:sz w:val="18"/>
      <w:szCs w:val="18"/>
    </w:rPr>
  </w:style>
  <w:style w:type="paragraph" w:styleId="985" w:customStyle="1">
    <w:name w:val="列出段落"/>
    <w:basedOn w:val="732"/>
    <w:uiPriority w:val="99"/>
    <w:qFormat/>
    <w:pPr>
      <w:ind w:firstLine="420"/>
    </w:pPr>
  </w:style>
  <w:style w:type="paragraph" w:styleId="986" w:customStyle="1">
    <w:name w:val="xl43"/>
    <w:basedOn w:val="732"/>
    <w:uiPriority w:val="0"/>
    <w:qFormat/>
    <w:pPr>
      <w:jc w:val="left"/>
      <w:spacing w:before="100" w:beforeAutospacing="1" w:after="100" w:afterAutospacing="1"/>
      <w:widowControl/>
    </w:pPr>
    <w:rPr>
      <w:rFonts w:ascii="宋体" w:hAnsi="宋体" w:eastAsia="宋体"/>
      <w:sz w:val="24"/>
    </w:rPr>
  </w:style>
  <w:style w:type="paragraph" w:styleId="987" w:customStyle="1">
    <w:name w:val="xl68"/>
    <w:basedOn w:val="732"/>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88" w:customStyle="1">
    <w:name w:val="xl53"/>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989"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90" w:customStyle="1">
    <w:name w:val="xl46"/>
    <w:basedOn w:val="732"/>
    <w:uiPriority w:val="0"/>
    <w:qFormat/>
    <w:pPr>
      <w:jc w:val="right"/>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991" w:customStyle="1">
    <w:name w:val="xl39"/>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92" w:customStyle="1">
    <w:name w:val="xl59"/>
    <w:basedOn w:val="732"/>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93" w:customStyle="1">
    <w:name w:val="xl33"/>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94" w:customStyle="1">
    <w:name w:val="xl86"/>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995" w:customStyle="1">
    <w:name w:val="font7"/>
    <w:basedOn w:val="732"/>
    <w:uiPriority w:val="0"/>
    <w:qFormat/>
    <w:pPr>
      <w:jc w:val="left"/>
      <w:spacing w:before="100" w:beforeAutospacing="1" w:after="100" w:afterAutospacing="1"/>
      <w:widowControl/>
    </w:pPr>
    <w:rPr>
      <w:rFonts w:eastAsia="宋体"/>
      <w:sz w:val="18"/>
      <w:szCs w:val="18"/>
    </w:rPr>
  </w:style>
  <w:style w:type="paragraph" w:styleId="996" w:customStyle="1">
    <w:name w:val="Char Char Char Char"/>
    <w:basedOn w:val="962"/>
    <w:uiPriority w:val="0"/>
    <w:qFormat/>
    <w:pPr>
      <w:spacing w:line="360" w:lineRule="auto"/>
    </w:pPr>
    <w:rPr>
      <w:rFonts w:ascii="Tahoma" w:hAnsi="Tahoma"/>
      <w:sz w:val="24"/>
    </w:rPr>
  </w:style>
  <w:style w:type="paragraph" w:styleId="997" w:customStyle="1">
    <w:name w:val="xl67"/>
    <w:basedOn w:val="73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998" w:customStyle="1">
    <w:name w:val="xl45"/>
    <w:basedOn w:val="732"/>
    <w:uiPriority w:val="0"/>
    <w:qFormat/>
    <w:pPr>
      <w:jc w:val="right"/>
      <w:spacing w:before="100" w:beforeAutospacing="1" w:after="100" w:afterAutospacing="1"/>
      <w:widowControl/>
      <w:pBdr>
        <w:bottom w:val="single" w:color="000000" w:sz="4" w:space="0"/>
        <w:right w:val="single" w:color="000000" w:sz="4" w:space="0"/>
      </w:pBdr>
    </w:pPr>
    <w:rPr>
      <w:rFonts w:eastAsia="宋体"/>
      <w:b/>
      <w:bCs/>
      <w:sz w:val="18"/>
      <w:szCs w:val="18"/>
    </w:rPr>
  </w:style>
  <w:style w:type="paragraph" w:styleId="999" w:customStyle="1">
    <w:name w:val="xl72"/>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100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01" w:customStyle="1">
    <w:name w:val="xl60"/>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1002" w:customStyle="1">
    <w:name w:val="xl84"/>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1003" w:customStyle="1">
    <w:name w:val="xl57"/>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004" w:customStyle="1">
    <w:name w:val="xl69"/>
    <w:basedOn w:val="73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1005" w:customStyle="1">
    <w:name w:val="font12"/>
    <w:basedOn w:val="732"/>
    <w:uiPriority w:val="0"/>
    <w:qFormat/>
    <w:pPr>
      <w:jc w:val="left"/>
      <w:spacing w:before="100" w:beforeAutospacing="1" w:after="100" w:afterAutospacing="1"/>
      <w:widowControl/>
    </w:pPr>
    <w:rPr>
      <w:rFonts w:eastAsia="宋体"/>
      <w:color w:val="333333"/>
      <w:sz w:val="18"/>
      <w:szCs w:val="18"/>
    </w:rPr>
  </w:style>
  <w:style w:type="paragraph" w:styleId="1006" w:customStyle="1">
    <w:name w:val="font8"/>
    <w:basedOn w:val="732"/>
    <w:uiPriority w:val="0"/>
    <w:qFormat/>
    <w:pPr>
      <w:jc w:val="left"/>
      <w:spacing w:before="100" w:beforeAutospacing="1" w:after="100" w:afterAutospacing="1"/>
      <w:widowControl/>
    </w:pPr>
    <w:rPr>
      <w:rFonts w:eastAsia="宋体"/>
      <w:sz w:val="18"/>
      <w:szCs w:val="18"/>
    </w:rPr>
  </w:style>
  <w:style w:type="paragraph" w:styleId="1007" w:customStyle="1">
    <w:name w:val="xl47"/>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008" w:customStyle="1">
    <w:name w:val=" 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1009" w:customStyle="1">
    <w:name w:val="xl74"/>
    <w:basedOn w:val="73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1010" w:customStyle="1">
    <w:name w:val="xl77"/>
    <w:basedOn w:val="73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18"/>
      <w:szCs w:val="18"/>
    </w:rPr>
  </w:style>
  <w:style w:type="paragraph" w:styleId="1011" w:customStyle="1">
    <w:name w:val="xl71"/>
    <w:basedOn w:val="732"/>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1012" w:customStyle="1">
    <w:name w:val="xl75"/>
    <w:basedOn w:val="73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18"/>
      <w:szCs w:val="18"/>
    </w:rPr>
  </w:style>
  <w:style w:type="paragraph" w:styleId="1013" w:customStyle="1">
    <w:name w:val="xl38"/>
    <w:basedOn w:val="7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1014" w:customStyle="1">
    <w:name w:val="xl51"/>
    <w:basedOn w:val="732"/>
    <w:uiPriority w:val="0"/>
    <w:qFormat/>
    <w:pPr>
      <w:jc w:val="center"/>
      <w:spacing w:before="100" w:beforeAutospacing="1" w:after="100" w:afterAutospacing="1"/>
      <w:widowControl/>
      <w:pBdr>
        <w:top w:val="single" w:color="000000" w:sz="4" w:space="0"/>
        <w:bottom w:val="single" w:color="000000" w:sz="4" w:space="0"/>
      </w:pBdr>
    </w:pPr>
    <w:rPr>
      <w:rFonts w:eastAsia="宋体"/>
      <w:sz w:val="18"/>
      <w:szCs w:val="18"/>
    </w:rPr>
  </w:style>
  <w:style w:type="paragraph" w:styleId="1015" w:customStyle="1">
    <w:name w:val="xl78"/>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b/>
      <w:bCs/>
      <w:color w:val="000000"/>
      <w:sz w:val="18"/>
      <w:szCs w:val="18"/>
    </w:rPr>
  </w:style>
  <w:style w:type="paragraph" w:styleId="1016" w:customStyle="1">
    <w:name w:val="普通正文"/>
    <w:basedOn w:val="732"/>
    <w:uiPriority w:val="0"/>
    <w:qFormat/>
    <w:pPr>
      <w:ind w:firstLine="480"/>
      <w:jc w:val="left"/>
      <w:spacing w:before="120" w:after="120" w:line="360" w:lineRule="auto"/>
    </w:pPr>
    <w:rPr>
      <w:rFonts w:ascii="Arial" w:hAnsi="Arial"/>
      <w:sz w:val="24"/>
    </w:rPr>
  </w:style>
  <w:style w:type="paragraph" w:styleId="1017" w:customStyle="1">
    <w:name w:val="Char"/>
    <w:basedOn w:val="732"/>
    <w:uiPriority w:val="0"/>
    <w:qFormat/>
    <w:pPr>
      <w:tabs>
        <w:tab w:val="left" w:pos="360" w:leader="none"/>
      </w:tabs>
    </w:pPr>
    <w:rPr>
      <w:sz w:val="24"/>
    </w:rPr>
  </w:style>
  <w:style w:type="paragraph" w:styleId="1018" w:customStyle="1">
    <w:name w:val="xl85"/>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宋体"/>
      <w:sz w:val="18"/>
      <w:szCs w:val="18"/>
    </w:rPr>
  </w:style>
  <w:style w:type="paragraph" w:styleId="1019" w:customStyle="1">
    <w:name w:val="xl81"/>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宋体"/>
      <w:sz w:val="18"/>
      <w:szCs w:val="18"/>
    </w:rPr>
  </w:style>
  <w:style w:type="paragraph" w:styleId="1020" w:customStyle="1">
    <w:name w:val="xl56"/>
    <w:basedOn w:val="732"/>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1021" w:customStyle="1">
    <w:name w:val="xl63"/>
    <w:basedOn w:val="732"/>
    <w:uiPriority w:val="0"/>
    <w:qFormat/>
    <w:pPr>
      <w:jc w:val="center"/>
      <w:spacing w:before="100" w:beforeAutospacing="1" w:after="100" w:afterAutospacing="1"/>
      <w:widowControl/>
      <w:pBdr>
        <w:right w:val="single" w:color="000000" w:sz="4" w:space="0"/>
      </w:pBdr>
    </w:pPr>
    <w:rPr>
      <w:rFonts w:ascii="宋体" w:hAnsi="宋体" w:eastAsia="宋体"/>
      <w:b/>
      <w:bCs/>
      <w:sz w:val="20"/>
      <w:szCs w:val="20"/>
    </w:rPr>
  </w:style>
  <w:style w:type="paragraph" w:styleId="1022" w:customStyle="1">
    <w:name w:val="font10"/>
    <w:basedOn w:val="732"/>
    <w:uiPriority w:val="0"/>
    <w:qFormat/>
    <w:pPr>
      <w:jc w:val="left"/>
      <w:spacing w:before="100" w:beforeAutospacing="1" w:after="100" w:afterAutospacing="1"/>
      <w:widowControl/>
    </w:pPr>
    <w:rPr>
      <w:rFonts w:eastAsia="宋体"/>
      <w:sz w:val="18"/>
      <w:szCs w:val="18"/>
    </w:rPr>
  </w:style>
  <w:style w:type="paragraph" w:styleId="1023" w:customStyle="1">
    <w:name w:val="xl62"/>
    <w:basedOn w:val="73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1024" w:customStyle="1">
    <w:name w:val="xl32"/>
    <w:basedOn w:val="7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25" w:customStyle="1">
    <w:name w:val="xl37"/>
    <w:basedOn w:val="732"/>
    <w:uiPriority w:val="0"/>
    <w:qFormat/>
    <w:pPr>
      <w:jc w:val="righ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1026" w:customStyle="1">
    <w:name w:val="xl54"/>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Print" w:hAnsi="Segoe Print" w:eastAsia="宋体"/>
      <w:sz w:val="20"/>
      <w:szCs w:val="20"/>
    </w:rPr>
  </w:style>
  <w:style w:type="paragraph" w:styleId="1027" w:customStyle="1">
    <w:name w:val="font11"/>
    <w:basedOn w:val="732"/>
    <w:uiPriority w:val="0"/>
    <w:qFormat/>
    <w:pPr>
      <w:jc w:val="left"/>
      <w:spacing w:before="100" w:beforeAutospacing="1" w:after="100" w:afterAutospacing="1"/>
      <w:widowControl/>
    </w:pPr>
    <w:rPr>
      <w:rFonts w:hint="eastAsia" w:ascii="宋体" w:hAnsi="宋体"/>
      <w:color w:val="333333"/>
      <w:sz w:val="18"/>
      <w:szCs w:val="18"/>
    </w:rPr>
  </w:style>
  <w:style w:type="paragraph" w:styleId="1028" w:customStyle="1">
    <w:name w:val="xl79"/>
    <w:basedOn w:val="732"/>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宋体" w:hAnsi="宋体" w:eastAsia="宋体"/>
      <w:b/>
      <w:bCs/>
      <w:color w:val="000000"/>
      <w:sz w:val="18"/>
      <w:szCs w:val="18"/>
    </w:rPr>
  </w:style>
  <w:style w:type="paragraph" w:styleId="1029" w:customStyle="1">
    <w:name w:val="xl42"/>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宋体"/>
      <w:sz w:val="18"/>
      <w:szCs w:val="18"/>
    </w:rPr>
  </w:style>
  <w:style w:type="paragraph" w:styleId="1030" w:customStyle="1">
    <w:name w:val="xl73"/>
    <w:basedOn w:val="732"/>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1031" w:customStyle="1">
    <w:name w:val="xl36"/>
    <w:basedOn w:val="732"/>
    <w:uiPriority w:val="0"/>
    <w:qFormat/>
    <w:pPr>
      <w:jc w:val="center"/>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1032" w:customStyle="1">
    <w:name w:val="xl44"/>
    <w:basedOn w:val="732"/>
    <w:uiPriority w:val="0"/>
    <w:qFormat/>
    <w:pPr>
      <w:jc w:val="right"/>
      <w:spacing w:before="100" w:beforeAutospacing="1" w:after="100" w:afterAutospacing="1"/>
      <w:widowControl/>
    </w:pPr>
    <w:rPr>
      <w:rFonts w:ascii="宋体" w:hAnsi="宋体" w:eastAsia="宋体"/>
      <w:sz w:val="24"/>
    </w:rPr>
  </w:style>
  <w:style w:type="paragraph" w:styleId="1033" w:customStyle="1">
    <w:name w:val="xl35"/>
    <w:basedOn w:val="732"/>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1034" w:customStyle="1">
    <w:name w:val=" Char Char Char Char Char 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1035" w:customStyle="1">
    <w:name w:val="xl64"/>
    <w:basedOn w:val="732"/>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1036" w:customStyle="1">
    <w:name w:val="xl41"/>
    <w:basedOn w:val="73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1037" w:customStyle="1">
    <w:name w:val="xl52"/>
    <w:basedOn w:val="73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宋体"/>
      <w:sz w:val="18"/>
      <w:szCs w:val="18"/>
    </w:rPr>
  </w:style>
  <w:style w:type="paragraph" w:styleId="1038" w:customStyle="1">
    <w:name w:val="xl80"/>
    <w:basedOn w:val="732"/>
    <w:uiPriority w:val="0"/>
    <w:qFormat/>
    <w:pPr>
      <w:jc w:val="center"/>
      <w:spacing w:before="100" w:beforeAutospacing="1" w:after="100" w:afterAutospacing="1"/>
      <w:widowControl/>
      <w:pBdr>
        <w:bottom w:val="single" w:color="000000" w:sz="4" w:space="0"/>
      </w:pBdr>
    </w:pPr>
    <w:rPr>
      <w:rFonts w:ascii="宋体" w:hAnsi="宋体" w:eastAsia="宋体"/>
      <w:sz w:val="18"/>
      <w:szCs w:val="18"/>
    </w:rPr>
  </w:style>
  <w:style w:type="paragraph" w:styleId="1039" w:customStyle="1">
    <w:name w:val="xl31"/>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1040" w:customStyle="1">
    <w:name w:val="xl30"/>
    <w:basedOn w:val="732"/>
    <w:uiPriority w:val="0"/>
    <w:qFormat/>
    <w:pPr>
      <w:jc w:val="left"/>
      <w:spacing w:before="100" w:beforeAutospacing="1" w:after="100" w:afterAutospacing="1"/>
      <w:widowControl/>
    </w:pPr>
    <w:rPr>
      <w:rFonts w:ascii="宋体" w:hAnsi="宋体" w:eastAsia="宋体"/>
      <w:sz w:val="18"/>
      <w:szCs w:val="18"/>
    </w:rPr>
  </w:style>
  <w:style w:type="paragraph" w:styleId="104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42" w:customStyle="1">
    <w:name w:val="xl34"/>
    <w:basedOn w:val="732"/>
    <w:uiPriority w:val="0"/>
    <w:qFormat/>
    <w:pPr>
      <w:jc w:val="lef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1043" w:customStyle="1">
    <w:name w:val=" Char"/>
    <w:basedOn w:val="962"/>
    <w:uiPriority w:val="0"/>
    <w:qFormat/>
    <w:pPr>
      <w:spacing w:line="360" w:lineRule="auto"/>
    </w:pPr>
    <w:rPr>
      <w:rFonts w:ascii="Tahoma" w:hAnsi="Tahoma"/>
      <w:sz w:val="24"/>
    </w:rPr>
  </w:style>
  <w:style w:type="paragraph" w:styleId="1044" w:customStyle="1">
    <w:name w:val="font9"/>
    <w:basedOn w:val="732"/>
    <w:uiPriority w:val="0"/>
    <w:qFormat/>
    <w:pPr>
      <w:jc w:val="left"/>
      <w:spacing w:before="100" w:beforeAutospacing="1" w:after="100" w:afterAutospacing="1"/>
      <w:widowControl/>
    </w:pPr>
    <w:rPr>
      <w:rFonts w:eastAsia="宋体"/>
      <w:b/>
      <w:bCs/>
      <w:color w:val="000000"/>
      <w:sz w:val="18"/>
      <w:szCs w:val="18"/>
    </w:rPr>
  </w:style>
  <w:style w:type="paragraph" w:styleId="1045" w:customStyle="1">
    <w:name w:val="xl58"/>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1046" w:customStyle="1">
    <w:name w:val="xl70"/>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1047" w:customStyle="1">
    <w:name w:val="xl28"/>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48" w:customStyle="1">
    <w:name w:val="xl48"/>
    <w:basedOn w:val="732"/>
    <w:uiPriority w:val="0"/>
    <w:qFormat/>
    <w:pPr>
      <w:jc w:val="center"/>
      <w:spacing w:before="100" w:beforeAutospacing="1" w:after="100" w:afterAutospacing="1"/>
      <w:widowControl/>
    </w:pPr>
    <w:rPr>
      <w:rFonts w:ascii="宋体" w:hAnsi="宋体" w:eastAsia="宋体"/>
      <w:sz w:val="28"/>
      <w:szCs w:val="28"/>
    </w:rPr>
  </w:style>
  <w:style w:type="paragraph" w:styleId="1049" w:customStyle="1">
    <w:name w:val="font5"/>
    <w:basedOn w:val="732"/>
    <w:uiPriority w:val="0"/>
    <w:qFormat/>
    <w:pPr>
      <w:jc w:val="left"/>
      <w:spacing w:before="100" w:beforeAutospacing="1" w:after="100" w:afterAutospacing="1"/>
      <w:widowControl/>
    </w:pPr>
    <w:rPr>
      <w:rFonts w:hint="eastAsia" w:ascii="宋体" w:hAnsi="宋体"/>
      <w:sz w:val="18"/>
      <w:szCs w:val="18"/>
    </w:rPr>
  </w:style>
  <w:style w:type="paragraph" w:styleId="1050" w:customStyle="1">
    <w:name w:val="默认段落字体 Para Char Char Char Char Char Char Char Char Char1 Char Char Char Char Char Char Char"/>
    <w:basedOn w:val="962"/>
    <w:uiPriority w:val="0"/>
    <w:qFormat/>
    <w:rPr>
      <w:rFonts w:ascii="Tahoma" w:hAnsi="Tahoma"/>
      <w:sz w:val="24"/>
    </w:rPr>
  </w:style>
  <w:style w:type="paragraph" w:styleId="1051" w:customStyle="1">
    <w:name w:val="xl6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52" w:customStyle="1">
    <w:name w:val="font13"/>
    <w:basedOn w:val="732"/>
    <w:uiPriority w:val="0"/>
    <w:qFormat/>
    <w:pPr>
      <w:jc w:val="left"/>
      <w:spacing w:before="100" w:beforeAutospacing="1" w:after="100" w:afterAutospacing="1"/>
      <w:widowControl/>
    </w:pPr>
    <w:rPr>
      <w:rFonts w:eastAsia="宋体"/>
      <w:b/>
      <w:bCs/>
      <w:sz w:val="18"/>
      <w:szCs w:val="18"/>
    </w:rPr>
  </w:style>
  <w:style w:type="paragraph" w:styleId="1053" w:customStyle="1">
    <w:name w:val="xl83"/>
    <w:basedOn w:val="732"/>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1054" w:customStyle="1">
    <w:name w:val="xl61"/>
    <w:basedOn w:val="732"/>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1055" w:customStyle="1">
    <w:name w:val="xl76"/>
    <w:basedOn w:val="732"/>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b/>
      <w:bCs/>
      <w:sz w:val="18"/>
      <w:szCs w:val="18"/>
    </w:rPr>
  </w:style>
  <w:style w:type="paragraph" w:styleId="1056" w:customStyle="1">
    <w:name w:val="xl55"/>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1057" w:customStyle="1">
    <w:name w:val="xl40"/>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58" w:customStyle="1">
    <w:name w:val="xl65"/>
    <w:basedOn w:val="732"/>
    <w:uiPriority w:val="0"/>
    <w:qFormat/>
    <w:pPr>
      <w:jc w:val="center"/>
      <w:spacing w:before="100" w:beforeAutospacing="1" w:after="100" w:afterAutospacing="1"/>
      <w:widowControl/>
      <w:pBdr>
        <w:left w:val="single" w:color="000000" w:sz="4" w:space="0"/>
      </w:pBdr>
    </w:pPr>
    <w:rPr>
      <w:rFonts w:ascii="宋体" w:hAnsi="宋体" w:eastAsia="宋体"/>
      <w:b/>
      <w:bCs/>
      <w:sz w:val="20"/>
      <w:szCs w:val="20"/>
    </w:rPr>
  </w:style>
  <w:style w:type="paragraph" w:styleId="1059" w:customStyle="1">
    <w:name w:val="xl4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1060" w:customStyle="1">
    <w:name w:val="xl50"/>
    <w:basedOn w:val="732"/>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1061" w:customStyle="1">
    <w:name w:val="xl82"/>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color w:val="333333"/>
      <w:sz w:val="18"/>
      <w:szCs w:val="18"/>
    </w:rPr>
  </w:style>
  <w:style w:type="paragraph" w:styleId="1062"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63" w:customStyle="1">
    <w:name w:val="BodyText1"/>
    <w:basedOn w:val="732"/>
    <w:uiPriority w:val="0"/>
    <w:qFormat/>
    <w:pPr>
      <w:jc w:val="both"/>
      <w:spacing w:line="60" w:lineRule="auto"/>
    </w:pPr>
    <w:rPr>
      <w:rFonts w:ascii="仿宋" w:hAnsi="Calibri" w:eastAsia="仿宋"/>
      <w:sz w:val="32"/>
      <w:szCs w:val="22"/>
      <w:lang w:val="en-US" w:eastAsia="zh-CN" w:bidi="ar-SA"/>
    </w:rPr>
  </w:style>
  <w:style w:type="paragraph" w:styleId="1064" w:customStyle="1">
    <w:name w:val="WPSOffice手动目录 1"/>
    <w:uiPriority w:val="0"/>
    <w:qFormat/>
    <w:rPr>
      <w:rFonts w:hint="default" w:ascii="Times New Roman" w:hAnsi="Times New Roman" w:eastAsia="宋体" w:cs="Times New Roman"/>
      <w:sz w:val="20"/>
      <w:szCs w:val="20"/>
    </w:rPr>
  </w:style>
  <w:style w:type="paragraph" w:styleId="1065" w:customStyle="1">
    <w:name w:val="Table Paragraph"/>
    <w:basedOn w:val="732"/>
    <w:uiPriority w:val="0"/>
    <w:qFormat/>
    <w:rPr>
      <w:rFonts w:ascii="宋体" w:hAnsi="宋体" w:eastAsia="宋体" w:cs="宋体"/>
      <w:lang w:val="zh-CN" w:eastAsia="zh-CN" w:bidi="zh-CN"/>
    </w:rPr>
  </w:style>
  <w:style w:type="paragraph" w:styleId="1066" w:customStyle="1">
    <w:name w:val="纯文本12"/>
    <w:basedOn w:val="732"/>
    <w:uiPriority w:val="99"/>
    <w:qFormat/>
    <w:rPr>
      <w:rFonts w:ascii="宋体" w:hAnsi="Courier New"/>
      <w:szCs w:val="20"/>
    </w:rPr>
  </w:style>
  <w:style w:type="paragraph" w:styleId="1067" w:customStyle="1">
    <w:name w:val="纯文本1"/>
    <w:basedOn w:val="732"/>
    <w:uiPriority w:val="0"/>
    <w:qFormat/>
    <w:rPr>
      <w:rFonts w:ascii="宋体" w:hAnsi="Courier New"/>
      <w:szCs w:val="20"/>
    </w:rPr>
  </w:style>
  <w:style w:type="table" w:styleId="1068" w:customStyle="1">
    <w:name w:val="网格型1"/>
    <w:basedOn w:val="1069"/>
    <w:uiPriority w:val="0"/>
    <w:qFormat/>
    <w:pPr>
      <w:jc w:val="both"/>
      <w:widowControl w:val="off"/>
    </w:pPr>
    <w:rPr>
      <w:rFonts w:ascii="Times New Roman" w:hAnsi="Times New Roman"/>
    </w:rPr>
    <w:tblPr/>
  </w:style>
  <w:style w:type="table" w:styleId="1069"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paragraph" w:styleId="1070"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character" w:styleId="1071" w:customStyle="1">
    <w:name w:val="ul_li_a_1"/>
    <w:basedOn w:val="742"/>
    <w:uiPriority w:val="0"/>
    <w:qFormat/>
    <w:rPr>
      <w:b/>
      <w:bCs/>
      <w:color w:val="ffffff"/>
    </w:rPr>
  </w:style>
  <w:style w:type="character" w:styleId="1072" w:customStyle="1">
    <w:name w:val="a_p_2"/>
    <w:basedOn w:val="742"/>
    <w:uiPriority w:val="0"/>
    <w:qFormat/>
  </w:style>
  <w:style w:type="character" w:styleId="1073" w:customStyle="1">
    <w:name w:val="a_p_21"/>
    <w:basedOn w:val="742"/>
    <w:uiPriority w:val="0"/>
    <w:qFormat/>
    <w:rPr>
      <w:sz w:val="27"/>
      <w:szCs w:val="27"/>
    </w:rPr>
  </w:style>
  <w:style w:type="character" w:styleId="1074" w:customStyle="1">
    <w:name w:val="exap"/>
    <w:basedOn w:val="742"/>
    <w:uiPriority w:val="0"/>
    <w:qFormat/>
    <w:rPr>
      <w:sz w:val="27"/>
      <w:szCs w:val="27"/>
    </w:rPr>
  </w:style>
  <w:style w:type="character" w:styleId="1075" w:customStyle="1">
    <w:name w:val="a_p_3"/>
    <w:basedOn w:val="742"/>
    <w:uiPriority w:val="0"/>
    <w:qFormat/>
    <w:rPr>
      <w:sz w:val="27"/>
      <w:szCs w:val="27"/>
    </w:rPr>
  </w:style>
  <w:style w:type="character" w:styleId="1076" w:customStyle="1">
    <w:name w:val="a_p_1"/>
    <w:basedOn w:val="742"/>
    <w:uiPriority w:val="0"/>
    <w:qFormat/>
    <w:rPr>
      <w:sz w:val="27"/>
      <w:szCs w:val="27"/>
    </w:rPr>
  </w:style>
  <w:style w:type="character" w:styleId="1077" w:customStyle="1">
    <w:name w:val="font21"/>
    <w:basedOn w:val="742"/>
    <w:uiPriority w:val="0"/>
    <w:qFormat/>
    <w:rPr>
      <w:rFonts w:hint="eastAsia" w:ascii="宋体" w:hAnsi="宋体" w:eastAsia="宋体" w:cs="宋体"/>
      <w:color w:val="000000"/>
      <w:sz w:val="20"/>
      <w:szCs w:val="20"/>
      <w:u w:val="none"/>
    </w:rPr>
  </w:style>
  <w:style w:type="character" w:styleId="1078" w:customStyle="1">
    <w:name w:val="font51"/>
    <w:basedOn w:val="742"/>
    <w:uiPriority w:val="0"/>
    <w:qFormat/>
    <w:rPr>
      <w:rFonts w:ascii="Calibri" w:hAnsi="Calibri" w:cs="Calibri"/>
      <w:color w:val="000000"/>
      <w:sz w:val="20"/>
      <w:szCs w:val="20"/>
      <w:u w:val="none"/>
    </w:rPr>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jp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jp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jpg"/><Relationship Id="rId40" Type="http://schemas.openxmlformats.org/officeDocument/2006/relationships/image" Target="media/image27.png"/><Relationship Id="rId41" Type="http://schemas.openxmlformats.org/officeDocument/2006/relationships/image" Target="media/image2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金湖分公司</cp:lastModifiedBy>
  <cp:revision>7</cp:revision>
  <dcterms:created xsi:type="dcterms:W3CDTF">2024-02-28T03:16:00Z</dcterms:created>
  <dcterms:modified xsi:type="dcterms:W3CDTF">2026-10-15T07:57:27Z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eyJoZGlkIjoiNDYyODc5YmZlNzlkOGIzNmVmMTVkNjRiNzk1MzdhZTkiLCJ1c2VySWQiOiIyMjg4MTY0MjMifQ==</vt:lpwstr>
  </property>
  <property fmtid="{D5CDD505-2E9C-101B-9397-08002B2CF9AE}" pid="3" name="KSOProductBuildVer">
    <vt:lpwstr>2052-12.1.0.28802</vt:lpwstr>
  </property>
  <property fmtid="{D5CDD505-2E9C-101B-9397-08002B2CF9AE}" pid="4" name="ICV">
    <vt:lpwstr>2D4AC71BCBF24D86A44C16B56B0759DC_13</vt:lpwstr>
  </property>
</Properties>
</file>