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43ACB0">
      <w:pPr>
        <w:pStyle w:val="243"/>
        <w:tabs>
          <w:tab w:val="left" w:pos="7642"/>
        </w:tabs>
        <w:ind w:firstLine="0"/>
        <w:rPr>
          <w:rFonts w:ascii="宋体" w:hAnsi="宋体"/>
          <w:b/>
          <w:color w:val="000000" w:themeColor="text1"/>
          <w:sz w:val="52"/>
          <w:szCs w:val="52"/>
          <w:highlight w:val="none"/>
          <w14:textFill>
            <w14:solidFill>
              <w14:schemeClr w14:val="tx1"/>
            </w14:solidFill>
          </w14:textFill>
        </w:rPr>
      </w:pPr>
    </w:p>
    <w:p w14:paraId="6BB2E542">
      <w:pPr>
        <w:pStyle w:val="243"/>
        <w:tabs>
          <w:tab w:val="left" w:pos="7642"/>
        </w:tabs>
        <w:ind w:firstLine="0"/>
        <w:rPr>
          <w:rFonts w:ascii="宋体" w:hAnsi="宋体"/>
          <w:b/>
          <w:color w:val="000000" w:themeColor="text1"/>
          <w:sz w:val="52"/>
          <w:szCs w:val="52"/>
          <w:highlight w:val="none"/>
          <w14:textFill>
            <w14:solidFill>
              <w14:schemeClr w14:val="tx1"/>
            </w14:solidFill>
          </w14:textFill>
        </w:rPr>
      </w:pPr>
    </w:p>
    <w:p w14:paraId="6D670838">
      <w:pPr>
        <w:pStyle w:val="243"/>
        <w:tabs>
          <w:tab w:val="left" w:pos="7642"/>
        </w:tabs>
        <w:ind w:firstLine="0"/>
        <w:rPr>
          <w:rFonts w:ascii="宋体" w:hAnsi="宋体"/>
          <w:b/>
          <w:color w:val="000000" w:themeColor="text1"/>
          <w:sz w:val="52"/>
          <w:szCs w:val="52"/>
          <w:highlight w:val="none"/>
          <w14:textFill>
            <w14:solidFill>
              <w14:schemeClr w14:val="tx1"/>
            </w14:solidFill>
          </w14:textFill>
        </w:rPr>
      </w:pPr>
    </w:p>
    <w:p w14:paraId="0C23DE57">
      <w:pPr>
        <w:jc w:val="center"/>
        <w:rPr>
          <w:b/>
          <w:color w:val="000000" w:themeColor="text1"/>
          <w:sz w:val="84"/>
          <w:highlight w:val="none"/>
          <w14:textFill>
            <w14:solidFill>
              <w14:schemeClr w14:val="tx1"/>
            </w14:solidFill>
          </w14:textFill>
        </w:rPr>
      </w:pPr>
      <w:r>
        <w:rPr>
          <w:rFonts w:hint="eastAsia"/>
          <w:b/>
          <w:color w:val="000000" w:themeColor="text1"/>
          <w:sz w:val="84"/>
          <w:highlight w:val="none"/>
          <w14:textFill>
            <w14:solidFill>
              <w14:schemeClr w14:val="tx1"/>
            </w14:solidFill>
          </w14:textFill>
        </w:rPr>
        <w:t>招 标 文 件</w:t>
      </w:r>
    </w:p>
    <w:p w14:paraId="6B53A5D5">
      <w:pPr>
        <w:pStyle w:val="243"/>
        <w:ind w:firstLine="0"/>
        <w:rPr>
          <w:rFonts w:ascii="宋体" w:hAnsi="宋体"/>
          <w:b/>
          <w:bCs/>
          <w:color w:val="000000" w:themeColor="text1"/>
          <w:sz w:val="32"/>
          <w:szCs w:val="32"/>
          <w:highlight w:val="none"/>
          <w14:textFill>
            <w14:solidFill>
              <w14:schemeClr w14:val="tx1"/>
            </w14:solidFill>
          </w14:textFill>
        </w:rPr>
      </w:pPr>
    </w:p>
    <w:p w14:paraId="75DB8082">
      <w:pPr>
        <w:pStyle w:val="243"/>
        <w:ind w:firstLine="0"/>
        <w:rPr>
          <w:rFonts w:ascii="宋体" w:hAnsi="宋体"/>
          <w:b/>
          <w:bCs/>
          <w:color w:val="000000" w:themeColor="text1"/>
          <w:sz w:val="32"/>
          <w:szCs w:val="32"/>
          <w:highlight w:val="none"/>
          <w14:textFill>
            <w14:solidFill>
              <w14:schemeClr w14:val="tx1"/>
            </w14:solidFill>
          </w14:textFill>
        </w:rPr>
      </w:pPr>
    </w:p>
    <w:p w14:paraId="77D057EC">
      <w:pPr>
        <w:pStyle w:val="243"/>
        <w:ind w:firstLine="0"/>
        <w:rPr>
          <w:rFonts w:ascii="宋体" w:hAnsi="宋体"/>
          <w:b/>
          <w:bCs/>
          <w:color w:val="000000" w:themeColor="text1"/>
          <w:sz w:val="32"/>
          <w:szCs w:val="32"/>
          <w:highlight w:val="none"/>
          <w14:textFill>
            <w14:solidFill>
              <w14:schemeClr w14:val="tx1"/>
            </w14:solidFill>
          </w14:textFill>
        </w:rPr>
      </w:pPr>
    </w:p>
    <w:p w14:paraId="28878A65">
      <w:pPr>
        <w:pStyle w:val="243"/>
        <w:ind w:firstLine="0"/>
        <w:rPr>
          <w:rFonts w:ascii="宋体" w:hAnsi="宋体"/>
          <w:b/>
          <w:bCs/>
          <w:color w:val="000000" w:themeColor="text1"/>
          <w:sz w:val="32"/>
          <w:szCs w:val="32"/>
          <w:highlight w:val="none"/>
          <w14:textFill>
            <w14:solidFill>
              <w14:schemeClr w14:val="tx1"/>
            </w14:solidFill>
          </w14:textFill>
        </w:rPr>
      </w:pPr>
    </w:p>
    <w:p w14:paraId="1B913319">
      <w:pPr>
        <w:pStyle w:val="243"/>
        <w:ind w:firstLine="0"/>
        <w:rPr>
          <w:rFonts w:ascii="宋体" w:hAnsi="宋体"/>
          <w:b/>
          <w:bCs/>
          <w:color w:val="000000" w:themeColor="text1"/>
          <w:sz w:val="32"/>
          <w:szCs w:val="32"/>
          <w:highlight w:val="none"/>
          <w14:textFill>
            <w14:solidFill>
              <w14:schemeClr w14:val="tx1"/>
            </w14:solidFill>
          </w14:textFill>
        </w:rPr>
      </w:pPr>
    </w:p>
    <w:p w14:paraId="52A4D214">
      <w:pPr>
        <w:ind w:left="2165" w:hanging="1084"/>
        <w:rPr>
          <w:rFonts w:hint="eastAsia" w:ascii="宋体" w:eastAsia="宋体"/>
          <w:b/>
          <w:color w:val="000000" w:themeColor="text1"/>
          <w:sz w:val="36"/>
          <w:highlight w:val="none"/>
          <w:lang w:val="en-US" w:eastAsia="zh-CN"/>
          <w14:textFill>
            <w14:solidFill>
              <w14:schemeClr w14:val="tx1"/>
            </w14:solidFill>
          </w14:textFill>
        </w:rPr>
      </w:pPr>
      <w:r>
        <w:rPr>
          <w:rFonts w:hint="eastAsia" w:ascii="宋体"/>
          <w:b/>
          <w:color w:val="000000" w:themeColor="text1"/>
          <w:sz w:val="36"/>
          <w:highlight w:val="none"/>
          <w14:textFill>
            <w14:solidFill>
              <w14:schemeClr w14:val="tx1"/>
            </w14:solidFill>
          </w14:textFill>
        </w:rPr>
        <w:t>项目编号：</w:t>
      </w:r>
      <w:r>
        <w:rPr>
          <w:rFonts w:hint="eastAsia" w:ascii="宋体" w:hAnsi="Calibri" w:eastAsia="宋体" w:cs="Times New Roman"/>
          <w:b/>
          <w:color w:val="000000" w:themeColor="text1"/>
          <w:sz w:val="36"/>
          <w:szCs w:val="24"/>
          <w:highlight w:val="none"/>
          <w:lang w:val="en-US" w:eastAsia="zh-CN" w:bidi="ar-SA"/>
          <w14:textFill>
            <w14:solidFill>
              <w14:schemeClr w14:val="tx1"/>
            </w14:solidFill>
          </w14:textFill>
        </w:rPr>
        <w:t>JSZC-320900-RHHH-G2026-0058</w:t>
      </w:r>
    </w:p>
    <w:p w14:paraId="08C02925">
      <w:pPr>
        <w:ind w:firstLine="2891"/>
        <w:rPr>
          <w:rFonts w:ascii="宋体"/>
          <w:b/>
          <w:color w:val="000000" w:themeColor="text1"/>
          <w:sz w:val="36"/>
          <w:highlight w:val="none"/>
          <w14:textFill>
            <w14:solidFill>
              <w14:schemeClr w14:val="tx1"/>
            </w14:solidFill>
          </w14:textFill>
        </w:rPr>
      </w:pPr>
    </w:p>
    <w:p w14:paraId="634CEA27">
      <w:pPr>
        <w:ind w:left="2165" w:hanging="1084"/>
        <w:rPr>
          <w:rFonts w:hint="eastAsia" w:ascii="宋体" w:eastAsia="宋体"/>
          <w:b/>
          <w:color w:val="000000" w:themeColor="text1"/>
          <w:sz w:val="36"/>
          <w:highlight w:val="none"/>
          <w:lang w:eastAsia="zh-CN"/>
          <w14:textFill>
            <w14:solidFill>
              <w14:schemeClr w14:val="tx1"/>
            </w14:solidFill>
          </w14:textFill>
        </w:rPr>
      </w:pPr>
      <w:r>
        <w:rPr>
          <w:rFonts w:hint="eastAsia" w:ascii="宋体"/>
          <w:b/>
          <w:color w:val="000000" w:themeColor="text1"/>
          <w:sz w:val="36"/>
          <w:highlight w:val="none"/>
          <w14:textFill>
            <w14:solidFill>
              <w14:schemeClr w14:val="tx1"/>
            </w14:solidFill>
          </w14:textFill>
        </w:rPr>
        <w:t>项目名称：</w:t>
      </w:r>
      <w:r>
        <w:rPr>
          <w:rFonts w:hint="eastAsia" w:ascii="宋体"/>
          <w:b/>
          <w:color w:val="000000" w:themeColor="text1"/>
          <w:sz w:val="36"/>
          <w:highlight w:val="none"/>
          <w:lang w:eastAsia="zh-CN"/>
          <w14:textFill>
            <w14:solidFill>
              <w14:schemeClr w14:val="tx1"/>
            </w14:solidFill>
          </w14:textFill>
        </w:rPr>
        <w:t>盐城市2026年日常变更及年度变更调查</w:t>
      </w:r>
    </w:p>
    <w:p w14:paraId="56669309">
      <w:pPr>
        <w:ind w:left="2159" w:firstLine="723"/>
        <w:rPr>
          <w:rFonts w:ascii="宋体"/>
          <w:b/>
          <w:color w:val="000000" w:themeColor="text1"/>
          <w:sz w:val="36"/>
          <w:highlight w:val="none"/>
          <w14:textFill>
            <w14:solidFill>
              <w14:schemeClr w14:val="tx1"/>
            </w14:solidFill>
          </w14:textFill>
        </w:rPr>
      </w:pPr>
      <w:r>
        <w:rPr>
          <w:rFonts w:hint="eastAsia" w:ascii="宋体"/>
          <w:b/>
          <w:color w:val="000000" w:themeColor="text1"/>
          <w:sz w:val="36"/>
          <w:highlight w:val="none"/>
          <w14:textFill>
            <w14:solidFill>
              <w14:schemeClr w14:val="tx1"/>
            </w14:solidFill>
          </w14:textFill>
        </w:rPr>
        <w:t>市级检查及技术支撑服务项目</w:t>
      </w:r>
    </w:p>
    <w:p w14:paraId="6FEF65B0">
      <w:pPr>
        <w:pStyle w:val="243"/>
        <w:ind w:firstLine="0"/>
        <w:jc w:val="center"/>
        <w:rPr>
          <w:b/>
          <w:bCs/>
          <w:color w:val="000000" w:themeColor="text1"/>
          <w:sz w:val="32"/>
          <w:highlight w:val="none"/>
          <w14:textFill>
            <w14:solidFill>
              <w14:schemeClr w14:val="tx1"/>
            </w14:solidFill>
          </w14:textFill>
        </w:rPr>
      </w:pPr>
    </w:p>
    <w:p w14:paraId="42BBB762">
      <w:pPr>
        <w:pStyle w:val="243"/>
        <w:ind w:firstLine="0"/>
        <w:jc w:val="center"/>
        <w:rPr>
          <w:b/>
          <w:bCs/>
          <w:color w:val="000000" w:themeColor="text1"/>
          <w:sz w:val="32"/>
          <w:highlight w:val="none"/>
          <w14:textFill>
            <w14:solidFill>
              <w14:schemeClr w14:val="tx1"/>
            </w14:solidFill>
          </w14:textFill>
        </w:rPr>
      </w:pPr>
    </w:p>
    <w:p w14:paraId="133D34DC">
      <w:pPr>
        <w:pStyle w:val="243"/>
        <w:ind w:firstLine="0"/>
        <w:rPr>
          <w:b/>
          <w:bCs/>
          <w:color w:val="000000" w:themeColor="text1"/>
          <w:sz w:val="32"/>
          <w:highlight w:val="none"/>
          <w14:textFill>
            <w14:solidFill>
              <w14:schemeClr w14:val="tx1"/>
            </w14:solidFill>
          </w14:textFill>
        </w:rPr>
      </w:pPr>
    </w:p>
    <w:p w14:paraId="43DB3409">
      <w:pPr>
        <w:pStyle w:val="243"/>
        <w:ind w:firstLine="0"/>
        <w:jc w:val="center"/>
        <w:rPr>
          <w:b/>
          <w:bCs/>
          <w:color w:val="000000" w:themeColor="text1"/>
          <w:sz w:val="32"/>
          <w:highlight w:val="none"/>
          <w14:textFill>
            <w14:solidFill>
              <w14:schemeClr w14:val="tx1"/>
            </w14:solidFill>
          </w14:textFill>
        </w:rPr>
      </w:pPr>
      <w:r>
        <w:rPr>
          <w:rFonts w:hint="eastAsia"/>
          <w:b/>
          <w:bCs/>
          <w:color w:val="000000" w:themeColor="text1"/>
          <w:sz w:val="32"/>
          <w:highlight w:val="none"/>
          <w14:textFill>
            <w14:solidFill>
              <w14:schemeClr w14:val="tx1"/>
            </w14:solidFill>
          </w14:textFill>
        </w:rPr>
        <w:t>盐城市自然资源和规划局</w:t>
      </w:r>
    </w:p>
    <w:p w14:paraId="1575A94C">
      <w:pPr>
        <w:pStyle w:val="243"/>
        <w:ind w:firstLine="0"/>
        <w:jc w:val="center"/>
        <w:rPr>
          <w:b/>
          <w:bCs/>
          <w:color w:val="000000" w:themeColor="text1"/>
          <w:sz w:val="32"/>
          <w:highlight w:val="none"/>
          <w14:textFill>
            <w14:solidFill>
              <w14:schemeClr w14:val="tx1"/>
            </w14:solidFill>
          </w14:textFill>
        </w:rPr>
      </w:pPr>
      <w:r>
        <w:rPr>
          <w:rFonts w:hint="eastAsia"/>
          <w:b/>
          <w:bCs/>
          <w:color w:val="000000" w:themeColor="text1"/>
          <w:sz w:val="32"/>
          <w:highlight w:val="none"/>
          <w14:textFill>
            <w14:solidFill>
              <w14:schemeClr w14:val="tx1"/>
            </w14:solidFill>
          </w14:textFill>
        </w:rPr>
        <w:t>202</w:t>
      </w:r>
      <w:r>
        <w:rPr>
          <w:rFonts w:hint="eastAsia"/>
          <w:b/>
          <w:bCs/>
          <w:color w:val="000000" w:themeColor="text1"/>
          <w:sz w:val="32"/>
          <w:highlight w:val="none"/>
          <w:lang w:val="en-US" w:eastAsia="zh-CN"/>
          <w14:textFill>
            <w14:solidFill>
              <w14:schemeClr w14:val="tx1"/>
            </w14:solidFill>
          </w14:textFill>
        </w:rPr>
        <w:t>6</w:t>
      </w:r>
      <w:r>
        <w:rPr>
          <w:rFonts w:hint="eastAsia"/>
          <w:b/>
          <w:bCs/>
          <w:color w:val="000000" w:themeColor="text1"/>
          <w:sz w:val="32"/>
          <w:highlight w:val="none"/>
          <w14:textFill>
            <w14:solidFill>
              <w14:schemeClr w14:val="tx1"/>
            </w14:solidFill>
          </w14:textFill>
        </w:rPr>
        <w:t>年</w:t>
      </w:r>
      <w:r>
        <w:rPr>
          <w:rFonts w:hint="eastAsia"/>
          <w:b/>
          <w:bCs/>
          <w:color w:val="000000" w:themeColor="text1"/>
          <w:sz w:val="32"/>
          <w:highlight w:val="none"/>
          <w:lang w:val="en-US" w:eastAsia="zh-CN"/>
          <w14:textFill>
            <w14:solidFill>
              <w14:schemeClr w14:val="tx1"/>
            </w14:solidFill>
          </w14:textFill>
        </w:rPr>
        <w:t>9</w:t>
      </w:r>
      <w:r>
        <w:rPr>
          <w:rFonts w:hint="eastAsia"/>
          <w:b/>
          <w:bCs/>
          <w:color w:val="000000" w:themeColor="text1"/>
          <w:sz w:val="32"/>
          <w:highlight w:val="none"/>
          <w14:textFill>
            <w14:solidFill>
              <w14:schemeClr w14:val="tx1"/>
            </w14:solidFill>
          </w14:textFill>
        </w:rPr>
        <w:t xml:space="preserve">月  </w:t>
      </w:r>
    </w:p>
    <w:p w14:paraId="5459485A">
      <w:pPr>
        <w:ind w:firstLine="3313"/>
        <w:rPr>
          <w:rFonts w:ascii="黑体" w:hAnsi="Arial" w:eastAsia="黑体"/>
          <w:b/>
          <w:color w:val="000000" w:themeColor="text1"/>
          <w:sz w:val="44"/>
          <w:szCs w:val="21"/>
          <w:highlight w:val="none"/>
          <w14:textFill>
            <w14:solidFill>
              <w14:schemeClr w14:val="tx1"/>
            </w14:solidFill>
          </w14:textFill>
        </w:rPr>
        <w:sectPr>
          <w:headerReference r:id="rId3" w:type="first"/>
          <w:footerReference r:id="rId4" w:type="first"/>
          <w:pgSz w:w="11906" w:h="16838"/>
          <w:pgMar w:top="1015" w:right="1196" w:bottom="868" w:left="1259" w:header="851" w:footer="907" w:gutter="0"/>
          <w:pgBorders>
            <w:top w:val="none" w:sz="0" w:space="0"/>
            <w:left w:val="none" w:sz="0" w:space="0"/>
            <w:bottom w:val="none" w:sz="0" w:space="0"/>
            <w:right w:val="none" w:sz="0" w:space="0"/>
          </w:pgBorders>
          <w:cols w:space="720" w:num="1"/>
          <w:titlePg/>
          <w:docGrid w:linePitch="360" w:charSpace="0"/>
        </w:sectPr>
      </w:pPr>
    </w:p>
    <w:p w14:paraId="1C92E41A">
      <w:pPr>
        <w:ind w:firstLine="3313"/>
        <w:rPr>
          <w:rFonts w:ascii="宋体" w:hAnsi="宋体"/>
          <w:b/>
          <w:color w:val="000000" w:themeColor="text1"/>
          <w:sz w:val="44"/>
          <w:szCs w:val="44"/>
          <w:highlight w:val="none"/>
          <w14:textFill>
            <w14:solidFill>
              <w14:schemeClr w14:val="tx1"/>
            </w14:solidFill>
          </w14:textFill>
        </w:rPr>
      </w:pPr>
      <w:r>
        <w:rPr>
          <w:rFonts w:hint="eastAsia" w:ascii="黑体" w:hAnsi="Arial" w:eastAsia="黑体"/>
          <w:b/>
          <w:color w:val="000000" w:themeColor="text1"/>
          <w:sz w:val="44"/>
          <w:szCs w:val="21"/>
          <w:highlight w:val="none"/>
          <w14:textFill>
            <w14:solidFill>
              <w14:schemeClr w14:val="tx1"/>
            </w14:solidFill>
          </w14:textFill>
        </w:rPr>
        <w:t>总 目 录</w:t>
      </w:r>
    </w:p>
    <w:p w14:paraId="2BC338D1">
      <w:pPr>
        <w:pStyle w:val="33"/>
        <w:spacing w:line="360" w:lineRule="auto"/>
        <w:rPr>
          <w:rFonts w:ascii="宋体" w:hAnsi="宋体" w:eastAsia="宋体"/>
          <w:b w:val="0"/>
          <w:color w:val="000000" w:themeColor="text1"/>
          <w:sz w:val="24"/>
          <w:szCs w:val="24"/>
          <w:highlight w:val="none"/>
          <w14:textFill>
            <w14:solidFill>
              <w14:schemeClr w14:val="tx1"/>
            </w14:solidFill>
          </w14:textFill>
        </w:rPr>
      </w:pPr>
    </w:p>
    <w:p w14:paraId="44B57D42">
      <w:pPr>
        <w:spacing w:line="720" w:lineRule="auto"/>
        <w:ind w:firstLine="1440"/>
        <w:outlineLvl w:val="0"/>
        <w:rPr>
          <w:rFonts w:ascii="黑体" w:hAnsi="宋体" w:eastAsia="黑体"/>
          <w:color w:val="000000" w:themeColor="text1"/>
          <w:sz w:val="36"/>
          <w:szCs w:val="21"/>
          <w:highlight w:val="none"/>
          <w14:textFill>
            <w14:solidFill>
              <w14:schemeClr w14:val="tx1"/>
            </w14:solidFill>
          </w14:textFill>
        </w:rPr>
      </w:pPr>
      <w:r>
        <w:rPr>
          <w:rFonts w:hint="eastAsia" w:ascii="黑体" w:hAnsi="宋体" w:eastAsia="黑体"/>
          <w:color w:val="000000" w:themeColor="text1"/>
          <w:sz w:val="36"/>
          <w:szCs w:val="21"/>
          <w:highlight w:val="none"/>
          <w14:textFill>
            <w14:solidFill>
              <w14:schemeClr w14:val="tx1"/>
            </w14:solidFill>
          </w14:textFill>
        </w:rPr>
        <w:t xml:space="preserve">第一章    招标公告                          </w:t>
      </w:r>
    </w:p>
    <w:p w14:paraId="6462BB29">
      <w:pPr>
        <w:spacing w:line="720" w:lineRule="auto"/>
        <w:ind w:firstLine="1440"/>
        <w:outlineLvl w:val="0"/>
        <w:rPr>
          <w:rFonts w:ascii="黑体" w:hAnsi="宋体" w:eastAsia="黑体"/>
          <w:color w:val="000000" w:themeColor="text1"/>
          <w:sz w:val="36"/>
          <w:szCs w:val="21"/>
          <w:highlight w:val="none"/>
          <w14:textFill>
            <w14:solidFill>
              <w14:schemeClr w14:val="tx1"/>
            </w14:solidFill>
          </w14:textFill>
        </w:rPr>
      </w:pPr>
      <w:r>
        <w:rPr>
          <w:rFonts w:hint="eastAsia" w:ascii="黑体" w:hAnsi="宋体" w:eastAsia="黑体"/>
          <w:color w:val="000000" w:themeColor="text1"/>
          <w:sz w:val="36"/>
          <w:szCs w:val="21"/>
          <w:highlight w:val="none"/>
          <w14:textFill>
            <w14:solidFill>
              <w14:schemeClr w14:val="tx1"/>
            </w14:solidFill>
          </w14:textFill>
        </w:rPr>
        <w:t xml:space="preserve">第二章    投标人须知 </w:t>
      </w:r>
    </w:p>
    <w:p w14:paraId="3E51B5EE">
      <w:pPr>
        <w:spacing w:line="720" w:lineRule="auto"/>
        <w:ind w:firstLine="1440"/>
        <w:outlineLvl w:val="0"/>
        <w:rPr>
          <w:rFonts w:ascii="黑体" w:hAnsi="宋体" w:eastAsia="黑体"/>
          <w:color w:val="000000" w:themeColor="text1"/>
          <w:sz w:val="36"/>
          <w:szCs w:val="21"/>
          <w:highlight w:val="none"/>
          <w14:textFill>
            <w14:solidFill>
              <w14:schemeClr w14:val="tx1"/>
            </w14:solidFill>
          </w14:textFill>
        </w:rPr>
      </w:pPr>
      <w:r>
        <w:rPr>
          <w:rFonts w:hint="eastAsia" w:ascii="黑体" w:hAnsi="宋体" w:eastAsia="黑体"/>
          <w:color w:val="000000" w:themeColor="text1"/>
          <w:sz w:val="36"/>
          <w:szCs w:val="21"/>
          <w:highlight w:val="none"/>
          <w14:textFill>
            <w14:solidFill>
              <w14:schemeClr w14:val="tx1"/>
            </w14:solidFill>
          </w14:textFill>
        </w:rPr>
        <w:t xml:space="preserve">第三章    合同条款及格式 </w:t>
      </w:r>
    </w:p>
    <w:p w14:paraId="5A2CAFB9">
      <w:pPr>
        <w:spacing w:line="720" w:lineRule="auto"/>
        <w:ind w:firstLine="1440"/>
        <w:outlineLvl w:val="0"/>
        <w:rPr>
          <w:rFonts w:ascii="黑体" w:hAnsi="宋体" w:eastAsia="黑体"/>
          <w:color w:val="000000" w:themeColor="text1"/>
          <w:sz w:val="36"/>
          <w:szCs w:val="21"/>
          <w:highlight w:val="none"/>
          <w14:textFill>
            <w14:solidFill>
              <w14:schemeClr w14:val="tx1"/>
            </w14:solidFill>
          </w14:textFill>
        </w:rPr>
      </w:pPr>
      <w:r>
        <w:rPr>
          <w:rFonts w:hint="eastAsia" w:ascii="黑体" w:hAnsi="宋体" w:eastAsia="黑体"/>
          <w:color w:val="000000" w:themeColor="text1"/>
          <w:sz w:val="36"/>
          <w:szCs w:val="21"/>
          <w:highlight w:val="none"/>
          <w14:textFill>
            <w14:solidFill>
              <w14:schemeClr w14:val="tx1"/>
            </w14:solidFill>
          </w14:textFill>
        </w:rPr>
        <w:t xml:space="preserve">第四章    项目需求 </w:t>
      </w:r>
    </w:p>
    <w:p w14:paraId="7B76D1FC">
      <w:pPr>
        <w:spacing w:line="720" w:lineRule="auto"/>
        <w:ind w:firstLine="1440"/>
        <w:outlineLvl w:val="0"/>
        <w:rPr>
          <w:rFonts w:ascii="黑体" w:hAnsi="宋体" w:eastAsia="黑体"/>
          <w:color w:val="000000" w:themeColor="text1"/>
          <w:sz w:val="36"/>
          <w:szCs w:val="21"/>
          <w:highlight w:val="none"/>
          <w14:textFill>
            <w14:solidFill>
              <w14:schemeClr w14:val="tx1"/>
            </w14:solidFill>
          </w14:textFill>
        </w:rPr>
      </w:pPr>
      <w:r>
        <w:rPr>
          <w:rFonts w:hint="eastAsia" w:ascii="黑体" w:hAnsi="宋体" w:eastAsia="黑体"/>
          <w:color w:val="000000" w:themeColor="text1"/>
          <w:sz w:val="36"/>
          <w:szCs w:val="21"/>
          <w:highlight w:val="none"/>
          <w14:textFill>
            <w14:solidFill>
              <w14:schemeClr w14:val="tx1"/>
            </w14:solidFill>
          </w14:textFill>
        </w:rPr>
        <w:t xml:space="preserve">第五章    评审方法和评审标准 </w:t>
      </w:r>
    </w:p>
    <w:p w14:paraId="3020EB24">
      <w:pPr>
        <w:spacing w:line="720" w:lineRule="auto"/>
        <w:ind w:firstLine="1440"/>
        <w:outlineLvl w:val="0"/>
        <w:rPr>
          <w:rFonts w:ascii="黑体" w:hAnsi="宋体" w:eastAsia="黑体"/>
          <w:color w:val="000000" w:themeColor="text1"/>
          <w:sz w:val="36"/>
          <w:szCs w:val="21"/>
          <w:highlight w:val="none"/>
          <w14:textFill>
            <w14:solidFill>
              <w14:schemeClr w14:val="tx1"/>
            </w14:solidFill>
          </w14:textFill>
        </w:rPr>
      </w:pPr>
      <w:r>
        <w:rPr>
          <w:rFonts w:hint="eastAsia" w:ascii="黑体" w:hAnsi="宋体" w:eastAsia="黑体"/>
          <w:color w:val="000000" w:themeColor="text1"/>
          <w:sz w:val="36"/>
          <w:szCs w:val="21"/>
          <w:highlight w:val="none"/>
          <w14:textFill>
            <w14:solidFill>
              <w14:schemeClr w14:val="tx1"/>
            </w14:solidFill>
          </w14:textFill>
        </w:rPr>
        <w:t>第六章    投标文件格式</w:t>
      </w:r>
    </w:p>
    <w:p w14:paraId="01E2ACDF">
      <w:pPr>
        <w:rPr>
          <w:rFonts w:ascii="宋体" w:hAnsi="宋体"/>
          <w:color w:val="000000" w:themeColor="text1"/>
          <w:highlight w:val="none"/>
          <w14:textFill>
            <w14:solidFill>
              <w14:schemeClr w14:val="tx1"/>
            </w14:solidFill>
          </w14:textFill>
        </w:rPr>
      </w:pPr>
    </w:p>
    <w:p w14:paraId="4033FA2E">
      <w:pPr>
        <w:pStyle w:val="5"/>
        <w:rPr>
          <w:rFonts w:ascii="宋体" w:hAnsi="宋体"/>
          <w:color w:val="000000" w:themeColor="text1"/>
          <w:highlight w:val="none"/>
          <w14:textFill>
            <w14:solidFill>
              <w14:schemeClr w14:val="tx1"/>
            </w14:solidFill>
          </w14:textFill>
        </w:rPr>
        <w:sectPr>
          <w:footerReference r:id="rId6" w:type="first"/>
          <w:footerReference r:id="rId5" w:type="default"/>
          <w:pgSz w:w="11906" w:h="16838"/>
          <w:pgMar w:top="1015" w:right="1196" w:bottom="868" w:left="1259" w:header="851" w:footer="907" w:gutter="0"/>
          <w:pgBorders>
            <w:top w:val="none" w:sz="0" w:space="0"/>
            <w:left w:val="none" w:sz="0" w:space="0"/>
            <w:bottom w:val="none" w:sz="0" w:space="0"/>
            <w:right w:val="none" w:sz="0" w:space="0"/>
          </w:pgBorders>
          <w:pgNumType w:start="1"/>
          <w:cols w:space="720" w:num="1"/>
          <w:docGrid w:linePitch="360" w:charSpace="0"/>
        </w:sectPr>
      </w:pPr>
    </w:p>
    <w:p w14:paraId="3BA0E0C6">
      <w:pPr>
        <w:pStyle w:val="5"/>
        <w:jc w:val="center"/>
        <w:rPr>
          <w:rFonts w:ascii="华文中宋" w:hAnsi="华文中宋" w:eastAsia="黑体"/>
          <w:color w:val="000000" w:themeColor="text1"/>
          <w:highlight w:val="none"/>
          <w14:textFill>
            <w14:solidFill>
              <w14:schemeClr w14:val="tx1"/>
            </w14:solidFill>
          </w14:textFill>
        </w:rPr>
      </w:pPr>
      <w:r>
        <w:rPr>
          <w:rFonts w:hint="eastAsia" w:ascii="黑体" w:hAnsi="Times New Roman" w:eastAsia="黑体" w:cs="Times New Roman"/>
          <w:b w:val="0"/>
          <w:color w:val="000000" w:themeColor="text1"/>
          <w:sz w:val="44"/>
          <w:szCs w:val="44"/>
          <w:highlight w:val="none"/>
          <w:lang w:val="en-US" w:eastAsia="zh-CN" w:bidi="ar-SA"/>
          <w14:textFill>
            <w14:solidFill>
              <w14:schemeClr w14:val="tx1"/>
            </w14:solidFill>
          </w14:textFill>
        </w:rPr>
        <w:t>第一章  招标公告</w:t>
      </w:r>
    </w:p>
    <w:p w14:paraId="7A4DB436">
      <w:pPr>
        <w:bidi w:val="0"/>
        <w:rPr>
          <w:color w:val="000000" w:themeColor="text1"/>
          <w:highlight w:val="none"/>
          <w14:textFill>
            <w14:solidFill>
              <w14:schemeClr w14:val="tx1"/>
            </w14:solidFill>
          </w14:textFill>
        </w:rPr>
      </w:pPr>
      <w:bookmarkStart w:id="0" w:name="_Toc35393621"/>
      <w:bookmarkStart w:id="1" w:name="_Toc28359002"/>
      <w:bookmarkStart w:id="2" w:name="_Toc28359079"/>
      <w:bookmarkStart w:id="3" w:name="_Toc35393790"/>
      <w:bookmarkStart w:id="4" w:name="_Hlk24379207"/>
    </w:p>
    <w:p w14:paraId="0C926979">
      <w:pPr>
        <w:pBdr>
          <w:top w:val="single" w:color="auto" w:sz="4" w:space="1"/>
          <w:left w:val="single" w:color="auto" w:sz="4" w:space="4"/>
          <w:bottom w:val="single" w:color="auto" w:sz="4" w:space="1"/>
          <w:right w:val="single" w:color="auto" w:sz="4" w:space="4"/>
        </w:pBdr>
        <w:spacing w:line="500" w:lineRule="exact"/>
        <w:ind w:firstLine="482"/>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项目概况</w:t>
      </w:r>
    </w:p>
    <w:p w14:paraId="13325BA0">
      <w:pPr>
        <w:pBdr>
          <w:top w:val="single" w:color="auto" w:sz="4" w:space="1"/>
          <w:left w:val="single" w:color="auto" w:sz="4" w:space="4"/>
          <w:bottom w:val="single" w:color="auto" w:sz="4" w:space="1"/>
          <w:right w:val="single" w:color="auto" w:sz="4" w:space="4"/>
        </w:pBdr>
        <w:spacing w:line="500" w:lineRule="exact"/>
        <w:ind w:firstLine="480"/>
        <w:rPr>
          <w:color w:val="000000" w:themeColor="text1"/>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盐城市2026年日常变更及年度变更调查</w:t>
      </w:r>
      <w:r>
        <w:rPr>
          <w:rFonts w:hint="eastAsia" w:ascii="宋体" w:hAnsi="宋体" w:cs="宋体"/>
          <w:color w:val="000000" w:themeColor="text1"/>
          <w:sz w:val="24"/>
          <w:highlight w:val="none"/>
          <w14:textFill>
            <w14:solidFill>
              <w14:schemeClr w14:val="tx1"/>
            </w14:solidFill>
          </w14:textFill>
        </w:rPr>
        <w:t>市级检查及技术支撑服务项目</w:t>
      </w:r>
      <w:r>
        <w:rPr>
          <w:rFonts w:hint="eastAsia" w:ascii="宋体" w:hAnsi="宋体"/>
          <w:color w:val="000000" w:themeColor="text1"/>
          <w:sz w:val="24"/>
          <w:highlight w:val="none"/>
          <w14:textFill>
            <w14:solidFill>
              <w14:schemeClr w14:val="tx1"/>
            </w14:solidFill>
          </w14:textFill>
        </w:rPr>
        <w:t>的潜在投标人</w:t>
      </w:r>
      <w:r>
        <w:rPr>
          <w:rFonts w:hint="eastAsia" w:ascii="宋体" w:hAnsi="宋体"/>
          <w:color w:val="000000" w:themeColor="text1"/>
          <w:sz w:val="24"/>
          <w:highlight w:val="none"/>
          <w:lang w:val="en-US" w:eastAsia="zh-CN"/>
          <w14:textFill>
            <w14:solidFill>
              <w14:schemeClr w14:val="tx1"/>
            </w14:solidFill>
          </w14:textFill>
        </w:rPr>
        <w:t>可</w:t>
      </w:r>
      <w:r>
        <w:rPr>
          <w:rFonts w:hint="eastAsia" w:ascii="宋体" w:hAnsi="宋体"/>
          <w:color w:val="000000" w:themeColor="text1"/>
          <w:sz w:val="24"/>
          <w:highlight w:val="none"/>
          <w14:textFill>
            <w14:solidFill>
              <w14:schemeClr w14:val="tx1"/>
            </w14:solidFill>
          </w14:textFill>
        </w:rPr>
        <w:t>在“苏采云”系统内免费下载（投标人必须在苏采云系统中获取采购文件，方能参与政府采购项目）获取招标文件，并于202</w:t>
      </w:r>
      <w:r>
        <w:rPr>
          <w:rFonts w:hint="eastAsia" w:ascii="宋体" w:hAnsi="宋体"/>
          <w:color w:val="000000" w:themeColor="text1"/>
          <w:sz w:val="24"/>
          <w:highlight w:val="none"/>
          <w:lang w:val="en-US" w:eastAsia="zh-CN"/>
          <w14:textFill>
            <w14:solidFill>
              <w14:schemeClr w14:val="tx1"/>
            </w14:solidFill>
          </w14:textFill>
        </w:rPr>
        <w:t>6</w:t>
      </w:r>
      <w:r>
        <w:rPr>
          <w:rFonts w:hint="eastAsia"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lang w:val="en-US" w:eastAsia="zh-CN"/>
          <w14:textFill>
            <w14:solidFill>
              <w14:schemeClr w14:val="tx1"/>
            </w14:solidFill>
          </w14:textFill>
        </w:rPr>
        <w:t>10</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lang w:val="en-US" w:eastAsia="zh-CN"/>
          <w14:textFill>
            <w14:solidFill>
              <w14:schemeClr w14:val="tx1"/>
            </w14:solidFill>
          </w14:textFill>
        </w:rPr>
        <w:t>10</w:t>
      </w:r>
      <w:r>
        <w:rPr>
          <w:rFonts w:hint="eastAsia" w:ascii="宋体" w:hAnsi="宋体"/>
          <w:color w:val="000000" w:themeColor="text1"/>
          <w:sz w:val="24"/>
          <w:highlight w:val="none"/>
          <w14:textFill>
            <w14:solidFill>
              <w14:schemeClr w14:val="tx1"/>
            </w14:solidFill>
          </w14:textFill>
        </w:rPr>
        <w:t>日15:00（北京时间）前递交投标文件</w:t>
      </w:r>
      <w:r>
        <w:rPr>
          <w:rFonts w:hint="eastAsia" w:ascii="宋体" w:hAnsi="宋体" w:cs="宋体"/>
          <w:color w:val="000000" w:themeColor="text1"/>
          <w:sz w:val="24"/>
          <w:highlight w:val="none"/>
          <w14:textFill>
            <w14:solidFill>
              <w14:schemeClr w14:val="tx1"/>
            </w14:solidFill>
          </w14:textFill>
        </w:rPr>
        <w:t>。</w:t>
      </w:r>
    </w:p>
    <w:p w14:paraId="53B20F8A">
      <w:pPr>
        <w:pStyle w:val="5"/>
        <w:keepLines w:val="0"/>
        <w:pageBreakBefore w:val="0"/>
        <w:tabs>
          <w:tab w:val="left" w:pos="0"/>
          <w:tab w:val="left" w:pos="3165"/>
          <w:tab w:val="center" w:pos="4153"/>
        </w:tabs>
        <w:kinsoku/>
        <w:wordWrap/>
        <w:overflowPunct/>
        <w:topLinePunct w:val="0"/>
        <w:autoSpaceDE/>
        <w:autoSpaceDN/>
        <w:bidi w:val="0"/>
        <w:adjustRightInd/>
        <w:snapToGrid/>
        <w:spacing w:line="480" w:lineRule="exact"/>
        <w:ind w:firstLine="482"/>
        <w:jc w:val="left"/>
        <w:textAlignment w:val="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一、项目基本情况</w:t>
      </w:r>
      <w:bookmarkEnd w:id="0"/>
      <w:bookmarkEnd w:id="1"/>
      <w:bookmarkEnd w:id="2"/>
      <w:bookmarkEnd w:id="3"/>
    </w:p>
    <w:p w14:paraId="68DED8DE">
      <w:pPr>
        <w:keepLines w:val="0"/>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1.项目编号：</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JSZC-320900-RHHH-G2026-0058</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p>
    <w:p w14:paraId="7D543793">
      <w:pPr>
        <w:keepLines w:val="0"/>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2.项目名称：</w:t>
      </w:r>
      <w:r>
        <w:rPr>
          <w:rFonts w:hint="eastAsia" w:ascii="宋体" w:hAnsi="宋体" w:cs="宋体"/>
          <w:color w:val="000000" w:themeColor="text1"/>
          <w:sz w:val="24"/>
          <w:highlight w:val="none"/>
          <w:lang w:eastAsia="zh-CN"/>
          <w14:textFill>
            <w14:solidFill>
              <w14:schemeClr w14:val="tx1"/>
            </w14:solidFill>
          </w14:textFill>
        </w:rPr>
        <w:t>盐城市2026年日常变更及年度变更调查</w:t>
      </w:r>
      <w:r>
        <w:rPr>
          <w:rFonts w:hint="eastAsia" w:ascii="宋体" w:hAnsi="宋体" w:cs="宋体"/>
          <w:color w:val="000000" w:themeColor="text1"/>
          <w:sz w:val="24"/>
          <w:highlight w:val="none"/>
          <w14:textFill>
            <w14:solidFill>
              <w14:schemeClr w14:val="tx1"/>
            </w14:solidFill>
          </w14:textFill>
        </w:rPr>
        <w:t>市级检查及技术支撑服务项目</w:t>
      </w:r>
    </w:p>
    <w:p w14:paraId="1DD097C6">
      <w:pPr>
        <w:keepLines w:val="0"/>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3.采购方式：公开招标</w:t>
      </w:r>
    </w:p>
    <w:p w14:paraId="7FA47C3E">
      <w:pPr>
        <w:keepLines w:val="0"/>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4.预算金额：160万元</w:t>
      </w:r>
      <w:bookmarkEnd w:id="4"/>
    </w:p>
    <w:p w14:paraId="15AC4A02">
      <w:pPr>
        <w:keepLines w:val="0"/>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5.最高限价：160万元</w:t>
      </w:r>
      <w:r>
        <w:rPr>
          <w:rFonts w:hint="eastAsia" w:ascii="宋体" w:hAnsi="宋体" w:cs="宋体"/>
          <w:bC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投标报价高于最高限价的，采购人将不予接受，视为无效标书</w:t>
      </w:r>
      <w:r>
        <w:rPr>
          <w:rFonts w:hint="eastAsia" w:ascii="宋体" w:hAnsi="宋体" w:cs="宋体"/>
          <w:bCs/>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w:t>
      </w:r>
    </w:p>
    <w:p w14:paraId="4BF0BA6B">
      <w:pPr>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6.采购需求：</w:t>
      </w:r>
      <w:r>
        <w:rPr>
          <w:rFonts w:hint="eastAsia" w:ascii="宋体" w:hAnsi="宋体" w:cs="宋体"/>
          <w:color w:val="000000" w:themeColor="text1"/>
          <w:sz w:val="24"/>
          <w:highlight w:val="none"/>
          <w:lang w:eastAsia="zh-CN"/>
          <w14:textFill>
            <w14:solidFill>
              <w14:schemeClr w14:val="tx1"/>
            </w14:solidFill>
          </w14:textFill>
        </w:rPr>
        <w:t>盐城市2026年日常变更及年度变更调查</w:t>
      </w:r>
      <w:r>
        <w:rPr>
          <w:rFonts w:hint="eastAsia" w:ascii="宋体" w:hAnsi="宋体" w:cs="宋体"/>
          <w:color w:val="000000" w:themeColor="text1"/>
          <w:sz w:val="24"/>
          <w:highlight w:val="none"/>
          <w14:textFill>
            <w14:solidFill>
              <w14:schemeClr w14:val="tx1"/>
            </w14:solidFill>
          </w14:textFill>
        </w:rPr>
        <w:t>市级检查及技术支撑服务项目，具体内容及要求详见招标文件采购需求。</w:t>
      </w:r>
    </w:p>
    <w:p w14:paraId="2962667A">
      <w:pPr>
        <w:keepLines w:val="0"/>
        <w:pageBreakBefore w:val="0"/>
        <w:kinsoku/>
        <w:wordWrap/>
        <w:overflowPunct/>
        <w:topLinePunct w:val="0"/>
        <w:autoSpaceDE/>
        <w:autoSpaceDN/>
        <w:bidi w:val="0"/>
        <w:adjustRightInd/>
        <w:snapToGrid/>
        <w:spacing w:line="480" w:lineRule="exact"/>
        <w:ind w:firstLine="480"/>
        <w:textAlignment w:val="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7.合同履行期限：</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合同签订之日至</w:t>
      </w:r>
      <w:r>
        <w:rPr>
          <w:rFonts w:hint="eastAsia" w:ascii="宋体" w:hAnsi="宋体" w:cs="宋体"/>
          <w:color w:val="000000" w:themeColor="text1"/>
          <w:sz w:val="24"/>
          <w:highlight w:val="none"/>
          <w14:textFill>
            <w14:solidFill>
              <w14:schemeClr w14:val="tx1"/>
            </w14:solidFill>
          </w14:textFill>
        </w:rPr>
        <w:t>202</w:t>
      </w:r>
      <w:r>
        <w:rPr>
          <w:rFonts w:hint="eastAsia" w:ascii="宋体" w:hAnsi="宋体" w:cs="宋体"/>
          <w:color w:val="000000" w:themeColor="text1"/>
          <w:sz w:val="24"/>
          <w:highlight w:val="none"/>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14:textFill>
            <w14:solidFill>
              <w14:schemeClr w14:val="tx1"/>
            </w14:solidFill>
          </w14:textFill>
        </w:rPr>
        <w:t>12</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14:textFill>
            <w14:solidFill>
              <w14:schemeClr w14:val="tx1"/>
            </w14:solidFill>
          </w14:textFill>
        </w:rPr>
        <w:t>31</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日，具体时间服从甲方要求。</w:t>
      </w:r>
    </w:p>
    <w:p w14:paraId="3A1991DB">
      <w:pPr>
        <w:keepLines w:val="0"/>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8.本项目</w:t>
      </w:r>
      <w:r>
        <w:rPr>
          <w:rFonts w:hint="eastAsia" w:ascii="宋体" w:hAnsi="宋体" w:cs="宋体"/>
          <w:color w:val="000000" w:themeColor="text1"/>
          <w:sz w:val="24"/>
          <w:highlight w:val="none"/>
          <w:u w:val="single"/>
          <w14:textFill>
            <w14:solidFill>
              <w14:schemeClr w14:val="tx1"/>
            </w14:solidFill>
          </w14:textFill>
        </w:rPr>
        <w:t>不接受</w:t>
      </w:r>
      <w:r>
        <w:rPr>
          <w:rFonts w:hint="eastAsia" w:ascii="宋体" w:hAnsi="宋体" w:cs="宋体"/>
          <w:color w:val="000000" w:themeColor="text1"/>
          <w:sz w:val="24"/>
          <w:highlight w:val="none"/>
          <w14:textFill>
            <w14:solidFill>
              <w14:schemeClr w14:val="tx1"/>
            </w14:solidFill>
          </w14:textFill>
        </w:rPr>
        <w:t>联合体投标。</w:t>
      </w:r>
    </w:p>
    <w:p w14:paraId="0129CBAE">
      <w:pPr>
        <w:pStyle w:val="5"/>
        <w:keepLines w:val="0"/>
        <w:pageBreakBefore w:val="0"/>
        <w:tabs>
          <w:tab w:val="left" w:pos="0"/>
          <w:tab w:val="left" w:pos="3165"/>
          <w:tab w:val="center" w:pos="4153"/>
        </w:tabs>
        <w:kinsoku/>
        <w:wordWrap/>
        <w:overflowPunct/>
        <w:topLinePunct w:val="0"/>
        <w:autoSpaceDE/>
        <w:autoSpaceDN/>
        <w:bidi w:val="0"/>
        <w:adjustRightInd/>
        <w:snapToGrid/>
        <w:spacing w:line="480" w:lineRule="exact"/>
        <w:ind w:firstLine="482"/>
        <w:jc w:val="left"/>
        <w:textAlignment w:val="auto"/>
        <w:rPr>
          <w:rFonts w:ascii="宋体" w:hAnsi="宋体" w:eastAsia="宋体" w:cs="宋体"/>
          <w:b/>
          <w:bCs/>
          <w:color w:val="000000" w:themeColor="text1"/>
          <w:sz w:val="24"/>
          <w:szCs w:val="24"/>
          <w:highlight w:val="none"/>
          <w14:textFill>
            <w14:solidFill>
              <w14:schemeClr w14:val="tx1"/>
            </w14:solidFill>
          </w14:textFill>
        </w:rPr>
      </w:pPr>
      <w:bookmarkStart w:id="5" w:name="_Toc28359003"/>
      <w:bookmarkStart w:id="6" w:name="_Toc28359080"/>
      <w:bookmarkStart w:id="7" w:name="_Toc35393791"/>
      <w:bookmarkStart w:id="8" w:name="_Toc35393622"/>
      <w:r>
        <w:rPr>
          <w:rFonts w:hint="eastAsia" w:ascii="宋体" w:hAnsi="宋体" w:eastAsia="宋体" w:cs="宋体"/>
          <w:b/>
          <w:bCs/>
          <w:color w:val="000000" w:themeColor="text1"/>
          <w:sz w:val="24"/>
          <w:szCs w:val="24"/>
          <w:highlight w:val="none"/>
          <w14:textFill>
            <w14:solidFill>
              <w14:schemeClr w14:val="tx1"/>
            </w14:solidFill>
          </w14:textFill>
        </w:rPr>
        <w:t>二、供应商的资格要求</w:t>
      </w:r>
      <w:bookmarkEnd w:id="5"/>
      <w:bookmarkEnd w:id="6"/>
      <w:bookmarkEnd w:id="7"/>
      <w:bookmarkEnd w:id="8"/>
    </w:p>
    <w:p w14:paraId="39B530B8">
      <w:pPr>
        <w:keepLines w:val="0"/>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1.满足《中华人民共和国政府采购法》第二十二条规定，并提供下列材料：</w:t>
      </w:r>
    </w:p>
    <w:p w14:paraId="7332F2BC">
      <w:pPr>
        <w:keepLines w:val="0"/>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1.1法人或者其他组织的营业执照等证明文件，自然人的身份证明；</w:t>
      </w:r>
    </w:p>
    <w:p w14:paraId="6BC66E19">
      <w:pPr>
        <w:keepLines w:val="0"/>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1.2上一年度的财务状况报表（成立不满一年无需提供）；</w:t>
      </w:r>
    </w:p>
    <w:p w14:paraId="25370728">
      <w:pPr>
        <w:keepLines w:val="0"/>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1.3具备履行合同所必需的设备和专业技术能力的书面声明；</w:t>
      </w:r>
    </w:p>
    <w:p w14:paraId="077B291B">
      <w:pPr>
        <w:keepLines w:val="0"/>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27378480">
      <w:pPr>
        <w:keepLines w:val="0"/>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1.5参加政府采购活动前3年内在经营活动中没有重大违法记录的书面声明。</w:t>
      </w:r>
    </w:p>
    <w:p w14:paraId="0267031E">
      <w:pPr>
        <w:keepLines w:val="0"/>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1.6法律、行政法规规定的其他条件。</w:t>
      </w:r>
    </w:p>
    <w:p w14:paraId="41FD0CC4">
      <w:pPr>
        <w:keepLines w:val="0"/>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474DDAF5">
      <w:pPr>
        <w:keepLines w:val="0"/>
        <w:pageBreakBefore w:val="0"/>
        <w:kinsoku/>
        <w:wordWrap/>
        <w:overflowPunct/>
        <w:topLinePunct w:val="0"/>
        <w:autoSpaceDE/>
        <w:autoSpaceDN/>
        <w:bidi w:val="0"/>
        <w:adjustRightInd/>
        <w:snapToGrid/>
        <w:spacing w:line="480" w:lineRule="exact"/>
        <w:ind w:left="-13" w:firstLine="60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1.8单位负责人为同一人或者存在直接控股、管理关系的不同供应商，不得参加同一合同项下的政府采购活动。</w:t>
      </w:r>
    </w:p>
    <w:p w14:paraId="04E40703">
      <w:pPr>
        <w:keepLines w:val="0"/>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000000" w:themeColor="text1"/>
          <w:sz w:val="24"/>
          <w:highlight w:val="none"/>
          <w14:textFill>
            <w14:solidFill>
              <w14:schemeClr w14:val="tx1"/>
            </w14:solidFill>
          </w14:textFill>
        </w:rPr>
      </w:pPr>
      <w:bookmarkStart w:id="9" w:name="_Toc28359004"/>
      <w:bookmarkStart w:id="10" w:name="_Toc28359081"/>
      <w:r>
        <w:rPr>
          <w:rFonts w:hint="eastAsia" w:ascii="宋体" w:hAnsi="宋体" w:cs="宋体"/>
          <w:color w:val="000000" w:themeColor="text1"/>
          <w:sz w:val="24"/>
          <w:highlight w:val="none"/>
          <w14:textFill>
            <w14:solidFill>
              <w14:schemeClr w14:val="tx1"/>
            </w14:solidFill>
          </w14:textFill>
        </w:rPr>
        <w:t>2.落实政府采购政策需满足的资格要求：/。</w:t>
      </w:r>
    </w:p>
    <w:p w14:paraId="25966F2D">
      <w:pPr>
        <w:keepLines w:val="0"/>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3.本项目的特定资格要求：供应商具有测绘</w:t>
      </w:r>
      <w:r>
        <w:rPr>
          <w:rFonts w:hint="eastAsia" w:ascii="宋体" w:hAnsi="宋体" w:cs="宋体"/>
          <w:color w:val="000000" w:themeColor="text1"/>
          <w:sz w:val="24"/>
          <w:highlight w:val="none"/>
          <w:lang w:val="en-US" w:eastAsia="zh-CN"/>
          <w14:textFill>
            <w14:solidFill>
              <w14:schemeClr w14:val="tx1"/>
            </w14:solidFill>
          </w14:textFill>
        </w:rPr>
        <w:t>乙级及以上</w:t>
      </w:r>
      <w:r>
        <w:rPr>
          <w:rFonts w:hint="eastAsia" w:ascii="宋体" w:hAnsi="宋体" w:cs="宋体"/>
          <w:color w:val="000000" w:themeColor="text1"/>
          <w:sz w:val="24"/>
          <w:highlight w:val="none"/>
          <w14:textFill>
            <w14:solidFill>
              <w14:schemeClr w14:val="tx1"/>
            </w14:solidFill>
          </w14:textFill>
        </w:rPr>
        <w:t>资质</w:t>
      </w:r>
      <w:r>
        <w:rPr>
          <w:rFonts w:hint="eastAsia" w:ascii="宋体" w:hAnsi="宋体" w:cs="宋体"/>
          <w:color w:val="000000" w:themeColor="text1"/>
          <w:sz w:val="24"/>
          <w:highlight w:val="none"/>
          <w:lang w:eastAsia="zh-CN"/>
          <w14:textFill>
            <w14:solidFill>
              <w14:schemeClr w14:val="tx1"/>
            </w14:solidFill>
          </w14:textFill>
        </w:rPr>
        <w:t>，同时具有国土变更调查市级检查工作经验</w:t>
      </w:r>
      <w:r>
        <w:rPr>
          <w:rFonts w:hint="eastAsia" w:ascii="宋体" w:hAnsi="宋体" w:cs="宋体"/>
          <w:bCs/>
          <w:color w:val="000000" w:themeColor="text1"/>
          <w:sz w:val="24"/>
          <w:highlight w:val="none"/>
          <w14:textFill>
            <w14:solidFill>
              <w14:schemeClr w14:val="tx1"/>
            </w14:solidFill>
          </w14:textFill>
        </w:rPr>
        <w:t>。</w:t>
      </w:r>
    </w:p>
    <w:p w14:paraId="0EF2771A">
      <w:pPr>
        <w:pStyle w:val="5"/>
        <w:keepLines w:val="0"/>
        <w:pageBreakBefore w:val="0"/>
        <w:tabs>
          <w:tab w:val="left" w:pos="0"/>
          <w:tab w:val="left" w:pos="3165"/>
          <w:tab w:val="center" w:pos="4153"/>
        </w:tabs>
        <w:kinsoku/>
        <w:wordWrap/>
        <w:overflowPunct/>
        <w:topLinePunct w:val="0"/>
        <w:autoSpaceDE/>
        <w:autoSpaceDN/>
        <w:bidi w:val="0"/>
        <w:adjustRightInd/>
        <w:snapToGrid/>
        <w:spacing w:line="480" w:lineRule="exact"/>
        <w:ind w:firstLine="482"/>
        <w:jc w:val="left"/>
        <w:textAlignment w:val="auto"/>
        <w:rPr>
          <w:rFonts w:ascii="宋体" w:hAnsi="宋体" w:eastAsia="宋体" w:cs="宋体"/>
          <w:b/>
          <w:bCs/>
          <w:color w:val="000000" w:themeColor="text1"/>
          <w:sz w:val="24"/>
          <w:szCs w:val="24"/>
          <w:highlight w:val="none"/>
          <w14:textFill>
            <w14:solidFill>
              <w14:schemeClr w14:val="tx1"/>
            </w14:solidFill>
          </w14:textFill>
        </w:rPr>
      </w:pPr>
      <w:bookmarkStart w:id="11" w:name="_Toc35393623"/>
      <w:bookmarkStart w:id="12" w:name="_Toc35393792"/>
      <w:r>
        <w:rPr>
          <w:rFonts w:hint="eastAsia" w:ascii="宋体" w:hAnsi="宋体" w:eastAsia="宋体" w:cs="宋体"/>
          <w:b/>
          <w:bCs/>
          <w:color w:val="000000" w:themeColor="text1"/>
          <w:sz w:val="24"/>
          <w:szCs w:val="24"/>
          <w:highlight w:val="none"/>
          <w14:textFill>
            <w14:solidFill>
              <w14:schemeClr w14:val="tx1"/>
            </w14:solidFill>
          </w14:textFill>
        </w:rPr>
        <w:t>三、获取招标文件</w:t>
      </w:r>
      <w:bookmarkEnd w:id="9"/>
      <w:bookmarkEnd w:id="10"/>
      <w:bookmarkEnd w:id="11"/>
      <w:bookmarkEnd w:id="12"/>
      <w:bookmarkStart w:id="13" w:name="_Toc42249844"/>
      <w:bookmarkEnd w:id="13"/>
      <w:bookmarkStart w:id="14" w:name="QLCZYSX_1"/>
      <w:bookmarkEnd w:id="14"/>
      <w:bookmarkStart w:id="15" w:name="_Toc42249797"/>
      <w:bookmarkEnd w:id="15"/>
    </w:p>
    <w:p w14:paraId="7B60BF26">
      <w:pPr>
        <w:keepLines w:val="0"/>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000000" w:themeColor="text1"/>
          <w:sz w:val="24"/>
          <w:highlight w:val="none"/>
          <w14:textFill>
            <w14:solidFill>
              <w14:schemeClr w14:val="tx1"/>
            </w14:solidFill>
          </w14:textFill>
        </w:rPr>
      </w:pPr>
      <w:bookmarkStart w:id="16" w:name="_Toc28359082"/>
      <w:bookmarkStart w:id="17" w:name="_Toc35393624"/>
      <w:bookmarkStart w:id="18" w:name="_Toc35393793"/>
      <w:bookmarkStart w:id="19" w:name="_Toc28359005"/>
      <w:r>
        <w:rPr>
          <w:rFonts w:hint="eastAsia" w:ascii="宋体" w:hAnsi="宋体" w:cs="宋体"/>
          <w:color w:val="000000" w:themeColor="text1"/>
          <w:sz w:val="24"/>
          <w:highlight w:val="none"/>
          <w14:textFill>
            <w14:solidFill>
              <w14:schemeClr w14:val="tx1"/>
            </w14:solidFill>
          </w14:textFill>
        </w:rPr>
        <w:t>时间：自招标文件公告发布之日起5个工作日</w:t>
      </w:r>
      <w:r>
        <w:rPr>
          <w:rFonts w:hint="eastAsia" w:ascii="宋体" w:hAnsi="宋体" w:cs="宋体"/>
          <w:color w:val="000000" w:themeColor="text1"/>
          <w:sz w:val="24"/>
          <w:highlight w:val="none"/>
          <w:lang w:eastAsia="zh-CN"/>
          <w14:textFill>
            <w14:solidFill>
              <w14:schemeClr w14:val="tx1"/>
            </w14:solidFill>
          </w14:textFill>
        </w:rPr>
        <w:t>。</w:t>
      </w:r>
    </w:p>
    <w:p w14:paraId="1BD27015">
      <w:pPr>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地点：“苏采云”系统内免费下载（投标人必须在苏采云系统中获取采购文件，方能参与政府采购项目）</w:t>
      </w:r>
      <w:r>
        <w:rPr>
          <w:rFonts w:hint="eastAsia" w:ascii="宋体" w:hAnsi="宋体" w:cs="宋体"/>
          <w:color w:val="000000" w:themeColor="text1"/>
          <w:sz w:val="24"/>
          <w:highlight w:val="none"/>
          <w:lang w:eastAsia="zh-CN"/>
          <w14:textFill>
            <w14:solidFill>
              <w14:schemeClr w14:val="tx1"/>
            </w14:solidFill>
          </w14:textFill>
        </w:rPr>
        <w:t>。</w:t>
      </w:r>
    </w:p>
    <w:p w14:paraId="4CA30B25">
      <w:pPr>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方式：本项目采用网上注册登记方式。</w:t>
      </w:r>
    </w:p>
    <w:p w14:paraId="3DFC4028">
      <w:pPr>
        <w:keepLines w:val="0"/>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售价：0.00元</w:t>
      </w:r>
      <w:bookmarkEnd w:id="16"/>
      <w:bookmarkEnd w:id="17"/>
      <w:bookmarkEnd w:id="18"/>
      <w:bookmarkEnd w:id="19"/>
    </w:p>
    <w:p w14:paraId="3CB4F8F3">
      <w:pPr>
        <w:pStyle w:val="5"/>
        <w:keepLines w:val="0"/>
        <w:pageBreakBefore w:val="0"/>
        <w:tabs>
          <w:tab w:val="left" w:pos="0"/>
          <w:tab w:val="left" w:pos="3165"/>
          <w:tab w:val="center" w:pos="4153"/>
        </w:tabs>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bookmarkStart w:id="20" w:name="_Toc28359007"/>
      <w:bookmarkStart w:id="21" w:name="_Toc35393625"/>
      <w:bookmarkStart w:id="22" w:name="_Toc28359084"/>
      <w:bookmarkStart w:id="23" w:name="_Toc35393794"/>
      <w:r>
        <w:rPr>
          <w:rFonts w:hint="eastAsia" w:ascii="宋体" w:hAnsi="宋体" w:eastAsia="宋体" w:cs="宋体"/>
          <w:b/>
          <w:bCs/>
          <w:color w:val="000000" w:themeColor="text1"/>
          <w:sz w:val="24"/>
          <w:szCs w:val="24"/>
          <w:highlight w:val="none"/>
          <w14:textFill>
            <w14:solidFill>
              <w14:schemeClr w14:val="tx1"/>
            </w14:solidFill>
          </w14:textFill>
        </w:rPr>
        <w:t>四、提交投标文件截止时间、开标时间和地点</w:t>
      </w:r>
    </w:p>
    <w:p w14:paraId="05470A8A">
      <w:pPr>
        <w:keepLines w:val="0"/>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202</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10</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10</w:t>
      </w:r>
      <w:r>
        <w:rPr>
          <w:rFonts w:hint="eastAsia" w:ascii="宋体" w:hAnsi="宋体" w:cs="宋体"/>
          <w:color w:val="000000" w:themeColor="text1"/>
          <w:sz w:val="24"/>
          <w:highlight w:val="none"/>
          <w14:textFill>
            <w14:solidFill>
              <w14:schemeClr w14:val="tx1"/>
            </w14:solidFill>
          </w14:textFill>
        </w:rPr>
        <w:t xml:space="preserve">  15:00（北京时间）</w:t>
      </w:r>
    </w:p>
    <w:p w14:paraId="3613A041">
      <w:pPr>
        <w:keepLines w:val="0"/>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地点：苏采云“不见面”开标大厅</w:t>
      </w:r>
    </w:p>
    <w:p w14:paraId="6C812747">
      <w:pPr>
        <w:pStyle w:val="5"/>
        <w:keepLines w:val="0"/>
        <w:pageBreakBefore w:val="0"/>
        <w:tabs>
          <w:tab w:val="left" w:pos="0"/>
          <w:tab w:val="left" w:pos="3165"/>
          <w:tab w:val="center" w:pos="4153"/>
        </w:tabs>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五、公告期限</w:t>
      </w:r>
      <w:bookmarkEnd w:id="20"/>
      <w:bookmarkEnd w:id="21"/>
      <w:bookmarkEnd w:id="22"/>
      <w:bookmarkEnd w:id="23"/>
    </w:p>
    <w:p w14:paraId="49670FDD">
      <w:pPr>
        <w:keepLines w:val="0"/>
        <w:pageBreakBefore w:val="0"/>
        <w:kinsoku/>
        <w:wordWrap/>
        <w:overflowPunct/>
        <w:topLinePunct w:val="0"/>
        <w:autoSpaceDE/>
        <w:autoSpaceDN/>
        <w:bidi w:val="0"/>
        <w:adjustRightInd/>
        <w:snapToGrid/>
        <w:spacing w:line="480" w:lineRule="exact"/>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自本公告发布之日起5个工作日。</w:t>
      </w:r>
      <w:bookmarkStart w:id="24" w:name="_Toc35393795"/>
      <w:bookmarkEnd w:id="24"/>
      <w:bookmarkStart w:id="25" w:name="_Toc35393626"/>
      <w:bookmarkEnd w:id="25"/>
    </w:p>
    <w:p w14:paraId="1C20608C">
      <w:pPr>
        <w:pStyle w:val="5"/>
        <w:keepLines w:val="0"/>
        <w:pageBreakBefore w:val="0"/>
        <w:tabs>
          <w:tab w:val="left" w:pos="0"/>
          <w:tab w:val="left" w:pos="3165"/>
          <w:tab w:val="center" w:pos="4153"/>
        </w:tabs>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bookmarkStart w:id="26" w:name="_Toc28359085"/>
      <w:bookmarkStart w:id="27" w:name="_Toc35393796"/>
      <w:bookmarkStart w:id="28" w:name="_Toc28359008"/>
      <w:bookmarkStart w:id="29" w:name="_Toc35393627"/>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b/>
          <w:bCs/>
          <w:color w:val="000000" w:themeColor="text1"/>
          <w:sz w:val="24"/>
          <w:szCs w:val="24"/>
          <w:highlight w:val="none"/>
          <w14:textFill>
            <w14:solidFill>
              <w14:schemeClr w14:val="tx1"/>
            </w14:solidFill>
          </w14:textFill>
        </w:rPr>
        <w:t>其他补充事宜</w:t>
      </w:r>
    </w:p>
    <w:p w14:paraId="2F1D4D77">
      <w:pPr>
        <w:pStyle w:val="45"/>
        <w:spacing w:before="0" w:beforeAutospacing="0" w:after="0" w:afterAutospacing="0" w:line="460" w:lineRule="exact"/>
        <w:ind w:firstLine="498"/>
        <w:rPr>
          <w:rFonts w:hint="eastAsia"/>
          <w:color w:val="000000"/>
        </w:rPr>
      </w:pPr>
      <w:r>
        <w:rPr>
          <w:rFonts w:hint="eastAsia"/>
          <w:color w:val="000000"/>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12318CB9">
      <w:pPr>
        <w:pStyle w:val="45"/>
        <w:spacing w:before="0" w:beforeAutospacing="0" w:after="0" w:afterAutospacing="0" w:line="460" w:lineRule="exact"/>
        <w:ind w:firstLine="498"/>
        <w:rPr>
          <w:rFonts w:hint="eastAsia"/>
          <w:color w:val="000000"/>
        </w:rPr>
      </w:pPr>
      <w:r>
        <w:rPr>
          <w:rFonts w:hint="eastAsia"/>
          <w:color w:val="000000"/>
        </w:rPr>
        <w:t>2.领取CA和办理电子签章（请至盐城市盐都区府西路1号盐城市政务服务中心4楼盐城市公共资源交易中心10号、11号窗口，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p>
    <w:p w14:paraId="11F05B6B">
      <w:pPr>
        <w:pStyle w:val="45"/>
        <w:spacing w:before="0" w:beforeAutospacing="0" w:after="0" w:afterAutospacing="0" w:line="460" w:lineRule="exact"/>
        <w:ind w:firstLine="498"/>
        <w:rPr>
          <w:rFonts w:hint="eastAsia"/>
          <w:color w:val="000000"/>
        </w:rPr>
      </w:pPr>
      <w:r>
        <w:rPr>
          <w:rFonts w:hint="eastAsia"/>
          <w:color w:val="000000"/>
        </w:rPr>
        <w:t>潜在供应商访问电子招标响应交易平台的网络地址和方法： </w:t>
      </w:r>
    </w:p>
    <w:p w14:paraId="4CEFD2EA">
      <w:pPr>
        <w:pStyle w:val="45"/>
        <w:spacing w:before="0" w:beforeAutospacing="0" w:after="0" w:afterAutospacing="0" w:line="460" w:lineRule="exact"/>
        <w:ind w:firstLine="498"/>
        <w:rPr>
          <w:rFonts w:hint="eastAsia"/>
          <w:color w:val="000000"/>
        </w:rPr>
      </w:pPr>
      <w:r>
        <w:rPr>
          <w:rFonts w:hint="eastAsia"/>
          <w:color w:val="000000"/>
        </w:rPr>
        <w:t>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77B39F2">
      <w:pPr>
        <w:pStyle w:val="45"/>
        <w:spacing w:before="0" w:beforeAutospacing="0" w:after="0" w:afterAutospacing="0" w:line="460" w:lineRule="exact"/>
        <w:ind w:firstLine="498"/>
        <w:rPr>
          <w:rFonts w:hint="eastAsia"/>
          <w:color w:val="000000"/>
        </w:rPr>
      </w:pPr>
      <w:r>
        <w:rPr>
          <w:rFonts w:hint="eastAsia"/>
          <w:color w:val="000000"/>
        </w:rPr>
        <w:t>2.2 潜在投标人访问“苏采云”系统方法：江苏省政府采购网首页-“苏采云”链接。 </w:t>
      </w:r>
    </w:p>
    <w:p w14:paraId="3D6AB1B6">
      <w:pPr>
        <w:pStyle w:val="45"/>
        <w:spacing w:before="0" w:beforeAutospacing="0" w:after="0" w:afterAutospacing="0" w:line="460" w:lineRule="exact"/>
        <w:ind w:firstLine="498"/>
        <w:rPr>
          <w:rFonts w:hint="eastAsia"/>
          <w:color w:val="000000"/>
        </w:rPr>
      </w:pPr>
      <w:r>
        <w:rPr>
          <w:rFonts w:hint="eastAsia"/>
          <w:color w:val="000000"/>
        </w:rPr>
        <w:t>2.3 采购文件（后缀名为“.kedt”）、供应商操作手册及政府采购客户端 工具可通过“苏采云”系统相应链接进行下载。 </w:t>
      </w:r>
    </w:p>
    <w:p w14:paraId="413060D1">
      <w:pPr>
        <w:pStyle w:val="45"/>
        <w:spacing w:before="0" w:beforeAutospacing="0" w:after="0" w:afterAutospacing="0" w:line="460" w:lineRule="exact"/>
        <w:ind w:firstLine="498"/>
        <w:rPr>
          <w:rFonts w:hint="eastAsia"/>
          <w:color w:val="000000"/>
        </w:rPr>
      </w:pPr>
      <w:r>
        <w:rPr>
          <w:rFonts w:hint="eastAsia"/>
          <w:color w:val="000000"/>
        </w:rPr>
        <w:t>2.4 采购代理机构将数据电文形式的采购文件加载至“苏采云”系统，供潜在供应商下载或者查阅。 </w:t>
      </w:r>
    </w:p>
    <w:p w14:paraId="77FF19A0">
      <w:pPr>
        <w:pStyle w:val="45"/>
        <w:keepNext/>
        <w:keepLines/>
        <w:spacing w:before="0" w:beforeAutospacing="0" w:after="0" w:afterAutospacing="0" w:line="460" w:lineRule="exact"/>
        <w:ind w:firstLine="498"/>
        <w:jc w:val="both"/>
        <w:rPr>
          <w:rFonts w:hint="eastAsia"/>
          <w:color w:val="000000"/>
        </w:rPr>
      </w:pPr>
      <w:r>
        <w:rPr>
          <w:rFonts w:hint="eastAsia"/>
          <w:color w:val="000000"/>
        </w:rPr>
        <w:t>2.5 请潜在投标单位提前安装相应的控件（详见《“苏采云”系统供应商操作手册》）并使用谷歌浏览器登录“苏采云”系统参与不见面开评标。 </w:t>
      </w:r>
    </w:p>
    <w:p w14:paraId="1086F7F4">
      <w:pPr>
        <w:pStyle w:val="45"/>
        <w:keepNext/>
        <w:keepLines/>
        <w:spacing w:before="0" w:beforeAutospacing="0" w:after="0" w:afterAutospacing="0" w:line="460" w:lineRule="exact"/>
        <w:ind w:firstLine="498"/>
        <w:jc w:val="both"/>
        <w:rPr>
          <w:rFonts w:hint="eastAsia"/>
          <w:color w:val="000000"/>
        </w:rPr>
      </w:pPr>
      <w:r>
        <w:rPr>
          <w:rFonts w:hint="eastAsia"/>
          <w:color w:val="000000"/>
        </w:rPr>
        <w:t>如潜在投标人未按上述要求操作，将自行承担所产生的风险。</w:t>
      </w:r>
    </w:p>
    <w:p w14:paraId="24E3039D">
      <w:pPr>
        <w:pStyle w:val="45"/>
        <w:keepNext/>
        <w:keepLines/>
        <w:spacing w:before="0" w:beforeAutospacing="0" w:after="0" w:afterAutospacing="0" w:line="460" w:lineRule="exact"/>
        <w:ind w:firstLine="498"/>
        <w:jc w:val="both"/>
        <w:rPr>
          <w:rFonts w:hint="eastAsia"/>
          <w:color w:val="000000"/>
        </w:rPr>
      </w:pPr>
      <w:r>
        <w:rPr>
          <w:rFonts w:hint="eastAsia"/>
          <w:color w:val="000000"/>
        </w:rPr>
        <w:t>3.有关本次招标的事项若存在变动或修改，敬请及时关注采购代理机构在“中国政府采购网”“江苏政府采购网”“盐城市政府采购网”发布的更正公告。</w:t>
      </w:r>
    </w:p>
    <w:p w14:paraId="1CD60B7C">
      <w:pPr>
        <w:pStyle w:val="45"/>
        <w:shd w:val="clear" w:color="auto" w:fill="FFFFFF"/>
        <w:spacing w:before="0" w:beforeAutospacing="0" w:after="0" w:afterAutospacing="0" w:line="460" w:lineRule="exact"/>
        <w:ind w:firstLine="480" w:firstLineChars="20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cs="宋体"/>
          <w:kern w:val="2"/>
        </w:rPr>
        <w:t>4.本次招标不收取投标保证金，不收取质量保证金。</w:t>
      </w:r>
    </w:p>
    <w:p w14:paraId="5EA41DF3">
      <w:pPr>
        <w:pStyle w:val="5"/>
        <w:keepLines w:val="0"/>
        <w:pageBreakBefore w:val="0"/>
        <w:tabs>
          <w:tab w:val="left" w:pos="0"/>
          <w:tab w:val="left" w:pos="3165"/>
          <w:tab w:val="center" w:pos="4153"/>
        </w:tabs>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七、对本次招标提出询问，请按以下方式联系</w:t>
      </w:r>
      <w:bookmarkEnd w:id="26"/>
      <w:bookmarkEnd w:id="27"/>
      <w:bookmarkEnd w:id="28"/>
      <w:bookmarkEnd w:id="29"/>
      <w:bookmarkStart w:id="30" w:name="_Toc28359019"/>
      <w:bookmarkStart w:id="31" w:name="_Toc35393637"/>
      <w:bookmarkStart w:id="32" w:name="_Toc35393806"/>
      <w:bookmarkStart w:id="33" w:name="_Toc28359096"/>
    </w:p>
    <w:p w14:paraId="02A562CF">
      <w:pPr>
        <w:keepLines w:val="0"/>
        <w:pageBreakBefore w:val="0"/>
        <w:widowControl/>
        <w:shd w:val="clear" w:color="auto" w:fill="FFFFFF"/>
        <w:kinsoku/>
        <w:wordWrap/>
        <w:overflowPunct/>
        <w:topLinePunct w:val="0"/>
        <w:autoSpaceDE/>
        <w:autoSpaceDN/>
        <w:bidi w:val="0"/>
        <w:adjustRightInd/>
        <w:snapToGrid/>
        <w:spacing w:line="480" w:lineRule="exact"/>
        <w:ind w:firstLine="723"/>
        <w:jc w:val="left"/>
        <w:textAlignment w:val="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1.采购人信息</w:t>
      </w:r>
      <w:bookmarkEnd w:id="30"/>
      <w:bookmarkEnd w:id="31"/>
      <w:bookmarkEnd w:id="32"/>
      <w:bookmarkEnd w:id="33"/>
    </w:p>
    <w:p w14:paraId="5FC6C58E">
      <w:pPr>
        <w:keepLines w:val="0"/>
        <w:pageBreakBefore w:val="0"/>
        <w:kinsoku/>
        <w:wordWrap/>
        <w:overflowPunct/>
        <w:topLinePunct w:val="0"/>
        <w:autoSpaceDE/>
        <w:autoSpaceDN/>
        <w:bidi w:val="0"/>
        <w:adjustRightInd/>
        <w:snapToGrid/>
        <w:spacing w:line="480" w:lineRule="exact"/>
        <w:ind w:left="1078" w:hanging="60"/>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名    称：盐城市自然资源和规划局</w:t>
      </w:r>
    </w:p>
    <w:p w14:paraId="0E63AAFE">
      <w:pPr>
        <w:keepLines w:val="0"/>
        <w:pageBreakBefore w:val="0"/>
        <w:kinsoku/>
        <w:wordWrap/>
        <w:overflowPunct/>
        <w:topLinePunct w:val="0"/>
        <w:autoSpaceDE/>
        <w:autoSpaceDN/>
        <w:bidi w:val="0"/>
        <w:adjustRightInd/>
        <w:snapToGrid/>
        <w:spacing w:line="480" w:lineRule="exact"/>
        <w:ind w:left="1078" w:hanging="60"/>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    址：盐城市亭湖区毓龙东路59号</w:t>
      </w:r>
    </w:p>
    <w:p w14:paraId="476FEC09">
      <w:pPr>
        <w:keepLines w:val="0"/>
        <w:pageBreakBefore w:val="0"/>
        <w:kinsoku/>
        <w:wordWrap/>
        <w:overflowPunct/>
        <w:topLinePunct w:val="0"/>
        <w:autoSpaceDE/>
        <w:autoSpaceDN/>
        <w:bidi w:val="0"/>
        <w:adjustRightInd/>
        <w:snapToGrid/>
        <w:spacing w:line="480" w:lineRule="exact"/>
        <w:ind w:left="1078" w:hanging="60"/>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 系 人：王女士</w:t>
      </w:r>
    </w:p>
    <w:p w14:paraId="2F4C979F">
      <w:pPr>
        <w:keepLines w:val="0"/>
        <w:pageBreakBefore w:val="0"/>
        <w:kinsoku/>
        <w:wordWrap/>
        <w:overflowPunct/>
        <w:topLinePunct w:val="0"/>
        <w:autoSpaceDE/>
        <w:autoSpaceDN/>
        <w:bidi w:val="0"/>
        <w:adjustRightInd/>
        <w:snapToGrid/>
        <w:spacing w:line="480" w:lineRule="exact"/>
        <w:ind w:left="1078" w:hanging="60"/>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联系电话：0515-88187137</w:t>
      </w:r>
    </w:p>
    <w:p w14:paraId="6BA219C8">
      <w:pPr>
        <w:keepLines w:val="0"/>
        <w:pageBreakBefore w:val="0"/>
        <w:kinsoku/>
        <w:wordWrap/>
        <w:overflowPunct/>
        <w:topLinePunct w:val="0"/>
        <w:autoSpaceDE/>
        <w:autoSpaceDN/>
        <w:bidi w:val="0"/>
        <w:adjustRightInd/>
        <w:snapToGrid/>
        <w:spacing w:line="480" w:lineRule="exact"/>
        <w:ind w:left="1080" w:hanging="301"/>
        <w:jc w:val="left"/>
        <w:textAlignment w:val="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2.招标代理机构信息</w:t>
      </w:r>
    </w:p>
    <w:p w14:paraId="5B5828EF">
      <w:pPr>
        <w:keepLines w:val="0"/>
        <w:pageBreakBefore w:val="0"/>
        <w:kinsoku/>
        <w:wordWrap/>
        <w:overflowPunct/>
        <w:topLinePunct w:val="0"/>
        <w:autoSpaceDE/>
        <w:autoSpaceDN/>
        <w:bidi w:val="0"/>
        <w:adjustRightInd/>
        <w:snapToGrid/>
        <w:spacing w:line="480" w:lineRule="exact"/>
        <w:ind w:left="989"/>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名    称：江苏仁禾中衡工程咨询房地产估价有限公司</w:t>
      </w:r>
    </w:p>
    <w:p w14:paraId="3702F04B">
      <w:pPr>
        <w:keepLines w:val="0"/>
        <w:pageBreakBefore w:val="0"/>
        <w:kinsoku/>
        <w:wordWrap/>
        <w:overflowPunct/>
        <w:topLinePunct w:val="0"/>
        <w:autoSpaceDE/>
        <w:autoSpaceDN/>
        <w:bidi w:val="0"/>
        <w:adjustRightInd/>
        <w:snapToGrid/>
        <w:spacing w:line="480" w:lineRule="exact"/>
        <w:ind w:left="989"/>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址：盐城市世纪大道1188号服务大厦2007室</w:t>
      </w:r>
    </w:p>
    <w:p w14:paraId="7AADFAE1">
      <w:pPr>
        <w:keepLines w:val="0"/>
        <w:pageBreakBefore w:val="0"/>
        <w:kinsoku/>
        <w:wordWrap/>
        <w:overflowPunct/>
        <w:topLinePunct w:val="0"/>
        <w:autoSpaceDE/>
        <w:autoSpaceDN/>
        <w:bidi w:val="0"/>
        <w:adjustRightInd/>
        <w:snapToGrid/>
        <w:spacing w:line="480" w:lineRule="exact"/>
        <w:ind w:left="989"/>
        <w:jc w:val="left"/>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 系 人：徐女士、王先生</w:t>
      </w:r>
    </w:p>
    <w:p w14:paraId="5760337C">
      <w:pPr>
        <w:keepLines w:val="0"/>
        <w:pageBreakBefore w:val="0"/>
        <w:kinsoku/>
        <w:wordWrap/>
        <w:overflowPunct/>
        <w:topLinePunct w:val="0"/>
        <w:autoSpaceDE/>
        <w:autoSpaceDN/>
        <w:bidi w:val="0"/>
        <w:adjustRightInd/>
        <w:snapToGrid/>
        <w:spacing w:line="480" w:lineRule="exact"/>
        <w:ind w:left="989"/>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联系电话：0515-69085191、15950234320</w:t>
      </w:r>
    </w:p>
    <w:p w14:paraId="24CAAA3D">
      <w:pPr>
        <w:keepLines w:val="0"/>
        <w:pageBreakBefore w:val="0"/>
        <w:widowControl/>
        <w:shd w:val="clear" w:color="auto" w:fill="FFFFFF"/>
        <w:kinsoku/>
        <w:wordWrap/>
        <w:overflowPunct/>
        <w:topLinePunct w:val="0"/>
        <w:autoSpaceDE/>
        <w:autoSpaceDN/>
        <w:bidi w:val="0"/>
        <w:adjustRightInd/>
        <w:snapToGrid/>
        <w:spacing w:line="480" w:lineRule="exact"/>
        <w:ind w:left="-13" w:firstLine="723"/>
        <w:jc w:val="left"/>
        <w:textAlignment w:val="auto"/>
        <w:rPr>
          <w:rFonts w:ascii="宋体" w:hAnsi="宋体" w:cs="宋体"/>
          <w:b/>
          <w:color w:val="000000" w:themeColor="text1"/>
          <w:sz w:val="24"/>
          <w:highlight w:val="none"/>
          <w14:textFill>
            <w14:solidFill>
              <w14:schemeClr w14:val="tx1"/>
            </w14:solidFill>
          </w14:textFill>
        </w:rPr>
      </w:pPr>
      <w:bookmarkStart w:id="34" w:name="_Hlt26670330"/>
      <w:bookmarkEnd w:id="34"/>
      <w:bookmarkStart w:id="35" w:name="_Hlt26954824"/>
      <w:bookmarkEnd w:id="35"/>
      <w:bookmarkStart w:id="36" w:name="_Hlt26668836"/>
      <w:bookmarkEnd w:id="36"/>
      <w:bookmarkStart w:id="37" w:name="_Hlt26954810"/>
      <w:bookmarkEnd w:id="37"/>
      <w:bookmarkStart w:id="38" w:name="_Hlt26954907"/>
      <w:bookmarkEnd w:id="38"/>
      <w:bookmarkStart w:id="39" w:name="_Toc120614211"/>
      <w:r>
        <w:rPr>
          <w:rFonts w:hint="eastAsia" w:ascii="宋体" w:hAnsi="宋体" w:cs="宋体"/>
          <w:b/>
          <w:color w:val="000000" w:themeColor="text1"/>
          <w:sz w:val="24"/>
          <w:highlight w:val="none"/>
          <w14:textFill>
            <w14:solidFill>
              <w14:schemeClr w14:val="tx1"/>
            </w14:solidFill>
          </w14:textFill>
        </w:rPr>
        <w:t>3.项目联系方式</w:t>
      </w:r>
    </w:p>
    <w:p w14:paraId="4F8491CD">
      <w:pPr>
        <w:keepLines w:val="0"/>
        <w:pageBreakBefore w:val="0"/>
        <w:kinsoku/>
        <w:wordWrap/>
        <w:overflowPunct/>
        <w:topLinePunct w:val="0"/>
        <w:autoSpaceDE/>
        <w:autoSpaceDN/>
        <w:bidi w:val="0"/>
        <w:adjustRightInd/>
        <w:snapToGrid/>
        <w:spacing w:line="480" w:lineRule="exact"/>
        <w:ind w:left="1078" w:hanging="60"/>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 系 人：王女士</w:t>
      </w:r>
    </w:p>
    <w:p w14:paraId="1274B1F2">
      <w:pPr>
        <w:keepLines w:val="0"/>
        <w:pageBreakBefore w:val="0"/>
        <w:kinsoku/>
        <w:wordWrap/>
        <w:overflowPunct/>
        <w:topLinePunct w:val="0"/>
        <w:autoSpaceDE/>
        <w:autoSpaceDN/>
        <w:bidi w:val="0"/>
        <w:adjustRightInd/>
        <w:snapToGrid/>
        <w:spacing w:line="480" w:lineRule="exact"/>
        <w:ind w:left="1078" w:hanging="60"/>
        <w:jc w:val="left"/>
        <w:textAlignment w:val="auto"/>
        <w:rPr>
          <w:rFonts w:ascii="黑体" w:hAnsi="Times New Roman" w:eastAsia="黑体"/>
          <w:color w:val="000000" w:themeColor="text1"/>
          <w:sz w:val="44"/>
          <w:szCs w:val="4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联系电话：0515-88187137</w:t>
      </w:r>
    </w:p>
    <w:p w14:paraId="2C96F4D2">
      <w:pPr>
        <w:pStyle w:val="25"/>
        <w:spacing w:line="360" w:lineRule="auto"/>
        <w:jc w:val="center"/>
        <w:rPr>
          <w:rFonts w:hint="eastAsia" w:ascii="黑体" w:hAnsi="Times New Roman" w:eastAsia="黑体"/>
          <w:color w:val="000000" w:themeColor="text1"/>
          <w:sz w:val="44"/>
          <w:szCs w:val="44"/>
          <w:highlight w:val="none"/>
          <w14:textFill>
            <w14:solidFill>
              <w14:schemeClr w14:val="tx1"/>
            </w14:solidFill>
          </w14:textFill>
        </w:rPr>
      </w:pPr>
    </w:p>
    <w:p w14:paraId="61268775">
      <w:pPr>
        <w:pStyle w:val="5"/>
        <w:jc w:val="center"/>
        <w:rPr>
          <w:rFonts w:hint="eastAsia" w:ascii="黑体" w:hAnsi="Times New Roman" w:eastAsia="黑体" w:cs="Times New Roman"/>
          <w:b w:val="0"/>
          <w:color w:val="000000" w:themeColor="text1"/>
          <w:sz w:val="44"/>
          <w:szCs w:val="44"/>
          <w:highlight w:val="none"/>
          <w:lang w:val="en-US" w:eastAsia="zh-CN" w:bidi="ar-SA"/>
          <w14:textFill>
            <w14:solidFill>
              <w14:schemeClr w14:val="tx1"/>
            </w14:solidFill>
          </w14:textFill>
        </w:rPr>
      </w:pPr>
      <w:r>
        <w:rPr>
          <w:rFonts w:hint="eastAsia" w:ascii="黑体" w:hAnsi="Times New Roman" w:eastAsia="黑体" w:cs="Times New Roman"/>
          <w:b w:val="0"/>
          <w:color w:val="000000" w:themeColor="text1"/>
          <w:sz w:val="44"/>
          <w:szCs w:val="44"/>
          <w:highlight w:val="none"/>
          <w:lang w:val="en-US" w:eastAsia="zh-CN" w:bidi="ar-SA"/>
          <w14:textFill>
            <w14:solidFill>
              <w14:schemeClr w14:val="tx1"/>
            </w14:solidFill>
          </w14:textFill>
        </w:rPr>
        <w:t xml:space="preserve">第二章  </w:t>
      </w:r>
      <w:bookmarkEnd w:id="39"/>
      <w:bookmarkStart w:id="40" w:name="_Toc20823274"/>
      <w:bookmarkStart w:id="41" w:name="_Toc16938518"/>
      <w:bookmarkStart w:id="42" w:name="_Toc513029202"/>
      <w:bookmarkStart w:id="43" w:name="_Toc120614213"/>
      <w:r>
        <w:rPr>
          <w:rFonts w:hint="eastAsia" w:ascii="黑体" w:hAnsi="Times New Roman" w:eastAsia="黑体" w:cs="Times New Roman"/>
          <w:b w:val="0"/>
          <w:color w:val="000000" w:themeColor="text1"/>
          <w:sz w:val="44"/>
          <w:szCs w:val="44"/>
          <w:highlight w:val="none"/>
          <w:lang w:val="en-US" w:eastAsia="zh-CN" w:bidi="ar-SA"/>
          <w14:textFill>
            <w14:solidFill>
              <w14:schemeClr w14:val="tx1"/>
            </w14:solidFill>
          </w14:textFill>
        </w:rPr>
        <w:t>投标人须知</w:t>
      </w:r>
      <w:bookmarkEnd w:id="40"/>
      <w:bookmarkEnd w:id="41"/>
      <w:bookmarkEnd w:id="42"/>
      <w:bookmarkEnd w:id="43"/>
    </w:p>
    <w:p w14:paraId="242088CA">
      <w:pPr>
        <w:pStyle w:val="7"/>
        <w:spacing w:before="143" w:after="143" w:line="360" w:lineRule="auto"/>
        <w:ind w:firstLine="321"/>
        <w:rPr>
          <w:color w:val="000000" w:themeColor="text1"/>
          <w:highlight w:val="none"/>
          <w14:textFill>
            <w14:solidFill>
              <w14:schemeClr w14:val="tx1"/>
            </w14:solidFill>
          </w14:textFill>
        </w:rPr>
      </w:pPr>
      <w:bookmarkStart w:id="44" w:name="_Toc120614214"/>
      <w:bookmarkStart w:id="45" w:name="_Toc20823275"/>
      <w:bookmarkStart w:id="46" w:name="_Toc16938519"/>
      <w:bookmarkStart w:id="47" w:name="_Toc513029203"/>
      <w:r>
        <w:rPr>
          <w:rFonts w:hint="eastAsia"/>
          <w:color w:val="000000" w:themeColor="text1"/>
          <w:highlight w:val="none"/>
          <w14:textFill>
            <w14:solidFill>
              <w14:schemeClr w14:val="tx1"/>
            </w14:solidFill>
          </w14:textFill>
        </w:rPr>
        <w:t>一、总则</w:t>
      </w:r>
      <w:bookmarkEnd w:id="44"/>
      <w:bookmarkEnd w:id="45"/>
      <w:bookmarkEnd w:id="46"/>
      <w:bookmarkEnd w:id="47"/>
    </w:p>
    <w:p w14:paraId="2A807C1B">
      <w:pPr>
        <w:pStyle w:val="9"/>
        <w:spacing w:before="0" w:after="0" w:line="360" w:lineRule="auto"/>
        <w:ind w:firstLine="420"/>
        <w:rPr>
          <w:b w:val="0"/>
          <w:bCs w:val="0"/>
          <w:color w:val="000000" w:themeColor="text1"/>
          <w:highlight w:val="none"/>
          <w14:textFill>
            <w14:solidFill>
              <w14:schemeClr w14:val="tx1"/>
            </w14:solidFill>
          </w14:textFill>
        </w:rPr>
      </w:pPr>
      <w:bookmarkStart w:id="48" w:name="_Hlt16619475"/>
      <w:bookmarkEnd w:id="48"/>
      <w:bookmarkStart w:id="49" w:name="_Toc458694821"/>
      <w:bookmarkStart w:id="50" w:name="_Toc513029204"/>
      <w:bookmarkStart w:id="51" w:name="_Toc20823276"/>
      <w:bookmarkStart w:id="52" w:name="_Toc16938520"/>
      <w:r>
        <w:rPr>
          <w:rFonts w:hint="eastAsia"/>
          <w:b w:val="0"/>
          <w:bCs w:val="0"/>
          <w:color w:val="000000" w:themeColor="text1"/>
          <w:highlight w:val="none"/>
          <w14:textFill>
            <w14:solidFill>
              <w14:schemeClr w14:val="tx1"/>
            </w14:solidFill>
          </w14:textFill>
        </w:rPr>
        <w:t>1</w:t>
      </w:r>
      <w:bookmarkEnd w:id="49"/>
      <w:r>
        <w:rPr>
          <w:rFonts w:hint="eastAsia"/>
          <w:b w:val="0"/>
          <w:bCs w:val="0"/>
          <w:color w:val="000000" w:themeColor="text1"/>
          <w:highlight w:val="none"/>
          <w14:textFill>
            <w14:solidFill>
              <w14:schemeClr w14:val="tx1"/>
            </w14:solidFill>
          </w14:textFill>
        </w:rPr>
        <w:t>、招标方式</w:t>
      </w:r>
      <w:bookmarkEnd w:id="50"/>
      <w:bookmarkEnd w:id="51"/>
      <w:bookmarkEnd w:id="52"/>
    </w:p>
    <w:p w14:paraId="2593D843">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1.1本次招标采取公开招标方式，本招标文件仅适用于招标公告中所述项目。</w:t>
      </w:r>
    </w:p>
    <w:p w14:paraId="343AD659">
      <w:pPr>
        <w:pStyle w:val="9"/>
        <w:spacing w:before="0" w:after="0" w:line="360" w:lineRule="auto"/>
        <w:ind w:firstLine="420"/>
        <w:rPr>
          <w:b w:val="0"/>
          <w:bCs w:val="0"/>
          <w:color w:val="000000" w:themeColor="text1"/>
          <w:highlight w:val="none"/>
          <w14:textFill>
            <w14:solidFill>
              <w14:schemeClr w14:val="tx1"/>
            </w14:solidFill>
          </w14:textFill>
        </w:rPr>
      </w:pPr>
      <w:bookmarkStart w:id="53" w:name="_Toc20823277"/>
      <w:bookmarkStart w:id="54" w:name="_Toc513029205"/>
      <w:bookmarkStart w:id="55" w:name="_Toc16938521"/>
      <w:r>
        <w:rPr>
          <w:rFonts w:hint="eastAsia"/>
          <w:b w:val="0"/>
          <w:bCs w:val="0"/>
          <w:color w:val="000000" w:themeColor="text1"/>
          <w:highlight w:val="none"/>
          <w14:textFill>
            <w14:solidFill>
              <w14:schemeClr w14:val="tx1"/>
            </w14:solidFill>
          </w14:textFill>
        </w:rPr>
        <w:t>2、合格的供应商</w:t>
      </w:r>
      <w:bookmarkEnd w:id="53"/>
      <w:bookmarkEnd w:id="54"/>
      <w:bookmarkEnd w:id="55"/>
    </w:p>
    <w:p w14:paraId="158E27F7">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2.1满足招标公告中供应商的资格要求的规定。</w:t>
      </w:r>
    </w:p>
    <w:p w14:paraId="4775433D">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2.2满足本文件实质性条款的规定。</w:t>
      </w:r>
    </w:p>
    <w:p w14:paraId="0D4086EA">
      <w:pPr>
        <w:pStyle w:val="9"/>
        <w:spacing w:before="0" w:after="0" w:line="360" w:lineRule="auto"/>
        <w:ind w:firstLine="420"/>
        <w:rPr>
          <w:b w:val="0"/>
          <w:bCs w:val="0"/>
          <w:color w:val="000000" w:themeColor="text1"/>
          <w:highlight w:val="none"/>
          <w14:textFill>
            <w14:solidFill>
              <w14:schemeClr w14:val="tx1"/>
            </w14:solidFill>
          </w14:textFill>
        </w:rPr>
      </w:pPr>
      <w:bookmarkStart w:id="56" w:name="_Toc20823278"/>
      <w:bookmarkStart w:id="57" w:name="_Toc513029206"/>
      <w:bookmarkStart w:id="58" w:name="_Toc16938522"/>
      <w:r>
        <w:rPr>
          <w:rFonts w:hint="eastAsia"/>
          <w:b w:val="0"/>
          <w:bCs w:val="0"/>
          <w:color w:val="000000" w:themeColor="text1"/>
          <w:highlight w:val="none"/>
          <w14:textFill>
            <w14:solidFill>
              <w14:schemeClr w14:val="tx1"/>
            </w14:solidFill>
          </w14:textFill>
        </w:rPr>
        <w:t>3、适用法律</w:t>
      </w:r>
      <w:bookmarkEnd w:id="56"/>
      <w:bookmarkEnd w:id="57"/>
      <w:bookmarkEnd w:id="58"/>
    </w:p>
    <w:p w14:paraId="543D0B7D">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3.1本次招标及由此产生的合同受中华人民共和国有关的法律法规制约和保护</w:t>
      </w:r>
      <w:r>
        <w:rPr>
          <w:rFonts w:ascii="宋体" w:hAnsi="宋体"/>
          <w:color w:val="000000" w:themeColor="text1"/>
          <w:sz w:val="24"/>
          <w:highlight w:val="none"/>
          <w14:textFill>
            <w14:solidFill>
              <w14:schemeClr w14:val="tx1"/>
            </w14:solidFill>
          </w14:textFill>
        </w:rPr>
        <w:t>。</w:t>
      </w:r>
    </w:p>
    <w:p w14:paraId="5D3BD882">
      <w:pPr>
        <w:pStyle w:val="9"/>
        <w:spacing w:before="0" w:after="0" w:line="360" w:lineRule="auto"/>
        <w:ind w:firstLine="420"/>
        <w:rPr>
          <w:b w:val="0"/>
          <w:bCs w:val="0"/>
          <w:color w:val="000000" w:themeColor="text1"/>
          <w:highlight w:val="none"/>
          <w14:textFill>
            <w14:solidFill>
              <w14:schemeClr w14:val="tx1"/>
            </w14:solidFill>
          </w14:textFill>
        </w:rPr>
      </w:pPr>
      <w:bookmarkStart w:id="59" w:name="_Toc513029207"/>
      <w:bookmarkStart w:id="60" w:name="_Toc16938523"/>
      <w:bookmarkStart w:id="61" w:name="_Toc462564067"/>
      <w:bookmarkStart w:id="62" w:name="_Toc20823279"/>
      <w:r>
        <w:rPr>
          <w:rFonts w:hint="eastAsia"/>
          <w:b w:val="0"/>
          <w:bCs w:val="0"/>
          <w:color w:val="000000" w:themeColor="text1"/>
          <w:highlight w:val="none"/>
          <w14:textFill>
            <w14:solidFill>
              <w14:schemeClr w14:val="tx1"/>
            </w14:solidFill>
          </w14:textFill>
        </w:rPr>
        <w:t>4、投标费用</w:t>
      </w:r>
      <w:bookmarkEnd w:id="59"/>
      <w:bookmarkEnd w:id="60"/>
      <w:bookmarkEnd w:id="61"/>
      <w:bookmarkEnd w:id="62"/>
    </w:p>
    <w:p w14:paraId="44451A1C">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4.1</w:t>
      </w:r>
      <w:r>
        <w:rPr>
          <w:rFonts w:hint="eastAsia" w:ascii="宋体" w:hAnsi="宋体"/>
          <w:color w:val="000000" w:themeColor="text1"/>
          <w:sz w:val="24"/>
          <w:highlight w:val="none"/>
          <w14:textFill>
            <w14:solidFill>
              <w14:schemeClr w14:val="tx1"/>
            </w14:solidFill>
          </w14:textFill>
        </w:rPr>
        <w:t>供应商应自行承担所有与参加投标有关的费用，无论投标过程中的做法和结果如何，采购人在任何情况下均无义务和责任承担这些费用。</w:t>
      </w:r>
    </w:p>
    <w:p w14:paraId="10209336">
      <w:pPr>
        <w:pageBreakBefore w:val="0"/>
        <w:widowControl w:val="0"/>
        <w:tabs>
          <w:tab w:val="left" w:pos="900"/>
        </w:tabs>
        <w:kinsoku/>
        <w:wordWrap/>
        <w:overflowPunct/>
        <w:topLinePunct w:val="0"/>
        <w:autoSpaceDE/>
        <w:autoSpaceDN/>
        <w:bidi w:val="0"/>
        <w:adjustRightInd/>
        <w:snapToGrid/>
        <w:spacing w:line="360" w:lineRule="auto"/>
        <w:ind w:firstLine="480"/>
        <w:textAlignment w:val="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4.2招标代理服务费（中标</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成交服务费）：根据代理合同约定的收费标准的</w:t>
      </w:r>
      <w:r>
        <w:rPr>
          <w:rFonts w:hint="eastAsia" w:ascii="宋体" w:hAnsi="宋体"/>
          <w:color w:val="000000" w:themeColor="text1"/>
          <w:sz w:val="24"/>
          <w:highlight w:val="none"/>
          <w:lang w:val="en-US" w:eastAsia="zh-CN"/>
          <w14:textFill>
            <w14:solidFill>
              <w14:schemeClr w14:val="tx1"/>
            </w14:solidFill>
          </w14:textFill>
        </w:rPr>
        <w:t>28</w:t>
      </w:r>
      <w:r>
        <w:rPr>
          <w:rFonts w:hint="eastAsia" w:ascii="宋体" w:hAnsi="宋体"/>
          <w:color w:val="000000" w:themeColor="text1"/>
          <w:sz w:val="24"/>
          <w:highlight w:val="none"/>
          <w14:textFill>
            <w14:solidFill>
              <w14:schemeClr w14:val="tx1"/>
            </w14:solidFill>
          </w14:textFill>
        </w:rPr>
        <w:t>%收取代理服务费，即50万元以内按1万元的</w:t>
      </w:r>
      <w:r>
        <w:rPr>
          <w:rFonts w:hint="eastAsia" w:ascii="宋体" w:hAnsi="宋体"/>
          <w:color w:val="000000" w:themeColor="text1"/>
          <w:sz w:val="24"/>
          <w:highlight w:val="none"/>
          <w:lang w:val="en-US" w:eastAsia="zh-CN"/>
          <w14:textFill>
            <w14:solidFill>
              <w14:schemeClr w14:val="tx1"/>
            </w14:solidFill>
          </w14:textFill>
        </w:rPr>
        <w:t>28</w:t>
      </w:r>
      <w:r>
        <w:rPr>
          <w:rFonts w:hint="eastAsia" w:ascii="宋体" w:hAnsi="宋体"/>
          <w:color w:val="000000" w:themeColor="text1"/>
          <w:sz w:val="24"/>
          <w:highlight w:val="none"/>
          <w14:textFill>
            <w14:solidFill>
              <w14:schemeClr w14:val="tx1"/>
            </w14:solidFill>
          </w14:textFill>
        </w:rPr>
        <w:t>%计取，50-400万元按（中标价-50万元）的1.5%的</w:t>
      </w:r>
      <w:r>
        <w:rPr>
          <w:rFonts w:hint="eastAsia" w:ascii="宋体" w:hAnsi="宋体"/>
          <w:color w:val="000000" w:themeColor="text1"/>
          <w:sz w:val="24"/>
          <w:highlight w:val="none"/>
          <w:lang w:val="en-US" w:eastAsia="zh-CN"/>
          <w14:textFill>
            <w14:solidFill>
              <w14:schemeClr w14:val="tx1"/>
            </w14:solidFill>
          </w14:textFill>
        </w:rPr>
        <w:t>28</w:t>
      </w:r>
      <w:r>
        <w:rPr>
          <w:rFonts w:hint="eastAsia" w:ascii="宋体" w:hAnsi="宋体"/>
          <w:color w:val="000000" w:themeColor="text1"/>
          <w:sz w:val="24"/>
          <w:highlight w:val="none"/>
          <w14:textFill>
            <w14:solidFill>
              <w14:schemeClr w14:val="tx1"/>
            </w14:solidFill>
          </w14:textFill>
        </w:rPr>
        <w:t>%计取。由成交供应商向代理公司支付。供应商投标时综合考虑招标代理服务费进报价中，此项费用不得单列，凡漏项或少计均视为优惠采购人，不另行增加费用。中标后由成交供应商在领取中标（成交）通知书前直接向招标代理公司一次性付清。</w:t>
      </w:r>
    </w:p>
    <w:p w14:paraId="12EDEDDF">
      <w:pPr>
        <w:pStyle w:val="9"/>
        <w:pageBreakBefore w:val="0"/>
        <w:widowControl w:val="0"/>
        <w:kinsoku/>
        <w:wordWrap/>
        <w:overflowPunct/>
        <w:topLinePunct w:val="0"/>
        <w:autoSpaceDE/>
        <w:autoSpaceDN/>
        <w:bidi w:val="0"/>
        <w:adjustRightInd/>
        <w:snapToGrid/>
        <w:spacing w:before="0" w:after="0" w:line="360" w:lineRule="auto"/>
        <w:ind w:firstLine="452"/>
        <w:textAlignment w:val="auto"/>
        <w:rPr>
          <w:rFonts w:ascii="黑体" w:hAnsi="宋体"/>
          <w:b w:val="0"/>
          <w:bCs w:val="0"/>
          <w:color w:val="000000" w:themeColor="text1"/>
          <w:highlight w:val="none"/>
          <w14:textFill>
            <w14:solidFill>
              <w14:schemeClr w14:val="tx1"/>
            </w14:solidFill>
          </w14:textFill>
        </w:rPr>
      </w:pPr>
      <w:bookmarkStart w:id="63" w:name="_Toc26554097"/>
      <w:bookmarkStart w:id="64" w:name="_Toc61149622"/>
      <w:bookmarkStart w:id="65" w:name="_Toc23828480"/>
      <w:r>
        <w:rPr>
          <w:rFonts w:hint="eastAsia" w:ascii="宋体" w:hAnsi="宋体"/>
          <w:color w:val="000000" w:themeColor="text1"/>
          <w:sz w:val="30"/>
          <w:highlight w:val="none"/>
          <w14:textFill>
            <w14:solidFill>
              <w14:schemeClr w14:val="tx1"/>
            </w14:solidFill>
          </w14:textFill>
        </w:rPr>
        <w:t>5、</w:t>
      </w:r>
      <w:r>
        <w:rPr>
          <w:rFonts w:hint="eastAsia" w:ascii="黑体" w:hAnsi="宋体"/>
          <w:b w:val="0"/>
          <w:bCs w:val="0"/>
          <w:color w:val="000000" w:themeColor="text1"/>
          <w:highlight w:val="none"/>
          <w14:textFill>
            <w14:solidFill>
              <w14:schemeClr w14:val="tx1"/>
            </w14:solidFill>
          </w14:textFill>
        </w:rPr>
        <w:t>招标文件的约束力</w:t>
      </w:r>
    </w:p>
    <w:p w14:paraId="2F8EA964">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5.1</w:t>
      </w:r>
      <w:r>
        <w:rPr>
          <w:rFonts w:hint="eastAsia" w:ascii="宋体" w:hAnsi="宋体"/>
          <w:color w:val="000000" w:themeColor="text1"/>
          <w:sz w:val="24"/>
          <w:highlight w:val="none"/>
          <w14:textFill>
            <w14:solidFill>
              <w14:schemeClr w14:val="tx1"/>
            </w14:solidFill>
          </w14:textFill>
        </w:rPr>
        <w:t>供应商一旦参加本项目采购活动，即被认为接受了本招标文件的规定和约束。</w:t>
      </w:r>
    </w:p>
    <w:p w14:paraId="53128D28">
      <w:pPr>
        <w:pStyle w:val="7"/>
        <w:spacing w:before="143" w:after="143" w:line="360" w:lineRule="auto"/>
        <w:ind w:firstLine="321"/>
        <w:rPr>
          <w:color w:val="000000" w:themeColor="text1"/>
          <w:highlight w:val="none"/>
          <w14:textFill>
            <w14:solidFill>
              <w14:schemeClr w14:val="tx1"/>
            </w14:solidFill>
          </w14:textFill>
        </w:rPr>
      </w:pPr>
      <w:bookmarkStart w:id="66" w:name="_Toc120614215"/>
      <w:bookmarkStart w:id="67" w:name="_Toc20823281"/>
      <w:bookmarkStart w:id="68" w:name="_Toc16938525"/>
      <w:r>
        <w:rPr>
          <w:rFonts w:hint="eastAsia"/>
          <w:color w:val="000000" w:themeColor="text1"/>
          <w:highlight w:val="none"/>
          <w14:textFill>
            <w14:solidFill>
              <w14:schemeClr w14:val="tx1"/>
            </w14:solidFill>
          </w14:textFill>
        </w:rPr>
        <w:t>二、招标文件</w:t>
      </w:r>
      <w:bookmarkEnd w:id="66"/>
      <w:bookmarkEnd w:id="67"/>
      <w:bookmarkEnd w:id="68"/>
    </w:p>
    <w:p w14:paraId="777C8D40">
      <w:pPr>
        <w:pStyle w:val="9"/>
        <w:spacing w:before="0" w:after="0" w:line="360" w:lineRule="auto"/>
        <w:ind w:firstLine="420"/>
        <w:rPr>
          <w:b w:val="0"/>
          <w:bCs w:val="0"/>
          <w:color w:val="000000" w:themeColor="text1"/>
          <w:highlight w:val="none"/>
          <w14:textFill>
            <w14:solidFill>
              <w14:schemeClr w14:val="tx1"/>
            </w14:solidFill>
          </w14:textFill>
        </w:rPr>
      </w:pPr>
      <w:bookmarkStart w:id="69" w:name="_Toc513029210"/>
      <w:bookmarkStart w:id="70" w:name="_Toc16938526"/>
      <w:bookmarkStart w:id="71" w:name="_Toc20823282"/>
      <w:r>
        <w:rPr>
          <w:rFonts w:hint="eastAsia"/>
          <w:b w:val="0"/>
          <w:bCs w:val="0"/>
          <w:color w:val="000000" w:themeColor="text1"/>
          <w:highlight w:val="none"/>
          <w14:textFill>
            <w14:solidFill>
              <w14:schemeClr w14:val="tx1"/>
            </w14:solidFill>
          </w14:textFill>
        </w:rPr>
        <w:t>6、招标文件构成</w:t>
      </w:r>
      <w:bookmarkEnd w:id="69"/>
      <w:bookmarkEnd w:id="70"/>
      <w:bookmarkEnd w:id="71"/>
    </w:p>
    <w:p w14:paraId="54A9817C">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6.1</w:t>
      </w:r>
      <w:r>
        <w:rPr>
          <w:rFonts w:hint="eastAsia" w:ascii="宋体" w:hAnsi="宋体"/>
          <w:color w:val="000000" w:themeColor="text1"/>
          <w:sz w:val="24"/>
          <w:highlight w:val="none"/>
          <w14:textFill>
            <w14:solidFill>
              <w14:schemeClr w14:val="tx1"/>
            </w14:solidFill>
          </w14:textFill>
        </w:rPr>
        <w:t>招标文件由以下部分组成：</w:t>
      </w:r>
    </w:p>
    <w:p w14:paraId="52D2CC4C">
      <w:pPr>
        <w:spacing w:line="360" w:lineRule="auto"/>
        <w:ind w:firstLine="3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（1）招标公告</w:t>
      </w:r>
    </w:p>
    <w:p w14:paraId="2AE8421E">
      <w:pPr>
        <w:spacing w:line="360" w:lineRule="auto"/>
        <w:ind w:firstLine="3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（2）供应商须知</w:t>
      </w:r>
    </w:p>
    <w:p w14:paraId="35209DCE">
      <w:pPr>
        <w:spacing w:line="360" w:lineRule="auto"/>
        <w:ind w:firstLine="3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（3）合同条款及格式</w:t>
      </w:r>
    </w:p>
    <w:p w14:paraId="632C23AC">
      <w:pPr>
        <w:spacing w:line="360" w:lineRule="auto"/>
        <w:ind w:firstLine="3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（4）项目需求</w:t>
      </w:r>
    </w:p>
    <w:p w14:paraId="4C372B6D">
      <w:pPr>
        <w:spacing w:line="360" w:lineRule="auto"/>
        <w:ind w:firstLine="360"/>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w:t>
      </w:r>
      <w:r>
        <w:rPr>
          <w:rFonts w:hint="eastAsia" w:hAnsi="宋体"/>
          <w:color w:val="000000" w:themeColor="text1"/>
          <w:sz w:val="24"/>
          <w:highlight w:val="none"/>
          <w14:textFill>
            <w14:solidFill>
              <w14:schemeClr w14:val="tx1"/>
            </w14:solidFill>
          </w14:textFill>
        </w:rPr>
        <w:t>评标方法与评标标准</w:t>
      </w:r>
    </w:p>
    <w:p w14:paraId="08D44E14">
      <w:pPr>
        <w:spacing w:line="360" w:lineRule="auto"/>
        <w:ind w:firstLine="3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（6）投标文件格式</w:t>
      </w:r>
    </w:p>
    <w:p w14:paraId="42BB3CF4">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请仔细检查招标文件是否齐全，如有缺漏请立即与招标代理机构联系解决。</w:t>
      </w:r>
    </w:p>
    <w:p w14:paraId="1D257A9A">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6.2</w:t>
      </w:r>
      <w:r>
        <w:rPr>
          <w:rFonts w:hint="eastAsia" w:ascii="宋体" w:hAnsi="宋体"/>
          <w:color w:val="000000" w:themeColor="text1"/>
          <w:sz w:val="24"/>
          <w:highlight w:val="none"/>
          <w14:textFill>
            <w14:solidFill>
              <w14:schemeClr w14:val="tx1"/>
            </w14:solidFill>
          </w14:textFill>
        </w:rPr>
        <w:t>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4505FC88">
      <w:pPr>
        <w:pStyle w:val="9"/>
        <w:spacing w:before="0" w:after="0" w:line="360" w:lineRule="auto"/>
        <w:ind w:firstLine="420"/>
        <w:rPr>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7、招标文件的澄清</w:t>
      </w:r>
    </w:p>
    <w:p w14:paraId="0D5B3D35">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7.1任何要求对招标文件进行澄清的投标人，应在投标截止期十日前按招标公告中的通讯地址，以书面形式通知采购人。</w:t>
      </w:r>
    </w:p>
    <w:p w14:paraId="6C4FDA34">
      <w:pPr>
        <w:pStyle w:val="9"/>
        <w:spacing w:before="0" w:after="0" w:line="360" w:lineRule="auto"/>
        <w:ind w:firstLine="420"/>
        <w:rPr>
          <w:b w:val="0"/>
          <w:bCs w:val="0"/>
          <w:color w:val="000000" w:themeColor="text1"/>
          <w:highlight w:val="none"/>
          <w14:textFill>
            <w14:solidFill>
              <w14:schemeClr w14:val="tx1"/>
            </w14:solidFill>
          </w14:textFill>
        </w:rPr>
      </w:pPr>
      <w:bookmarkStart w:id="72" w:name="_Toc20823284"/>
      <w:bookmarkStart w:id="73" w:name="_Toc16938528"/>
      <w:bookmarkStart w:id="74" w:name="_Toc462564071"/>
      <w:bookmarkStart w:id="75" w:name="_Toc513029212"/>
      <w:r>
        <w:rPr>
          <w:rFonts w:hint="eastAsia"/>
          <w:b w:val="0"/>
          <w:bCs w:val="0"/>
          <w:color w:val="000000" w:themeColor="text1"/>
          <w:highlight w:val="none"/>
          <w14:textFill>
            <w14:solidFill>
              <w14:schemeClr w14:val="tx1"/>
            </w14:solidFill>
          </w14:textFill>
        </w:rPr>
        <w:t>8、招标文件的修改</w:t>
      </w:r>
      <w:bookmarkEnd w:id="72"/>
      <w:bookmarkEnd w:id="73"/>
      <w:bookmarkEnd w:id="74"/>
      <w:bookmarkEnd w:id="75"/>
    </w:p>
    <w:p w14:paraId="75F89E85">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8.1</w:t>
      </w:r>
      <w:r>
        <w:rPr>
          <w:rFonts w:hint="eastAsia" w:ascii="宋体" w:hAnsi="宋体"/>
          <w:color w:val="000000" w:themeColor="text1"/>
          <w:sz w:val="24"/>
          <w:highlight w:val="none"/>
          <w14:textFill>
            <w14:solidFill>
              <w14:schemeClr w14:val="tx1"/>
            </w14:solidFill>
          </w14:textFill>
        </w:rPr>
        <w:t>在投标截止时间</w:t>
      </w:r>
      <w:r>
        <w:rPr>
          <w:rFonts w:hint="eastAsia" w:ascii="仿宋_GB2312" w:hAnsi="仿宋_GB2312"/>
          <w:color w:val="000000" w:themeColor="text1"/>
          <w:sz w:val="24"/>
          <w:highlight w:val="none"/>
          <w14:textFill>
            <w14:solidFill>
              <w14:schemeClr w14:val="tx1"/>
            </w14:solidFill>
          </w14:textFill>
        </w:rPr>
        <w:t>前</w:t>
      </w:r>
      <w:r>
        <w:rPr>
          <w:rFonts w:hint="eastAsia" w:ascii="宋体" w:hAnsi="宋体"/>
          <w:color w:val="000000" w:themeColor="text1"/>
          <w:sz w:val="24"/>
          <w:highlight w:val="none"/>
          <w14:textFill>
            <w14:solidFill>
              <w14:schemeClr w14:val="tx1"/>
            </w14:solidFill>
          </w14:textFill>
        </w:rPr>
        <w:t>，采购人可以对招标文件进行修改。</w:t>
      </w:r>
    </w:p>
    <w:p w14:paraId="7B494955">
      <w:pPr>
        <w:spacing w:line="360" w:lineRule="auto"/>
        <w:ind w:firstLine="480"/>
        <w:rPr>
          <w:rFonts w:ascii="宋体" w:hAnsi="Arial"/>
          <w:color w:val="000000" w:themeColor="text1"/>
          <w:sz w:val="28"/>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8.2</w:t>
      </w:r>
      <w:r>
        <w:rPr>
          <w:rFonts w:hint="eastAsia" w:ascii="宋体" w:hAnsi="宋体"/>
          <w:color w:val="000000" w:themeColor="text1"/>
          <w:sz w:val="24"/>
          <w:highlight w:val="none"/>
          <w14:textFill>
            <w14:solidFill>
              <w14:schemeClr w14:val="tx1"/>
            </w14:solidFill>
          </w14:textFill>
        </w:rPr>
        <w:t>采购人有权按照法定的要求推迟投标截止日期和开标日期。</w:t>
      </w:r>
    </w:p>
    <w:p w14:paraId="1AC2DA3B">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8.3</w:t>
      </w:r>
      <w:r>
        <w:rPr>
          <w:rFonts w:hint="eastAsia" w:ascii="宋体" w:hAnsi="宋体"/>
          <w:color w:val="000000" w:themeColor="text1"/>
          <w:sz w:val="24"/>
          <w:highlight w:val="none"/>
          <w14:textFill>
            <w14:solidFill>
              <w14:schemeClr w14:val="tx1"/>
            </w14:solidFill>
          </w14:textFill>
        </w:rPr>
        <w:t>招标文件的修改将在</w:t>
      </w:r>
      <w:r>
        <w:rPr>
          <w:rFonts w:hint="eastAsia" w:ascii="宋体" w:hAnsi="宋体"/>
          <w:color w:val="000000" w:themeColor="text1"/>
          <w:sz w:val="24"/>
          <w:szCs w:val="20"/>
          <w:highlight w:val="none"/>
          <w14:textFill>
            <w14:solidFill>
              <w14:schemeClr w14:val="tx1"/>
            </w14:solidFill>
          </w14:textFill>
        </w:rPr>
        <w:t>江苏政府采购网、盐城市政府采购网</w:t>
      </w:r>
      <w:r>
        <w:rPr>
          <w:rFonts w:hint="eastAsia" w:ascii="宋体" w:hAnsi="宋体"/>
          <w:color w:val="000000" w:themeColor="text1"/>
          <w:sz w:val="24"/>
          <w:highlight w:val="none"/>
          <w14:textFill>
            <w14:solidFill>
              <w14:schemeClr w14:val="tx1"/>
            </w14:solidFill>
          </w14:textFill>
        </w:rPr>
        <w:t>公布，补充文件将作为招标文件的组成部分，并对供应商具有约束力。</w:t>
      </w:r>
    </w:p>
    <w:p w14:paraId="36A9F877">
      <w:pPr>
        <w:pStyle w:val="7"/>
        <w:spacing w:before="143" w:after="143" w:line="360" w:lineRule="auto"/>
        <w:ind w:firstLine="321"/>
        <w:rPr>
          <w:color w:val="000000" w:themeColor="text1"/>
          <w:highlight w:val="none"/>
          <w14:textFill>
            <w14:solidFill>
              <w14:schemeClr w14:val="tx1"/>
            </w14:solidFill>
          </w14:textFill>
        </w:rPr>
      </w:pPr>
      <w:bookmarkStart w:id="76" w:name="_Toc120614216"/>
      <w:bookmarkStart w:id="77" w:name="_Toc20823285"/>
      <w:bookmarkStart w:id="78" w:name="_Toc462564072"/>
      <w:bookmarkStart w:id="79" w:name="_Toc513029213"/>
      <w:bookmarkStart w:id="80" w:name="_Toc16938529"/>
      <w:r>
        <w:rPr>
          <w:rFonts w:hint="eastAsia"/>
          <w:color w:val="000000" w:themeColor="text1"/>
          <w:highlight w:val="none"/>
          <w14:textFill>
            <w14:solidFill>
              <w14:schemeClr w14:val="tx1"/>
            </w14:solidFill>
          </w14:textFill>
        </w:rPr>
        <w:t>三、投标文件的编制</w:t>
      </w:r>
      <w:bookmarkEnd w:id="76"/>
      <w:bookmarkEnd w:id="77"/>
      <w:bookmarkEnd w:id="78"/>
      <w:bookmarkEnd w:id="79"/>
      <w:bookmarkEnd w:id="80"/>
    </w:p>
    <w:p w14:paraId="7641971E">
      <w:pPr>
        <w:pStyle w:val="9"/>
        <w:spacing w:before="0" w:after="0" w:line="360" w:lineRule="auto"/>
        <w:ind w:firstLine="420"/>
        <w:rPr>
          <w:bCs w:val="0"/>
          <w:color w:val="000000" w:themeColor="text1"/>
          <w:highlight w:val="none"/>
          <w14:textFill>
            <w14:solidFill>
              <w14:schemeClr w14:val="tx1"/>
            </w14:solidFill>
          </w14:textFill>
        </w:rPr>
      </w:pPr>
      <w:bookmarkStart w:id="81" w:name="_Toc16938530"/>
      <w:bookmarkStart w:id="82" w:name="_Toc513029214"/>
      <w:bookmarkStart w:id="83" w:name="_Toc462564073"/>
      <w:bookmarkStart w:id="84" w:name="_Toc20823286"/>
      <w:r>
        <w:rPr>
          <w:rFonts w:hint="eastAsia"/>
          <w:b w:val="0"/>
          <w:bCs w:val="0"/>
          <w:color w:val="000000" w:themeColor="text1"/>
          <w:highlight w:val="none"/>
          <w14:textFill>
            <w14:solidFill>
              <w14:schemeClr w14:val="tx1"/>
            </w14:solidFill>
          </w14:textFill>
        </w:rPr>
        <w:t>9、投标文件的语言及度量衡单位</w:t>
      </w:r>
      <w:bookmarkEnd w:id="81"/>
      <w:bookmarkEnd w:id="82"/>
      <w:bookmarkEnd w:id="83"/>
      <w:bookmarkEnd w:id="84"/>
    </w:p>
    <w:p w14:paraId="0F4FD5D5">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9.1</w:t>
      </w:r>
      <w:r>
        <w:rPr>
          <w:rFonts w:hint="eastAsia" w:ascii="宋体" w:hAnsi="宋体"/>
          <w:color w:val="000000" w:themeColor="text1"/>
          <w:sz w:val="24"/>
          <w:highlight w:val="none"/>
          <w14:textFill>
            <w14:solidFill>
              <w14:schemeClr w14:val="tx1"/>
            </w14:solidFill>
          </w14:textFill>
        </w:rPr>
        <w:t>供应商提交的投标文件以及供应商与采购人就有关投标的所有来往通知、函件和文件均应使用</w:t>
      </w:r>
      <w:r>
        <w:rPr>
          <w:rFonts w:hint="eastAsia" w:ascii="宋体" w:hAnsi="宋体"/>
          <w:b/>
          <w:bCs/>
          <w:color w:val="000000" w:themeColor="text1"/>
          <w:sz w:val="24"/>
          <w:highlight w:val="none"/>
          <w14:textFill>
            <w14:solidFill>
              <w14:schemeClr w14:val="tx1"/>
            </w14:solidFill>
          </w14:textFill>
        </w:rPr>
        <w:t>简体中文</w:t>
      </w:r>
      <w:r>
        <w:rPr>
          <w:rFonts w:hint="eastAsia" w:ascii="宋体" w:hAnsi="宋体"/>
          <w:color w:val="000000" w:themeColor="text1"/>
          <w:sz w:val="24"/>
          <w:highlight w:val="none"/>
          <w14:textFill>
            <w14:solidFill>
              <w14:schemeClr w14:val="tx1"/>
            </w14:solidFill>
          </w14:textFill>
        </w:rPr>
        <w:t>。</w:t>
      </w:r>
    </w:p>
    <w:p w14:paraId="511A5E9B">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9.2</w:t>
      </w:r>
      <w:r>
        <w:rPr>
          <w:rFonts w:hint="eastAsia" w:ascii="宋体" w:hAnsi="宋体"/>
          <w:color w:val="000000" w:themeColor="text1"/>
          <w:sz w:val="24"/>
          <w:highlight w:val="none"/>
          <w14:textFill>
            <w14:solidFill>
              <w14:schemeClr w14:val="tx1"/>
            </w14:solidFill>
          </w14:textFill>
        </w:rPr>
        <w:t>除技术性能另有规定外，投标文件所使用的度量衡单位，均须采用国家法定计量单位。</w:t>
      </w:r>
    </w:p>
    <w:p w14:paraId="6DA693DE">
      <w:pPr>
        <w:pStyle w:val="9"/>
        <w:spacing w:before="0" w:after="0" w:line="360" w:lineRule="auto"/>
        <w:ind w:firstLine="420"/>
        <w:rPr>
          <w:b w:val="0"/>
          <w:bCs w:val="0"/>
          <w:color w:val="000000" w:themeColor="text1"/>
          <w:highlight w:val="none"/>
          <w14:textFill>
            <w14:solidFill>
              <w14:schemeClr w14:val="tx1"/>
            </w14:solidFill>
          </w14:textFill>
        </w:rPr>
      </w:pPr>
      <w:bookmarkStart w:id="85" w:name="_Toc20823287"/>
      <w:bookmarkStart w:id="86" w:name="_Toc16938531"/>
      <w:bookmarkStart w:id="87" w:name="_Toc462564074"/>
      <w:bookmarkStart w:id="88" w:name="_Toc513029215"/>
      <w:r>
        <w:rPr>
          <w:rFonts w:hint="eastAsia"/>
          <w:b w:val="0"/>
          <w:bCs w:val="0"/>
          <w:color w:val="000000" w:themeColor="text1"/>
          <w:highlight w:val="none"/>
          <w14:textFill>
            <w14:solidFill>
              <w14:schemeClr w14:val="tx1"/>
            </w14:solidFill>
          </w14:textFill>
        </w:rPr>
        <w:t>10、投标文件构成</w:t>
      </w:r>
      <w:bookmarkEnd w:id="85"/>
      <w:bookmarkEnd w:id="86"/>
      <w:bookmarkEnd w:id="87"/>
      <w:bookmarkEnd w:id="88"/>
    </w:p>
    <w:p w14:paraId="6BB2E34B">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10.1投标人编写的投标文件应包括资格证明文件、符合性证明文件、投标分项报价表、技术要求响应及偏离表、商务要求响应及偏离表、其他证明文件、投标函、开标一览表等部分。</w:t>
      </w:r>
    </w:p>
    <w:p w14:paraId="405E3430">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10.2如标书制作工具中格式和内容与“中国政府采购网”、“江苏政府采购网”、“盐城市政府采购网”发布的招标文件不一致，请以“中国政府采购网”、“江苏政府采购网”、“盐城市政府采购网”发布的招标文件为准。</w:t>
      </w:r>
    </w:p>
    <w:p w14:paraId="00BC021E">
      <w:pPr>
        <w:pStyle w:val="9"/>
        <w:pageBreakBefore w:val="0"/>
        <w:widowControl w:val="0"/>
        <w:kinsoku/>
        <w:wordWrap/>
        <w:overflowPunct/>
        <w:topLinePunct w:val="0"/>
        <w:autoSpaceDE/>
        <w:autoSpaceDN/>
        <w:bidi w:val="0"/>
        <w:adjustRightInd/>
        <w:snapToGrid/>
        <w:spacing w:before="0" w:after="0" w:line="360" w:lineRule="auto"/>
        <w:ind w:firstLine="420"/>
        <w:textAlignment w:val="auto"/>
        <w:rPr>
          <w:b w:val="0"/>
          <w:bCs w:val="0"/>
          <w:color w:val="000000" w:themeColor="text1"/>
          <w:highlight w:val="none"/>
          <w14:textFill>
            <w14:solidFill>
              <w14:schemeClr w14:val="tx1"/>
            </w14:solidFill>
          </w14:textFill>
        </w:rPr>
      </w:pPr>
      <w:bookmarkStart w:id="89" w:name="_Hlt26670360"/>
      <w:bookmarkEnd w:id="89"/>
      <w:bookmarkStart w:id="90" w:name="_Hlt26668975"/>
      <w:bookmarkEnd w:id="90"/>
      <w:bookmarkStart w:id="91" w:name="_Hlt26954838"/>
      <w:bookmarkEnd w:id="91"/>
      <w:bookmarkStart w:id="92" w:name="_Toc513029216"/>
      <w:bookmarkStart w:id="93" w:name="_Toc49090507"/>
      <w:bookmarkStart w:id="94" w:name="_Toc49090509"/>
      <w:bookmarkStart w:id="95" w:name="_Toc513029219"/>
      <w:bookmarkStart w:id="96" w:name="_Toc14577357"/>
      <w:bookmarkStart w:id="97" w:name="_Toc14577354"/>
      <w:r>
        <w:rPr>
          <w:rFonts w:hint="eastAsia"/>
          <w:b w:val="0"/>
          <w:bCs w:val="0"/>
          <w:color w:val="000000" w:themeColor="text1"/>
          <w:highlight w:val="none"/>
          <w14:textFill>
            <w14:solidFill>
              <w14:schemeClr w14:val="tx1"/>
            </w14:solidFill>
          </w14:textFill>
        </w:rPr>
        <w:t>11、证明供应商资格及符合招标文件规定的文件</w:t>
      </w:r>
      <w:bookmarkEnd w:id="92"/>
      <w:bookmarkEnd w:id="93"/>
      <w:bookmarkEnd w:id="94"/>
      <w:bookmarkEnd w:id="95"/>
      <w:bookmarkEnd w:id="96"/>
      <w:bookmarkEnd w:id="97"/>
    </w:p>
    <w:p w14:paraId="26B1111F">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color w:val="000000" w:themeColor="text1"/>
          <w:sz w:val="24"/>
          <w:highlight w:val="none"/>
          <w14:textFill>
            <w14:solidFill>
              <w14:schemeClr w14:val="tx1"/>
            </w14:solidFill>
          </w14:textFill>
        </w:rPr>
      </w:pPr>
      <w:bookmarkStart w:id="98" w:name="_Toc49090508"/>
      <w:bookmarkStart w:id="99" w:name="_Toc14577355"/>
      <w:r>
        <w:rPr>
          <w:rFonts w:hint="eastAsia" w:ascii="宋体" w:hAnsi="宋体"/>
          <w:bCs/>
          <w:color w:val="000000" w:themeColor="text1"/>
          <w:sz w:val="24"/>
          <w:highlight w:val="none"/>
          <w14:textFill>
            <w14:solidFill>
              <w14:schemeClr w14:val="tx1"/>
            </w14:solidFill>
          </w14:textFill>
        </w:rPr>
        <w:t>11.1投标人应按照法律、法规、规章和规范性文件以及招标文件要求提交证明文件，证明其及投标标的符合招标文件规定。</w:t>
      </w:r>
    </w:p>
    <w:p w14:paraId="0D1F51CB">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11.2招标文件对证明文件无明确形式要求的，证明文件可以以文字资料、图纸和数据等形式提交。</w:t>
      </w:r>
    </w:p>
    <w:p w14:paraId="17E5C923">
      <w:pPr>
        <w:pStyle w:val="9"/>
        <w:spacing w:before="0" w:after="0" w:line="360" w:lineRule="auto"/>
        <w:ind w:firstLine="420"/>
        <w:rPr>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12、投标分项报价表</w:t>
      </w:r>
    </w:p>
    <w:p w14:paraId="7D65A766">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12.1投标人应按照招标文件规定格式填报投标分项报价表。</w:t>
      </w:r>
    </w:p>
    <w:p w14:paraId="04C44E93">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12.2投标货币。投标文件中的单价和总价无特殊规定的采用人民币报价，以元为单位标注。招标文件中另有规定的按规定执行。</w:t>
      </w:r>
      <w:bookmarkEnd w:id="98"/>
      <w:bookmarkEnd w:id="99"/>
    </w:p>
    <w:p w14:paraId="6F3FE203">
      <w:pPr>
        <w:spacing w:line="360" w:lineRule="auto"/>
        <w:ind w:firstLine="420"/>
        <w:rPr>
          <w:rFonts w:ascii="宋体" w:hAnsi="宋体"/>
          <w:bCs/>
          <w:color w:val="000000" w:themeColor="text1"/>
          <w:sz w:val="24"/>
          <w:highlight w:val="none"/>
          <w14:textFill>
            <w14:solidFill>
              <w14:schemeClr w14:val="tx1"/>
            </w14:solidFill>
          </w14:textFill>
        </w:rPr>
      </w:pPr>
      <w:r>
        <w:rPr>
          <w:rFonts w:hint="eastAsia"/>
          <w:bCs/>
          <w:color w:val="000000" w:themeColor="text1"/>
          <w:sz w:val="28"/>
          <w:szCs w:val="28"/>
          <w:highlight w:val="none"/>
          <w14:textFill>
            <w14:solidFill>
              <w14:schemeClr w14:val="tx1"/>
            </w14:solidFill>
          </w14:textFill>
        </w:rPr>
        <w:t>13</w:t>
      </w:r>
      <w:r>
        <w:rPr>
          <w:rFonts w:hint="eastAsia"/>
          <w:b/>
          <w:bCs/>
          <w:color w:val="000000" w:themeColor="text1"/>
          <w:highlight w:val="none"/>
          <w14:textFill>
            <w14:solidFill>
              <w14:schemeClr w14:val="tx1"/>
            </w14:solidFill>
          </w14:textFill>
        </w:rPr>
        <w:t>、</w:t>
      </w:r>
      <w:r>
        <w:rPr>
          <w:rFonts w:hint="eastAsia" w:ascii="黑体" w:hAnsi="宋体" w:eastAsia="黑体"/>
          <w:color w:val="000000" w:themeColor="text1"/>
          <w:sz w:val="28"/>
          <w:szCs w:val="28"/>
          <w:highlight w:val="none"/>
          <w14:textFill>
            <w14:solidFill>
              <w14:schemeClr w14:val="tx1"/>
            </w14:solidFill>
          </w14:textFill>
        </w:rPr>
        <w:t>技术参数响应及偏离表、商务条款响应及偏离表</w:t>
      </w:r>
    </w:p>
    <w:p w14:paraId="2D9BFB3F">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13.1投标人需对招标文件中的技术要求与商务要求逐项作出响应或偏离，并说明原因。</w:t>
      </w:r>
    </w:p>
    <w:p w14:paraId="3E330C90">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13.2投标人可在投标文件中提供认为需要的其他技术文件或说明。</w:t>
      </w:r>
    </w:p>
    <w:p w14:paraId="2F04DB7C">
      <w:pPr>
        <w:pStyle w:val="9"/>
        <w:spacing w:before="0" w:after="0" w:line="360" w:lineRule="auto"/>
        <w:ind w:firstLine="420"/>
        <w:rPr>
          <w:b w:val="0"/>
          <w:bCs w:val="0"/>
          <w:color w:val="000000" w:themeColor="text1"/>
          <w:highlight w:val="none"/>
          <w14:textFill>
            <w14:solidFill>
              <w14:schemeClr w14:val="tx1"/>
            </w14:solidFill>
          </w14:textFill>
        </w:rPr>
      </w:pPr>
      <w:bookmarkStart w:id="100" w:name="_Toc49090510"/>
      <w:bookmarkStart w:id="101" w:name="_Toc14577359"/>
      <w:r>
        <w:rPr>
          <w:rFonts w:hint="eastAsia"/>
          <w:b w:val="0"/>
          <w:bCs w:val="0"/>
          <w:color w:val="000000" w:themeColor="text1"/>
          <w:highlight w:val="none"/>
          <w14:textFill>
            <w14:solidFill>
              <w14:schemeClr w14:val="tx1"/>
            </w14:solidFill>
          </w14:textFill>
        </w:rPr>
        <w:t>14、投标函和开标一览表</w:t>
      </w:r>
    </w:p>
    <w:p w14:paraId="12601FD8">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14.1投标人应按照招标文件中提供的格式完整、正确填写投标函、开标一览表。</w:t>
      </w:r>
    </w:p>
    <w:p w14:paraId="006CE012">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14.2对于采用货币报价的项目，开标一览表中的投标总报价应与投标分项报价表中的投标总报价一致，如不一致，不作为无效投标处理，但评标时按开标一览表中价格为准。</w:t>
      </w:r>
    </w:p>
    <w:p w14:paraId="3D7AE2AF">
      <w:pPr>
        <w:pStyle w:val="9"/>
        <w:spacing w:before="0" w:after="0" w:line="360" w:lineRule="auto"/>
        <w:ind w:firstLine="420"/>
        <w:rPr>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15、</w:t>
      </w:r>
      <w:bookmarkEnd w:id="100"/>
      <w:bookmarkEnd w:id="101"/>
      <w:bookmarkStart w:id="102" w:name="_Toc14577360"/>
      <w:bookmarkStart w:id="103" w:name="_Toc49090511"/>
      <w:r>
        <w:rPr>
          <w:rFonts w:hint="eastAsia"/>
          <w:b w:val="0"/>
          <w:bCs w:val="0"/>
          <w:color w:val="000000" w:themeColor="text1"/>
          <w:highlight w:val="none"/>
          <w14:textFill>
            <w14:solidFill>
              <w14:schemeClr w14:val="tx1"/>
            </w14:solidFill>
          </w14:textFill>
        </w:rPr>
        <w:t>投标有效期</w:t>
      </w:r>
      <w:bookmarkEnd w:id="102"/>
      <w:bookmarkEnd w:id="103"/>
    </w:p>
    <w:p w14:paraId="13EDF97F">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15.1</w:t>
      </w:r>
      <w:r>
        <w:rPr>
          <w:rFonts w:hint="eastAsia" w:ascii="宋体" w:hAnsi="宋体"/>
          <w:bCs/>
          <w:color w:val="000000" w:themeColor="text1"/>
          <w:sz w:val="24"/>
          <w:highlight w:val="none"/>
          <w14:textFill>
            <w14:solidFill>
              <w14:schemeClr w14:val="tx1"/>
            </w14:solidFill>
          </w14:textFill>
        </w:rPr>
        <w:t>投标有效期为采购人规定的开标之日后</w:t>
      </w:r>
      <w:r>
        <w:rPr>
          <w:rFonts w:hint="eastAsia" w:ascii="仿宋_GB2312" w:hAnsi="仿宋_GB2312"/>
          <w:b/>
          <w:color w:val="000000" w:themeColor="text1"/>
          <w:sz w:val="24"/>
          <w:highlight w:val="none"/>
          <w:u w:val="single"/>
          <w14:textFill>
            <w14:solidFill>
              <w14:schemeClr w14:val="tx1"/>
            </w14:solidFill>
          </w14:textFill>
        </w:rPr>
        <w:t>六十（60）天</w:t>
      </w:r>
      <w:r>
        <w:rPr>
          <w:rFonts w:hint="eastAsia" w:ascii="宋体" w:hAnsi="宋体"/>
          <w:bCs/>
          <w:color w:val="000000" w:themeColor="text1"/>
          <w:sz w:val="24"/>
          <w:highlight w:val="none"/>
          <w14:textFill>
            <w14:solidFill>
              <w14:schemeClr w14:val="tx1"/>
            </w14:solidFill>
          </w14:textFill>
        </w:rPr>
        <w:t>。投标有效期比规定短的将被视为非响应性投标而予以拒绝。</w:t>
      </w:r>
    </w:p>
    <w:p w14:paraId="4B2E7DC0">
      <w:pPr>
        <w:pStyle w:val="9"/>
        <w:spacing w:before="0" w:after="0" w:line="360" w:lineRule="auto"/>
        <w:ind w:firstLine="420"/>
        <w:rPr>
          <w:b w:val="0"/>
          <w:bCs w:val="0"/>
          <w:color w:val="000000" w:themeColor="text1"/>
          <w:highlight w:val="none"/>
          <w14:textFill>
            <w14:solidFill>
              <w14:schemeClr w14:val="tx1"/>
            </w14:solidFill>
          </w14:textFill>
        </w:rPr>
      </w:pPr>
      <w:bookmarkStart w:id="104" w:name="_Hlt26954739"/>
      <w:bookmarkEnd w:id="104"/>
      <w:bookmarkStart w:id="105" w:name="_Hlt26954852"/>
      <w:bookmarkEnd w:id="105"/>
      <w:bookmarkStart w:id="106" w:name="_Toc20823296"/>
      <w:bookmarkStart w:id="107" w:name="_Toc513029224"/>
      <w:bookmarkStart w:id="108" w:name="_Toc16938540"/>
      <w:bookmarkStart w:id="109" w:name="_Toc120614217"/>
      <w:r>
        <w:rPr>
          <w:rFonts w:hint="eastAsia"/>
          <w:b w:val="0"/>
          <w:bCs w:val="0"/>
          <w:color w:val="000000" w:themeColor="text1"/>
          <w:highlight w:val="none"/>
          <w14:textFill>
            <w14:solidFill>
              <w14:schemeClr w14:val="tx1"/>
            </w14:solidFill>
          </w14:textFill>
        </w:rPr>
        <w:t>16、投标有效期的延长</w:t>
      </w:r>
    </w:p>
    <w:p w14:paraId="2F37F884">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07792176">
      <w:pPr>
        <w:pStyle w:val="7"/>
        <w:spacing w:before="143" w:after="143" w:line="360" w:lineRule="auto"/>
        <w:ind w:firstLine="32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四、投标文件的递交</w:t>
      </w:r>
      <w:bookmarkEnd w:id="106"/>
      <w:bookmarkEnd w:id="107"/>
      <w:bookmarkEnd w:id="108"/>
      <w:bookmarkEnd w:id="109"/>
    </w:p>
    <w:p w14:paraId="58A6AEBC">
      <w:pPr>
        <w:pStyle w:val="9"/>
        <w:spacing w:before="0" w:after="0" w:line="360" w:lineRule="auto"/>
        <w:ind w:firstLine="420"/>
        <w:rPr>
          <w:b w:val="0"/>
          <w:bCs w:val="0"/>
          <w:color w:val="000000" w:themeColor="text1"/>
          <w:highlight w:val="none"/>
          <w14:textFill>
            <w14:solidFill>
              <w14:schemeClr w14:val="tx1"/>
            </w14:solidFill>
          </w14:textFill>
        </w:rPr>
      </w:pPr>
      <w:bookmarkStart w:id="110" w:name="_Toc513029225"/>
      <w:bookmarkStart w:id="111" w:name="_Toc462564084"/>
      <w:bookmarkStart w:id="112" w:name="_Toc16938541"/>
      <w:bookmarkStart w:id="113" w:name="_Toc20823297"/>
      <w:bookmarkStart w:id="114" w:name="_Toc20823298"/>
      <w:bookmarkStart w:id="115" w:name="_Toc513029226"/>
      <w:bookmarkStart w:id="116" w:name="_Toc16938542"/>
      <w:r>
        <w:rPr>
          <w:rFonts w:hint="eastAsia"/>
          <w:b w:val="0"/>
          <w:bCs w:val="0"/>
          <w:color w:val="000000" w:themeColor="text1"/>
          <w:highlight w:val="none"/>
          <w14:textFill>
            <w14:solidFill>
              <w14:schemeClr w14:val="tx1"/>
            </w14:solidFill>
          </w14:textFill>
        </w:rPr>
        <w:t>17、</w:t>
      </w:r>
      <w:bookmarkEnd w:id="110"/>
      <w:bookmarkEnd w:id="111"/>
      <w:bookmarkEnd w:id="112"/>
      <w:bookmarkEnd w:id="113"/>
      <w:r>
        <w:rPr>
          <w:rFonts w:hint="eastAsia"/>
          <w:b w:val="0"/>
          <w:bCs w:val="0"/>
          <w:color w:val="000000" w:themeColor="text1"/>
          <w:highlight w:val="none"/>
          <w14:textFill>
            <w14:solidFill>
              <w14:schemeClr w14:val="tx1"/>
            </w14:solidFill>
          </w14:textFill>
        </w:rPr>
        <w:t>电子投标文件的递交</w:t>
      </w:r>
    </w:p>
    <w:p w14:paraId="568EB3BC">
      <w:pPr>
        <w:pStyle w:val="45"/>
        <w:spacing w:before="0" w:beforeAutospacing="0" w:after="0" w:afterAutospacing="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17.1投标人应当按照《操作手册》规定，在投标截止时间前制作并上传电子投标文件。</w:t>
      </w:r>
    </w:p>
    <w:p w14:paraId="55131D9C">
      <w:pPr>
        <w:pStyle w:val="9"/>
        <w:spacing w:before="0" w:after="0" w:line="360" w:lineRule="auto"/>
        <w:ind w:firstLine="42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18、投标截止日期</w:t>
      </w:r>
      <w:bookmarkEnd w:id="114"/>
      <w:bookmarkEnd w:id="115"/>
      <w:bookmarkEnd w:id="116"/>
    </w:p>
    <w:p w14:paraId="13706DD1">
      <w:pPr>
        <w:pStyle w:val="45"/>
        <w:spacing w:before="0" w:beforeAutospacing="0" w:after="0" w:afterAutospacing="0" w:line="360" w:lineRule="auto"/>
        <w:ind w:firstLine="480"/>
        <w:rPr>
          <w:iCs/>
          <w:color w:val="000000" w:themeColor="text1"/>
          <w:highlight w:val="none"/>
          <w:u w:val="single"/>
          <w14:textFill>
            <w14:solidFill>
              <w14:schemeClr w14:val="tx1"/>
            </w14:solidFill>
          </w14:textFill>
        </w:rPr>
      </w:pPr>
      <w:bookmarkStart w:id="117" w:name="_Toc16938543"/>
      <w:bookmarkStart w:id="118" w:name="_Toc513029227"/>
      <w:bookmarkStart w:id="119" w:name="_Toc20823299"/>
      <w:r>
        <w:rPr>
          <w:rFonts w:hint="eastAsia"/>
          <w:iCs/>
          <w:color w:val="000000" w:themeColor="text1"/>
          <w:highlight w:val="none"/>
          <w:u w:val="single"/>
          <w14:textFill>
            <w14:solidFill>
              <w14:schemeClr w14:val="tx1"/>
            </w14:solidFill>
          </w14:textFill>
        </w:rPr>
        <w:t>18.1投标人上传电子投标文件的时间不得迟于招标公告中规定的投标截止时间。</w:t>
      </w:r>
    </w:p>
    <w:p w14:paraId="7C247AE8">
      <w:pPr>
        <w:pStyle w:val="45"/>
        <w:spacing w:before="0" w:beforeAutospacing="0" w:after="0" w:afterAutospacing="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投标人应充分考虑到网络环境、网络带宽等风险因素，如因投标人自身原因造成的电子投标文件上传不成功的按照本招标文件第二章第27.1.2条规定做无效投标处理。</w:t>
      </w:r>
    </w:p>
    <w:p w14:paraId="031E829C">
      <w:pPr>
        <w:pStyle w:val="45"/>
        <w:spacing w:before="0" w:beforeAutospacing="0" w:after="0" w:afterAutospacing="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18.2采购代理机构可以按照规定，通过修改招标文件酌情延长投标截止日期，在此情况下，投标人的所有权利和义务以及投标人受制的截止日期均应以延长后新的截止日期为准。</w:t>
      </w:r>
    </w:p>
    <w:p w14:paraId="5E27788F">
      <w:pPr>
        <w:pStyle w:val="9"/>
        <w:spacing w:before="0" w:after="0" w:line="360" w:lineRule="auto"/>
        <w:ind w:firstLine="42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19、</w:t>
      </w:r>
      <w:bookmarkEnd w:id="117"/>
      <w:bookmarkEnd w:id="118"/>
      <w:bookmarkEnd w:id="119"/>
      <w:bookmarkStart w:id="120" w:name="_Toc16938544"/>
      <w:bookmarkStart w:id="121" w:name="_Toc20823300"/>
      <w:bookmarkStart w:id="122" w:name="_Toc513029228"/>
      <w:r>
        <w:rPr>
          <w:rFonts w:hint="eastAsia"/>
          <w:b w:val="0"/>
          <w:bCs w:val="0"/>
          <w:color w:val="000000" w:themeColor="text1"/>
          <w:highlight w:val="none"/>
          <w14:textFill>
            <w14:solidFill>
              <w14:schemeClr w14:val="tx1"/>
            </w14:solidFill>
          </w14:textFill>
        </w:rPr>
        <w:t>投标文件的拒收</w:t>
      </w:r>
    </w:p>
    <w:p w14:paraId="2662D769">
      <w:pPr>
        <w:spacing w:line="360" w:lineRule="auto"/>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19.1采购代理机构拒绝接收在其规定的投标截止时间后上传的任何投标文件。</w:t>
      </w:r>
    </w:p>
    <w:p w14:paraId="1887082E">
      <w:pPr>
        <w:pStyle w:val="9"/>
        <w:spacing w:before="0" w:after="0" w:line="360" w:lineRule="auto"/>
        <w:ind w:firstLine="42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20、投标文件的修改和撤回</w:t>
      </w:r>
      <w:bookmarkEnd w:id="120"/>
      <w:bookmarkEnd w:id="121"/>
      <w:bookmarkEnd w:id="122"/>
    </w:p>
    <w:p w14:paraId="5856A4AA">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20.1投标文件的撤回</w:t>
      </w:r>
    </w:p>
    <w:p w14:paraId="2D78CFC4">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20.1.1电子投标文件的撤回</w:t>
      </w:r>
    </w:p>
    <w:p w14:paraId="4E7348CC">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投标人可在投标截止时间前，撤回其电子投标文件，具体操作方法见《操作手册》。</w:t>
      </w:r>
    </w:p>
    <w:p w14:paraId="36F6774B">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20.1.2投标人撤回电子投标文件，则认为其不再参与本项目投标活动。</w:t>
      </w:r>
    </w:p>
    <w:p w14:paraId="6C4723B5">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20.2投标文件的修改</w:t>
      </w:r>
    </w:p>
    <w:p w14:paraId="28660EF2">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20.2.1投标人可在投标截止时间前，对其电子投标文件进行修改，具体操作方法见《操作手册》。</w:t>
      </w:r>
    </w:p>
    <w:p w14:paraId="3BB88451">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20.2.2在投标截止时间之后，投标人不得对其电子投标文件作任何修改。</w:t>
      </w:r>
    </w:p>
    <w:p w14:paraId="7937E565">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20.3在投标截止时间至招标文件中规定的投标有效期满之间的这段时间内，投标人不得撤回其投标。</w:t>
      </w:r>
      <w:bookmarkStart w:id="123" w:name="_Toc16938545"/>
      <w:bookmarkStart w:id="124" w:name="_Toc20823301"/>
      <w:bookmarkStart w:id="125" w:name="_Toc513029229"/>
      <w:bookmarkStart w:id="126" w:name="_Toc120614218"/>
    </w:p>
    <w:p w14:paraId="282446EB">
      <w:pPr>
        <w:pStyle w:val="7"/>
        <w:spacing w:before="143" w:after="143" w:line="360" w:lineRule="auto"/>
        <w:ind w:firstLine="32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五、开标与评标</w:t>
      </w:r>
      <w:bookmarkEnd w:id="123"/>
      <w:bookmarkEnd w:id="124"/>
      <w:bookmarkEnd w:id="125"/>
      <w:bookmarkEnd w:id="126"/>
    </w:p>
    <w:p w14:paraId="7B516D88">
      <w:pPr>
        <w:pStyle w:val="9"/>
        <w:spacing w:before="0" w:after="0" w:line="360" w:lineRule="auto"/>
        <w:ind w:firstLine="420"/>
        <w:rPr>
          <w:rFonts w:hint="eastAsia"/>
          <w:b w:val="0"/>
          <w:bCs w:val="0"/>
          <w:color w:val="000000" w:themeColor="text1"/>
          <w:highlight w:val="none"/>
          <w14:textFill>
            <w14:solidFill>
              <w14:schemeClr w14:val="tx1"/>
            </w14:solidFill>
          </w14:textFill>
        </w:rPr>
      </w:pPr>
      <w:bookmarkStart w:id="127" w:name="_Toc16938546"/>
      <w:bookmarkStart w:id="128" w:name="_Toc20823302"/>
      <w:bookmarkStart w:id="129" w:name="_Toc513029230"/>
      <w:r>
        <w:rPr>
          <w:rFonts w:hint="eastAsia"/>
          <w:b w:val="0"/>
          <w:bCs w:val="0"/>
          <w:color w:val="000000" w:themeColor="text1"/>
          <w:highlight w:val="none"/>
          <w14:textFill>
            <w14:solidFill>
              <w14:schemeClr w14:val="tx1"/>
            </w14:solidFill>
          </w14:textFill>
        </w:rPr>
        <w:t>21、开标</w:t>
      </w:r>
      <w:bookmarkEnd w:id="127"/>
      <w:bookmarkEnd w:id="128"/>
      <w:bookmarkEnd w:id="129"/>
    </w:p>
    <w:p w14:paraId="6BAE06CE">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21.1采购代理机构将在招标公告中规定的时间和地点组织公开开标。投标人应当按照《操作手册》规定，参加开标活动和在苏采云系统规定的时间内对投标文件进行解密。</w:t>
      </w:r>
    </w:p>
    <w:p w14:paraId="2EB23478">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21.2开标仪式由采购代理机构组织。苏采云系统将自动对项目进行开标，并宣布各投标人名称和投标价格。</w:t>
      </w:r>
    </w:p>
    <w:p w14:paraId="5B618CF6">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21.3投标人在开标过程中涉及到的投标文件解密、开标结果确认等工作，应按照《操作手册》规定执行。</w:t>
      </w:r>
    </w:p>
    <w:p w14:paraId="25535B4B">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21.4投标人如果对开标过程和开标记录有疑义，应当根据《操作手册》规定提出，如苏采云系统中《开标记录表》宣布后5分钟内未提出的，视同认可开标结果。</w:t>
      </w:r>
    </w:p>
    <w:p w14:paraId="7F3BCA1C">
      <w:pPr>
        <w:pStyle w:val="9"/>
        <w:spacing w:before="0" w:after="0" w:line="360" w:lineRule="auto"/>
        <w:ind w:firstLine="42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22、评标委员会</w:t>
      </w:r>
    </w:p>
    <w:p w14:paraId="3F05C2E2">
      <w:pPr>
        <w:pStyle w:val="45"/>
        <w:spacing w:before="0" w:beforeAutospacing="0" w:after="0" w:afterAutospacing="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22.1开标后，采购代理机构将立即组织评标委员会（以下简称评委会）进行评标。</w:t>
      </w:r>
    </w:p>
    <w:p w14:paraId="697703B5">
      <w:pPr>
        <w:pStyle w:val="45"/>
        <w:spacing w:before="0" w:beforeAutospacing="0" w:after="0" w:afterAutospacing="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22.2评委会由采购人代表和有关技术、经济等方面的专家组成，且人员构成符合政府采购有关规定。</w:t>
      </w:r>
    </w:p>
    <w:p w14:paraId="16A1B2D1">
      <w:pPr>
        <w:pStyle w:val="45"/>
        <w:spacing w:before="0" w:beforeAutospacing="0" w:after="0" w:afterAutospacing="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22.3评委会独立工作，负责评审所有投标文件并确定中标候选人。</w:t>
      </w:r>
    </w:p>
    <w:p w14:paraId="7D77B457">
      <w:pPr>
        <w:pStyle w:val="9"/>
        <w:spacing w:before="0" w:after="0" w:line="360" w:lineRule="auto"/>
        <w:ind w:firstLine="42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23、评标过程的保密与公正</w:t>
      </w:r>
    </w:p>
    <w:p w14:paraId="2EB784E8">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23.1凡是与审查、澄清、评价和比较投标的有关资料以及授标建议等，采购人、评委、采购代理机构均不得向投标人或与评标无关的其他人员透露。</w:t>
      </w:r>
    </w:p>
    <w:p w14:paraId="2972A16F">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23.2在评标过程中，投标人不得以任何行为影响评标过程，否则其投标文件将被作为无效投标文件。</w:t>
      </w:r>
    </w:p>
    <w:p w14:paraId="6C1A44F7">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23.3采购代理机构和评标委员会不向未中标的投标人解释未中标原因，也不公布评标过程中的相关细节。</w:t>
      </w:r>
    </w:p>
    <w:p w14:paraId="31DE2915">
      <w:pPr>
        <w:pStyle w:val="9"/>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24</w:t>
      </w:r>
      <w:r>
        <w:rPr>
          <w:rFonts w:hint="eastAsia"/>
          <w:b w:val="0"/>
          <w:bCs w:val="0"/>
          <w:color w:val="000000" w:themeColor="text1"/>
          <w:highlight w:val="none"/>
          <w:lang w:eastAsia="zh-CN"/>
          <w14:textFill>
            <w14:solidFill>
              <w14:schemeClr w14:val="tx1"/>
            </w14:solidFill>
          </w14:textFill>
        </w:rPr>
        <w:t>、</w:t>
      </w:r>
      <w:r>
        <w:rPr>
          <w:rFonts w:hint="eastAsia"/>
          <w:b w:val="0"/>
          <w:bCs w:val="0"/>
          <w:color w:val="000000" w:themeColor="text1"/>
          <w:highlight w:val="none"/>
          <w14:textFill>
            <w14:solidFill>
              <w14:schemeClr w14:val="tx1"/>
            </w14:solidFill>
          </w14:textFill>
        </w:rPr>
        <w:t>投标文件的澄清</w:t>
      </w:r>
    </w:p>
    <w:p w14:paraId="34A10F0C">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24.1评标期间，评委会对投标文件中含义不明确、同类问题表述不一致或者有明显文字和计算错误的内容，有权要求投标人作出必要的澄清、说明或者补正。</w:t>
      </w:r>
    </w:p>
    <w:p w14:paraId="53F6C77C">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投标人的澄清、说明或者补正不得超出投标文件的范围或者改变投标文件的实质性内容。</w:t>
      </w:r>
    </w:p>
    <w:p w14:paraId="248BCBD0">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评标委员会并非对每个投标人都做澄清要求。</w:t>
      </w:r>
    </w:p>
    <w:p w14:paraId="4F57E4C1">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170D1E0">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24.3接到评委会澄清、说明和补正要求的投标人如未按规定做出澄清、说明和补正，其风险由投标人自行承担。</w:t>
      </w:r>
    </w:p>
    <w:p w14:paraId="69157FE0">
      <w:pPr>
        <w:pStyle w:val="9"/>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25、对投标文件的初审</w:t>
      </w:r>
    </w:p>
    <w:p w14:paraId="5EDE600F">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color w:val="000000" w:themeColor="text1"/>
          <w:sz w:val="24"/>
          <w:highlight w:val="none"/>
          <w14:textFill>
            <w14:solidFill>
              <w14:schemeClr w14:val="tx1"/>
            </w14:solidFill>
          </w14:textFill>
        </w:rPr>
      </w:pPr>
      <w:bookmarkStart w:id="130" w:name="_Toc16938551"/>
      <w:bookmarkStart w:id="131" w:name="_Toc513029235"/>
      <w:bookmarkStart w:id="132" w:name="_Toc20823307"/>
      <w:bookmarkStart w:id="133" w:name="_Toc120614219"/>
      <w:r>
        <w:rPr>
          <w:rFonts w:hint="eastAsia" w:ascii="宋体" w:hAnsi="宋体"/>
          <w:bCs/>
          <w:color w:val="000000" w:themeColor="text1"/>
          <w:sz w:val="24"/>
          <w:highlight w:val="none"/>
          <w14:textFill>
            <w14:solidFill>
              <w14:schemeClr w14:val="tx1"/>
            </w14:solidFill>
          </w14:textFill>
        </w:rPr>
        <w:t>25.1投标文件初审分为资格审查和符合性审查。</w:t>
      </w:r>
    </w:p>
    <w:p w14:paraId="69A16FF4">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25.1.1资格审查：依据法律法规和招标文件的规定，由采购人对投标文件中的资格证明文件进行审查。资格审查的结论，采购人以书面形式向评委会进行反馈。</w:t>
      </w:r>
    </w:p>
    <w:p w14:paraId="7F34084A">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采购人在进行资格性审查的同时，将在“信用中国”网站（www.creditchina.gov.cn）查询投标人的信用记录，以确定投标人是否具备投标资格,查询结果留存并归档。</w:t>
      </w:r>
    </w:p>
    <w:p w14:paraId="1D630BA5">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14:paraId="1B6F083A">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25.1.2符合性审查：依据招标文件的规定，由评委会从投标文件的有效性、完整性和对招标文件的响应程度进行审查，以确定是否对招标文件的实质性要求作出响应。</w:t>
      </w:r>
    </w:p>
    <w:p w14:paraId="67406F72">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25.1.3未通过资格审查或符合性审查的投标人，采购代理机构将在苏采云系统中告知未通过资格审查或符合性审查的原因，评审结束后，采购代理机构将不再告知未通过资格审查或符合性审查的原因。</w:t>
      </w:r>
    </w:p>
    <w:p w14:paraId="58E10AD7">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25.2在详细评标之前，评委会将首先审查每份投标文件是否实质性响应了招标文件的要求。实质性响应的投标应该是与招标文件要求的全部条款、条件和规格相符，没有重大偏离或保留的投标。</w:t>
      </w:r>
    </w:p>
    <w:p w14:paraId="7E49B6CB">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6E463BB">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25.3如果投标文件实质上没有响应招标文件的要求，评委会将予以拒绝，投标人不得通过修改或撤销不合要求的偏离或保留而使其投标成为实质性响应的投标。</w:t>
      </w:r>
    </w:p>
    <w:p w14:paraId="5C86A758">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25.4评委会将对确定为实质性响应的投标进行进一步审核，看其是否有计算上或累加上的算术错误，修正错误的原则如下：</w:t>
      </w:r>
    </w:p>
    <w:p w14:paraId="432238EB">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（1）投标文件中开标一览表内容与投标文件中相应内容不一致的，以开标一览表为准。</w:t>
      </w:r>
    </w:p>
    <w:p w14:paraId="64A0182F">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（2）大写金额和小写金额不一致的，以大写金额为准。</w:t>
      </w:r>
    </w:p>
    <w:p w14:paraId="118FB386">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（3）单价金额小数点或者百分比有明显错位的，以开标一览表的总价为准，并修改单价。</w:t>
      </w:r>
    </w:p>
    <w:p w14:paraId="178520AC">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（4）总价金额与按单价汇总金额不一致的，以单价金额计算结果为准。</w:t>
      </w:r>
    </w:p>
    <w:p w14:paraId="70B787D6">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同时出现两种以上错误的，按照前款规定的顺序修正。</w:t>
      </w:r>
    </w:p>
    <w:p w14:paraId="26793FA2">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25.5评委会将按上述修正错误的方法调整投标文件中的投标报价，并通过苏采云系统告知投标人，调整后的价格应对投标人具有约束力。如果投标人不接受修正后的价格，则其投标将被拒绝。</w:t>
      </w:r>
    </w:p>
    <w:p w14:paraId="08C72264">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25.6投标人在开、评标全过程中应保持通讯畅通，及时登录苏采云系统查阅、答复相关信息，并安排专人与采购代理机构及评标委员会联系。</w:t>
      </w:r>
    </w:p>
    <w:p w14:paraId="48D56794">
      <w:pPr>
        <w:pStyle w:val="9"/>
        <w:spacing w:before="0" w:after="0" w:line="360" w:lineRule="auto"/>
        <w:ind w:firstLine="42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26、无效投标条款和废标条款</w:t>
      </w:r>
    </w:p>
    <w:p w14:paraId="33FCB45B">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26.1无效投标条款</w:t>
      </w:r>
    </w:p>
    <w:p w14:paraId="40572E31">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26.1.1投标人在苏采云系统规定的时间内未成功解密电子投标文件的。</w:t>
      </w:r>
    </w:p>
    <w:p w14:paraId="63FB5727">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26.1.2投标人未按照招标文件要求上传电子投标文件的。</w:t>
      </w:r>
    </w:p>
    <w:p w14:paraId="75DC0629">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26.1.3同一投标人提交两个（含两个）以上不同的投标报价的。</w:t>
      </w:r>
    </w:p>
    <w:p w14:paraId="0D4E3CBB">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26.1.4投标人不具备招标文件中规定资格要求的。</w:t>
      </w:r>
    </w:p>
    <w:p w14:paraId="6FDE696E">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26.1.5投标人的报价超过了采购预算或最高限价的。</w:t>
      </w:r>
    </w:p>
    <w:p w14:paraId="61432332">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26.1.6未通过符合性审查的。</w:t>
      </w:r>
    </w:p>
    <w:p w14:paraId="5FCA5CCD">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26.1.7不符合招标文件中规定的实质性要求和条件的。</w:t>
      </w:r>
    </w:p>
    <w:p w14:paraId="5CA88F16">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BDDC15D">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26.1.9投标文件含有采购人不能接受的附加条件的。</w:t>
      </w:r>
    </w:p>
    <w:p w14:paraId="1452CE96">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26.1.10异常低价投标（响应）审查</w:t>
      </w:r>
    </w:p>
    <w:p w14:paraId="7702856F">
      <w:pPr>
        <w:spacing w:line="360" w:lineRule="auto"/>
        <w:ind w:firstLine="482"/>
        <w:rPr>
          <w:rFonts w:hint="eastAsia"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一）评审过程中出现下列情形之一的，评标委员会应当启动异常低价投标审查程序：</w:t>
      </w:r>
    </w:p>
    <w:p w14:paraId="25476E46">
      <w:pPr>
        <w:numPr>
          <w:ilvl w:val="0"/>
          <w:numId w:val="1"/>
        </w:numPr>
        <w:spacing w:line="360" w:lineRule="auto"/>
        <w:ind w:firstLine="48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投标（响应）报价低于全部通过符合性审查供应商投标（响应）报价平均值50%的，即投标（响应）报价&lt;全部通过符合性审查供应商投标（响应）报价平均值×50%；</w:t>
      </w:r>
    </w:p>
    <w:p w14:paraId="071B62FC">
      <w:pPr>
        <w:numPr>
          <w:ilvl w:val="0"/>
          <w:numId w:val="1"/>
        </w:numPr>
        <w:spacing w:line="360" w:lineRule="auto"/>
        <w:ind w:firstLine="48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投标（响应）报价低于通过符合性审查的次低报价供应商投标（响应）报价50%的，即投标（响应）报价&lt;通过符合性审查的次低报价供应商投标（响应）报价×50%；</w:t>
      </w:r>
    </w:p>
    <w:p w14:paraId="6803C518">
      <w:pPr>
        <w:numPr>
          <w:ilvl w:val="0"/>
          <w:numId w:val="1"/>
        </w:numPr>
        <w:spacing w:line="360" w:lineRule="auto"/>
        <w:ind w:firstLine="482"/>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投标（响应）报价低于采购项目最高限价45%的，即投标（响应）报价&lt;采购项目最高限价×45%；</w:t>
      </w:r>
    </w:p>
    <w:p w14:paraId="7AF017D2">
      <w:pPr>
        <w:numPr>
          <w:ilvl w:val="0"/>
          <w:numId w:val="1"/>
        </w:numPr>
        <w:spacing w:line="360" w:lineRule="auto"/>
        <w:ind w:firstLine="48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评审委员会基于专业判断，认为供应商报价过低，有可能影响产品质量或者不能诚信履约的其他情形。</w:t>
      </w:r>
    </w:p>
    <w:p w14:paraId="0BA963F0">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提醒：采购人可以结合具体项目实际情况，提高上述第1项至第3项中启动异常低价投标（响应）审查的数值标准，但是最高不得超过65%。</w:t>
      </w:r>
      <w:r>
        <w:rPr>
          <w:rFonts w:hint="eastAsia" w:ascii="宋体" w:hAnsi="宋体" w:cs="宋体"/>
          <w:color w:val="000000" w:themeColor="text1"/>
          <w:sz w:val="24"/>
          <w:highlight w:val="none"/>
          <w14:textFill>
            <w14:solidFill>
              <w14:schemeClr w14:val="tx1"/>
            </w14:solidFill>
          </w14:textFill>
        </w:rPr>
        <w:t>相关法律法规对供应商报价有规定的，从其规定。</w:t>
      </w:r>
    </w:p>
    <w:p w14:paraId="505A6DEE">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F5A5447">
      <w:pPr>
        <w:pStyle w:val="45"/>
        <w:keepNext/>
        <w:keepLines/>
        <w:spacing w:beforeAutospacing="0" w:afterAutospacing="0" w:line="480" w:lineRule="exact"/>
        <w:ind w:firstLine="482"/>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EA091E5">
      <w:pPr>
        <w:pStyle w:val="45"/>
        <w:keepNext/>
        <w:keepLines/>
        <w:spacing w:beforeAutospacing="0" w:afterAutospacing="0" w:line="480" w:lineRule="exact"/>
        <w:ind w:firstLine="482"/>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0BE2E0F">
      <w:pPr>
        <w:pStyle w:val="45"/>
        <w:keepNext/>
        <w:keepLines/>
        <w:spacing w:beforeAutospacing="0" w:afterAutospacing="0" w:line="480" w:lineRule="exact"/>
        <w:ind w:firstLine="482"/>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23506715">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6778BDEA">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26.1.12投标文件未按照招标文件要求加盖CA电子公章的。</w:t>
      </w:r>
    </w:p>
    <w:p w14:paraId="1B46719F">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26.1.13其他法律、法规及本招标文件规定的属无效投标的情形。</w:t>
      </w:r>
    </w:p>
    <w:p w14:paraId="1839437D">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26.2废标条款</w:t>
      </w:r>
    </w:p>
    <w:p w14:paraId="577ECE20">
      <w:pPr>
        <w:spacing w:line="360" w:lineRule="auto"/>
        <w:ind w:left="479" w:leftChars="228" w:firstLine="0" w:firstLineChars="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26.2.1符合专业条件的供应商或者对招标文件作实质响应的供应商不足三家的。2</w:t>
      </w:r>
      <w:r>
        <w:rPr>
          <w:rFonts w:hint="eastAsia" w:ascii="宋体" w:hAnsi="宋体"/>
          <w:bCs/>
          <w:color w:val="000000" w:themeColor="text1"/>
          <w:sz w:val="24"/>
          <w:highlight w:val="none"/>
          <w:lang w:val="en-US" w:eastAsia="zh-CN"/>
          <w14:textFill>
            <w14:solidFill>
              <w14:schemeClr w14:val="tx1"/>
            </w14:solidFill>
          </w14:textFill>
        </w:rPr>
        <w:t>6</w:t>
      </w:r>
      <w:r>
        <w:rPr>
          <w:rFonts w:hint="eastAsia" w:ascii="宋体" w:hAnsi="宋体"/>
          <w:bCs/>
          <w:color w:val="000000" w:themeColor="text1"/>
          <w:sz w:val="24"/>
          <w:highlight w:val="none"/>
          <w14:textFill>
            <w14:solidFill>
              <w14:schemeClr w14:val="tx1"/>
            </w14:solidFill>
          </w14:textFill>
        </w:rPr>
        <w:t>.2.2出现影响采购公正的违法、违规行为的。</w:t>
      </w:r>
    </w:p>
    <w:p w14:paraId="3EF55260">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26.2.3因重大变故，采购任务取消的。</w:t>
      </w:r>
    </w:p>
    <w:p w14:paraId="00AB2E3D">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26.2.4评标委员会认定招标文件存在歧义、重大缺陷导致评审工作无法进行。</w:t>
      </w:r>
    </w:p>
    <w:p w14:paraId="688D64D4">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26.2.5因苏采云系统系统故障原因造成开标不成功的。</w:t>
      </w:r>
    </w:p>
    <w:p w14:paraId="258E59D4">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26.3投标截止时间结束后参加投标的供应商不足三家的处理：</w:t>
      </w:r>
    </w:p>
    <w:p w14:paraId="5D06349E">
      <w:pPr>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26.3.1如出现投标截止时间结束后参加投标的供应商或者在评标期间对招标文件做出实质响应的供应商不足三家情况，按政府采购相关规定执行。</w:t>
      </w:r>
    </w:p>
    <w:p w14:paraId="65D5C352">
      <w:pPr>
        <w:pStyle w:val="7"/>
        <w:pageBreakBefore w:val="0"/>
        <w:kinsoku/>
        <w:wordWrap/>
        <w:overflowPunct/>
        <w:topLinePunct w:val="0"/>
        <w:autoSpaceDE/>
        <w:autoSpaceDN/>
        <w:bidi w:val="0"/>
        <w:adjustRightInd/>
        <w:snapToGrid/>
        <w:spacing w:before="143" w:after="143" w:line="360" w:lineRule="auto"/>
        <w:ind w:firstLine="321"/>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六、</w:t>
      </w:r>
      <w:bookmarkEnd w:id="130"/>
      <w:bookmarkEnd w:id="131"/>
      <w:bookmarkEnd w:id="132"/>
      <w:r>
        <w:rPr>
          <w:rFonts w:hint="eastAsia"/>
          <w:color w:val="000000" w:themeColor="text1"/>
          <w:highlight w:val="none"/>
          <w14:textFill>
            <w14:solidFill>
              <w14:schemeClr w14:val="tx1"/>
            </w14:solidFill>
          </w14:textFill>
        </w:rPr>
        <w:t>定标</w:t>
      </w:r>
      <w:bookmarkEnd w:id="133"/>
      <w:bookmarkStart w:id="134" w:name="_Toc20823310"/>
      <w:bookmarkEnd w:id="134"/>
      <w:bookmarkStart w:id="135" w:name="_Toc513029238"/>
      <w:bookmarkEnd w:id="135"/>
      <w:bookmarkStart w:id="136" w:name="_Toc16938554"/>
      <w:bookmarkEnd w:id="136"/>
    </w:p>
    <w:p w14:paraId="5F1E0F5C">
      <w:pPr>
        <w:pStyle w:val="9"/>
        <w:pageBreakBefore w:val="0"/>
        <w:widowControl w:val="0"/>
        <w:kinsoku/>
        <w:wordWrap/>
        <w:overflowPunct/>
        <w:topLinePunct w:val="0"/>
        <w:autoSpaceDE/>
        <w:autoSpaceDN/>
        <w:bidi w:val="0"/>
        <w:adjustRightInd/>
        <w:snapToGrid/>
        <w:spacing w:before="0" w:after="0" w:line="360" w:lineRule="auto"/>
        <w:ind w:firstLine="420"/>
        <w:textAlignment w:val="auto"/>
        <w:rPr>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27、确定中标单位</w:t>
      </w:r>
    </w:p>
    <w:p w14:paraId="15713C97">
      <w:pPr>
        <w:spacing w:line="360" w:lineRule="auto"/>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27.1中标候选人的选取原则和数量见招标文件第五章规定。</w:t>
      </w:r>
    </w:p>
    <w:p w14:paraId="313E091C">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27.2采购人应根据评委会推荐的中标候选人确定中标人。</w:t>
      </w:r>
    </w:p>
    <w:p w14:paraId="7074973F">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27.3采购代理机构将在“中国政府采购网”、“江苏政府采购网”、“盐城市政府采购网”发布中标公告，公告期限为1个工作日。</w:t>
      </w:r>
    </w:p>
    <w:p w14:paraId="21CF6E4B">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27.4若有充分证据证明，中标人出现下列情况之一的，一经查实，将被取消中标资格：</w:t>
      </w:r>
    </w:p>
    <w:p w14:paraId="66B97803">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27.4.1提供虚假材料谋取中标的。</w:t>
      </w:r>
    </w:p>
    <w:p w14:paraId="31828969">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27.4.2向采购人、采购代理机构行贿或者提供其他不正当利益的。</w:t>
      </w:r>
    </w:p>
    <w:p w14:paraId="6BF42D3C">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27.4.3属于本文件规定的无效条件，但在评标过程中又未被评委会发现的。</w:t>
      </w:r>
    </w:p>
    <w:p w14:paraId="3AAFC701">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27.4.4与采购人或者其他供应商恶意串通的。</w:t>
      </w:r>
    </w:p>
    <w:p w14:paraId="19AA6CFD">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27.4.5采取不正当手段诋毁、排挤其他供应商的。</w:t>
      </w:r>
    </w:p>
    <w:p w14:paraId="0DDF3942">
      <w:pPr>
        <w:spacing w:line="360" w:lineRule="auto"/>
        <w:ind w:firstLine="480"/>
        <w:rPr>
          <w:rFonts w:ascii="宋体" w:hAnsi="宋体"/>
          <w:bCs/>
          <w:color w:val="000000" w:themeColor="text1"/>
          <w:sz w:val="24"/>
          <w:highlight w:val="none"/>
          <w14:textFill>
            <w14:solidFill>
              <w14:schemeClr w14:val="tx1"/>
            </w14:solidFill>
          </w14:textFill>
        </w:rPr>
      </w:pPr>
      <w:bookmarkStart w:id="137" w:name="_Toc200451960"/>
      <w:r>
        <w:rPr>
          <w:rFonts w:hint="eastAsia" w:ascii="宋体" w:hAnsi="宋体"/>
          <w:bCs/>
          <w:color w:val="000000" w:themeColor="text1"/>
          <w:sz w:val="24"/>
          <w:highlight w:val="none"/>
          <w14:textFill>
            <w14:solidFill>
              <w14:schemeClr w14:val="tx1"/>
            </w14:solidFill>
          </w14:textFill>
        </w:rPr>
        <w:t>27.5.</w:t>
      </w:r>
      <w:r>
        <w:rPr>
          <w:rFonts w:ascii="宋体" w:hAnsi="宋体"/>
          <w:bCs/>
          <w:color w:val="000000" w:themeColor="text1"/>
          <w:sz w:val="24"/>
          <w:highlight w:val="none"/>
          <w14:textFill>
            <w14:solidFill>
              <w14:schemeClr w14:val="tx1"/>
            </w14:solidFill>
          </w14:textFill>
        </w:rPr>
        <w:t>有下列情形之一的，视为投标人串通投标，投标无效：</w:t>
      </w:r>
      <w:bookmarkEnd w:id="137"/>
    </w:p>
    <w:p w14:paraId="6B57765F">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27.5.1不同投标人的投标文件由同一单位或者个人编制；</w:t>
      </w:r>
    </w:p>
    <w:p w14:paraId="21C48019">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27.5.2不同投标人委托同一单位或者个人办理投标事宜；</w:t>
      </w:r>
    </w:p>
    <w:p w14:paraId="3391AD06">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27.5.3不同投标人的投标文件载明的项目管理成员或者联系人员为同一人；</w:t>
      </w:r>
    </w:p>
    <w:p w14:paraId="7090201D">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27.5.4不同投标人的投标文件异常一致或者投标报价呈规律性差异。</w:t>
      </w:r>
    </w:p>
    <w:p w14:paraId="10C6610C">
      <w:pPr>
        <w:pStyle w:val="9"/>
        <w:spacing w:before="0" w:after="0" w:line="360" w:lineRule="auto"/>
        <w:ind w:firstLine="420"/>
        <w:rPr>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28、质疑处理</w:t>
      </w:r>
    </w:p>
    <w:p w14:paraId="2BE220D5">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28.1提出质疑的供应商应当是参与所质疑项目采购活动的供应商。潜在供应商依法获取其可质疑的采购文件的，可以对采购文件提出质疑。</w:t>
      </w:r>
    </w:p>
    <w:p w14:paraId="3FB263FA">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28.2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3B81461A">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28.2.1</w:t>
      </w:r>
      <w:r>
        <w:rPr>
          <w:rFonts w:ascii="宋体" w:hAnsi="宋体"/>
          <w:bCs/>
          <w:color w:val="000000" w:themeColor="text1"/>
          <w:sz w:val="24"/>
          <w:highlight w:val="none"/>
          <w14:textFill>
            <w14:solidFill>
              <w14:schemeClr w14:val="tx1"/>
            </w14:solidFill>
          </w14:textFill>
        </w:rPr>
        <w:t>对可以质疑的采购文件提出质疑的，为收到采购文件之日或者采购文件公告期限届满之日；</w:t>
      </w:r>
    </w:p>
    <w:p w14:paraId="319157E8">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28.2.2</w:t>
      </w:r>
      <w:r>
        <w:rPr>
          <w:rFonts w:ascii="宋体" w:hAnsi="宋体"/>
          <w:bCs/>
          <w:color w:val="000000" w:themeColor="text1"/>
          <w:sz w:val="24"/>
          <w:highlight w:val="none"/>
          <w14:textFill>
            <w14:solidFill>
              <w14:schemeClr w14:val="tx1"/>
            </w14:solidFill>
          </w14:textFill>
        </w:rPr>
        <w:t>对采购过程提出质疑的，为各采购程序环节结束之日；</w:t>
      </w:r>
    </w:p>
    <w:p w14:paraId="77F08298">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28.2.3</w:t>
      </w:r>
      <w:r>
        <w:rPr>
          <w:rFonts w:ascii="宋体" w:hAnsi="宋体"/>
          <w:bCs/>
          <w:color w:val="000000" w:themeColor="text1"/>
          <w:sz w:val="24"/>
          <w:highlight w:val="none"/>
          <w14:textFill>
            <w14:solidFill>
              <w14:schemeClr w14:val="tx1"/>
            </w14:solidFill>
          </w14:textFill>
        </w:rPr>
        <w:t>对中标或者成交结果提出质疑的，为中标或者成交结果公告期限届满之日。</w:t>
      </w:r>
    </w:p>
    <w:p w14:paraId="05BA7986">
      <w:pPr>
        <w:spacing w:line="360" w:lineRule="auto"/>
        <w:ind w:firstLine="480"/>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供应商应当在法定质疑期内一次性提出针对同一采购程序环节的质疑。供应商如在法定期限内对同一采购程序环节提出多次质疑的，采购代理机构、采购人将只对供应商第一次质疑作出答复。</w:t>
      </w:r>
    </w:p>
    <w:p w14:paraId="4B150F0D">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28.3质疑函必须按照本招标文件中《质疑函范本》要求的格式和内容进行填写。供应商如组成联合体参加投标，则《质疑函范本》中要求签字、盖章、加盖公章之处，联合体各方均须按要求签字、盖章、加盖公章。</w:t>
      </w:r>
    </w:p>
    <w:p w14:paraId="72A743DE">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28.4采购人及采购代理机构只接收以纸质原件形式送达的质疑。</w:t>
      </w:r>
    </w:p>
    <w:p w14:paraId="5AEEA626">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28.5以下情形的质疑不予受理</w:t>
      </w:r>
    </w:p>
    <w:p w14:paraId="30878BB5">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28.5.1内容不符合《政府采购质疑和投诉办法》第十二条规定的质疑。</w:t>
      </w:r>
    </w:p>
    <w:p w14:paraId="57D489A6">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28.5.2超出政府采购法定期限的质疑。</w:t>
      </w:r>
    </w:p>
    <w:p w14:paraId="1E08D8BD">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28.5.3以传真、电子邮件等方式递交的非原件形式的质疑。</w:t>
      </w:r>
    </w:p>
    <w:p w14:paraId="3C25C36C">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28.5.4未参加投标活动的供应商或在投标活动中自身权益未受到损害的供应商所提出的质疑。</w:t>
      </w:r>
    </w:p>
    <w:p w14:paraId="4FDAF01D">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28.5.5供应商组成联合体参加投标，联合体中任何一方或多方未按要求签字、盖章、加盖公章的质疑。</w:t>
      </w:r>
    </w:p>
    <w:p w14:paraId="347C921D">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95D96F5">
      <w:pPr>
        <w:pStyle w:val="9"/>
        <w:spacing w:before="0" w:after="0" w:line="360" w:lineRule="auto"/>
        <w:ind w:firstLine="420"/>
        <w:rPr>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29、中标通知书</w:t>
      </w:r>
    </w:p>
    <w:p w14:paraId="262AEA07">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6AAEB12">
      <w:pPr>
        <w:spacing w:line="360" w:lineRule="auto"/>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29.2中标通知书将是合同的一个组成部分。对采购人和中标供应商均具有法律效力。中标通知书发出后，采购人改变中标结果的，或者中标供应商放弃中标项目的，应当依法承担法律责任。</w:t>
      </w:r>
    </w:p>
    <w:p w14:paraId="4F90BD44">
      <w:pPr>
        <w:pStyle w:val="7"/>
        <w:spacing w:before="143" w:after="143" w:line="360" w:lineRule="auto"/>
        <w:ind w:firstLine="32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七、</w:t>
      </w:r>
      <w:r>
        <w:rPr>
          <w:rFonts w:ascii="Times New Roman" w:hAnsi="Times New Roman"/>
          <w:color w:val="000000" w:themeColor="text1"/>
          <w:szCs w:val="32"/>
          <w:highlight w:val="none"/>
          <w14:textFill>
            <w14:solidFill>
              <w14:schemeClr w14:val="tx1"/>
            </w14:solidFill>
          </w14:textFill>
        </w:rPr>
        <w:t>授予合同</w:t>
      </w:r>
    </w:p>
    <w:p w14:paraId="55F78251">
      <w:pPr>
        <w:pStyle w:val="9"/>
        <w:spacing w:before="0" w:after="0" w:line="360" w:lineRule="auto"/>
        <w:ind w:firstLine="420"/>
        <w:rPr>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30、签订合同</w:t>
      </w:r>
    </w:p>
    <w:p w14:paraId="02590E43">
      <w:pPr>
        <w:pStyle w:val="27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30.l中标人应当在中标通知书发出之日起三十日内，按照招标文件确定的事项与采购人签订政府采购合同。</w:t>
      </w:r>
    </w:p>
    <w:p w14:paraId="1AACB8A4">
      <w:pPr>
        <w:pStyle w:val="27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30.2招标文件、中标人的投标文件及招标过程中有关澄清、承诺文件均应作为合同附件。</w:t>
      </w:r>
    </w:p>
    <w:p w14:paraId="248779EC">
      <w:pPr>
        <w:pStyle w:val="27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30.3签订合同后，中标人不得将合同标的进行转包。未经采购人同意，中标人也不得采用分包的形式履行合同，否则采购人有权终止合同。转包或分包造成采购人损失的，中标人应承担相应赔偿责任。</w:t>
      </w:r>
    </w:p>
    <w:p w14:paraId="408AB741">
      <w:pPr>
        <w:pStyle w:val="9"/>
        <w:spacing w:before="0" w:after="0" w:line="360" w:lineRule="auto"/>
        <w:ind w:firstLine="420"/>
        <w:rPr>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31、货物（包含与货物相关的服务）的追加</w:t>
      </w:r>
    </w:p>
    <w:p w14:paraId="12405F03">
      <w:pPr>
        <w:pStyle w:val="27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31.1政府采购合同履行中，采购人需追加与合同标的相同的货物（包含与货物相关的服务）的，在不改变合同其他条款的前提下，可以与中标人协商签订补充合同，但所有补充合同的采购金额不超过原合同金额10%。</w:t>
      </w:r>
    </w:p>
    <w:p w14:paraId="6B68E034">
      <w:pPr>
        <w:pStyle w:val="9"/>
        <w:keepNext/>
        <w:keepLines/>
        <w:pageBreakBefore w:val="0"/>
        <w:kinsoku/>
        <w:wordWrap/>
        <w:overflowPunct/>
        <w:topLinePunct w:val="0"/>
        <w:autoSpaceDE/>
        <w:autoSpaceDN/>
        <w:bidi w:val="0"/>
        <w:adjustRightInd/>
        <w:snapToGrid/>
        <w:spacing w:before="0" w:after="0" w:line="360" w:lineRule="auto"/>
        <w:ind w:firstLine="420"/>
        <w:textAlignment w:val="auto"/>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32、政府采购政策功能落实</w:t>
      </w:r>
    </w:p>
    <w:p w14:paraId="2BB3E70C">
      <w:pPr>
        <w:pStyle w:val="45"/>
        <w:keepNext/>
        <w:keepLines/>
        <w:pageBreakBefore w:val="0"/>
        <w:kinsoku/>
        <w:wordWrap/>
        <w:overflowPunct/>
        <w:topLinePunct w:val="0"/>
        <w:autoSpaceDE/>
        <w:autoSpaceDN/>
        <w:bidi w:val="0"/>
        <w:adjustRightInd/>
        <w:snapToGrid/>
        <w:spacing w:beforeAutospacing="0" w:afterAutospacing="0" w:line="360" w:lineRule="auto"/>
        <w:ind w:firstLine="600"/>
        <w:jc w:val="both"/>
        <w:textAlignment w:val="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32.1政府采购线上合同信用融资政策</w:t>
      </w:r>
    </w:p>
    <w:p w14:paraId="6369DF70">
      <w:pPr>
        <w:pStyle w:val="45"/>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p>
    <w:p w14:paraId="1D890CAF">
      <w:pPr>
        <w:pageBreakBefore w:val="0"/>
        <w:tabs>
          <w:tab w:val="left" w:pos="1381"/>
        </w:tabs>
        <w:kinsoku/>
        <w:wordWrap/>
        <w:overflowPunct/>
        <w:topLinePunct w:val="0"/>
        <w:autoSpaceDE/>
        <w:autoSpaceDN/>
        <w:bidi w:val="0"/>
        <w:adjustRightInd/>
        <w:snapToGrid/>
        <w:spacing w:line="360" w:lineRule="auto"/>
        <w:ind w:firstLine="482"/>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32.2进口产品</w:t>
      </w:r>
    </w:p>
    <w:p w14:paraId="208A429F">
      <w:pPr>
        <w:pStyle w:val="45"/>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F6D1258">
      <w:pPr>
        <w:pageBreakBefore w:val="0"/>
        <w:tabs>
          <w:tab w:val="left" w:pos="1381"/>
        </w:tabs>
        <w:kinsoku/>
        <w:wordWrap/>
        <w:overflowPunct/>
        <w:topLinePunct w:val="0"/>
        <w:autoSpaceDE/>
        <w:autoSpaceDN/>
        <w:bidi w:val="0"/>
        <w:adjustRightInd/>
        <w:snapToGrid/>
        <w:spacing w:line="360" w:lineRule="auto"/>
        <w:ind w:firstLine="482"/>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32.3中小企业、监狱企业及残疾人福利性单位</w:t>
      </w:r>
    </w:p>
    <w:p w14:paraId="5624E389">
      <w:pPr>
        <w:pStyle w:val="45"/>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32.3.1中小企业定义：</w:t>
      </w:r>
    </w:p>
    <w:p w14:paraId="13FADE32">
      <w:pPr>
        <w:pStyle w:val="45"/>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30784FCD">
      <w:pPr>
        <w:pStyle w:val="45"/>
        <w:spacing w:beforeAutospacing="0" w:afterAutospacing="0" w:line="480" w:lineRule="exact"/>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32.3.2供应商提供的货物、工程或者服务符合下列情形的，享受中小企业扶持政策：</w:t>
      </w:r>
    </w:p>
    <w:p w14:paraId="1F616FB9">
      <w:pPr>
        <w:pStyle w:val="45"/>
        <w:spacing w:beforeAutospacing="0" w:afterAutospacing="0" w:line="480" w:lineRule="exact"/>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32.3.2.1在货物采购项目中，货物由中小企业制造，即货物由中小企业生产且使用该中小企业商号或者注册商标；</w:t>
      </w:r>
    </w:p>
    <w:p w14:paraId="5C07CA2C">
      <w:pPr>
        <w:pStyle w:val="45"/>
        <w:spacing w:beforeAutospacing="0" w:afterAutospacing="0" w:line="480" w:lineRule="exact"/>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32.3.2.2在工程采购项目中，工程由中小企业承建，即工程施工单位为中小企业；</w:t>
      </w:r>
    </w:p>
    <w:p w14:paraId="4E024BA1">
      <w:pPr>
        <w:pStyle w:val="45"/>
        <w:spacing w:beforeAutospacing="0" w:afterAutospacing="0" w:line="480" w:lineRule="exact"/>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32.3.2.3在服务采购项目中，服务由中小企业承接，即提供服务的人员为中小企业依照《中华人民共和国劳动合同法》订立劳动合同的从业人员。</w:t>
      </w:r>
    </w:p>
    <w:p w14:paraId="630DC2EF">
      <w:pPr>
        <w:pStyle w:val="45"/>
        <w:spacing w:beforeAutospacing="0" w:afterAutospacing="0" w:line="480" w:lineRule="exact"/>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32.3.3在货物采购项目中，供应商提供的货物既有中小企业制造货物，也有大型企业制造货物的，不享受中小企业扶持政策。</w:t>
      </w:r>
    </w:p>
    <w:p w14:paraId="69C710C1">
      <w:pPr>
        <w:pStyle w:val="45"/>
        <w:spacing w:beforeAutospacing="0" w:afterAutospacing="0" w:line="480" w:lineRule="exact"/>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32.3.4以联合体形式参加政府采购活动，联合体各方均为中小企业的，联合体视同中小企业。其中，联合体各方均为小微企业的，联合体视同小微企业。</w:t>
      </w:r>
    </w:p>
    <w:p w14:paraId="127EC261">
      <w:pPr>
        <w:pStyle w:val="45"/>
        <w:spacing w:beforeAutospacing="0" w:afterAutospacing="0" w:line="480" w:lineRule="exact"/>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778C407">
      <w:pPr>
        <w:pStyle w:val="45"/>
        <w:spacing w:beforeAutospacing="0" w:afterAutospacing="0" w:line="480" w:lineRule="exact"/>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32.3.6残疾人福利单位定义：享受政府采购支持政策的残疾人福利性单位应当同时满足以下条件：</w:t>
      </w:r>
    </w:p>
    <w:p w14:paraId="49611211">
      <w:pPr>
        <w:pStyle w:val="45"/>
        <w:spacing w:beforeAutospacing="0" w:afterAutospacing="0" w:line="480" w:lineRule="exact"/>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32.3.6.1安置的残疾人占本单位在职职工人数的比例不低于25%（含25%），并且安置的残疾人人数不少于10人（含10人）；</w:t>
      </w:r>
    </w:p>
    <w:p w14:paraId="1362BEB5">
      <w:pPr>
        <w:pStyle w:val="45"/>
        <w:spacing w:beforeAutospacing="0" w:afterAutospacing="0" w:line="480" w:lineRule="exact"/>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32.3.6.2依法与安置的每位残疾人签订了一年以上（含一年）的劳动合同或服务协议；</w:t>
      </w:r>
    </w:p>
    <w:p w14:paraId="0A619804">
      <w:pPr>
        <w:pStyle w:val="45"/>
        <w:spacing w:beforeAutospacing="0" w:afterAutospacing="0" w:line="480" w:lineRule="exact"/>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32.3.6.3为安置的每位残疾人按月足额缴纳了基本养老保险、基本医疗保险、失业保险、工伤保险和生育保险等社会保险费；</w:t>
      </w:r>
    </w:p>
    <w:p w14:paraId="2E5499FC">
      <w:pPr>
        <w:pStyle w:val="45"/>
        <w:spacing w:beforeAutospacing="0" w:afterAutospacing="0" w:line="480" w:lineRule="exact"/>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32.3.6.4通过银行等金融机构向安置的每位残疾人，按月支付了不低于单位所在区县适用的经省级人民政府批准的月最低工资标准的工资；</w:t>
      </w:r>
    </w:p>
    <w:p w14:paraId="52159FAB">
      <w:pPr>
        <w:pStyle w:val="45"/>
        <w:spacing w:beforeAutospacing="0" w:afterAutospacing="0" w:line="480" w:lineRule="exact"/>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32.3.6.5提供本单位制造的货物、承担的工程或者服务（以下简称产品），或者提供其他残疾人福利性单位制造的货物（不包括使用非残疾人福利性单位注册商标的货物）；</w:t>
      </w:r>
    </w:p>
    <w:p w14:paraId="27A76E5D">
      <w:pPr>
        <w:pStyle w:val="45"/>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561C2045">
      <w:pPr>
        <w:pStyle w:val="45"/>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32.3.7本项目是否专门面向中小企业预留采购份额见第一章《招标公告》。</w:t>
      </w:r>
    </w:p>
    <w:p w14:paraId="29811972">
      <w:pPr>
        <w:pStyle w:val="45"/>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32.3.8采购标的对应的中小企业划分标准所属行业见第四章《采购需求》。</w:t>
      </w:r>
    </w:p>
    <w:p w14:paraId="7E939993">
      <w:pPr>
        <w:pStyle w:val="45"/>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32.3.9小微企业价格评审优惠的政策：见第五章《评标方法和评标标准》。</w:t>
      </w:r>
    </w:p>
    <w:p w14:paraId="23CB3EBC">
      <w:pPr>
        <w:keepNext w:val="0"/>
        <w:keepLines w:val="0"/>
        <w:pageBreakBefore w:val="0"/>
        <w:tabs>
          <w:tab w:val="left" w:pos="1381"/>
        </w:tabs>
        <w:kinsoku/>
        <w:wordWrap/>
        <w:overflowPunct/>
        <w:topLinePunct w:val="0"/>
        <w:autoSpaceDE/>
        <w:autoSpaceDN/>
        <w:bidi w:val="0"/>
        <w:adjustRightInd/>
        <w:snapToGrid/>
        <w:spacing w:line="360" w:lineRule="auto"/>
        <w:ind w:firstLine="482"/>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32.4政府采购节能产品、环境标志产品</w:t>
      </w:r>
    </w:p>
    <w:p w14:paraId="53BBBB13">
      <w:pPr>
        <w:pStyle w:val="45"/>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D74B2C1">
      <w:pPr>
        <w:pStyle w:val="45"/>
        <w:spacing w:beforeAutospacing="0" w:afterAutospacing="0" w:line="480" w:lineRule="exact"/>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E54C4D0">
      <w:pPr>
        <w:pStyle w:val="45"/>
        <w:spacing w:beforeAutospacing="0" w:afterAutospacing="0" w:line="480" w:lineRule="exact"/>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32.5绿色包装</w:t>
      </w:r>
    </w:p>
    <w:p w14:paraId="4DCD682B">
      <w:pPr>
        <w:pStyle w:val="45"/>
        <w:spacing w:beforeAutospacing="0" w:afterAutospacing="0" w:line="480" w:lineRule="exact"/>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4E1280A">
      <w:pPr>
        <w:tabs>
          <w:tab w:val="left" w:pos="1381"/>
        </w:tabs>
        <w:spacing w:line="480" w:lineRule="exact"/>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32.6政府采购创新产品</w:t>
      </w:r>
    </w:p>
    <w:p w14:paraId="055932A2">
      <w:pPr>
        <w:pStyle w:val="45"/>
        <w:spacing w:beforeAutospacing="0" w:afterAutospacing="0" w:line="480" w:lineRule="exact"/>
        <w:ind w:firstLine="480"/>
        <w:jc w:val="both"/>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采购人优先采购各级政府部门公开发布的有效期内的创新产品、创新服务、首台套、首购首用等《目录》的创新产品。</w:t>
      </w:r>
    </w:p>
    <w:p w14:paraId="55422EF1">
      <w:pPr>
        <w:pStyle w:val="45"/>
        <w:spacing w:beforeAutospacing="0" w:afterAutospacing="0" w:line="480" w:lineRule="exact"/>
        <w:ind w:firstLine="480"/>
        <w:jc w:val="both"/>
        <w:rPr>
          <w:rFonts w:hint="eastAsia"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t>32.7</w:t>
      </w:r>
      <w:r>
        <w:rPr>
          <w:rFonts w:hint="eastAsia" w:cs="宋体"/>
          <w:color w:val="000000" w:themeColor="text1"/>
          <w:highlight w:val="none"/>
          <w14:textFill>
            <w14:solidFill>
              <w14:schemeClr w14:val="tx1"/>
            </w14:solidFill>
          </w14:textFill>
        </w:rPr>
        <w:t>绿色数据中心政策</w:t>
      </w:r>
    </w:p>
    <w:p w14:paraId="631F2B12">
      <w:pPr>
        <w:pStyle w:val="45"/>
        <w:spacing w:beforeAutospacing="0" w:afterAutospacing="0" w:line="480" w:lineRule="exact"/>
        <w:ind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本文件中若涉及到数据中心采购，采购人应依据《绿色数据中心政府采购需求标准（试行）》（财办库〔</w:t>
      </w:r>
      <w:r>
        <w:rPr>
          <w:color w:val="000000" w:themeColor="text1"/>
          <w:highlight w:val="none"/>
          <w14:textFill>
            <w14:solidFill>
              <w14:schemeClr w14:val="tx1"/>
            </w14:solidFill>
          </w14:textFill>
        </w:rPr>
        <w:t>2023</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7</w:t>
      </w:r>
      <w:r>
        <w:rPr>
          <w:rFonts w:hint="eastAsia"/>
          <w:color w:val="000000" w:themeColor="text1"/>
          <w:highlight w:val="none"/>
          <w14:textFill>
            <w14:solidFill>
              <w14:schemeClr w14:val="tx1"/>
            </w14:solidFill>
          </w14:textFill>
        </w:rPr>
        <w:t>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25DD1B6">
      <w:pPr>
        <w:tabs>
          <w:tab w:val="left" w:pos="1381"/>
        </w:tabs>
        <w:spacing w:line="480" w:lineRule="exact"/>
        <w:ind w:firstLine="48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32.8实施本国产品标准及相关政策</w:t>
      </w:r>
    </w:p>
    <w:p w14:paraId="0FD7B99D">
      <w:pPr>
        <w:tabs>
          <w:tab w:val="left" w:pos="1381"/>
        </w:tabs>
        <w:spacing w:line="480" w:lineRule="exact"/>
        <w:ind w:firstLine="48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32.8.1</w:t>
      </w:r>
      <w:r>
        <w:rPr>
          <w:rFonts w:hint="eastAsia" w:ascii="宋体" w:hAnsi="宋体" w:cs="宋体"/>
          <w:color w:val="000000" w:themeColor="text1"/>
          <w:sz w:val="24"/>
          <w:highlight w:val="none"/>
          <w14:textFill>
            <w14:solidFill>
              <w14:schemeClr w14:val="tx1"/>
            </w14:solidFill>
          </w14:textFill>
        </w:rPr>
        <w:t>本项目对采购本国产品给予政策支持，具体内容见招标文件“第五章</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评标方法与评标标准”。</w:t>
      </w:r>
    </w:p>
    <w:p w14:paraId="3074A0A8">
      <w:pPr>
        <w:tabs>
          <w:tab w:val="left" w:pos="1381"/>
        </w:tabs>
        <w:spacing w:line="480" w:lineRule="exact"/>
        <w:ind w:firstLine="48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32.8.2</w:t>
      </w:r>
      <w:r>
        <w:rPr>
          <w:rFonts w:hint="eastAsia" w:ascii="宋体" w:hAnsi="宋体" w:cs="宋体"/>
          <w:color w:val="000000" w:themeColor="text1"/>
          <w:sz w:val="24"/>
          <w:highlight w:val="none"/>
          <w14:textFill>
            <w14:solidFill>
              <w14:schemeClr w14:val="tx1"/>
            </w14:solidFill>
          </w14:textFill>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DDB63A1">
      <w:pPr>
        <w:tabs>
          <w:tab w:val="left" w:pos="1381"/>
        </w:tabs>
        <w:spacing w:line="480" w:lineRule="exact"/>
        <w:ind w:firstLine="48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32.8.3</w:t>
      </w:r>
      <w:r>
        <w:rPr>
          <w:rFonts w:hint="eastAsia" w:ascii="宋体" w:hAnsi="宋体" w:cs="宋体"/>
          <w:color w:val="000000" w:themeColor="text1"/>
          <w:sz w:val="24"/>
          <w:highlight w:val="none"/>
          <w14:textFill>
            <w14:solidFill>
              <w14:schemeClr w14:val="tx1"/>
            </w14:solidFill>
          </w14:textFill>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DA88F64">
      <w:pPr>
        <w:tabs>
          <w:tab w:val="left" w:pos="1381"/>
        </w:tabs>
        <w:spacing w:line="480" w:lineRule="exact"/>
        <w:ind w:firstLine="48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32.8.4</w:t>
      </w:r>
      <w:r>
        <w:rPr>
          <w:rFonts w:hint="eastAsia" w:ascii="宋体" w:hAnsi="宋体" w:cs="宋体"/>
          <w:color w:val="000000" w:themeColor="text1"/>
          <w:sz w:val="24"/>
          <w:highlight w:val="none"/>
          <w14:textFill>
            <w14:solidFill>
              <w14:schemeClr w14:val="tx1"/>
            </w14:solidFill>
          </w14:textFill>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343A78AC">
      <w:pPr>
        <w:pStyle w:val="45"/>
        <w:spacing w:beforeAutospacing="0" w:afterAutospacing="0" w:line="480" w:lineRule="exact"/>
        <w:ind w:firstLine="480"/>
        <w:jc w:val="both"/>
        <w:rPr>
          <w:rFonts w:hint="eastAsia"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t>32.9</w:t>
      </w:r>
      <w:r>
        <w:rPr>
          <w:rFonts w:hint="eastAsia" w:cs="宋体"/>
          <w:color w:val="000000" w:themeColor="text1"/>
          <w:highlight w:val="none"/>
          <w14:textFill>
            <w14:solidFill>
              <w14:schemeClr w14:val="tx1"/>
            </w14:solidFill>
          </w14:textFill>
        </w:rPr>
        <w:t>履约保证金政策</w:t>
      </w:r>
    </w:p>
    <w:p w14:paraId="1D8DF263">
      <w:pPr>
        <w:pStyle w:val="45"/>
        <w:spacing w:beforeAutospacing="0" w:afterAutospacing="0" w:line="480" w:lineRule="exact"/>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确需收取履约保证金的，履约保证金的缴纳形式：</w:t>
      </w:r>
    </w:p>
    <w:p w14:paraId="1A3732C9">
      <w:pPr>
        <w:pStyle w:val="45"/>
        <w:spacing w:beforeAutospacing="0" w:afterAutospacing="0" w:line="480" w:lineRule="exact"/>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58D862D">
      <w:pPr>
        <w:pStyle w:val="45"/>
        <w:spacing w:beforeAutospacing="0" w:afterAutospacing="0" w:line="480" w:lineRule="exact"/>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如以履约保函（保险）形式缴纳履约保证金，供应商可通过政府采购电子履约保函（保险）平台（</w:t>
      </w:r>
      <w:r>
        <w:rPr>
          <w:rFonts w:cs="宋体"/>
          <w:color w:val="000000" w:themeColor="text1"/>
          <w:highlight w:val="none"/>
          <w14:textFill>
            <w14:solidFill>
              <w14:schemeClr w14:val="tx1"/>
            </w14:solidFill>
          </w14:textFill>
        </w:rPr>
        <w:t>www.jsdzbh.com</w:t>
      </w:r>
      <w:r>
        <w:rPr>
          <w:rFonts w:hint="eastAsia" w:cs="宋体"/>
          <w:color w:val="000000" w:themeColor="text1"/>
          <w:highlight w:val="none"/>
          <w14:textFill>
            <w14:solidFill>
              <w14:schemeClr w14:val="tx1"/>
            </w14:solidFill>
          </w14:textFill>
        </w:rPr>
        <w:t>）在线申请履约保函（保险）。</w:t>
      </w:r>
    </w:p>
    <w:p w14:paraId="533EF8B2">
      <w:pPr>
        <w:pStyle w:val="45"/>
        <w:spacing w:beforeAutospacing="0" w:afterAutospacing="0" w:line="480" w:lineRule="exact"/>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履约保证金金额不得超过合同金额的</w:t>
      </w:r>
      <w:r>
        <w:rPr>
          <w:rFonts w:cs="宋体"/>
          <w:color w:val="000000" w:themeColor="text1"/>
          <w:highlight w:val="none"/>
          <w14:textFill>
            <w14:solidFill>
              <w14:schemeClr w14:val="tx1"/>
            </w14:solidFill>
          </w14:textFill>
        </w:rPr>
        <w:t>10%</w:t>
      </w:r>
      <w:r>
        <w:rPr>
          <w:rFonts w:hint="eastAsia" w:cs="宋体"/>
          <w:color w:val="000000" w:themeColor="text1"/>
          <w:highlight w:val="none"/>
          <w14:textFill>
            <w14:solidFill>
              <w14:schemeClr w14:val="tx1"/>
            </w14:solidFill>
          </w14:textFill>
        </w:rPr>
        <w:t>，采购人对第三方信用服务机构依据标准规范评定为</w:t>
      </w:r>
      <w:r>
        <w:rPr>
          <w:rFonts w:cs="宋体"/>
          <w:color w:val="000000" w:themeColor="text1"/>
          <w:highlight w:val="none"/>
          <w14:textFill>
            <w14:solidFill>
              <w14:schemeClr w14:val="tx1"/>
            </w14:solidFill>
          </w14:textFill>
        </w:rPr>
        <w:t>AA</w:t>
      </w:r>
      <w:r>
        <w:rPr>
          <w:rFonts w:hint="eastAsia" w:cs="宋体"/>
          <w:color w:val="000000" w:themeColor="text1"/>
          <w:highlight w:val="none"/>
          <w14:textFill>
            <w14:solidFill>
              <w14:schemeClr w14:val="tx1"/>
            </w14:solidFill>
          </w14:textFill>
        </w:rPr>
        <w:t>级及以上的政府采购供应商（需在签订采购合同前提供信用管理部门备案的第三方信用报告，且信用报告通过“信用盐城网”可查实），免收履约保证金或降低履约保证金缴纳比例。</w:t>
      </w:r>
    </w:p>
    <w:p w14:paraId="65464FBC">
      <w:pPr>
        <w:pStyle w:val="9"/>
        <w:keepNext/>
        <w:keepLines/>
        <w:pageBreakBefore w:val="0"/>
        <w:kinsoku/>
        <w:wordWrap/>
        <w:overflowPunct/>
        <w:topLinePunct w:val="0"/>
        <w:autoSpaceDE/>
        <w:autoSpaceDN/>
        <w:bidi w:val="0"/>
        <w:adjustRightInd/>
        <w:snapToGrid/>
        <w:spacing w:before="0" w:after="0" w:line="360" w:lineRule="auto"/>
        <w:ind w:firstLine="420"/>
        <w:textAlignment w:val="auto"/>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33</w:t>
      </w:r>
      <w:r>
        <w:rPr>
          <w:rFonts w:hint="eastAsia"/>
          <w:b w:val="0"/>
          <w:bCs w:val="0"/>
          <w:color w:val="000000" w:themeColor="text1"/>
          <w:highlight w:val="none"/>
          <w:lang w:eastAsia="zh-CN"/>
          <w14:textFill>
            <w14:solidFill>
              <w14:schemeClr w14:val="tx1"/>
            </w14:solidFill>
          </w14:textFill>
        </w:rPr>
        <w:t>、</w:t>
      </w:r>
      <w:r>
        <w:rPr>
          <w:rFonts w:hint="eastAsia"/>
          <w:b w:val="0"/>
          <w:bCs w:val="0"/>
          <w:color w:val="000000" w:themeColor="text1"/>
          <w:highlight w:val="none"/>
          <w14:textFill>
            <w14:solidFill>
              <w14:schemeClr w14:val="tx1"/>
            </w14:solidFill>
          </w14:textFill>
        </w:rPr>
        <w:t>预付款制度</w:t>
      </w:r>
    </w:p>
    <w:p w14:paraId="3F99232C">
      <w:pPr>
        <w:pStyle w:val="45"/>
        <w:spacing w:beforeAutospacing="0" w:afterAutospacing="0" w:line="480" w:lineRule="exact"/>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本项目落实预付款制度，预付款比例为30%。在签订合同时，中标、成交供应商明确书面表示无需预付款或者主动要求降低预付款比例的，采购人可就预付款比例作相应调整。</w:t>
      </w:r>
    </w:p>
    <w:p w14:paraId="0587434C">
      <w:pPr>
        <w:spacing w:line="440" w:lineRule="exact"/>
        <w:ind w:firstLine="480"/>
        <w:rPr>
          <w:rFonts w:ascii="宋体" w:hAnsi="宋体" w:cs="宋体"/>
          <w:bCs/>
          <w:color w:val="000000" w:themeColor="text1"/>
          <w:sz w:val="24"/>
          <w:highlight w:val="none"/>
          <w14:textFill>
            <w14:solidFill>
              <w14:schemeClr w14:val="tx1"/>
            </w14:solidFill>
          </w14:textFill>
        </w:rPr>
      </w:pPr>
    </w:p>
    <w:p w14:paraId="7A42CB33">
      <w:pPr>
        <w:pStyle w:val="276"/>
        <w:rPr>
          <w:color w:val="000000" w:themeColor="text1"/>
          <w:highlight w:val="none"/>
          <w14:textFill>
            <w14:solidFill>
              <w14:schemeClr w14:val="tx1"/>
            </w14:solidFill>
          </w14:textFill>
        </w:rPr>
      </w:pPr>
    </w:p>
    <w:p w14:paraId="00856A08">
      <w:pPr>
        <w:spacing w:line="360" w:lineRule="auto"/>
        <w:jc w:val="center"/>
        <w:rPr>
          <w:rFonts w:ascii="黑体" w:eastAsia="黑体"/>
          <w:color w:val="000000" w:themeColor="text1"/>
          <w:sz w:val="44"/>
          <w:szCs w:val="44"/>
          <w:highlight w:val="none"/>
          <w14:textFill>
            <w14:solidFill>
              <w14:schemeClr w14:val="tx1"/>
            </w14:solidFill>
          </w14:textFill>
        </w:rPr>
      </w:pPr>
    </w:p>
    <w:p w14:paraId="5950EABD">
      <w:pPr>
        <w:pStyle w:val="45"/>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cs="宋体"/>
          <w:color w:val="000000" w:themeColor="text1"/>
          <w:sz w:val="24"/>
          <w:highlight w:val="none"/>
          <w14:textFill>
            <w14:solidFill>
              <w14:schemeClr w14:val="tx1"/>
            </w14:solidFill>
          </w14:textFill>
        </w:rPr>
      </w:pPr>
    </w:p>
    <w:p w14:paraId="759B63A6">
      <w:pPr>
        <w:pStyle w:val="45"/>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cs="宋体"/>
          <w:color w:val="000000" w:themeColor="text1"/>
          <w:sz w:val="24"/>
          <w:highlight w:val="none"/>
          <w14:textFill>
            <w14:solidFill>
              <w14:schemeClr w14:val="tx1"/>
            </w14:solidFill>
          </w14:textFill>
        </w:rPr>
      </w:pPr>
    </w:p>
    <w:p w14:paraId="5B26517F">
      <w:pPr>
        <w:pStyle w:val="45"/>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cs="宋体"/>
          <w:color w:val="000000" w:themeColor="text1"/>
          <w:sz w:val="24"/>
          <w:highlight w:val="none"/>
          <w14:textFill>
            <w14:solidFill>
              <w14:schemeClr w14:val="tx1"/>
            </w14:solidFill>
          </w14:textFill>
        </w:rPr>
      </w:pPr>
    </w:p>
    <w:p w14:paraId="7793F575">
      <w:pPr>
        <w:pStyle w:val="45"/>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cs="宋体"/>
          <w:color w:val="000000" w:themeColor="text1"/>
          <w:sz w:val="24"/>
          <w:highlight w:val="none"/>
          <w14:textFill>
            <w14:solidFill>
              <w14:schemeClr w14:val="tx1"/>
            </w14:solidFill>
          </w14:textFill>
        </w:rPr>
      </w:pPr>
    </w:p>
    <w:p w14:paraId="610D4ADD">
      <w:pPr>
        <w:pStyle w:val="45"/>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cs="宋体"/>
          <w:color w:val="000000" w:themeColor="text1"/>
          <w:sz w:val="24"/>
          <w:highlight w:val="none"/>
          <w14:textFill>
            <w14:solidFill>
              <w14:schemeClr w14:val="tx1"/>
            </w14:solidFill>
          </w14:textFill>
        </w:rPr>
      </w:pPr>
    </w:p>
    <w:p w14:paraId="268873D1">
      <w:pPr>
        <w:pStyle w:val="45"/>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cs="宋体"/>
          <w:color w:val="000000" w:themeColor="text1"/>
          <w:sz w:val="24"/>
          <w:highlight w:val="none"/>
          <w14:textFill>
            <w14:solidFill>
              <w14:schemeClr w14:val="tx1"/>
            </w14:solidFill>
          </w14:textFill>
        </w:rPr>
      </w:pPr>
    </w:p>
    <w:p w14:paraId="0BD1DE80">
      <w:pPr>
        <w:pStyle w:val="45"/>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cs="宋体"/>
          <w:color w:val="000000" w:themeColor="text1"/>
          <w:sz w:val="24"/>
          <w:highlight w:val="none"/>
          <w14:textFill>
            <w14:solidFill>
              <w14:schemeClr w14:val="tx1"/>
            </w14:solidFill>
          </w14:textFill>
        </w:rPr>
      </w:pPr>
    </w:p>
    <w:p w14:paraId="6502E12A">
      <w:pPr>
        <w:pStyle w:val="45"/>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cs="宋体"/>
          <w:color w:val="000000" w:themeColor="text1"/>
          <w:sz w:val="24"/>
          <w:highlight w:val="none"/>
          <w14:textFill>
            <w14:solidFill>
              <w14:schemeClr w14:val="tx1"/>
            </w14:solidFill>
          </w14:textFill>
        </w:rPr>
      </w:pPr>
    </w:p>
    <w:p w14:paraId="0CDDAC0D">
      <w:pPr>
        <w:pStyle w:val="45"/>
        <w:spacing w:beforeAutospacing="0" w:afterAutospacing="0" w:line="480" w:lineRule="exact"/>
        <w:ind w:firstLine="480"/>
        <w:jc w:val="both"/>
        <w:rPr>
          <w:rFonts w:hint="eastAsia" w:cs="宋体"/>
          <w:color w:val="000000" w:themeColor="text1"/>
          <w:highlight w:val="none"/>
          <w14:textFill>
            <w14:solidFill>
              <w14:schemeClr w14:val="tx1"/>
            </w14:solidFill>
          </w14:textFill>
        </w:rPr>
      </w:pPr>
    </w:p>
    <w:p w14:paraId="3407907C">
      <w:pPr>
        <w:pStyle w:val="45"/>
        <w:spacing w:beforeAutospacing="0" w:afterAutospacing="0" w:line="480" w:lineRule="exact"/>
        <w:ind w:firstLine="480"/>
        <w:jc w:val="both"/>
        <w:rPr>
          <w:rFonts w:hint="eastAsia" w:cs="宋体"/>
          <w:color w:val="000000" w:themeColor="text1"/>
          <w:highlight w:val="none"/>
          <w14:textFill>
            <w14:solidFill>
              <w14:schemeClr w14:val="tx1"/>
            </w14:solidFill>
          </w14:textFill>
        </w:rPr>
      </w:pPr>
    </w:p>
    <w:p w14:paraId="1C76471F">
      <w:pPr>
        <w:pStyle w:val="45"/>
        <w:spacing w:beforeAutospacing="0" w:afterAutospacing="0" w:line="480" w:lineRule="exact"/>
        <w:ind w:firstLine="480"/>
        <w:jc w:val="both"/>
        <w:rPr>
          <w:rFonts w:hint="eastAsia" w:cs="宋体"/>
          <w:color w:val="000000" w:themeColor="text1"/>
          <w:highlight w:val="none"/>
          <w14:textFill>
            <w14:solidFill>
              <w14:schemeClr w14:val="tx1"/>
            </w14:solidFill>
          </w14:textFill>
        </w:rPr>
      </w:pPr>
    </w:p>
    <w:p w14:paraId="1D82102C">
      <w:pPr>
        <w:pStyle w:val="45"/>
        <w:spacing w:beforeAutospacing="0" w:afterAutospacing="0" w:line="480" w:lineRule="exact"/>
        <w:ind w:firstLine="480"/>
        <w:jc w:val="both"/>
        <w:rPr>
          <w:rFonts w:hint="eastAsia" w:cs="宋体"/>
          <w:color w:val="000000" w:themeColor="text1"/>
          <w:highlight w:val="none"/>
          <w14:textFill>
            <w14:solidFill>
              <w14:schemeClr w14:val="tx1"/>
            </w14:solidFill>
          </w14:textFill>
        </w:rPr>
      </w:pPr>
    </w:p>
    <w:p w14:paraId="4321E01A">
      <w:pPr>
        <w:pStyle w:val="45"/>
        <w:spacing w:beforeAutospacing="0" w:afterAutospacing="0" w:line="480" w:lineRule="exact"/>
        <w:ind w:firstLine="480"/>
        <w:jc w:val="both"/>
        <w:rPr>
          <w:rFonts w:hint="eastAsia" w:cs="宋体"/>
          <w:color w:val="000000" w:themeColor="text1"/>
          <w:highlight w:val="none"/>
          <w14:textFill>
            <w14:solidFill>
              <w14:schemeClr w14:val="tx1"/>
            </w14:solidFill>
          </w14:textFill>
        </w:rPr>
      </w:pPr>
    </w:p>
    <w:p w14:paraId="5766848B">
      <w:pPr>
        <w:pStyle w:val="45"/>
        <w:spacing w:beforeAutospacing="0" w:afterAutospacing="0" w:line="480" w:lineRule="exact"/>
        <w:ind w:firstLine="480"/>
        <w:jc w:val="both"/>
        <w:rPr>
          <w:rFonts w:hint="eastAsia" w:cs="宋体"/>
          <w:color w:val="000000" w:themeColor="text1"/>
          <w:highlight w:val="none"/>
          <w14:textFill>
            <w14:solidFill>
              <w14:schemeClr w14:val="tx1"/>
            </w14:solidFill>
          </w14:textFill>
        </w:rPr>
      </w:pPr>
    </w:p>
    <w:p w14:paraId="5FED2C73">
      <w:pPr>
        <w:pStyle w:val="45"/>
        <w:spacing w:beforeAutospacing="0" w:afterAutospacing="0" w:line="480" w:lineRule="exact"/>
        <w:ind w:firstLine="480"/>
        <w:jc w:val="both"/>
        <w:rPr>
          <w:rFonts w:hint="eastAsia" w:cs="宋体"/>
          <w:color w:val="000000" w:themeColor="text1"/>
          <w:highlight w:val="none"/>
          <w14:textFill>
            <w14:solidFill>
              <w14:schemeClr w14:val="tx1"/>
            </w14:solidFill>
          </w14:textFill>
        </w:rPr>
      </w:pPr>
    </w:p>
    <w:p w14:paraId="482965D2">
      <w:pPr>
        <w:pStyle w:val="45"/>
        <w:spacing w:beforeAutospacing="0" w:afterAutospacing="0" w:line="480" w:lineRule="exact"/>
        <w:ind w:firstLine="480"/>
        <w:jc w:val="both"/>
        <w:rPr>
          <w:rFonts w:hint="eastAsia" w:cs="宋体"/>
          <w:color w:val="000000" w:themeColor="text1"/>
          <w:highlight w:val="none"/>
          <w14:textFill>
            <w14:solidFill>
              <w14:schemeClr w14:val="tx1"/>
            </w14:solidFill>
          </w14:textFill>
        </w:rPr>
      </w:pPr>
    </w:p>
    <w:p w14:paraId="3134ACAF">
      <w:pPr>
        <w:pStyle w:val="45"/>
        <w:spacing w:beforeAutospacing="0" w:afterAutospacing="0" w:line="480" w:lineRule="exact"/>
        <w:ind w:firstLine="480"/>
        <w:jc w:val="both"/>
        <w:rPr>
          <w:rFonts w:hint="eastAsia" w:cs="宋体"/>
          <w:color w:val="000000" w:themeColor="text1"/>
          <w:highlight w:val="none"/>
          <w14:textFill>
            <w14:solidFill>
              <w14:schemeClr w14:val="tx1"/>
            </w14:solidFill>
          </w14:textFill>
        </w:rPr>
      </w:pPr>
    </w:p>
    <w:p w14:paraId="58FAB3E3">
      <w:pPr>
        <w:pStyle w:val="45"/>
        <w:spacing w:beforeAutospacing="0" w:afterAutospacing="0" w:line="480" w:lineRule="exact"/>
        <w:ind w:firstLine="480"/>
        <w:jc w:val="both"/>
        <w:rPr>
          <w:rFonts w:hint="eastAsia" w:cs="宋体"/>
          <w:color w:val="000000" w:themeColor="text1"/>
          <w:highlight w:val="none"/>
          <w14:textFill>
            <w14:solidFill>
              <w14:schemeClr w14:val="tx1"/>
            </w14:solidFill>
          </w14:textFill>
        </w:rPr>
      </w:pPr>
    </w:p>
    <w:p w14:paraId="404080AB">
      <w:pPr>
        <w:pStyle w:val="45"/>
        <w:spacing w:beforeAutospacing="0" w:afterAutospacing="0" w:line="480" w:lineRule="exact"/>
        <w:jc w:val="both"/>
        <w:rPr>
          <w:rFonts w:hint="eastAsia" w:cs="宋体"/>
          <w:color w:val="000000" w:themeColor="text1"/>
          <w:highlight w:val="none"/>
          <w14:textFill>
            <w14:solidFill>
              <w14:schemeClr w14:val="tx1"/>
            </w14:solidFill>
          </w14:textFill>
        </w:rPr>
      </w:pPr>
    </w:p>
    <w:p w14:paraId="170A1767">
      <w:pPr>
        <w:pStyle w:val="5"/>
        <w:jc w:val="center"/>
        <w:rPr>
          <w:rFonts w:hint="eastAsia" w:ascii="黑体" w:hAnsi="Times New Roman" w:eastAsia="黑体" w:cs="Times New Roman"/>
          <w:b w:val="0"/>
          <w:color w:val="000000" w:themeColor="text1"/>
          <w:sz w:val="44"/>
          <w:szCs w:val="44"/>
          <w:highlight w:val="none"/>
          <w:lang w:val="en-US" w:eastAsia="zh-CN" w:bidi="ar-SA"/>
          <w14:textFill>
            <w14:solidFill>
              <w14:schemeClr w14:val="tx1"/>
            </w14:solidFill>
          </w14:textFill>
        </w:rPr>
      </w:pPr>
      <w:r>
        <w:rPr>
          <w:rFonts w:hint="eastAsia" w:ascii="黑体" w:hAnsi="Times New Roman" w:eastAsia="黑体" w:cs="Times New Roman"/>
          <w:b w:val="0"/>
          <w:color w:val="000000" w:themeColor="text1"/>
          <w:sz w:val="44"/>
          <w:szCs w:val="44"/>
          <w:highlight w:val="none"/>
          <w:lang w:val="en-US" w:eastAsia="zh-CN" w:bidi="ar-SA"/>
          <w14:textFill>
            <w14:solidFill>
              <w14:schemeClr w14:val="tx1"/>
            </w14:solidFill>
          </w14:textFill>
        </w:rPr>
        <w:t>第三章  合同条款及格式</w:t>
      </w:r>
    </w:p>
    <w:p w14:paraId="37697169">
      <w:pPr>
        <w:spacing w:line="360" w:lineRule="auto"/>
        <w:ind w:firstLine="480"/>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p>
    <w:p w14:paraId="6D8B32D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以下为成交后签定本项目合同的通用条款，成交供应商不得提出实质性的修改，关于专用条款将由采购人与成交供应商结合本项目具体情况协商后签订。</w:t>
      </w:r>
    </w:p>
    <w:p w14:paraId="4D5D739B">
      <w:pPr>
        <w:pStyle w:val="25"/>
        <w:keepNext w:val="0"/>
        <w:keepLines w:val="0"/>
        <w:pageBreakBefore w:val="0"/>
        <w:widowControl w:val="0"/>
        <w:kinsoku/>
        <w:wordWrap/>
        <w:overflowPunct/>
        <w:topLinePunct w:val="0"/>
        <w:autoSpaceDE/>
        <w:autoSpaceDN/>
        <w:bidi w:val="0"/>
        <w:adjustRightInd/>
        <w:snapToGrid/>
        <w:spacing w:line="360" w:lineRule="auto"/>
        <w:ind w:firstLine="482"/>
        <w:jc w:val="center"/>
        <w:textAlignment w:val="auto"/>
        <w:rPr>
          <w:rFonts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138" w:name="_Hlt16619369"/>
      <w:bookmarkEnd w:id="138"/>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政府采购合同（服务类）</w:t>
      </w:r>
    </w:p>
    <w:p w14:paraId="4C8ECD32">
      <w:pPr>
        <w:pStyle w:val="2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项目名称：</w:t>
      </w:r>
      <w:r>
        <w:rPr>
          <w:rFonts w:hint="eastAsia" w:hAnsi="宋体" w:cs="宋体"/>
          <w:color w:val="000000" w:themeColor="text1"/>
          <w:sz w:val="24"/>
          <w:szCs w:val="24"/>
          <w:highlight w:val="none"/>
          <w:lang w:eastAsia="zh-CN"/>
          <w14:textFill>
            <w14:solidFill>
              <w14:schemeClr w14:val="tx1"/>
            </w14:solidFill>
          </w14:textFill>
        </w:rPr>
        <w:t>盐城市2026年日常变更及年度变更调查</w:t>
      </w:r>
      <w:r>
        <w:rPr>
          <w:rFonts w:hint="eastAsia" w:hAnsi="宋体" w:cs="宋体"/>
          <w:color w:val="000000" w:themeColor="text1"/>
          <w:sz w:val="24"/>
          <w:szCs w:val="24"/>
          <w:highlight w:val="none"/>
          <w14:textFill>
            <w14:solidFill>
              <w14:schemeClr w14:val="tx1"/>
            </w14:solidFill>
          </w14:textFill>
        </w:rPr>
        <w:t>市级检查及技术支撑服务项目</w:t>
      </w:r>
    </w:p>
    <w:p w14:paraId="289DFA1C">
      <w:pPr>
        <w:pStyle w:val="2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甲方：盐城市自然资源和规划局</w:t>
      </w:r>
    </w:p>
    <w:p w14:paraId="2CA0B1A4">
      <w:pPr>
        <w:pStyle w:val="2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乙方：                              </w:t>
      </w:r>
    </w:p>
    <w:p w14:paraId="38E21383">
      <w:pPr>
        <w:pStyle w:val="2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Ansi="宋体" w:cs="宋体"/>
          <w:b/>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甲、乙双方根据盐城市政府采购（</w:t>
      </w:r>
      <w:r>
        <w:rPr>
          <w:rFonts w:hint="eastAsia" w:hAnsi="宋体" w:cs="宋体"/>
          <w:color w:val="000000" w:themeColor="text1"/>
          <w:sz w:val="24"/>
          <w:szCs w:val="24"/>
          <w:highlight w:val="none"/>
          <w:u w:val="single"/>
          <w14:textFill>
            <w14:solidFill>
              <w14:schemeClr w14:val="tx1"/>
            </w14:solidFill>
          </w14:textFill>
        </w:rPr>
        <w:t xml:space="preserve">项目编号：            </w:t>
      </w:r>
      <w:r>
        <w:rPr>
          <w:rFonts w:hint="eastAsia" w:hAnsi="宋体" w:cs="宋体"/>
          <w:color w:val="000000" w:themeColor="text1"/>
          <w:sz w:val="24"/>
          <w:szCs w:val="24"/>
          <w:highlight w:val="none"/>
          <w14:textFill>
            <w14:solidFill>
              <w14:schemeClr w14:val="tx1"/>
            </w14:solidFill>
          </w14:textFill>
        </w:rPr>
        <w:t>）</w:t>
      </w:r>
      <w:r>
        <w:rPr>
          <w:rFonts w:hint="eastAsia" w:hAnsi="宋体" w:cs="宋体"/>
          <w:color w:val="000000" w:themeColor="text1"/>
          <w:sz w:val="24"/>
          <w:szCs w:val="24"/>
          <w:highlight w:val="none"/>
          <w:u w:val="single"/>
          <w:lang w:eastAsia="zh-CN"/>
          <w14:textFill>
            <w14:solidFill>
              <w14:schemeClr w14:val="tx1"/>
            </w14:solidFill>
          </w14:textFill>
        </w:rPr>
        <w:t>盐城市2026年日常变更及年度变更调查</w:t>
      </w:r>
      <w:r>
        <w:rPr>
          <w:rFonts w:hint="eastAsia" w:hAnsi="宋体" w:cs="宋体"/>
          <w:color w:val="000000" w:themeColor="text1"/>
          <w:sz w:val="24"/>
          <w:szCs w:val="24"/>
          <w:highlight w:val="none"/>
          <w:u w:val="single"/>
          <w14:textFill>
            <w14:solidFill>
              <w14:schemeClr w14:val="tx1"/>
            </w14:solidFill>
          </w14:textFill>
        </w:rPr>
        <w:t>市级检查及技术支撑服务项目</w:t>
      </w:r>
      <w:r>
        <w:rPr>
          <w:rFonts w:hint="eastAsia" w:hAnsi="宋体" w:cs="宋体"/>
          <w:color w:val="000000" w:themeColor="text1"/>
          <w:sz w:val="24"/>
          <w:szCs w:val="24"/>
          <w:highlight w:val="none"/>
          <w14:textFill>
            <w14:solidFill>
              <w14:schemeClr w14:val="tx1"/>
            </w14:solidFill>
          </w14:textFill>
        </w:rPr>
        <w:t>公开招标的结果，签署本合同。</w:t>
      </w:r>
    </w:p>
    <w:p w14:paraId="50E87C49">
      <w:pPr>
        <w:pStyle w:val="25"/>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一、合同内容</w:t>
      </w:r>
    </w:p>
    <w:p w14:paraId="1680CFE7">
      <w:pPr>
        <w:pStyle w:val="2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1.1服务名称：</w:t>
      </w:r>
      <w:r>
        <w:rPr>
          <w:rFonts w:hint="eastAsia" w:hAnsi="宋体" w:cs="宋体"/>
          <w:color w:val="000000" w:themeColor="text1"/>
          <w:sz w:val="24"/>
          <w:szCs w:val="24"/>
          <w:highlight w:val="none"/>
          <w:lang w:eastAsia="zh-CN"/>
          <w14:textFill>
            <w14:solidFill>
              <w14:schemeClr w14:val="tx1"/>
            </w14:solidFill>
          </w14:textFill>
        </w:rPr>
        <w:t>盐城市2026年日常变更及年度变更调查</w:t>
      </w:r>
      <w:r>
        <w:rPr>
          <w:rFonts w:hint="eastAsia" w:hAnsi="宋体" w:cs="宋体"/>
          <w:color w:val="000000" w:themeColor="text1"/>
          <w:sz w:val="24"/>
          <w:szCs w:val="24"/>
          <w:highlight w:val="none"/>
          <w14:textFill>
            <w14:solidFill>
              <w14:schemeClr w14:val="tx1"/>
            </w14:solidFill>
          </w14:textFill>
        </w:rPr>
        <w:t>市级检查及技术支撑服务项目</w:t>
      </w:r>
    </w:p>
    <w:p w14:paraId="4930BD85">
      <w:pPr>
        <w:pStyle w:val="25"/>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1.2服务内容：</w:t>
      </w:r>
      <w:r>
        <w:rPr>
          <w:rFonts w:hint="eastAsia" w:hAnsi="宋体" w:cs="宋体"/>
          <w:color w:val="000000" w:themeColor="text1"/>
          <w:sz w:val="24"/>
          <w:szCs w:val="24"/>
          <w:highlight w:val="none"/>
          <w:lang w:eastAsia="zh-CN"/>
          <w14:textFill>
            <w14:solidFill>
              <w14:schemeClr w14:val="tx1"/>
            </w14:solidFill>
          </w14:textFill>
        </w:rPr>
        <w:t>盐城市2026年日常变更及年度变更调查</w:t>
      </w:r>
      <w:r>
        <w:rPr>
          <w:rFonts w:hint="eastAsia" w:hAnsi="宋体" w:cs="宋体"/>
          <w:color w:val="000000" w:themeColor="text1"/>
          <w:sz w:val="24"/>
          <w:szCs w:val="24"/>
          <w:highlight w:val="none"/>
          <w14:textFill>
            <w14:solidFill>
              <w14:schemeClr w14:val="tx1"/>
            </w14:solidFill>
          </w14:textFill>
        </w:rPr>
        <w:t>市级检查及技术支撑服务项目</w:t>
      </w:r>
      <w:r>
        <w:rPr>
          <w:rFonts w:hint="eastAsia" w:hAnsi="宋体" w:cs="宋体"/>
          <w:color w:val="000000" w:themeColor="text1"/>
          <w:sz w:val="24"/>
          <w:highlight w:val="none"/>
          <w14:textFill>
            <w14:solidFill>
              <w14:schemeClr w14:val="tx1"/>
            </w14:solidFill>
          </w14:textFill>
        </w:rPr>
        <w:t>；具体服务内容包含（不限于）招标文件的项目需求中的全部内容。</w:t>
      </w:r>
    </w:p>
    <w:p w14:paraId="2D48EDA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1.3履行时间（期限）：</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合同签订之日至</w:t>
      </w:r>
      <w:r>
        <w:rPr>
          <w:rFonts w:hint="eastAsia" w:ascii="宋体" w:hAnsi="宋体" w:cs="宋体"/>
          <w:color w:val="000000" w:themeColor="text1"/>
          <w:sz w:val="24"/>
          <w:highlight w:val="none"/>
          <w14:textFill>
            <w14:solidFill>
              <w14:schemeClr w14:val="tx1"/>
            </w14:solidFill>
          </w14:textFill>
        </w:rPr>
        <w:t>202</w:t>
      </w:r>
      <w:r>
        <w:rPr>
          <w:rFonts w:hint="eastAsia" w:ascii="宋体" w:hAnsi="宋体" w:cs="宋体"/>
          <w:color w:val="000000" w:themeColor="text1"/>
          <w:sz w:val="24"/>
          <w:highlight w:val="none"/>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14:textFill>
            <w14:solidFill>
              <w14:schemeClr w14:val="tx1"/>
            </w14:solidFill>
          </w14:textFill>
        </w:rPr>
        <w:t>12</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14:textFill>
            <w14:solidFill>
              <w14:schemeClr w14:val="tx1"/>
            </w14:solidFill>
          </w14:textFill>
        </w:rPr>
        <w:t>31</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日，具体时间服从甲方要求</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（包含省级检查及甲方履约验收时间）</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w:t>
      </w:r>
    </w:p>
    <w:p w14:paraId="11618509">
      <w:pPr>
        <w:pStyle w:val="45"/>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jc w:val="both"/>
        <w:textAlignment w:val="auto"/>
        <w:rPr>
          <w:rFonts w:cs="宋体"/>
          <w:color w:val="000000" w:themeColor="text1"/>
          <w:highlight w:val="none"/>
          <w:u w:val="single"/>
          <w14:textFill>
            <w14:solidFill>
              <w14:schemeClr w14:val="tx1"/>
            </w14:solidFill>
          </w14:textFill>
        </w:rPr>
      </w:pPr>
      <w:r>
        <w:rPr>
          <w:rFonts w:hint="eastAsia" w:cs="宋体"/>
          <w:color w:val="000000" w:themeColor="text1"/>
          <w:highlight w:val="none"/>
          <w14:textFill>
            <w14:solidFill>
              <w14:schemeClr w14:val="tx1"/>
            </w14:solidFill>
          </w14:textFill>
        </w:rPr>
        <w:t>1.4履行地点：甲方指定的具体地点。</w:t>
      </w:r>
    </w:p>
    <w:p w14:paraId="266C007E">
      <w:pPr>
        <w:pStyle w:val="45"/>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jc w:val="both"/>
        <w:textAlignment w:val="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1.5履行方式：到甲方指定地点并通过甲方审查。</w:t>
      </w:r>
    </w:p>
    <w:p w14:paraId="257D017D">
      <w:pPr>
        <w:pStyle w:val="25"/>
        <w:keepNext w:val="0"/>
        <w:keepLines w:val="0"/>
        <w:pageBreakBefore w:val="0"/>
        <w:kinsoku/>
        <w:wordWrap/>
        <w:overflowPunct/>
        <w:topLinePunct w:val="0"/>
        <w:autoSpaceDE/>
        <w:autoSpaceDN/>
        <w:bidi w:val="0"/>
        <w:adjustRightInd/>
        <w:snapToGrid/>
        <w:spacing w:line="360" w:lineRule="auto"/>
        <w:ind w:firstLine="482"/>
        <w:textAlignment w:val="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二、合同金额</w:t>
      </w:r>
    </w:p>
    <w:p w14:paraId="1A47CA16">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2.1本合同总金额为：人民币（大写）</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圆整（¥</w:t>
      </w:r>
      <w:r>
        <w:rPr>
          <w:rFonts w:hint="eastAsia" w:hAnsi="宋体" w:cs="宋体"/>
          <w:color w:val="000000" w:themeColor="text1"/>
          <w:sz w:val="24"/>
          <w:szCs w:val="24"/>
          <w:highlight w:val="none"/>
          <w:u w:val="single"/>
          <w14:textFill>
            <w14:solidFill>
              <w14:schemeClr w14:val="tx1"/>
            </w14:solidFill>
          </w14:textFill>
        </w:rPr>
        <w:t xml:space="preserve">         元</w:t>
      </w:r>
      <w:r>
        <w:rPr>
          <w:rFonts w:hint="eastAsia" w:hAnsi="宋体" w:cs="宋体"/>
          <w:color w:val="000000" w:themeColor="text1"/>
          <w:sz w:val="24"/>
          <w:szCs w:val="24"/>
          <w:highlight w:val="none"/>
          <w14:textFill>
            <w14:solidFill>
              <w14:schemeClr w14:val="tx1"/>
            </w14:solidFill>
          </w14:textFill>
        </w:rPr>
        <w:t>）。</w:t>
      </w:r>
    </w:p>
    <w:p w14:paraId="5344D8C3">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本合同价是指乙方为完成采购文件、项目需求中确定的所有内容的全部费用。乙方已充分考虑为完成上述内容所必须的全部服务所需的所有费用，即包括全部技术服务费、材料费、交通费、调查费、利润、不可预见费、各类风险、政策性调整及其他一切相关费用和税金。乙方所有人员的工资、社保（五险一金）等各项费用均由乙方自行承担。招标文件中另有规定的除外。各类风险和政策性调整等风险已包括在合同价中，最终结算时除合同约定调整外一律不予调整。</w:t>
      </w:r>
    </w:p>
    <w:p w14:paraId="4B85D55D">
      <w:pPr>
        <w:pStyle w:val="25"/>
        <w:keepNext w:val="0"/>
        <w:keepLines w:val="0"/>
        <w:pageBreakBefore w:val="0"/>
        <w:kinsoku/>
        <w:wordWrap/>
        <w:overflowPunct/>
        <w:topLinePunct w:val="0"/>
        <w:autoSpaceDE/>
        <w:autoSpaceDN/>
        <w:bidi w:val="0"/>
        <w:adjustRightInd/>
        <w:snapToGrid/>
        <w:spacing w:line="360" w:lineRule="auto"/>
        <w:ind w:firstLine="482"/>
        <w:textAlignment w:val="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三、技术资料</w:t>
      </w:r>
    </w:p>
    <w:p w14:paraId="18C1B63C">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3.1甲方向乙方提供有关服务的基础资料，乙方向甲方提供最终的成果资料。</w:t>
      </w:r>
    </w:p>
    <w:p w14:paraId="30B53039">
      <w:pPr>
        <w:pStyle w:val="25"/>
        <w:keepNext w:val="0"/>
        <w:keepLines w:val="0"/>
        <w:pageBreakBefore w:val="0"/>
        <w:kinsoku/>
        <w:wordWrap/>
        <w:overflowPunct/>
        <w:topLinePunct w:val="0"/>
        <w:autoSpaceDE/>
        <w:autoSpaceDN/>
        <w:bidi w:val="0"/>
        <w:adjustRightInd/>
        <w:snapToGrid/>
        <w:spacing w:line="360" w:lineRule="auto"/>
        <w:ind w:firstLine="482"/>
        <w:textAlignment w:val="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四、知识产权及成果权属</w:t>
      </w:r>
    </w:p>
    <w:p w14:paraId="032CD7D6">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4.1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p>
    <w:p w14:paraId="0F835CEC">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4.2乙方保证所交付标的的所有权完全属于甲方。</w:t>
      </w:r>
    </w:p>
    <w:p w14:paraId="1068F3F6">
      <w:pPr>
        <w:pStyle w:val="25"/>
        <w:keepNext w:val="0"/>
        <w:keepLines w:val="0"/>
        <w:pageBreakBefore w:val="0"/>
        <w:kinsoku/>
        <w:wordWrap/>
        <w:overflowPunct/>
        <w:topLinePunct w:val="0"/>
        <w:autoSpaceDE/>
        <w:autoSpaceDN/>
        <w:bidi w:val="0"/>
        <w:adjustRightInd/>
        <w:snapToGrid/>
        <w:spacing w:line="360" w:lineRule="auto"/>
        <w:ind w:firstLine="482"/>
        <w:textAlignment w:val="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五、安全与保密</w:t>
      </w:r>
    </w:p>
    <w:p w14:paraId="1C1450B4">
      <w:pPr>
        <w:keepNext w:val="0"/>
        <w:keepLines w:val="0"/>
        <w:pageBreakBefore w:val="0"/>
        <w:kinsoku/>
        <w:wordWrap/>
        <w:overflowPunct/>
        <w:topLinePunct w:val="0"/>
        <w:autoSpaceDE/>
        <w:autoSpaceDN/>
        <w:bidi w:val="0"/>
        <w:adjustRightInd/>
        <w:snapToGrid/>
        <w:spacing w:line="360" w:lineRule="auto"/>
        <w:ind w:firstLine="482"/>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5.1项目服务过程中涉及到的涉密和敏感图文资料、电子数据，编制单位应严格执行保密的相关规定，不得以任何方式向任何第三人披露、泄露或许可第三人使用。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7F20471">
      <w:pPr>
        <w:pStyle w:val="25"/>
        <w:keepNext w:val="0"/>
        <w:keepLines w:val="0"/>
        <w:pageBreakBefore w:val="0"/>
        <w:kinsoku/>
        <w:wordWrap/>
        <w:overflowPunct/>
        <w:topLinePunct w:val="0"/>
        <w:autoSpaceDE/>
        <w:autoSpaceDN/>
        <w:bidi w:val="0"/>
        <w:adjustRightInd/>
        <w:snapToGrid/>
        <w:spacing w:line="360" w:lineRule="auto"/>
        <w:ind w:firstLine="482"/>
        <w:textAlignment w:val="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六、履约保证金</w:t>
      </w:r>
    </w:p>
    <w:p w14:paraId="7F038424">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6.1乙方交纳人民币（大写）</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圆整（¥</w:t>
      </w:r>
      <w:r>
        <w:rPr>
          <w:rFonts w:hint="eastAsia" w:hAnsi="宋体" w:cs="宋体"/>
          <w:color w:val="000000" w:themeColor="text1"/>
          <w:sz w:val="24"/>
          <w:szCs w:val="24"/>
          <w:highlight w:val="none"/>
          <w:u w:val="single"/>
          <w14:textFill>
            <w14:solidFill>
              <w14:schemeClr w14:val="tx1"/>
            </w14:solidFill>
          </w14:textFill>
        </w:rPr>
        <w:t xml:space="preserve">         元</w:t>
      </w:r>
      <w:r>
        <w:rPr>
          <w:rFonts w:hint="eastAsia" w:hAnsi="宋体" w:cs="宋体"/>
          <w:color w:val="000000" w:themeColor="text1"/>
          <w:sz w:val="24"/>
          <w:szCs w:val="24"/>
          <w:highlight w:val="none"/>
          <w14:textFill>
            <w14:solidFill>
              <w14:schemeClr w14:val="tx1"/>
            </w14:solidFill>
          </w14:textFill>
        </w:rPr>
        <w:t>）作为本合同的履约保证金（合同金额的5%）。引用盐城信用办推行的第三方信用报告，AAA的供应商免交履约保证金，AA的供应商按一半金额缴纳(需提供信用管理部门备案的第三方信用报告)。</w:t>
      </w:r>
    </w:p>
    <w:p w14:paraId="08213ABB">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6.2确需收取履约保证金的，履约保证金的缴纳形式：</w:t>
      </w:r>
    </w:p>
    <w:p w14:paraId="23628142">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6.2.1</w:t>
      </w:r>
      <w:r>
        <w:rPr>
          <w:rFonts w:hint="eastAsia" w:hAnsi="宋体" w:cs="宋体"/>
          <w:color w:val="000000" w:themeColor="text1"/>
          <w:sz w:val="24"/>
          <w:szCs w:val="24"/>
          <w:highlight w:val="none"/>
          <w:lang w:val="en-US" w:eastAsia="zh-CN"/>
          <w14:textFill>
            <w14:solidFill>
              <w14:schemeClr w14:val="tx1"/>
            </w14:solidFill>
          </w14:textFill>
        </w:rPr>
        <w:t>乙方</w:t>
      </w:r>
      <w:r>
        <w:rPr>
          <w:rFonts w:hint="eastAsia" w:hAnsi="宋体" w:cs="宋体"/>
          <w:color w:val="000000" w:themeColor="text1"/>
          <w:sz w:val="24"/>
          <w:szCs w:val="24"/>
          <w:highlight w:val="none"/>
          <w14:textFill>
            <w14:solidFill>
              <w14:schemeClr w14:val="tx1"/>
            </w14:solidFill>
          </w14:textFill>
        </w:rPr>
        <w:t>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957E172">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6.2.2如以履约保函（保险）形式缴纳履约保证金，供应商可通过政府采购电子履约保函（保险）平台（www.jsdzbh.com）在线申请履约保函（保险）。</w:t>
      </w:r>
    </w:p>
    <w:p w14:paraId="6CBAB81C">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6.3合同履行结束后，甲方应及时退还交纳的履约保证金。</w:t>
      </w:r>
    </w:p>
    <w:p w14:paraId="1A945D69">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6.4履约保证金的退还：</w:t>
      </w:r>
    </w:p>
    <w:p w14:paraId="57DDA53D">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6.4.1方式：无息退还至</w:t>
      </w:r>
      <w:r>
        <w:rPr>
          <w:rFonts w:hint="eastAsia" w:hAnsi="宋体" w:cs="宋体"/>
          <w:color w:val="000000" w:themeColor="text1"/>
          <w:sz w:val="24"/>
          <w:szCs w:val="24"/>
          <w:highlight w:val="none"/>
          <w:lang w:val="en-US" w:eastAsia="zh-CN"/>
          <w14:textFill>
            <w14:solidFill>
              <w14:schemeClr w14:val="tx1"/>
            </w14:solidFill>
          </w14:textFill>
        </w:rPr>
        <w:t>乙方</w:t>
      </w:r>
      <w:r>
        <w:rPr>
          <w:rFonts w:hint="eastAsia" w:hAnsi="宋体" w:cs="宋体"/>
          <w:color w:val="000000" w:themeColor="text1"/>
          <w:sz w:val="24"/>
          <w:szCs w:val="24"/>
          <w:highlight w:val="none"/>
          <w14:textFill>
            <w14:solidFill>
              <w14:schemeClr w14:val="tx1"/>
            </w14:solidFill>
          </w14:textFill>
        </w:rPr>
        <w:t>缴纳履约保证金的账户。如为保函，在到期时自行失效。</w:t>
      </w:r>
    </w:p>
    <w:p w14:paraId="743269B8">
      <w:pPr>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6.4.2时间：验收合格且</w:t>
      </w:r>
      <w:r>
        <w:rPr>
          <w:rFonts w:hint="eastAsia" w:ascii="宋体" w:hAnsi="宋体" w:cs="宋体"/>
          <w:color w:val="000000" w:themeColor="text1"/>
          <w:sz w:val="24"/>
          <w:highlight w:val="none"/>
          <w:lang w:val="en-US" w:eastAsia="zh-CN"/>
          <w14:textFill>
            <w14:solidFill>
              <w14:schemeClr w14:val="tx1"/>
            </w14:solidFill>
          </w14:textFill>
        </w:rPr>
        <w:t>甲方</w:t>
      </w:r>
      <w:r>
        <w:rPr>
          <w:rFonts w:hint="eastAsia" w:ascii="宋体" w:hAnsi="宋体" w:cs="宋体"/>
          <w:color w:val="000000" w:themeColor="text1"/>
          <w:sz w:val="24"/>
          <w:highlight w:val="none"/>
          <w14:textFill>
            <w14:solidFill>
              <w14:schemeClr w14:val="tx1"/>
            </w14:solidFill>
          </w14:textFill>
        </w:rPr>
        <w:t>收到发票后10个工作日内。</w:t>
      </w:r>
    </w:p>
    <w:p w14:paraId="2A180692">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6.4.3条件：按合同要求全部履约完成并经</w:t>
      </w:r>
      <w:r>
        <w:rPr>
          <w:rFonts w:hint="eastAsia" w:hAnsi="宋体" w:cs="宋体"/>
          <w:color w:val="000000" w:themeColor="text1"/>
          <w:sz w:val="24"/>
          <w:szCs w:val="24"/>
          <w:highlight w:val="none"/>
          <w:lang w:val="en-US" w:eastAsia="zh-CN"/>
          <w14:textFill>
            <w14:solidFill>
              <w14:schemeClr w14:val="tx1"/>
            </w14:solidFill>
          </w14:textFill>
        </w:rPr>
        <w:t>甲方</w:t>
      </w:r>
      <w:r>
        <w:rPr>
          <w:rFonts w:hint="eastAsia" w:hAnsi="宋体" w:cs="宋体"/>
          <w:color w:val="000000" w:themeColor="text1"/>
          <w:sz w:val="24"/>
          <w:szCs w:val="24"/>
          <w:highlight w:val="none"/>
          <w14:textFill>
            <w14:solidFill>
              <w14:schemeClr w14:val="tx1"/>
            </w14:solidFill>
          </w14:textFill>
        </w:rPr>
        <w:t>验收合格，且</w:t>
      </w:r>
      <w:r>
        <w:rPr>
          <w:rFonts w:hint="eastAsia" w:hAnsi="宋体" w:cs="宋体"/>
          <w:color w:val="000000" w:themeColor="text1"/>
          <w:sz w:val="24"/>
          <w:szCs w:val="24"/>
          <w:highlight w:val="none"/>
          <w:lang w:val="en-US" w:eastAsia="zh-CN"/>
          <w14:textFill>
            <w14:solidFill>
              <w14:schemeClr w14:val="tx1"/>
            </w14:solidFill>
          </w14:textFill>
        </w:rPr>
        <w:t>甲方</w:t>
      </w:r>
      <w:r>
        <w:rPr>
          <w:rFonts w:hint="eastAsia" w:hAnsi="宋体" w:cs="宋体"/>
          <w:color w:val="000000" w:themeColor="text1"/>
          <w:sz w:val="24"/>
          <w:szCs w:val="24"/>
          <w:highlight w:val="none"/>
          <w14:textFill>
            <w14:solidFill>
              <w14:schemeClr w14:val="tx1"/>
            </w14:solidFill>
          </w14:textFill>
        </w:rPr>
        <w:t>收到</w:t>
      </w:r>
      <w:r>
        <w:rPr>
          <w:rFonts w:hint="eastAsia" w:hAnsi="宋体" w:cs="宋体"/>
          <w:color w:val="000000" w:themeColor="text1"/>
          <w:sz w:val="24"/>
          <w:szCs w:val="24"/>
          <w:highlight w:val="none"/>
          <w:lang w:val="en-US" w:eastAsia="zh-CN"/>
          <w14:textFill>
            <w14:solidFill>
              <w14:schemeClr w14:val="tx1"/>
            </w14:solidFill>
          </w14:textFill>
        </w:rPr>
        <w:t>乙方</w:t>
      </w:r>
      <w:r>
        <w:rPr>
          <w:rFonts w:hint="eastAsia" w:hAnsi="宋体" w:cs="宋体"/>
          <w:color w:val="000000" w:themeColor="text1"/>
          <w:sz w:val="24"/>
          <w:szCs w:val="24"/>
          <w:highlight w:val="none"/>
          <w14:textFill>
            <w14:solidFill>
              <w14:schemeClr w14:val="tx1"/>
            </w14:solidFill>
          </w14:textFill>
        </w:rPr>
        <w:t>出具的发票。</w:t>
      </w:r>
    </w:p>
    <w:p w14:paraId="7C75D267">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6.4.4不予退还情形：</w:t>
      </w:r>
    </w:p>
    <w:p w14:paraId="0D7CA5FA">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除不可抗力情况外，</w:t>
      </w:r>
      <w:r>
        <w:rPr>
          <w:rFonts w:hint="eastAsia" w:hAnsi="宋体" w:cs="宋体"/>
          <w:color w:val="000000" w:themeColor="text1"/>
          <w:sz w:val="24"/>
          <w:szCs w:val="24"/>
          <w:highlight w:val="none"/>
          <w:lang w:val="en-US" w:eastAsia="zh-CN"/>
          <w14:textFill>
            <w14:solidFill>
              <w14:schemeClr w14:val="tx1"/>
            </w14:solidFill>
          </w14:textFill>
        </w:rPr>
        <w:t>乙方</w:t>
      </w:r>
      <w:r>
        <w:rPr>
          <w:rFonts w:hint="eastAsia" w:hAnsi="宋体" w:cs="宋体"/>
          <w:color w:val="000000" w:themeColor="text1"/>
          <w:sz w:val="24"/>
          <w:szCs w:val="24"/>
          <w:highlight w:val="none"/>
          <w14:textFill>
            <w14:solidFill>
              <w14:schemeClr w14:val="tx1"/>
            </w14:solidFill>
          </w14:textFill>
        </w:rPr>
        <w:t>出现下列情形之一的，其履约保证金，</w:t>
      </w:r>
      <w:r>
        <w:rPr>
          <w:rFonts w:hint="eastAsia" w:hAnsi="宋体" w:cs="宋体"/>
          <w:color w:val="000000" w:themeColor="text1"/>
          <w:sz w:val="24"/>
          <w:szCs w:val="24"/>
          <w:highlight w:val="none"/>
          <w:lang w:val="en-US" w:eastAsia="zh-CN"/>
          <w14:textFill>
            <w14:solidFill>
              <w14:schemeClr w14:val="tx1"/>
            </w14:solidFill>
          </w14:textFill>
        </w:rPr>
        <w:t>甲方</w:t>
      </w:r>
      <w:r>
        <w:rPr>
          <w:rFonts w:hint="eastAsia" w:hAnsi="宋体" w:cs="宋体"/>
          <w:color w:val="000000" w:themeColor="text1"/>
          <w:sz w:val="24"/>
          <w:szCs w:val="24"/>
          <w:highlight w:val="none"/>
          <w14:textFill>
            <w14:solidFill>
              <w14:schemeClr w14:val="tx1"/>
            </w14:solidFill>
          </w14:textFill>
        </w:rPr>
        <w:t>将视情节决定不予退还或部分不予退还。</w:t>
      </w:r>
    </w:p>
    <w:p w14:paraId="56D27315">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w:t>
      </w:r>
      <w:r>
        <w:rPr>
          <w:rFonts w:hint="eastAsia" w:hAnsi="宋体" w:cs="宋体"/>
          <w:color w:val="000000" w:themeColor="text1"/>
          <w:sz w:val="24"/>
          <w:szCs w:val="24"/>
          <w:highlight w:val="none"/>
          <w:lang w:val="en-US" w:eastAsia="zh-CN"/>
          <w14:textFill>
            <w14:solidFill>
              <w14:schemeClr w14:val="tx1"/>
            </w14:solidFill>
          </w14:textFill>
        </w:rPr>
        <w:t>乙方</w:t>
      </w:r>
      <w:r>
        <w:rPr>
          <w:rFonts w:hint="eastAsia" w:hAnsi="宋体" w:cs="宋体"/>
          <w:color w:val="000000" w:themeColor="text1"/>
          <w:sz w:val="24"/>
          <w:szCs w:val="24"/>
          <w:highlight w:val="none"/>
          <w14:textFill>
            <w14:solidFill>
              <w14:schemeClr w14:val="tx1"/>
            </w14:solidFill>
          </w14:textFill>
        </w:rPr>
        <w:t>无正当理由拒绝签订合同的，或者在签订合同时向</w:t>
      </w:r>
      <w:r>
        <w:rPr>
          <w:rFonts w:hint="eastAsia" w:hAnsi="宋体" w:cs="宋体"/>
          <w:color w:val="000000" w:themeColor="text1"/>
          <w:sz w:val="24"/>
          <w:szCs w:val="24"/>
          <w:highlight w:val="none"/>
          <w:lang w:val="en-US" w:eastAsia="zh-CN"/>
          <w14:textFill>
            <w14:solidFill>
              <w14:schemeClr w14:val="tx1"/>
            </w14:solidFill>
          </w14:textFill>
        </w:rPr>
        <w:t>甲方</w:t>
      </w:r>
      <w:r>
        <w:rPr>
          <w:rFonts w:hint="eastAsia" w:hAnsi="宋体" w:cs="宋体"/>
          <w:color w:val="000000" w:themeColor="text1"/>
          <w:sz w:val="24"/>
          <w:szCs w:val="24"/>
          <w:highlight w:val="none"/>
          <w14:textFill>
            <w14:solidFill>
              <w14:schemeClr w14:val="tx1"/>
            </w14:solidFill>
          </w14:textFill>
        </w:rPr>
        <w:t>提出附加条件或者更改合同实质性内容要求的；</w:t>
      </w:r>
    </w:p>
    <w:p w14:paraId="5668107B">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w:t>
      </w:r>
      <w:r>
        <w:rPr>
          <w:rFonts w:hint="eastAsia" w:hAnsi="宋体" w:cs="宋体"/>
          <w:color w:val="000000" w:themeColor="text1"/>
          <w:sz w:val="24"/>
          <w:szCs w:val="24"/>
          <w:highlight w:val="none"/>
          <w:lang w:val="en-US" w:eastAsia="zh-CN"/>
          <w14:textFill>
            <w14:solidFill>
              <w14:schemeClr w14:val="tx1"/>
            </w14:solidFill>
          </w14:textFill>
        </w:rPr>
        <w:t>乙方</w:t>
      </w:r>
      <w:r>
        <w:rPr>
          <w:rFonts w:hint="eastAsia" w:hAnsi="宋体" w:cs="宋体"/>
          <w:color w:val="000000" w:themeColor="text1"/>
          <w:sz w:val="24"/>
          <w:szCs w:val="24"/>
          <w:highlight w:val="none"/>
          <w14:textFill>
            <w14:solidFill>
              <w14:schemeClr w14:val="tx1"/>
            </w14:solidFill>
          </w14:textFill>
        </w:rPr>
        <w:t>不履行与采购人订立的合同的；</w:t>
      </w:r>
    </w:p>
    <w:p w14:paraId="2EC4F0DA">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w:t>
      </w:r>
      <w:r>
        <w:rPr>
          <w:rFonts w:hint="eastAsia" w:hAnsi="宋体" w:cs="宋体"/>
          <w:color w:val="000000" w:themeColor="text1"/>
          <w:sz w:val="24"/>
          <w:szCs w:val="24"/>
          <w:highlight w:val="none"/>
          <w:lang w:val="en-US" w:eastAsia="zh-CN"/>
          <w14:textFill>
            <w14:solidFill>
              <w14:schemeClr w14:val="tx1"/>
            </w14:solidFill>
          </w14:textFill>
        </w:rPr>
        <w:t>乙方</w:t>
      </w:r>
      <w:r>
        <w:rPr>
          <w:rFonts w:hint="eastAsia" w:hAnsi="宋体" w:cs="宋体"/>
          <w:color w:val="000000" w:themeColor="text1"/>
          <w:sz w:val="24"/>
          <w:szCs w:val="24"/>
          <w:highlight w:val="none"/>
          <w14:textFill>
            <w14:solidFill>
              <w14:schemeClr w14:val="tx1"/>
            </w14:solidFill>
          </w14:textFill>
        </w:rPr>
        <w:t>所供货物或服务不符合招标文件规定要求的；</w:t>
      </w:r>
    </w:p>
    <w:p w14:paraId="7CD1C7FA">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（4）</w:t>
      </w:r>
      <w:r>
        <w:rPr>
          <w:rFonts w:hint="eastAsia" w:hAnsi="宋体" w:cs="宋体"/>
          <w:color w:val="000000" w:themeColor="text1"/>
          <w:sz w:val="24"/>
          <w:szCs w:val="24"/>
          <w:highlight w:val="none"/>
          <w:lang w:val="en-US" w:eastAsia="zh-CN"/>
          <w14:textFill>
            <w14:solidFill>
              <w14:schemeClr w14:val="tx1"/>
            </w14:solidFill>
          </w14:textFill>
        </w:rPr>
        <w:t>乙方</w:t>
      </w:r>
      <w:r>
        <w:rPr>
          <w:rFonts w:hint="eastAsia" w:hAnsi="宋体" w:cs="宋体"/>
          <w:color w:val="000000" w:themeColor="text1"/>
          <w:sz w:val="24"/>
          <w:szCs w:val="24"/>
          <w:highlight w:val="none"/>
          <w14:textFill>
            <w14:solidFill>
              <w14:schemeClr w14:val="tx1"/>
            </w14:solidFill>
          </w14:textFill>
        </w:rPr>
        <w:t>采取欺骗、弄虚作假方式投标的或与其它投标人串通投标的；</w:t>
      </w:r>
    </w:p>
    <w:p w14:paraId="0D81F9B0">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（5）</w:t>
      </w:r>
      <w:r>
        <w:rPr>
          <w:rFonts w:hint="eastAsia" w:hAnsi="宋体" w:cs="宋体"/>
          <w:color w:val="000000" w:themeColor="text1"/>
          <w:sz w:val="24"/>
          <w:szCs w:val="24"/>
          <w:highlight w:val="none"/>
          <w:lang w:val="en-US" w:eastAsia="zh-CN"/>
          <w14:textFill>
            <w14:solidFill>
              <w14:schemeClr w14:val="tx1"/>
            </w14:solidFill>
          </w14:textFill>
        </w:rPr>
        <w:t>乙方</w:t>
      </w:r>
      <w:r>
        <w:rPr>
          <w:rFonts w:hint="eastAsia" w:hAnsi="宋体" w:cs="宋体"/>
          <w:color w:val="000000" w:themeColor="text1"/>
          <w:sz w:val="24"/>
          <w:szCs w:val="24"/>
          <w:highlight w:val="none"/>
          <w14:textFill>
            <w14:solidFill>
              <w14:schemeClr w14:val="tx1"/>
            </w14:solidFill>
          </w14:textFill>
        </w:rPr>
        <w:t>将合同内容转包、违法分包的；</w:t>
      </w:r>
    </w:p>
    <w:p w14:paraId="275EA6C2">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（6）</w:t>
      </w:r>
      <w:r>
        <w:rPr>
          <w:rFonts w:hint="eastAsia" w:hAnsi="宋体" w:cs="宋体"/>
          <w:color w:val="000000" w:themeColor="text1"/>
          <w:sz w:val="24"/>
          <w:szCs w:val="24"/>
          <w:highlight w:val="none"/>
          <w:lang w:val="en-US" w:eastAsia="zh-CN"/>
          <w14:textFill>
            <w14:solidFill>
              <w14:schemeClr w14:val="tx1"/>
            </w14:solidFill>
          </w14:textFill>
        </w:rPr>
        <w:t>乙方</w:t>
      </w:r>
      <w:r>
        <w:rPr>
          <w:rFonts w:hint="eastAsia" w:hAnsi="宋体" w:cs="宋体"/>
          <w:color w:val="000000" w:themeColor="text1"/>
          <w:sz w:val="24"/>
          <w:szCs w:val="24"/>
          <w:highlight w:val="none"/>
          <w14:textFill>
            <w14:solidFill>
              <w14:schemeClr w14:val="tx1"/>
            </w14:solidFill>
          </w14:textFill>
        </w:rPr>
        <w:t>故意捏造事实或伪造证明材料，进行虚假恶意投诉或反映的。</w:t>
      </w:r>
    </w:p>
    <w:p w14:paraId="1CA71E90">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bCs/>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6.4.5逾期退还的违约责任：</w:t>
      </w:r>
      <w:r>
        <w:rPr>
          <w:rFonts w:hint="eastAsia" w:hAnsi="宋体" w:cs="宋体"/>
          <w:color w:val="000000" w:themeColor="text1"/>
          <w:sz w:val="24"/>
          <w:szCs w:val="24"/>
          <w:highlight w:val="none"/>
          <w:lang w:val="en-US" w:eastAsia="zh-CN"/>
          <w14:textFill>
            <w14:solidFill>
              <w14:schemeClr w14:val="tx1"/>
            </w14:solidFill>
          </w14:textFill>
        </w:rPr>
        <w:t>甲方</w:t>
      </w:r>
      <w:r>
        <w:rPr>
          <w:rFonts w:hint="eastAsia" w:hAnsi="宋体" w:cs="宋体"/>
          <w:color w:val="000000" w:themeColor="text1"/>
          <w:sz w:val="24"/>
          <w:szCs w:val="24"/>
          <w:highlight w:val="none"/>
          <w14:textFill>
            <w14:solidFill>
              <w14:schemeClr w14:val="tx1"/>
            </w14:solidFill>
          </w14:textFill>
        </w:rPr>
        <w:t>逾期无故未退还履约保证金的，按中国人民银行同期贷款基准利率上浮20%后的利率支付超期资金占用费，但因</w:t>
      </w:r>
      <w:r>
        <w:rPr>
          <w:rFonts w:hint="eastAsia" w:hAnsi="宋体" w:cs="宋体"/>
          <w:color w:val="000000" w:themeColor="text1"/>
          <w:sz w:val="24"/>
          <w:szCs w:val="24"/>
          <w:highlight w:val="none"/>
          <w:lang w:val="en-US" w:eastAsia="zh-CN"/>
          <w14:textFill>
            <w14:solidFill>
              <w14:schemeClr w14:val="tx1"/>
            </w14:solidFill>
          </w14:textFill>
        </w:rPr>
        <w:t>乙方</w:t>
      </w:r>
      <w:r>
        <w:rPr>
          <w:rFonts w:hint="eastAsia" w:hAnsi="宋体" w:cs="宋体"/>
          <w:color w:val="000000" w:themeColor="text1"/>
          <w:sz w:val="24"/>
          <w:szCs w:val="24"/>
          <w:highlight w:val="none"/>
          <w14:textFill>
            <w14:solidFill>
              <w14:schemeClr w14:val="tx1"/>
            </w14:solidFill>
          </w14:textFill>
        </w:rPr>
        <w:t>自身原因导致无法及时退还的除外。</w:t>
      </w:r>
    </w:p>
    <w:p w14:paraId="0E4051A5">
      <w:pPr>
        <w:keepNext w:val="0"/>
        <w:keepLines w:val="0"/>
        <w:pageBreakBefore w:val="0"/>
        <w:kinsoku/>
        <w:wordWrap/>
        <w:overflowPunct/>
        <w:topLinePunct w:val="0"/>
        <w:autoSpaceDE/>
        <w:autoSpaceDN/>
        <w:bidi w:val="0"/>
        <w:adjustRightInd/>
        <w:snapToGrid/>
        <w:spacing w:before="143" w:after="143" w:line="360" w:lineRule="auto"/>
        <w:ind w:firstLine="482"/>
        <w:textAlignment w:val="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七、合同转包或分包</w:t>
      </w:r>
    </w:p>
    <w:p w14:paraId="08E9C8AD">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7.1乙方不得将合同标的转包给他人履行。</w:t>
      </w:r>
    </w:p>
    <w:p w14:paraId="4D7F4101">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7.2乙方不得将合同标的分包给他人履行。</w:t>
      </w:r>
    </w:p>
    <w:p w14:paraId="773FAFB8">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7.3乙方如有转包或未经甲方同意的分包行为，甲方有权给予终止合同。</w:t>
      </w:r>
    </w:p>
    <w:p w14:paraId="17B1A7CC">
      <w:pPr>
        <w:pStyle w:val="25"/>
        <w:keepNext w:val="0"/>
        <w:keepLines w:val="0"/>
        <w:pageBreakBefore w:val="0"/>
        <w:kinsoku/>
        <w:wordWrap/>
        <w:overflowPunct/>
        <w:topLinePunct w:val="0"/>
        <w:autoSpaceDE/>
        <w:autoSpaceDN/>
        <w:bidi w:val="0"/>
        <w:adjustRightInd/>
        <w:snapToGrid/>
        <w:spacing w:line="360" w:lineRule="auto"/>
        <w:ind w:firstLine="482"/>
        <w:textAlignment w:val="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八、付款方式</w:t>
      </w:r>
    </w:p>
    <w:p w14:paraId="2151E744">
      <w:pPr>
        <w:keepNext w:val="0"/>
        <w:keepLines w:val="0"/>
        <w:pageBreakBefore w:val="0"/>
        <w:widowControl w:val="0"/>
        <w:kinsoku/>
        <w:wordWrap/>
        <w:overflowPunct/>
        <w:topLinePunct w:val="0"/>
        <w:autoSpaceDE/>
        <w:autoSpaceDN/>
        <w:bidi w:val="0"/>
        <w:adjustRightInd/>
        <w:snapToGrid/>
        <w:spacing w:before="120" w:after="120" w:line="360" w:lineRule="auto"/>
        <w:ind w:firstLine="482"/>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8.1付款方式：</w:t>
      </w:r>
      <w:r>
        <w:rPr>
          <w:rFonts w:hint="eastAsia" w:hAnsi="宋体"/>
          <w:color w:val="000000" w:themeColor="text1"/>
          <w:sz w:val="24"/>
          <w:highlight w:val="none"/>
          <w14:textFill>
            <w14:solidFill>
              <w14:schemeClr w14:val="tx1"/>
            </w14:solidFill>
          </w14:textFill>
        </w:rPr>
        <w:t>合同预付款的比例为</w:t>
      </w:r>
      <w:r>
        <w:rPr>
          <w:rFonts w:hint="eastAsia" w:hAnsi="宋体"/>
          <w:color w:val="000000" w:themeColor="text1"/>
          <w:sz w:val="24"/>
          <w:highlight w:val="none"/>
          <w:lang w:val="en-US" w:eastAsia="zh-CN"/>
          <w14:textFill>
            <w14:solidFill>
              <w14:schemeClr w14:val="tx1"/>
            </w14:solidFill>
          </w14:textFill>
        </w:rPr>
        <w:t>合同总额的</w:t>
      </w:r>
      <w:r>
        <w:rPr>
          <w:rFonts w:hint="eastAsia" w:hAnsi="宋体"/>
          <w:color w:val="000000" w:themeColor="text1"/>
          <w:sz w:val="24"/>
          <w:highlight w:val="none"/>
          <w14:textFill>
            <w14:solidFill>
              <w14:schemeClr w14:val="tx1"/>
            </w14:solidFill>
          </w14:textFill>
        </w:rPr>
        <w:t>30%，合同签订后，甲方在收到发票后10个工作日内将预付款支付到合同约定的乙方账户，乙方需确保按照甲方要求及合同约定期限，全面且合格地完成合同义务。乙方完成所有工作、通过省级检查并通过甲方履约验收合格后，甲方收到乙方发票后10个工作日内支付剩余的70%合同款项，作为项目的尾款。</w:t>
      </w:r>
    </w:p>
    <w:p w14:paraId="44578BDE">
      <w:pPr>
        <w:keepNext w:val="0"/>
        <w:keepLines w:val="0"/>
        <w:pageBreakBefore w:val="0"/>
        <w:widowControl w:val="0"/>
        <w:kinsoku/>
        <w:wordWrap/>
        <w:overflowPunct/>
        <w:topLinePunct w:val="0"/>
        <w:autoSpaceDE/>
        <w:autoSpaceDN/>
        <w:bidi w:val="0"/>
        <w:adjustRightInd/>
        <w:snapToGrid/>
        <w:spacing w:before="143" w:after="143" w:line="360" w:lineRule="auto"/>
        <w:ind w:firstLine="482"/>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注：以上付款均不计任何利息和相关费用，付款一律通过银行结转。每次付款前提是乙方已提供合法票据。</w:t>
      </w:r>
    </w:p>
    <w:p w14:paraId="2D9F9A9E">
      <w:pPr>
        <w:keepNext w:val="0"/>
        <w:keepLines w:val="0"/>
        <w:pageBreakBefore w:val="0"/>
        <w:kinsoku/>
        <w:wordWrap/>
        <w:overflowPunct/>
        <w:topLinePunct w:val="0"/>
        <w:autoSpaceDE/>
        <w:autoSpaceDN/>
        <w:bidi w:val="0"/>
        <w:adjustRightInd/>
        <w:snapToGrid/>
        <w:spacing w:before="143" w:after="143" w:line="360" w:lineRule="auto"/>
        <w:ind w:firstLine="482"/>
        <w:textAlignment w:val="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九、项目履约验收</w:t>
      </w:r>
    </w:p>
    <w:p w14:paraId="5F4827CD">
      <w:pPr>
        <w:keepNext w:val="0"/>
        <w:keepLines w:val="0"/>
        <w:pageBreakBefore w:val="0"/>
        <w:kinsoku/>
        <w:wordWrap/>
        <w:overflowPunct/>
        <w:topLinePunct w:val="0"/>
        <w:autoSpaceDE/>
        <w:autoSpaceDN/>
        <w:bidi w:val="0"/>
        <w:adjustRightInd/>
        <w:snapToGrid/>
        <w:spacing w:before="120" w:after="120" w:line="360" w:lineRule="auto"/>
        <w:ind w:firstLine="480"/>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9.1提交的成果资料符合相关规范、符合盐城市自然资源和规划局有关要求，并顺利通过省级检查。</w:t>
      </w:r>
    </w:p>
    <w:p w14:paraId="252136D1">
      <w:pPr>
        <w:keepNext w:val="0"/>
        <w:keepLines w:val="0"/>
        <w:pageBreakBefore w:val="0"/>
        <w:kinsoku/>
        <w:wordWrap/>
        <w:overflowPunct/>
        <w:topLinePunct w:val="0"/>
        <w:autoSpaceDE/>
        <w:autoSpaceDN/>
        <w:bidi w:val="0"/>
        <w:adjustRightInd/>
        <w:snapToGrid/>
        <w:spacing w:before="120" w:after="120" w:line="360" w:lineRule="auto"/>
        <w:ind w:firstLine="480"/>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0CAD9D0">
      <w:pPr>
        <w:keepNext w:val="0"/>
        <w:keepLines w:val="0"/>
        <w:pageBreakBefore w:val="0"/>
        <w:kinsoku/>
        <w:wordWrap/>
        <w:overflowPunct/>
        <w:topLinePunct w:val="0"/>
        <w:autoSpaceDE/>
        <w:autoSpaceDN/>
        <w:bidi w:val="0"/>
        <w:adjustRightInd/>
        <w:snapToGrid/>
        <w:spacing w:before="120" w:after="120" w:line="360" w:lineRule="auto"/>
        <w:ind w:firstLine="480"/>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9.3对于实际使用人和甲方分离的项目，甲方邀请实际使用人参与验收。</w:t>
      </w:r>
    </w:p>
    <w:p w14:paraId="4BE2FA6C">
      <w:pPr>
        <w:keepNext w:val="0"/>
        <w:keepLines w:val="0"/>
        <w:pageBreakBefore w:val="0"/>
        <w:kinsoku/>
        <w:wordWrap/>
        <w:overflowPunct/>
        <w:topLinePunct w:val="0"/>
        <w:autoSpaceDE/>
        <w:autoSpaceDN/>
        <w:bidi w:val="0"/>
        <w:adjustRightInd/>
        <w:snapToGrid/>
        <w:spacing w:before="120" w:after="120" w:line="360" w:lineRule="auto"/>
        <w:ind w:firstLine="480"/>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9.4如有必要，甲方邀请参加本项目的其他供应商或第三方专业机构及专家参与验收，相关意见将作为验收书的参考资料。</w:t>
      </w:r>
    </w:p>
    <w:p w14:paraId="7CC1206C">
      <w:pPr>
        <w:keepNext w:val="0"/>
        <w:keepLines w:val="0"/>
        <w:pageBreakBefore w:val="0"/>
        <w:kinsoku/>
        <w:wordWrap/>
        <w:overflowPunct/>
        <w:topLinePunct w:val="0"/>
        <w:autoSpaceDE/>
        <w:autoSpaceDN/>
        <w:bidi w:val="0"/>
        <w:adjustRightInd/>
        <w:snapToGrid/>
        <w:spacing w:before="120" w:after="120" w:line="360" w:lineRule="auto"/>
        <w:ind w:firstLine="480"/>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9.5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CD7ACCE">
      <w:pPr>
        <w:keepNext w:val="0"/>
        <w:keepLines w:val="0"/>
        <w:pageBreakBefore w:val="0"/>
        <w:kinsoku/>
        <w:wordWrap/>
        <w:overflowPunct/>
        <w:topLinePunct w:val="0"/>
        <w:autoSpaceDE/>
        <w:autoSpaceDN/>
        <w:bidi w:val="0"/>
        <w:adjustRightInd/>
        <w:snapToGrid/>
        <w:spacing w:line="360" w:lineRule="auto"/>
        <w:ind w:firstLine="480"/>
        <w:textAlignment w:val="auto"/>
        <w:rPr>
          <w:rFonts w:hAnsi="宋体"/>
          <w:b/>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9.6验收合格的项目,甲方根据采购合同的约定及时向乙方支付合同款项、退还履约保证金。验收不合格的项目，甲方有权解除合同，并要求乙方退还已支付的费用。采购合同的履行、违约责任和解决争议的方式等适用《</w:t>
      </w:r>
      <w:r>
        <w:rPr>
          <w:rFonts w:hint="eastAsia" w:ascii="宋体" w:hAnsi="宋体" w:cs="宋体"/>
          <w:bCs/>
          <w:color w:val="000000" w:themeColor="text1"/>
          <w:sz w:val="24"/>
          <w:highlight w:val="none"/>
          <w:lang w:val="en-US" w:eastAsia="zh-CN"/>
          <w14:textFill>
            <w14:solidFill>
              <w14:schemeClr w14:val="tx1"/>
            </w14:solidFill>
          </w14:textFill>
        </w:rPr>
        <w:t>中华人民共和国</w:t>
      </w:r>
      <w:r>
        <w:rPr>
          <w:rFonts w:hint="eastAsia" w:ascii="宋体" w:hAnsi="宋体" w:cs="宋体"/>
          <w:bCs/>
          <w:color w:val="000000" w:themeColor="text1"/>
          <w:sz w:val="24"/>
          <w:highlight w:val="none"/>
          <w14:textFill>
            <w14:solidFill>
              <w14:schemeClr w14:val="tx1"/>
            </w14:solidFill>
          </w14:textFill>
        </w:rPr>
        <w:t>民法典》。乙方在履约过程中有政府采购法律法规规定的违法违规情形的,甲方将及时报告本级财政部门。</w:t>
      </w:r>
    </w:p>
    <w:p w14:paraId="19E0BBB3">
      <w:pPr>
        <w:pStyle w:val="25"/>
        <w:keepNext w:val="0"/>
        <w:keepLines w:val="0"/>
        <w:pageBreakBefore w:val="0"/>
        <w:tabs>
          <w:tab w:val="left" w:pos="454"/>
        </w:tabs>
        <w:kinsoku/>
        <w:wordWrap/>
        <w:overflowPunct/>
        <w:topLinePunct w:val="0"/>
        <w:autoSpaceDE/>
        <w:autoSpaceDN/>
        <w:bidi w:val="0"/>
        <w:adjustRightInd/>
        <w:snapToGrid/>
        <w:spacing w:before="120" w:after="120" w:line="360" w:lineRule="auto"/>
        <w:ind w:firstLine="482"/>
        <w:textAlignment w:val="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十、双方的权利及义务</w:t>
      </w:r>
    </w:p>
    <w:p w14:paraId="2FF6D3ED">
      <w:pPr>
        <w:pStyle w:val="25"/>
        <w:keepNext w:val="0"/>
        <w:keepLines w:val="0"/>
        <w:pageBreakBefore w:val="0"/>
        <w:tabs>
          <w:tab w:val="left" w:pos="454"/>
        </w:tabs>
        <w:kinsoku/>
        <w:wordWrap/>
        <w:overflowPunct/>
        <w:topLinePunct w:val="0"/>
        <w:autoSpaceDE/>
        <w:autoSpaceDN/>
        <w:bidi w:val="0"/>
        <w:adjustRightInd/>
        <w:snapToGrid/>
        <w:spacing w:before="120" w:after="120"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10.1甲方根据乙方需要，参与项目的相关讨论和调研活动，给予支持与指导。</w:t>
      </w:r>
    </w:p>
    <w:p w14:paraId="3D7DD256">
      <w:pPr>
        <w:pStyle w:val="25"/>
        <w:keepNext w:val="0"/>
        <w:keepLines w:val="0"/>
        <w:pageBreakBefore w:val="0"/>
        <w:tabs>
          <w:tab w:val="left" w:pos="454"/>
        </w:tabs>
        <w:kinsoku/>
        <w:wordWrap/>
        <w:overflowPunct/>
        <w:topLinePunct w:val="0"/>
        <w:autoSpaceDE/>
        <w:autoSpaceDN/>
        <w:bidi w:val="0"/>
        <w:adjustRightInd/>
        <w:snapToGrid/>
        <w:spacing w:before="120" w:after="120"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10.2甲方对乙方的工作进度和阶段性成果进行监督、检查。</w:t>
      </w:r>
    </w:p>
    <w:p w14:paraId="354AA7C5">
      <w:pPr>
        <w:pStyle w:val="25"/>
        <w:keepNext w:val="0"/>
        <w:keepLines w:val="0"/>
        <w:pageBreakBefore w:val="0"/>
        <w:tabs>
          <w:tab w:val="left" w:pos="454"/>
        </w:tabs>
        <w:kinsoku/>
        <w:wordWrap/>
        <w:overflowPunct/>
        <w:topLinePunct w:val="0"/>
        <w:autoSpaceDE/>
        <w:autoSpaceDN/>
        <w:bidi w:val="0"/>
        <w:adjustRightInd/>
        <w:snapToGrid/>
        <w:spacing w:before="120" w:after="120"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10.3甲方应在合同签订后三日内，提供项目各项背景材料及政策性文件。</w:t>
      </w:r>
    </w:p>
    <w:p w14:paraId="5B6F5437">
      <w:pPr>
        <w:pStyle w:val="25"/>
        <w:keepNext w:val="0"/>
        <w:keepLines w:val="0"/>
        <w:pageBreakBefore w:val="0"/>
        <w:tabs>
          <w:tab w:val="left" w:pos="454"/>
        </w:tabs>
        <w:kinsoku/>
        <w:wordWrap/>
        <w:overflowPunct/>
        <w:topLinePunct w:val="0"/>
        <w:autoSpaceDE/>
        <w:autoSpaceDN/>
        <w:bidi w:val="0"/>
        <w:adjustRightInd/>
        <w:snapToGrid/>
        <w:spacing w:before="120" w:after="120"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10.4乙方按照合同规定及甲方要求，按时按量完成工作，按甲方需要提交书面及电子文件。</w:t>
      </w:r>
    </w:p>
    <w:p w14:paraId="5EE37A52">
      <w:pPr>
        <w:pStyle w:val="25"/>
        <w:keepNext w:val="0"/>
        <w:keepLines w:val="0"/>
        <w:pageBreakBefore w:val="0"/>
        <w:tabs>
          <w:tab w:val="left" w:pos="454"/>
        </w:tabs>
        <w:kinsoku/>
        <w:wordWrap/>
        <w:overflowPunct/>
        <w:topLinePunct w:val="0"/>
        <w:autoSpaceDE/>
        <w:autoSpaceDN/>
        <w:bidi w:val="0"/>
        <w:adjustRightInd/>
        <w:snapToGrid/>
        <w:spacing w:before="120" w:after="120"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10.5乙方须按照本项目所涉要求制定项目实施方案并报甲方同意后实施项目，履行承诺，保证质量。</w:t>
      </w:r>
    </w:p>
    <w:p w14:paraId="143CF195">
      <w:pPr>
        <w:pStyle w:val="25"/>
        <w:keepNext w:val="0"/>
        <w:keepLines w:val="0"/>
        <w:pageBreakBefore w:val="0"/>
        <w:tabs>
          <w:tab w:val="left" w:pos="454"/>
        </w:tabs>
        <w:kinsoku/>
        <w:wordWrap/>
        <w:overflowPunct/>
        <w:topLinePunct w:val="0"/>
        <w:autoSpaceDE/>
        <w:autoSpaceDN/>
        <w:bidi w:val="0"/>
        <w:adjustRightInd/>
        <w:snapToGrid/>
        <w:spacing w:before="120" w:after="120"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10.6甲方对乙方在项目实施中发生的违法、违规、违约行为，按法律规定、协议约定进行处理。</w:t>
      </w:r>
    </w:p>
    <w:p w14:paraId="72A02202">
      <w:pPr>
        <w:pStyle w:val="25"/>
        <w:keepNext w:val="0"/>
        <w:keepLines w:val="0"/>
        <w:pageBreakBefore w:val="0"/>
        <w:tabs>
          <w:tab w:val="left" w:pos="454"/>
        </w:tabs>
        <w:kinsoku/>
        <w:wordWrap/>
        <w:overflowPunct/>
        <w:topLinePunct w:val="0"/>
        <w:autoSpaceDE/>
        <w:autoSpaceDN/>
        <w:bidi w:val="0"/>
        <w:adjustRightInd/>
        <w:snapToGrid/>
        <w:spacing w:before="120" w:after="120"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10.7甲方须为乙方提供政策咨询及必要支持，在政策允许范围内协助乙方做好项目实施工作。</w:t>
      </w:r>
    </w:p>
    <w:p w14:paraId="0F465E57">
      <w:pPr>
        <w:pStyle w:val="25"/>
        <w:keepNext w:val="0"/>
        <w:keepLines w:val="0"/>
        <w:pageBreakBefore w:val="0"/>
        <w:tabs>
          <w:tab w:val="left" w:pos="454"/>
        </w:tabs>
        <w:kinsoku/>
        <w:wordWrap/>
        <w:overflowPunct/>
        <w:topLinePunct w:val="0"/>
        <w:autoSpaceDE/>
        <w:autoSpaceDN/>
        <w:bidi w:val="0"/>
        <w:adjustRightInd/>
        <w:snapToGrid/>
        <w:spacing w:before="120" w:after="120"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10.8在项目实施过程中，乙方不得向甲方提供虚假资料或信息。</w:t>
      </w:r>
    </w:p>
    <w:p w14:paraId="4E4813FE">
      <w:pPr>
        <w:pStyle w:val="25"/>
        <w:keepNext w:val="0"/>
        <w:keepLines w:val="0"/>
        <w:pageBreakBefore w:val="0"/>
        <w:tabs>
          <w:tab w:val="left" w:pos="454"/>
        </w:tabs>
        <w:kinsoku/>
        <w:wordWrap/>
        <w:overflowPunct/>
        <w:topLinePunct w:val="0"/>
        <w:autoSpaceDE/>
        <w:autoSpaceDN/>
        <w:bidi w:val="0"/>
        <w:adjustRightInd/>
        <w:snapToGrid/>
        <w:spacing w:before="120" w:after="120"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10.9乙方应主动接受并配合甲方及相关财政、审计等部门对本项目的检查、指导和监督。</w:t>
      </w:r>
    </w:p>
    <w:p w14:paraId="6914BF01">
      <w:pPr>
        <w:pStyle w:val="25"/>
        <w:keepNext w:val="0"/>
        <w:keepLines w:val="0"/>
        <w:pageBreakBefore w:val="0"/>
        <w:tabs>
          <w:tab w:val="left" w:pos="454"/>
        </w:tabs>
        <w:kinsoku/>
        <w:wordWrap/>
        <w:overflowPunct/>
        <w:topLinePunct w:val="0"/>
        <w:autoSpaceDE/>
        <w:autoSpaceDN/>
        <w:bidi w:val="0"/>
        <w:adjustRightInd/>
        <w:snapToGrid/>
        <w:spacing w:before="120" w:after="120"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10.10乙方实施本项目产生的所有相关文字资料、影像资料、电子数据之知识产权均归甲方所有；未经甲方许可，乙方除可声明其为该项目</w:t>
      </w:r>
      <w:r>
        <w:rPr>
          <w:rFonts w:hint="eastAsia" w:hAnsi="宋体" w:cs="宋体"/>
          <w:color w:val="000000" w:themeColor="text1"/>
          <w:sz w:val="24"/>
          <w:szCs w:val="24"/>
          <w:highlight w:val="none"/>
          <w:lang w:val="en-US" w:eastAsia="zh-CN"/>
          <w14:textFill>
            <w14:solidFill>
              <w14:schemeClr w14:val="tx1"/>
            </w14:solidFill>
          </w14:textFill>
        </w:rPr>
        <w:t>服务</w:t>
      </w:r>
      <w:r>
        <w:rPr>
          <w:rFonts w:hint="eastAsia" w:hAnsi="宋体" w:cs="宋体"/>
          <w:color w:val="000000" w:themeColor="text1"/>
          <w:sz w:val="24"/>
          <w:szCs w:val="24"/>
          <w:highlight w:val="none"/>
          <w14:textFill>
            <w14:solidFill>
              <w14:schemeClr w14:val="tx1"/>
            </w14:solidFill>
          </w14:textFill>
        </w:rPr>
        <w:t>方外不得对上述资料进行其他用途的使用。</w:t>
      </w:r>
    </w:p>
    <w:p w14:paraId="0B178068">
      <w:pPr>
        <w:keepNext w:val="0"/>
        <w:keepLines w:val="0"/>
        <w:pageBreakBefore w:val="0"/>
        <w:kinsoku/>
        <w:wordWrap/>
        <w:overflowPunct/>
        <w:topLinePunct w:val="0"/>
        <w:autoSpaceDE/>
        <w:autoSpaceDN/>
        <w:bidi w:val="0"/>
        <w:adjustRightInd/>
        <w:snapToGrid/>
        <w:spacing w:before="143" w:after="143" w:line="360" w:lineRule="auto"/>
        <w:ind w:firstLine="482"/>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10.11双方应对在合同签订、履行过程中知悉的对方不公开信息予以保密，且该保密义务不因合同解除或履行完毕而终止。</w:t>
      </w:r>
    </w:p>
    <w:p w14:paraId="5AF79611">
      <w:pPr>
        <w:keepNext w:val="0"/>
        <w:keepLines w:val="0"/>
        <w:pageBreakBefore w:val="0"/>
        <w:kinsoku/>
        <w:wordWrap/>
        <w:overflowPunct/>
        <w:topLinePunct w:val="0"/>
        <w:autoSpaceDE/>
        <w:autoSpaceDN/>
        <w:bidi w:val="0"/>
        <w:adjustRightInd/>
        <w:snapToGrid/>
        <w:spacing w:line="360" w:lineRule="auto"/>
        <w:ind w:firstLine="482"/>
        <w:textAlignment w:val="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十一、违约责任</w:t>
      </w:r>
    </w:p>
    <w:p w14:paraId="5F7FCB54">
      <w:pPr>
        <w:keepNext w:val="0"/>
        <w:keepLines w:val="0"/>
        <w:pageBreakBefore w:val="0"/>
        <w:kinsoku/>
        <w:wordWrap/>
        <w:overflowPunct/>
        <w:topLinePunct w:val="0"/>
        <w:autoSpaceDE/>
        <w:autoSpaceDN/>
        <w:bidi w:val="0"/>
        <w:adjustRightInd/>
        <w:snapToGrid/>
        <w:spacing w:before="143" w:after="143" w:line="360" w:lineRule="auto"/>
        <w:ind w:firstLine="480"/>
        <w:textAlignment w:val="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11.1若甲方无正当理由拒绝接收服务成果的，甲方应支付合同金额百分之五的违约金；若甲方能够证明拒绝接收是因为乙方服务成果不符合国家、行业、合同约定标准或存在重大缺陷，则无需承担违约责任</w:t>
      </w:r>
      <w:r>
        <w:rPr>
          <w:rFonts w:hint="eastAsia" w:ascii="宋体" w:hAnsi="宋体" w:cs="宋体"/>
          <w:bCs/>
          <w:color w:val="000000" w:themeColor="text1"/>
          <w:sz w:val="24"/>
          <w:highlight w:val="none"/>
          <w:lang w:eastAsia="zh-CN"/>
          <w14:textFill>
            <w14:solidFill>
              <w14:schemeClr w14:val="tx1"/>
            </w14:solidFill>
          </w14:textFill>
        </w:rPr>
        <w:t>。</w:t>
      </w:r>
    </w:p>
    <w:p w14:paraId="123148C4">
      <w:pPr>
        <w:keepNext w:val="0"/>
        <w:keepLines w:val="0"/>
        <w:pageBreakBefore w:val="0"/>
        <w:kinsoku/>
        <w:wordWrap/>
        <w:overflowPunct/>
        <w:topLinePunct w:val="0"/>
        <w:autoSpaceDE/>
        <w:autoSpaceDN/>
        <w:bidi w:val="0"/>
        <w:adjustRightInd/>
        <w:snapToGrid/>
        <w:spacing w:before="143" w:after="143" w:line="360" w:lineRule="auto"/>
        <w:ind w:firstLine="480"/>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11.2甲方若因客观原因导致支付延迟，且已提前书面通知乙方并说明理由，不应视为无故逾期。在排除此类情形下，甲方若逾期支付，应按逾期付款总额每日万分之五向乙方支付违约金，直至完成支付完毕。</w:t>
      </w:r>
    </w:p>
    <w:p w14:paraId="547D36D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11.3乙方在约定履行期限内未完成服务内容的，应按照合同金额每日千分之六向甲方支付违约金。逾期超过约定期限10个工作日仍不能完成全部服务内容的，甲方可解除合同。甲方依照约定解除合同的，乙方应支付合同金额百分之五的违约金，并退还预付款；如造成甲方损失超过违约金的，超出部分由乙方继续承担赔偿责任</w:t>
      </w:r>
      <w:r>
        <w:rPr>
          <w:rFonts w:hint="eastAsia" w:ascii="宋体" w:hAnsi="宋体" w:cs="宋体"/>
          <w:bCs/>
          <w:color w:val="000000" w:themeColor="text1"/>
          <w:sz w:val="24"/>
          <w:highlight w:val="none"/>
          <w:lang w:eastAsia="zh-CN"/>
          <w14:textFill>
            <w14:solidFill>
              <w14:schemeClr w14:val="tx1"/>
            </w14:solidFill>
          </w14:textFill>
        </w:rPr>
        <w:t>。</w:t>
      </w:r>
    </w:p>
    <w:p w14:paraId="0A05286F">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11.4乙方所交的成果的技术参数、质量不符合合同规定及招标文件规定标准的，甲方有权拒收。</w:t>
      </w:r>
    </w:p>
    <w:p w14:paraId="14A16FAB">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11.5若乙方违反知识产权、保密条款，应立即停止侵权行为，消除影响，并赔偿甲方因此遭受的损失。</w:t>
      </w:r>
    </w:p>
    <w:p w14:paraId="530130C3">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十二、不可抗力事件处理</w:t>
      </w:r>
    </w:p>
    <w:p w14:paraId="47AA4325">
      <w:pPr>
        <w:pStyle w:val="25"/>
        <w:keepNext w:val="0"/>
        <w:keepLines w:val="0"/>
        <w:pageBreakBefore w:val="0"/>
        <w:tabs>
          <w:tab w:val="left" w:pos="454"/>
        </w:tabs>
        <w:kinsoku/>
        <w:wordWrap/>
        <w:overflowPunct/>
        <w:topLinePunct w:val="0"/>
        <w:autoSpaceDE/>
        <w:autoSpaceDN/>
        <w:bidi w:val="0"/>
        <w:adjustRightInd/>
        <w:snapToGrid/>
        <w:spacing w:before="120" w:after="120"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12.1在合同有效期内，任何一方因不可抗力事件导致不能履行合同，则合同履行期可延长，其延长期与不可抗力影响期相同。</w:t>
      </w:r>
    </w:p>
    <w:p w14:paraId="2881EAE7">
      <w:pPr>
        <w:pStyle w:val="25"/>
        <w:keepNext w:val="0"/>
        <w:keepLines w:val="0"/>
        <w:pageBreakBefore w:val="0"/>
        <w:tabs>
          <w:tab w:val="left" w:pos="454"/>
        </w:tabs>
        <w:kinsoku/>
        <w:wordWrap/>
        <w:overflowPunct/>
        <w:topLinePunct w:val="0"/>
        <w:autoSpaceDE/>
        <w:autoSpaceDN/>
        <w:bidi w:val="0"/>
        <w:adjustRightInd/>
        <w:snapToGrid/>
        <w:spacing w:before="120" w:after="120"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12.2不可抗力事件发生后，应立即通知对方，并寄送有关权威机构出具的证明。</w:t>
      </w:r>
    </w:p>
    <w:p w14:paraId="3B4796AA">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12.3不可抗力事件延续120天以上，双方应通过友好协商，确定是否继续履行合同。</w:t>
      </w:r>
    </w:p>
    <w:p w14:paraId="1D875F87">
      <w:pPr>
        <w:pStyle w:val="25"/>
        <w:keepNext w:val="0"/>
        <w:keepLines w:val="0"/>
        <w:pageBreakBefore w:val="0"/>
        <w:kinsoku/>
        <w:wordWrap/>
        <w:overflowPunct/>
        <w:topLinePunct w:val="0"/>
        <w:autoSpaceDE/>
        <w:autoSpaceDN/>
        <w:bidi w:val="0"/>
        <w:adjustRightInd/>
        <w:snapToGrid/>
        <w:spacing w:before="120" w:after="120" w:line="360" w:lineRule="auto"/>
        <w:ind w:firstLine="482"/>
        <w:textAlignment w:val="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十三、解决争议的方法</w:t>
      </w:r>
    </w:p>
    <w:p w14:paraId="4CFD83B9">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13.1双方在签订、履行合同中所发生的一切争议，应通过友好协商解决。如协商不成，由盐城市亭湖区人民法院管辖。</w:t>
      </w:r>
    </w:p>
    <w:p w14:paraId="5A6E339C">
      <w:pPr>
        <w:pStyle w:val="25"/>
        <w:keepNext w:val="0"/>
        <w:keepLines w:val="0"/>
        <w:pageBreakBefore w:val="0"/>
        <w:kinsoku/>
        <w:wordWrap/>
        <w:overflowPunct/>
        <w:topLinePunct w:val="0"/>
        <w:autoSpaceDE/>
        <w:autoSpaceDN/>
        <w:bidi w:val="0"/>
        <w:adjustRightInd/>
        <w:snapToGrid/>
        <w:spacing w:line="360" w:lineRule="auto"/>
        <w:ind w:firstLine="482"/>
        <w:textAlignment w:val="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十四、合同生效及其它</w:t>
      </w:r>
    </w:p>
    <w:p w14:paraId="19133284">
      <w:pPr>
        <w:pStyle w:val="25"/>
        <w:keepNext w:val="0"/>
        <w:keepLines w:val="0"/>
        <w:pageBreakBefore w:val="0"/>
        <w:tabs>
          <w:tab w:val="left" w:pos="454"/>
        </w:tabs>
        <w:kinsoku/>
        <w:wordWrap/>
        <w:overflowPunct/>
        <w:topLinePunct w:val="0"/>
        <w:autoSpaceDE/>
        <w:autoSpaceDN/>
        <w:bidi w:val="0"/>
        <w:adjustRightInd/>
        <w:snapToGrid/>
        <w:spacing w:before="120" w:after="120"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14.1合同经双方法定代表人或授权委托代表人签字并加盖单位公章后生效。</w:t>
      </w:r>
    </w:p>
    <w:p w14:paraId="29EFD74D">
      <w:pPr>
        <w:pStyle w:val="25"/>
        <w:keepNext w:val="0"/>
        <w:keepLines w:val="0"/>
        <w:pageBreakBefore w:val="0"/>
        <w:tabs>
          <w:tab w:val="left" w:pos="454"/>
        </w:tabs>
        <w:kinsoku/>
        <w:wordWrap/>
        <w:overflowPunct/>
        <w:topLinePunct w:val="0"/>
        <w:autoSpaceDE/>
        <w:autoSpaceDN/>
        <w:bidi w:val="0"/>
        <w:adjustRightInd/>
        <w:snapToGrid/>
        <w:spacing w:before="120" w:after="120"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14.2</w:t>
      </w:r>
      <w:r>
        <w:rPr>
          <w:rFonts w:hint="eastAsia" w:hAnsi="宋体"/>
          <w:color w:val="000000" w:themeColor="text1"/>
          <w:sz w:val="24"/>
          <w:szCs w:val="24"/>
          <w:highlight w:val="none"/>
          <w14:textFill>
            <w14:solidFill>
              <w14:schemeClr w14:val="tx1"/>
            </w14:solidFill>
          </w14:textFill>
        </w:rPr>
        <w:t>本合同未尽事宜，遵照《中华人民共和国民法典》《中华人民共和国政府采购法》有关条文执行。</w:t>
      </w:r>
    </w:p>
    <w:p w14:paraId="52D51908">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14.3本合同一式陆份，甲方执叁份，乙方执叁份，自甲乙双方签字、盖章之日起生效。</w:t>
      </w:r>
    </w:p>
    <w:p w14:paraId="3F24D027">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p>
    <w:p w14:paraId="0BE67FEA">
      <w:pPr>
        <w:pStyle w:val="25"/>
        <w:keepNext w:val="0"/>
        <w:keepLines w:val="0"/>
        <w:pageBreakBefore w:val="0"/>
        <w:kinsoku/>
        <w:wordWrap/>
        <w:overflowPunct/>
        <w:topLinePunct w:val="0"/>
        <w:autoSpaceDE/>
        <w:autoSpaceDN/>
        <w:bidi w:val="0"/>
        <w:adjustRightInd/>
        <w:snapToGrid/>
        <w:spacing w:line="360" w:lineRule="auto"/>
        <w:ind w:firstLine="480"/>
        <w:textAlignment w:val="auto"/>
        <w:rPr>
          <w:rFonts w:hAnsi="宋体" w:cs="宋体"/>
          <w:color w:val="000000" w:themeColor="text1"/>
          <w:sz w:val="24"/>
          <w:szCs w:val="24"/>
          <w:highlight w:val="none"/>
          <w14:textFill>
            <w14:solidFill>
              <w14:schemeClr w14:val="tx1"/>
            </w14:solidFill>
          </w14:textFill>
        </w:rPr>
      </w:pPr>
    </w:p>
    <w:p w14:paraId="055C611A">
      <w:pPr>
        <w:pStyle w:val="25"/>
        <w:spacing w:line="46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甲方：                                    乙方：</w:t>
      </w:r>
    </w:p>
    <w:p w14:paraId="60046991">
      <w:pPr>
        <w:pStyle w:val="25"/>
        <w:spacing w:line="46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地址：                                    地址：</w:t>
      </w:r>
    </w:p>
    <w:p w14:paraId="4132C53D">
      <w:pPr>
        <w:pStyle w:val="25"/>
        <w:spacing w:line="46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法定代表人或授权代表：                    法定代表人或授权代表：</w:t>
      </w:r>
    </w:p>
    <w:p w14:paraId="6F4A2C57">
      <w:pPr>
        <w:pStyle w:val="25"/>
        <w:spacing w:line="460" w:lineRule="exact"/>
        <w:ind w:firstLine="480"/>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联系电话：                                联系电话：</w:t>
      </w:r>
    </w:p>
    <w:p w14:paraId="162265AB">
      <w:pPr>
        <w:pStyle w:val="25"/>
        <w:spacing w:line="460" w:lineRule="exact"/>
        <w:ind w:firstLine="480"/>
        <w:rPr>
          <w:rFonts w:ascii="黑体" w:hAnsi="Times New Roman" w:eastAsia="黑体"/>
          <w:color w:val="000000" w:themeColor="text1"/>
          <w:szCs w:val="4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年   月   日                              年   月   日</w:t>
      </w:r>
      <w:r>
        <w:rPr>
          <w:rFonts w:hint="eastAsia" w:hAnsi="宋体" w:cs="宋体"/>
          <w:bCs/>
          <w:color w:val="000000" w:themeColor="text1"/>
          <w:szCs w:val="44"/>
          <w:highlight w:val="none"/>
          <w14:textFill>
            <w14:solidFill>
              <w14:schemeClr w14:val="tx1"/>
            </w14:solidFill>
          </w14:textFill>
        </w:rPr>
        <w:br w:type="page" w:clear="all"/>
      </w:r>
    </w:p>
    <w:p w14:paraId="73F9ACEC">
      <w:pPr>
        <w:pStyle w:val="5"/>
        <w:jc w:val="center"/>
        <w:rPr>
          <w:rFonts w:hint="eastAsia" w:ascii="黑体" w:hAnsi="Times New Roman" w:eastAsia="黑体" w:cs="Times New Roman"/>
          <w:b w:val="0"/>
          <w:color w:val="000000" w:themeColor="text1"/>
          <w:sz w:val="44"/>
          <w:szCs w:val="44"/>
          <w:highlight w:val="none"/>
          <w:lang w:val="en-US" w:eastAsia="zh-CN" w:bidi="ar-SA"/>
          <w14:textFill>
            <w14:solidFill>
              <w14:schemeClr w14:val="tx1"/>
            </w14:solidFill>
          </w14:textFill>
        </w:rPr>
      </w:pPr>
      <w:r>
        <w:rPr>
          <w:rFonts w:hint="eastAsia" w:ascii="黑体" w:hAnsi="Times New Roman" w:eastAsia="黑体" w:cs="Times New Roman"/>
          <w:b w:val="0"/>
          <w:color w:val="000000" w:themeColor="text1"/>
          <w:sz w:val="44"/>
          <w:szCs w:val="44"/>
          <w:highlight w:val="none"/>
          <w:lang w:val="en-US" w:eastAsia="zh-CN" w:bidi="ar-SA"/>
          <w14:textFill>
            <w14:solidFill>
              <w14:schemeClr w14:val="tx1"/>
            </w14:solidFill>
          </w14:textFill>
        </w:rPr>
        <w:t>第四章  项目需求</w:t>
      </w:r>
    </w:p>
    <w:p w14:paraId="7171C8AB">
      <w:pPr>
        <w:widowControl/>
        <w:spacing w:line="420" w:lineRule="exact"/>
        <w:ind w:firstLine="482"/>
        <w:jc w:val="left"/>
        <w:rPr>
          <w:rFonts w:hint="eastAsia" w:ascii="宋体" w:hAnsi="宋体"/>
          <w:b/>
          <w:bCs/>
          <w:color w:val="000000" w:themeColor="text1"/>
          <w:sz w:val="24"/>
          <w:highlight w:val="none"/>
          <w14:textFill>
            <w14:solidFill>
              <w14:schemeClr w14:val="tx1"/>
            </w14:solidFill>
          </w14:textFill>
        </w:rPr>
      </w:pPr>
    </w:p>
    <w:p w14:paraId="6E348E42">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color w:val="000000" w:themeColor="text1"/>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项目属性:服务类项目。</w:t>
      </w:r>
    </w:p>
    <w:p w14:paraId="07CC5EC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为夯实自然资源管理和国土空间规划“一张图”数据基础，动态准确掌握我</w:t>
      </w:r>
      <w:r>
        <w:rPr>
          <w:rFonts w:hint="eastAsia" w:ascii="宋体" w:hAnsi="宋体" w:cs="宋体"/>
          <w:color w:val="000000" w:themeColor="text1"/>
          <w:sz w:val="24"/>
          <w:highlight w:val="none"/>
          <w:lang w:val="en-US" w:eastAsia="zh-CN"/>
          <w14:textFill>
            <w14:solidFill>
              <w14:schemeClr w14:val="tx1"/>
            </w14:solidFill>
          </w14:textFill>
        </w:rPr>
        <w:t>市</w:t>
      </w:r>
      <w:r>
        <w:rPr>
          <w:rFonts w:hint="eastAsia" w:ascii="宋体" w:hAnsi="宋体" w:cs="宋体"/>
          <w:color w:val="000000" w:themeColor="text1"/>
          <w:sz w:val="24"/>
          <w:highlight w:val="none"/>
          <w14:textFill>
            <w14:solidFill>
              <w14:schemeClr w14:val="tx1"/>
            </w14:solidFill>
          </w14:textFill>
        </w:rPr>
        <w:t>2026年度国土利用变化情况，确保常态化国土变更调查成果质量，为国土空间规划实施监测评估等提供基础数据，服务支撑社会经济发展，拟开展</w:t>
      </w:r>
      <w:r>
        <w:rPr>
          <w:rFonts w:hint="eastAsia" w:ascii="宋体" w:hAnsi="宋体" w:cs="宋体"/>
          <w:color w:val="000000" w:themeColor="text1"/>
          <w:sz w:val="24"/>
          <w:highlight w:val="none"/>
          <w:lang w:val="en-US" w:eastAsia="zh-CN"/>
          <w14:textFill>
            <w14:solidFill>
              <w14:schemeClr w14:val="tx1"/>
            </w14:solidFill>
          </w14:textFill>
        </w:rPr>
        <w:t>盐城市</w:t>
      </w:r>
      <w:r>
        <w:rPr>
          <w:rFonts w:hint="eastAsia" w:ascii="宋体" w:hAnsi="宋体" w:cs="宋体"/>
          <w:color w:val="000000" w:themeColor="text1"/>
          <w:sz w:val="24"/>
          <w:highlight w:val="none"/>
          <w14:textFill>
            <w14:solidFill>
              <w14:schemeClr w14:val="tx1"/>
            </w14:solidFill>
          </w14:textFill>
        </w:rPr>
        <w:t>2026年</w:t>
      </w:r>
      <w:r>
        <w:rPr>
          <w:rFonts w:hint="eastAsia" w:ascii="宋体" w:hAnsi="宋体" w:cs="宋体"/>
          <w:color w:val="000000" w:themeColor="text1"/>
          <w:sz w:val="24"/>
          <w:highlight w:val="none"/>
          <w:lang w:val="en-US" w:eastAsia="zh-CN"/>
          <w14:textFill>
            <w14:solidFill>
              <w14:schemeClr w14:val="tx1"/>
            </w14:solidFill>
          </w14:textFill>
        </w:rPr>
        <w:t>日常变更及年度</w:t>
      </w:r>
      <w:r>
        <w:rPr>
          <w:rFonts w:hint="eastAsia" w:ascii="宋体" w:hAnsi="宋体" w:cs="宋体"/>
          <w:color w:val="000000" w:themeColor="text1"/>
          <w:sz w:val="24"/>
          <w:highlight w:val="none"/>
          <w14:textFill>
            <w14:solidFill>
              <w14:schemeClr w14:val="tx1"/>
            </w14:solidFill>
          </w14:textFill>
        </w:rPr>
        <w:t>变更调查</w:t>
      </w:r>
      <w:r>
        <w:rPr>
          <w:rFonts w:hint="eastAsia" w:ascii="宋体" w:hAnsi="宋体" w:cs="宋体"/>
          <w:color w:val="000000" w:themeColor="text1"/>
          <w:sz w:val="24"/>
          <w:highlight w:val="none"/>
          <w:lang w:val="en-US" w:eastAsia="zh-CN"/>
          <w14:textFill>
            <w14:solidFill>
              <w14:schemeClr w14:val="tx1"/>
            </w14:solidFill>
          </w14:textFill>
        </w:rPr>
        <w:t>市</w:t>
      </w:r>
      <w:r>
        <w:rPr>
          <w:rFonts w:hint="eastAsia" w:ascii="宋体" w:hAnsi="宋体" w:cs="宋体"/>
          <w:color w:val="000000" w:themeColor="text1"/>
          <w:sz w:val="24"/>
          <w:highlight w:val="none"/>
          <w14:textFill>
            <w14:solidFill>
              <w14:schemeClr w14:val="tx1"/>
            </w14:solidFill>
          </w14:textFill>
        </w:rPr>
        <w:t>级检查工作。</w:t>
      </w:r>
    </w:p>
    <w:p w14:paraId="346A946C">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一、工作任务</w:t>
      </w:r>
    </w:p>
    <w:p w14:paraId="4ABB8E9E">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1.项目实施监管</w:t>
      </w:r>
    </w:p>
    <w:p w14:paraId="73EC41ED">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根据2026年</w:t>
      </w:r>
      <w:r>
        <w:rPr>
          <w:rFonts w:hint="eastAsia" w:ascii="宋体" w:hAnsi="宋体" w:cs="宋体"/>
          <w:color w:val="000000" w:themeColor="text1"/>
          <w:sz w:val="24"/>
          <w:highlight w:val="none"/>
          <w:lang w:val="en-US" w:eastAsia="zh-CN"/>
          <w14:textFill>
            <w14:solidFill>
              <w14:schemeClr w14:val="tx1"/>
            </w14:solidFill>
          </w14:textFill>
        </w:rPr>
        <w:t>度</w:t>
      </w:r>
      <w:r>
        <w:rPr>
          <w:rFonts w:hint="eastAsia" w:ascii="宋体" w:hAnsi="宋体" w:cs="宋体"/>
          <w:color w:val="000000" w:themeColor="text1"/>
          <w:sz w:val="24"/>
          <w:highlight w:val="none"/>
          <w14:textFill>
            <w14:solidFill>
              <w14:schemeClr w14:val="tx1"/>
            </w14:solidFill>
          </w14:textFill>
        </w:rPr>
        <w:t>一体化调查监测和变更调查具体工作要求，协助市级主管部门做好项目组织实施和监督管理。制定工作计划，明确关键节点，统筹项目进度，督促各县（市、区）按时完成各环节工作任务，确保项目按时提交省级核查；组织协调解决项目实施过程中遇到的问题和难点，上下衔接，信息对称，督促各县（市、区）作业队伍规范执行调查标准，确保调查成果符合规程要求。</w:t>
      </w:r>
    </w:p>
    <w:p w14:paraId="20063EF5">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2.市级技术支撑</w:t>
      </w:r>
    </w:p>
    <w:p w14:paraId="35CA3EB2">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对各县（市、区）变更调查工作进行全程技术指导，组织开展技术培训，提供专业技术支持。对各县（市、区）变更工作方案进行指导和把关，及时答疑；对地类认定标准、</w:t>
      </w:r>
      <w:r>
        <w:rPr>
          <w:rFonts w:hint="eastAsia" w:ascii="宋体" w:hAnsi="宋体" w:cs="宋体"/>
          <w:color w:val="000000" w:themeColor="text1"/>
          <w:sz w:val="24"/>
          <w:highlight w:val="none"/>
          <w:lang w:val="en-US" w:eastAsia="zh-CN"/>
          <w14:textFill>
            <w14:solidFill>
              <w14:schemeClr w14:val="tx1"/>
            </w14:solidFill>
          </w14:textFill>
        </w:rPr>
        <w:t>单独图层</w:t>
      </w:r>
      <w:r>
        <w:rPr>
          <w:rFonts w:hint="eastAsia" w:ascii="宋体" w:hAnsi="宋体" w:cs="宋体"/>
          <w:color w:val="000000" w:themeColor="text1"/>
          <w:sz w:val="24"/>
          <w:highlight w:val="none"/>
          <w14:textFill>
            <w14:solidFill>
              <w14:schemeClr w14:val="tx1"/>
            </w14:solidFill>
          </w14:textFill>
        </w:rPr>
        <w:t>等技术重点进行专题培训，编写典型案例；及时反馈省级、市级检查意见，对检查过程中出现频率较高的错误类型进行详细解读，并制定解决方案，督促指导各县（市、区）落实整改。</w:t>
      </w:r>
    </w:p>
    <w:p w14:paraId="58114E9F">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3.成果质量检查</w:t>
      </w:r>
    </w:p>
    <w:p w14:paraId="658E24A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对各县（市、区）202</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年日常变更和年度变更调查成果开展市级检查，</w:t>
      </w:r>
      <w:r>
        <w:rPr>
          <w:rFonts w:hint="eastAsia" w:ascii="宋体" w:hAnsi="宋体" w:eastAsia="宋体" w:cs="宋体"/>
          <w:color w:val="000000" w:themeColor="text1"/>
          <w:sz w:val="24"/>
          <w:highlight w:val="none"/>
          <w:lang w:val="en-US" w:eastAsia="zh-CN"/>
          <w14:textFill>
            <w14:solidFill>
              <w14:schemeClr w14:val="tx1"/>
            </w14:solidFill>
          </w14:textFill>
        </w:rPr>
        <w:t>对照最新遥感影像和举证照片，对县级提交的数据进行全面检查，重点对耕地流入流出、耕地内部二级类变化、疑似新增建设、非未利用地变更为未利用地的图斑进行</w:t>
      </w:r>
      <w:r>
        <w:rPr>
          <w:rFonts w:hint="default" w:ascii="宋体" w:hAnsi="宋体" w:eastAsia="宋体" w:cs="宋体"/>
          <w:color w:val="000000" w:themeColor="text1"/>
          <w:sz w:val="24"/>
          <w:highlight w:val="none"/>
          <w14:textFill>
            <w14:solidFill>
              <w14:schemeClr w14:val="tx1"/>
            </w14:solidFill>
          </w14:textFill>
        </w:rPr>
        <w:t>100%</w:t>
      </w:r>
      <w:r>
        <w:rPr>
          <w:rFonts w:hint="eastAsia" w:ascii="宋体" w:hAnsi="宋体" w:eastAsia="宋体" w:cs="宋体"/>
          <w:color w:val="000000" w:themeColor="text1"/>
          <w:sz w:val="24"/>
          <w:highlight w:val="none"/>
          <w14:textFill>
            <w14:solidFill>
              <w14:schemeClr w14:val="tx1"/>
            </w14:solidFill>
          </w14:textFill>
        </w:rPr>
        <w:t>检查</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开展数据库质量检查；根据内业检查结果，组织开展外业实地检查</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检查合格的及时报送省级，检查不合格的反馈县级。</w:t>
      </w:r>
    </w:p>
    <w:p w14:paraId="55CAA748">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4.市级数据库集成</w:t>
      </w:r>
    </w:p>
    <w:p w14:paraId="63BC01DB">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在完成各县级数据接边的基础上，汇集各类用地管理信息，对全市县级土地调查数据和遥感影像数据进行集成整合；按照国家、省有关数据库建设要求，形成市级202</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年度国土变更调查数据库。</w:t>
      </w:r>
    </w:p>
    <w:p w14:paraId="5A56E35C">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5.数据汇总分析</w:t>
      </w:r>
    </w:p>
    <w:p w14:paraId="3684BF02">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根据市级主管部门工作需求，适时开展日常变更和年度变更过程数据分析；在各县（市、区）完成年度变更调查工作的基础上，开展202</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年度国土变更调查数据市级汇总工作；开展土地利用现状变更分析、建设用地和耕地流量变化分析，以及专项统计分析，形成专项和汇总统计分析报表；编写202</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年度全市</w:t>
      </w:r>
      <w:r>
        <w:rPr>
          <w:rFonts w:hint="eastAsia" w:ascii="宋体" w:hAnsi="宋体" w:cs="宋体"/>
          <w:color w:val="000000" w:themeColor="text1"/>
          <w:sz w:val="24"/>
          <w:highlight w:val="none"/>
          <w:lang w:val="en-US" w:eastAsia="zh-CN"/>
          <w14:textFill>
            <w14:solidFill>
              <w14:schemeClr w14:val="tx1"/>
            </w14:solidFill>
          </w14:textFill>
        </w:rPr>
        <w:t>国土</w:t>
      </w:r>
      <w:r>
        <w:rPr>
          <w:rFonts w:hint="eastAsia" w:ascii="宋体" w:hAnsi="宋体" w:cs="宋体"/>
          <w:color w:val="000000" w:themeColor="text1"/>
          <w:sz w:val="24"/>
          <w:highlight w:val="none"/>
          <w14:textFill>
            <w14:solidFill>
              <w14:schemeClr w14:val="tx1"/>
            </w14:solidFill>
          </w14:textFill>
        </w:rPr>
        <w:t>利用</w:t>
      </w:r>
      <w:r>
        <w:rPr>
          <w:rFonts w:hint="eastAsia" w:ascii="宋体" w:hAnsi="宋体" w:cs="宋体"/>
          <w:color w:val="000000" w:themeColor="text1"/>
          <w:sz w:val="24"/>
          <w:highlight w:val="none"/>
          <w:lang w:val="en-US" w:eastAsia="zh-CN"/>
          <w14:textFill>
            <w14:solidFill>
              <w14:schemeClr w14:val="tx1"/>
            </w14:solidFill>
          </w14:textFill>
        </w:rPr>
        <w:t>变化情况</w:t>
      </w:r>
      <w:r>
        <w:rPr>
          <w:rFonts w:hint="eastAsia" w:ascii="宋体" w:hAnsi="宋体" w:cs="宋体"/>
          <w:color w:val="000000" w:themeColor="text1"/>
          <w:sz w:val="24"/>
          <w:highlight w:val="none"/>
          <w14:textFill>
            <w14:solidFill>
              <w14:schemeClr w14:val="tx1"/>
            </w14:solidFill>
          </w14:textFill>
        </w:rPr>
        <w:t>分析报告。</w:t>
      </w:r>
    </w:p>
    <w:p w14:paraId="076782E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6.成果应用评价</w:t>
      </w:r>
    </w:p>
    <w:p w14:paraId="53B36433">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协助主管部门依据部、省关于开展202</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年自然资源调查监测数据分析评价工作的相关要求，开展全市调查监测成果数据分析评价工作。结合区域特色和地方管理实际，重点围绕耕地保护状况、国土空间规划实施成效、土地资源节约集约利用水平、生态功能区生态安全预警、重要战略地区国土空间开发保护状况等</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开展全</w:t>
      </w:r>
      <w:r>
        <w:rPr>
          <w:rFonts w:hint="eastAsia" w:ascii="宋体" w:hAnsi="宋体" w:eastAsia="宋体" w:cs="宋体"/>
          <w:color w:val="000000" w:themeColor="text1"/>
          <w:sz w:val="24"/>
          <w:highlight w:val="none"/>
          <w:lang w:val="en-US" w:eastAsia="zh-CN"/>
          <w14:textFill>
            <w14:solidFill>
              <w14:schemeClr w14:val="tx1"/>
            </w14:solidFill>
          </w14:textFill>
        </w:rPr>
        <w:t>市</w:t>
      </w:r>
      <w:r>
        <w:rPr>
          <w:rFonts w:hint="eastAsia" w:ascii="宋体" w:hAnsi="宋体" w:eastAsia="宋体" w:cs="宋体"/>
          <w:color w:val="000000" w:themeColor="text1"/>
          <w:sz w:val="24"/>
          <w:highlight w:val="none"/>
          <w14:textFill>
            <w14:solidFill>
              <w14:schemeClr w14:val="tx1"/>
            </w14:solidFill>
          </w14:textFill>
        </w:rPr>
        <w:t>自然资源保护利用状况综合分析评价</w:t>
      </w:r>
      <w:bookmarkStart w:id="139" w:name="_Hlk169795007"/>
      <w:r>
        <w:rPr>
          <w:rFonts w:hint="eastAsia" w:ascii="宋体" w:hAnsi="宋体" w:eastAsia="宋体" w:cs="宋体"/>
          <w:color w:val="000000" w:themeColor="text1"/>
          <w:sz w:val="24"/>
          <w:highlight w:val="none"/>
          <w:lang w:eastAsia="zh-CN"/>
          <w14:textFill>
            <w14:solidFill>
              <w14:schemeClr w14:val="tx1"/>
            </w14:solidFill>
          </w14:textFill>
        </w:rPr>
        <w:t>。</w:t>
      </w:r>
    </w:p>
    <w:p w14:paraId="2D9D9445">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w:t>
      </w:r>
      <w:r>
        <w:rPr>
          <w:rFonts w:ascii="宋体" w:hAnsi="宋体" w:cs="宋体"/>
          <w:color w:val="000000" w:themeColor="text1"/>
          <w:sz w:val="24"/>
          <w:highlight w:val="none"/>
          <w14:textFill>
            <w14:solidFill>
              <w14:schemeClr w14:val="tx1"/>
            </w14:solidFill>
          </w14:textFill>
        </w:rPr>
        <w:t>服务内容</w:t>
      </w:r>
    </w:p>
    <w:p w14:paraId="691D6878">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根据国家、省厅相关部署要求，依托</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一张图</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国土调查云</w:t>
      </w:r>
      <w:r>
        <w:rPr>
          <w:rFonts w:hint="eastAsia" w:ascii="宋体" w:hAnsi="宋体" w:eastAsia="宋体" w:cs="宋体"/>
          <w:color w:val="000000" w:themeColor="text1"/>
          <w:sz w:val="24"/>
          <w:highlight w:val="none"/>
          <w:lang w:val="en-US" w:eastAsia="zh-CN"/>
          <w14:textFill>
            <w14:solidFill>
              <w14:schemeClr w14:val="tx1"/>
            </w14:solidFill>
          </w14:textFill>
        </w:rPr>
        <w:t>平台</w:t>
      </w:r>
      <w:r>
        <w:rPr>
          <w:rFonts w:hint="eastAsia" w:ascii="宋体" w:hAnsi="宋体" w:eastAsia="宋体" w:cs="宋体"/>
          <w:color w:val="000000" w:themeColor="text1"/>
          <w:sz w:val="24"/>
          <w:highlight w:val="none"/>
          <w14:textFill>
            <w14:solidFill>
              <w14:schemeClr w14:val="tx1"/>
            </w14:solidFill>
          </w14:textFill>
        </w:rPr>
        <w:t>推进常态化日常变更</w:t>
      </w:r>
      <w:r>
        <w:rPr>
          <w:rFonts w:hint="eastAsia" w:ascii="宋体" w:hAnsi="宋体" w:eastAsia="宋体" w:cs="宋体"/>
          <w:color w:val="000000" w:themeColor="text1"/>
          <w:sz w:val="24"/>
          <w:highlight w:val="none"/>
          <w:lang w:val="en-US" w:eastAsia="zh-CN"/>
          <w14:textFill>
            <w14:solidFill>
              <w14:schemeClr w14:val="tx1"/>
            </w14:solidFill>
          </w14:textFill>
        </w:rPr>
        <w:t>及年度变更调查市</w:t>
      </w:r>
      <w:r>
        <w:rPr>
          <w:rFonts w:hint="eastAsia" w:ascii="宋体" w:hAnsi="宋体" w:eastAsia="宋体" w:cs="宋体"/>
          <w:color w:val="000000" w:themeColor="text1"/>
          <w:sz w:val="24"/>
          <w:highlight w:val="none"/>
          <w14:textFill>
            <w14:solidFill>
              <w14:schemeClr w14:val="tx1"/>
            </w14:solidFill>
          </w14:textFill>
        </w:rPr>
        <w:t>级</w:t>
      </w:r>
      <w:r>
        <w:rPr>
          <w:rFonts w:hint="eastAsia" w:ascii="宋体" w:hAnsi="宋体" w:eastAsia="宋体" w:cs="宋体"/>
          <w:color w:val="000000" w:themeColor="text1"/>
          <w:sz w:val="24"/>
          <w:highlight w:val="none"/>
          <w:lang w:val="en-US" w:eastAsia="zh-CN"/>
          <w14:textFill>
            <w14:solidFill>
              <w14:schemeClr w14:val="tx1"/>
            </w14:solidFill>
          </w14:textFill>
        </w:rPr>
        <w:t>检查工作</w:t>
      </w:r>
      <w:r>
        <w:rPr>
          <w:rFonts w:hint="eastAsia" w:ascii="宋体" w:hAnsi="宋体" w:eastAsia="宋体" w:cs="宋体"/>
          <w:color w:val="000000" w:themeColor="text1"/>
          <w:sz w:val="24"/>
          <w:highlight w:val="none"/>
          <w14:textFill>
            <w14:solidFill>
              <w14:schemeClr w14:val="tx1"/>
            </w14:solidFill>
          </w14:textFill>
        </w:rPr>
        <w:t>，对盐城市10个县（市、区）202</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lang w:val="en-US" w:eastAsia="zh-CN"/>
          <w14:textFill>
            <w14:solidFill>
              <w14:schemeClr w14:val="tx1"/>
            </w14:solidFill>
          </w14:textFill>
        </w:rPr>
        <w:t>日常</w:t>
      </w:r>
      <w:r>
        <w:rPr>
          <w:rFonts w:hint="eastAsia" w:ascii="宋体" w:hAnsi="宋体" w:eastAsia="宋体" w:cs="宋体"/>
          <w:color w:val="000000" w:themeColor="text1"/>
          <w:sz w:val="24"/>
          <w:highlight w:val="none"/>
          <w14:textFill>
            <w14:solidFill>
              <w14:schemeClr w14:val="tx1"/>
            </w14:solidFill>
          </w14:textFill>
        </w:rPr>
        <w:t>提交的变化图斑及</w:t>
      </w:r>
      <w:r>
        <w:rPr>
          <w:rFonts w:hint="eastAsia" w:ascii="宋体" w:hAnsi="宋体" w:eastAsia="宋体" w:cs="宋体"/>
          <w:color w:val="000000" w:themeColor="text1"/>
          <w:sz w:val="24"/>
          <w:highlight w:val="none"/>
          <w:lang w:val="en-US" w:eastAsia="zh-CN"/>
          <w14:textFill>
            <w14:solidFill>
              <w14:schemeClr w14:val="tx1"/>
            </w14:solidFill>
          </w14:textFill>
        </w:rPr>
        <w:t>单独</w:t>
      </w:r>
      <w:r>
        <w:rPr>
          <w:rFonts w:hint="eastAsia" w:ascii="宋体" w:hAnsi="宋体" w:eastAsia="宋体" w:cs="宋体"/>
          <w:color w:val="000000" w:themeColor="text1"/>
          <w:sz w:val="24"/>
          <w:highlight w:val="none"/>
          <w14:textFill>
            <w14:solidFill>
              <w14:schemeClr w14:val="tx1"/>
            </w14:solidFill>
          </w14:textFill>
        </w:rPr>
        <w:t>图层等</w:t>
      </w:r>
      <w:r>
        <w:rPr>
          <w:rFonts w:hint="eastAsia" w:ascii="宋体" w:hAnsi="宋体" w:eastAsia="宋体" w:cs="宋体"/>
          <w:color w:val="000000" w:themeColor="text1"/>
          <w:sz w:val="24"/>
          <w:highlight w:val="none"/>
          <w:lang w:val="en-US" w:eastAsia="zh-CN"/>
          <w14:textFill>
            <w14:solidFill>
              <w14:schemeClr w14:val="tx1"/>
            </w14:solidFill>
          </w14:textFill>
        </w:rPr>
        <w:t>更新数据成果，结合遥感影像或实地举证照片等资料</w:t>
      </w:r>
      <w:r>
        <w:rPr>
          <w:rFonts w:hint="eastAsia" w:ascii="宋体" w:hAnsi="宋体" w:eastAsia="宋体" w:cs="宋体"/>
          <w:color w:val="000000" w:themeColor="text1"/>
          <w:sz w:val="24"/>
          <w:highlight w:val="none"/>
          <w14:textFill>
            <w14:solidFill>
              <w14:schemeClr w14:val="tx1"/>
            </w14:solidFill>
          </w14:textFill>
        </w:rPr>
        <w:t>开展</w:t>
      </w:r>
      <w:r>
        <w:rPr>
          <w:rFonts w:hint="eastAsia" w:ascii="宋体" w:hAnsi="宋体" w:eastAsia="宋体" w:cs="宋体"/>
          <w:color w:val="000000" w:themeColor="text1"/>
          <w:sz w:val="24"/>
          <w:highlight w:val="none"/>
          <w:lang w:val="en-US" w:eastAsia="zh-CN"/>
          <w14:textFill>
            <w14:solidFill>
              <w14:schemeClr w14:val="tx1"/>
            </w14:solidFill>
          </w14:textFill>
        </w:rPr>
        <w:t>市</w:t>
      </w:r>
      <w:r>
        <w:rPr>
          <w:rFonts w:hint="eastAsia" w:ascii="宋体" w:hAnsi="宋体" w:eastAsia="宋体" w:cs="宋体"/>
          <w:color w:val="000000" w:themeColor="text1"/>
          <w:sz w:val="24"/>
          <w:highlight w:val="none"/>
          <w14:textFill>
            <w14:solidFill>
              <w14:schemeClr w14:val="tx1"/>
            </w14:solidFill>
          </w14:textFill>
        </w:rPr>
        <w:t>级内业</w:t>
      </w:r>
      <w:r>
        <w:rPr>
          <w:rFonts w:hint="eastAsia" w:ascii="宋体" w:hAnsi="宋体" w:eastAsia="宋体" w:cs="宋体"/>
          <w:color w:val="000000" w:themeColor="text1"/>
          <w:sz w:val="24"/>
          <w:highlight w:val="none"/>
          <w:lang w:val="en-US" w:eastAsia="zh-CN"/>
          <w14:textFill>
            <w14:solidFill>
              <w14:schemeClr w14:val="tx1"/>
            </w14:solidFill>
          </w14:textFill>
        </w:rPr>
        <w:t>质量</w:t>
      </w:r>
      <w:r>
        <w:rPr>
          <w:rFonts w:hint="eastAsia" w:ascii="宋体" w:hAnsi="宋体" w:eastAsia="宋体" w:cs="宋体"/>
          <w:color w:val="000000" w:themeColor="text1"/>
          <w:sz w:val="24"/>
          <w:highlight w:val="none"/>
          <w14:textFill>
            <w14:solidFill>
              <w14:schemeClr w14:val="tx1"/>
            </w14:solidFill>
          </w14:textFill>
        </w:rPr>
        <w:t>检查，</w:t>
      </w:r>
      <w:r>
        <w:rPr>
          <w:rFonts w:hint="eastAsia" w:ascii="宋体" w:hAnsi="宋体" w:eastAsia="宋体" w:cs="宋体"/>
          <w:color w:val="000000" w:themeColor="text1"/>
          <w:sz w:val="24"/>
          <w:highlight w:val="none"/>
          <w:lang w:val="en-US" w:eastAsia="zh-CN"/>
          <w14:textFill>
            <w14:solidFill>
              <w14:schemeClr w14:val="tx1"/>
            </w14:solidFill>
          </w14:textFill>
        </w:rPr>
        <w:t>及时查清</w:t>
      </w:r>
      <w:r>
        <w:rPr>
          <w:rFonts w:hint="eastAsia" w:ascii="宋体" w:hAnsi="宋体" w:eastAsia="宋体" w:cs="宋体"/>
          <w:color w:val="000000" w:themeColor="text1"/>
          <w:sz w:val="24"/>
          <w:highlight w:val="none"/>
          <w14:textFill>
            <w14:solidFill>
              <w14:schemeClr w14:val="tx1"/>
            </w14:solidFill>
          </w14:textFill>
        </w:rPr>
        <w:t>国土利用现状</w:t>
      </w:r>
      <w:r>
        <w:rPr>
          <w:rFonts w:hint="eastAsia" w:ascii="宋体" w:hAnsi="宋体" w:eastAsia="宋体" w:cs="宋体"/>
          <w:color w:val="000000" w:themeColor="text1"/>
          <w:sz w:val="24"/>
          <w:highlight w:val="none"/>
          <w:lang w:val="en-US" w:eastAsia="zh-CN"/>
          <w14:textFill>
            <w14:solidFill>
              <w14:schemeClr w14:val="tx1"/>
            </w14:solidFill>
          </w14:textFill>
        </w:rPr>
        <w:t>变化情况，动态更新国土利用现状数据</w:t>
      </w:r>
      <w:r>
        <w:rPr>
          <w:rFonts w:hint="eastAsia" w:ascii="宋体" w:hAnsi="宋体" w:eastAsia="宋体" w:cs="宋体"/>
          <w:color w:val="000000" w:themeColor="text1"/>
          <w:sz w:val="24"/>
          <w:highlight w:val="none"/>
          <w:lang w:eastAsia="zh-CN"/>
          <w14:textFill>
            <w14:solidFill>
              <w14:schemeClr w14:val="tx1"/>
            </w14:solidFill>
          </w14:textFill>
        </w:rPr>
        <w:t>，分别于2026年10月31日前完成阶段性数据成果汇总、12月31日前完成全年数据成果汇总工作</w:t>
      </w:r>
      <w:r>
        <w:rPr>
          <w:rFonts w:hint="eastAsia" w:ascii="宋体" w:hAnsi="宋体" w:eastAsia="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同时</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针</w:t>
      </w:r>
      <w:r>
        <w:rPr>
          <w:rFonts w:hint="eastAsia" w:ascii="宋体" w:hAnsi="宋体" w:eastAsia="宋体" w:cs="宋体"/>
          <w:color w:val="000000" w:themeColor="text1"/>
          <w:sz w:val="24"/>
          <w:highlight w:val="none"/>
          <w14:textFill>
            <w14:solidFill>
              <w14:schemeClr w14:val="tx1"/>
            </w14:solidFill>
          </w14:textFill>
        </w:rPr>
        <w:t>对</w:t>
      </w:r>
      <w:r>
        <w:rPr>
          <w:rFonts w:hint="eastAsia" w:ascii="宋体" w:hAnsi="宋体" w:eastAsia="宋体" w:cs="宋体"/>
          <w:color w:val="000000" w:themeColor="text1"/>
          <w:sz w:val="24"/>
          <w:highlight w:val="none"/>
          <w:lang w:val="en-US" w:eastAsia="zh-CN"/>
          <w14:textFill>
            <w14:solidFill>
              <w14:schemeClr w14:val="tx1"/>
            </w14:solidFill>
          </w14:textFill>
        </w:rPr>
        <w:t>日常</w:t>
      </w:r>
      <w:r>
        <w:rPr>
          <w:rFonts w:hint="eastAsia" w:ascii="宋体" w:hAnsi="宋体" w:eastAsia="宋体" w:cs="宋体"/>
          <w:color w:val="000000" w:themeColor="text1"/>
          <w:sz w:val="24"/>
          <w:highlight w:val="none"/>
          <w14:textFill>
            <w14:solidFill>
              <w14:schemeClr w14:val="tx1"/>
            </w14:solidFill>
          </w14:textFill>
        </w:rPr>
        <w:t>内业检查</w:t>
      </w:r>
      <w:r>
        <w:rPr>
          <w:rFonts w:hint="eastAsia" w:ascii="宋体" w:hAnsi="宋体" w:eastAsia="宋体" w:cs="宋体"/>
          <w:color w:val="000000" w:themeColor="text1"/>
          <w:sz w:val="24"/>
          <w:highlight w:val="none"/>
          <w:lang w:val="en-US" w:eastAsia="zh-CN"/>
          <w14:textFill>
            <w14:solidFill>
              <w14:schemeClr w14:val="tx1"/>
            </w14:solidFill>
          </w14:textFill>
        </w:rPr>
        <w:t>过程中发现的</w:t>
      </w:r>
      <w:r>
        <w:rPr>
          <w:rFonts w:hint="eastAsia" w:ascii="宋体" w:hAnsi="宋体" w:eastAsia="宋体" w:cs="宋体"/>
          <w:color w:val="000000" w:themeColor="text1"/>
          <w:sz w:val="24"/>
          <w:highlight w:val="none"/>
          <w14:textFill>
            <w14:solidFill>
              <w14:schemeClr w14:val="tx1"/>
            </w14:solidFill>
          </w14:textFill>
        </w:rPr>
        <w:t>疑问图斑</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常态化开展</w:t>
      </w:r>
      <w:r>
        <w:rPr>
          <w:rFonts w:hint="eastAsia" w:ascii="宋体" w:hAnsi="宋体" w:eastAsia="宋体" w:cs="宋体"/>
          <w:color w:val="000000" w:themeColor="text1"/>
          <w:sz w:val="24"/>
          <w:highlight w:val="none"/>
          <w14:textFill>
            <w14:solidFill>
              <w14:schemeClr w14:val="tx1"/>
            </w14:solidFill>
          </w14:textFill>
        </w:rPr>
        <w:t>外业实地检查，确保</w:t>
      </w:r>
      <w:r>
        <w:rPr>
          <w:rFonts w:hint="eastAsia" w:ascii="宋体" w:hAnsi="宋体" w:eastAsia="宋体" w:cs="宋体"/>
          <w:color w:val="000000" w:themeColor="text1"/>
          <w:sz w:val="24"/>
          <w:highlight w:val="none"/>
          <w:lang w:val="en-US" w:eastAsia="zh-CN"/>
          <w14:textFill>
            <w14:solidFill>
              <w14:schemeClr w14:val="tx1"/>
            </w14:solidFill>
          </w14:textFill>
        </w:rPr>
        <w:t>全市</w:t>
      </w:r>
      <w:r>
        <w:rPr>
          <w:rFonts w:hint="eastAsia" w:ascii="宋体" w:hAnsi="宋体" w:eastAsia="宋体" w:cs="宋体"/>
          <w:color w:val="000000" w:themeColor="text1"/>
          <w:sz w:val="24"/>
          <w:highlight w:val="none"/>
          <w14:textFill>
            <w14:solidFill>
              <w14:schemeClr w14:val="tx1"/>
            </w14:solidFill>
          </w14:textFill>
        </w:rPr>
        <w:t>2026年度国土变更调查成果质量</w:t>
      </w:r>
      <w:r>
        <w:rPr>
          <w:rFonts w:hint="eastAsia" w:ascii="宋体" w:hAnsi="宋体" w:eastAsia="宋体" w:cs="宋体"/>
          <w:color w:val="000000" w:themeColor="text1"/>
          <w:sz w:val="24"/>
          <w:highlight w:val="none"/>
          <w:lang w:val="en-US" w:eastAsia="zh-CN"/>
          <w14:textFill>
            <w14:solidFill>
              <w14:schemeClr w14:val="tx1"/>
            </w14:solidFill>
          </w14:textFill>
        </w:rPr>
        <w:t>规范可靠</w:t>
      </w:r>
      <w:r>
        <w:rPr>
          <w:rFonts w:hint="eastAsia" w:ascii="宋体" w:hAnsi="宋体" w:eastAsia="宋体" w:cs="宋体"/>
          <w:color w:val="000000" w:themeColor="text1"/>
          <w:sz w:val="24"/>
          <w:highlight w:val="none"/>
          <w14:textFill>
            <w14:solidFill>
              <w14:schemeClr w14:val="tx1"/>
            </w14:solidFill>
          </w14:textFill>
        </w:rPr>
        <w:t>。根据土地利用变更情况开展市级数据统计汇总分析及成果应用评价等工作。</w:t>
      </w:r>
    </w:p>
    <w:p w14:paraId="25E4CEE0">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内业检查</w:t>
      </w:r>
    </w:p>
    <w:p w14:paraId="31D6EB76">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内业检查是本项目的重点工作，主要包括变化图斑检查、</w:t>
      </w:r>
      <w:r>
        <w:rPr>
          <w:rFonts w:hint="eastAsia" w:ascii="宋体" w:hAnsi="宋体" w:eastAsia="宋体" w:cs="宋体"/>
          <w:color w:val="000000" w:themeColor="text1"/>
          <w:sz w:val="24"/>
          <w:highlight w:val="none"/>
          <w:lang w:eastAsia="zh-CN"/>
          <w14:textFill>
            <w14:solidFill>
              <w14:schemeClr w14:val="tx1"/>
            </w14:solidFill>
          </w14:textFill>
        </w:rPr>
        <w:t>单独图层</w:t>
      </w:r>
      <w:r>
        <w:rPr>
          <w:rFonts w:hint="eastAsia" w:ascii="宋体" w:hAnsi="宋体" w:eastAsia="宋体" w:cs="宋体"/>
          <w:color w:val="000000" w:themeColor="text1"/>
          <w:sz w:val="24"/>
          <w:highlight w:val="none"/>
          <w14:textFill>
            <w14:solidFill>
              <w14:schemeClr w14:val="tx1"/>
            </w14:solidFill>
          </w14:textFill>
        </w:rPr>
        <w:t>检查、数据库质量检查等工作内容。</w:t>
      </w:r>
    </w:p>
    <w:p w14:paraId="59686844">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）变化图斑检查</w:t>
      </w:r>
    </w:p>
    <w:p w14:paraId="18BBEABE">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对地方上报变更调查成果中所有变化图斑，包括耕地、建设用地、设施农用地和农用地到未利用地及其他变化图斑逐图斑开展检查，主要是结合地方提交的</w:t>
      </w:r>
      <w:r>
        <w:rPr>
          <w:rFonts w:hint="eastAsia" w:ascii="宋体" w:hAnsi="宋体" w:eastAsia="宋体" w:cs="宋体"/>
          <w:color w:val="000000" w:themeColor="text1"/>
          <w:sz w:val="24"/>
          <w:highlight w:val="none"/>
          <w:lang w:val="zh-CN"/>
          <w14:textFill>
            <w14:solidFill>
              <w14:schemeClr w14:val="tx1"/>
            </w14:solidFill>
          </w14:textFill>
        </w:rPr>
        <w:t>国土调查云</w:t>
      </w:r>
      <w:r>
        <w:rPr>
          <w:rFonts w:hint="eastAsia" w:ascii="宋体" w:hAnsi="宋体" w:eastAsia="宋体" w:cs="宋体"/>
          <w:color w:val="000000" w:themeColor="text1"/>
          <w:sz w:val="24"/>
          <w:highlight w:val="none"/>
          <w14:textFill>
            <w14:solidFill>
              <w14:schemeClr w14:val="tx1"/>
            </w14:solidFill>
          </w14:textFill>
        </w:rPr>
        <w:t>举证成果以及最新遥感影像，通过人机交互的方式检查数据库成果内重点地类变化图斑空间范围、地类认定、属性标注的正确性。</w:t>
      </w:r>
      <w:r>
        <w:rPr>
          <w:rFonts w:hint="eastAsia" w:ascii="宋体" w:hAnsi="宋体" w:eastAsia="宋体" w:cs="宋体"/>
          <w:color w:val="000000" w:themeColor="text1"/>
          <w:sz w:val="24"/>
          <w:highlight w:val="none"/>
          <w:lang w:val="en-US" w:eastAsia="zh-CN"/>
          <w14:textFill>
            <w14:solidFill>
              <w14:schemeClr w14:val="tx1"/>
            </w14:solidFill>
          </w14:textFill>
        </w:rPr>
        <w:t>属性标注检查耕地坡度级别、林区耕地、沙化耕地的属性及恢复属性（工程恢复、即可恢复）的标注更新。</w:t>
      </w:r>
    </w:p>
    <w:p w14:paraId="0A0BCBD5">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eastAsia="zh-CN"/>
          <w14:textFill>
            <w14:solidFill>
              <w14:schemeClr w14:val="tx1"/>
            </w14:solidFill>
          </w14:textFill>
        </w:rPr>
        <w:t>单独图层</w:t>
      </w:r>
      <w:r>
        <w:rPr>
          <w:rFonts w:hint="eastAsia" w:ascii="宋体" w:hAnsi="宋体" w:eastAsia="宋体" w:cs="宋体"/>
          <w:color w:val="000000" w:themeColor="text1"/>
          <w:sz w:val="24"/>
          <w:highlight w:val="none"/>
          <w14:textFill>
            <w14:solidFill>
              <w14:schemeClr w14:val="tx1"/>
            </w14:solidFill>
          </w14:textFill>
        </w:rPr>
        <w:t>检查</w:t>
      </w:r>
    </w:p>
    <w:p w14:paraId="2F9781E4">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结合地方提交的</w:t>
      </w:r>
      <w:r>
        <w:rPr>
          <w:rFonts w:hint="eastAsia" w:ascii="宋体" w:hAnsi="宋体" w:eastAsia="宋体" w:cs="宋体"/>
          <w:color w:val="000000" w:themeColor="text1"/>
          <w:sz w:val="24"/>
          <w:highlight w:val="none"/>
          <w:lang w:val="zh-CN"/>
          <w14:textFill>
            <w14:solidFill>
              <w14:schemeClr w14:val="tx1"/>
            </w14:solidFill>
          </w14:textFill>
        </w:rPr>
        <w:t>国土调查云</w:t>
      </w:r>
      <w:r>
        <w:rPr>
          <w:rFonts w:hint="eastAsia" w:ascii="宋体" w:hAnsi="宋体" w:eastAsia="宋体" w:cs="宋体"/>
          <w:color w:val="000000" w:themeColor="text1"/>
          <w:sz w:val="24"/>
          <w:highlight w:val="none"/>
          <w14:textFill>
            <w14:solidFill>
              <w14:schemeClr w14:val="tx1"/>
            </w14:solidFill>
          </w14:textFill>
        </w:rPr>
        <w:t>举证成果以及最新遥感影像，通过人机交互的方式检查数据库成果中</w:t>
      </w:r>
      <w:r>
        <w:rPr>
          <w:rFonts w:hint="eastAsia" w:ascii="宋体" w:hAnsi="宋体" w:eastAsia="宋体" w:cs="宋体"/>
          <w:color w:val="000000" w:themeColor="text1"/>
          <w:sz w:val="24"/>
          <w:highlight w:val="none"/>
          <w:lang w:val="en-US" w:eastAsia="zh-CN"/>
          <w14:textFill>
            <w14:solidFill>
              <w14:schemeClr w14:val="tx1"/>
            </w14:solidFill>
          </w14:textFill>
        </w:rPr>
        <w:t>“摸排”和“光伏板区”“推（堆）土区”“</w:t>
      </w:r>
      <w:r>
        <w:rPr>
          <w:rFonts w:hint="default" w:ascii="宋体" w:hAnsi="宋体" w:eastAsia="宋体" w:cs="宋体"/>
          <w:color w:val="000000" w:themeColor="text1"/>
          <w:sz w:val="24"/>
          <w:highlight w:val="none"/>
          <w:lang w:val="en-US" w:eastAsia="zh-CN"/>
          <w14:textFill>
            <w14:solidFill>
              <w14:schemeClr w14:val="tx1"/>
            </w14:solidFill>
          </w14:textFill>
        </w:rPr>
        <w:t>20X</w:t>
      </w:r>
      <w:r>
        <w:rPr>
          <w:rFonts w:hint="eastAsia" w:ascii="宋体" w:hAnsi="宋体" w:eastAsia="宋体" w:cs="宋体"/>
          <w:color w:val="000000" w:themeColor="text1"/>
          <w:sz w:val="24"/>
          <w:highlight w:val="none"/>
          <w:lang w:val="en-US" w:eastAsia="zh-CN"/>
          <w14:textFill>
            <w14:solidFill>
              <w14:schemeClr w14:val="tx1"/>
            </w14:solidFill>
          </w14:textFill>
        </w:rPr>
        <w:t>图层”单独图层更新工作。结合规划城镇建设用地范围（含城镇开发边界、独立城镇建设用地），对城市、建制镇和村庄用地范围进行更新。地方须按部、省相关要求，整理证明材料，原则上分别</w:t>
      </w:r>
      <w:r>
        <w:rPr>
          <w:rFonts w:hint="default" w:ascii="宋体" w:hAnsi="宋体" w:eastAsia="宋体" w:cs="宋体"/>
          <w:color w:val="000000" w:themeColor="text1"/>
          <w:sz w:val="24"/>
          <w:highlight w:val="none"/>
          <w:lang w:val="en-US" w:eastAsia="zh-CN"/>
          <w14:textFill>
            <w14:solidFill>
              <w14:schemeClr w14:val="tx1"/>
            </w14:solidFill>
          </w14:textFill>
        </w:rPr>
        <w:t>于1</w:t>
      </w:r>
      <w:r>
        <w:rPr>
          <w:rFonts w:hint="eastAsia" w:ascii="宋体" w:hAnsi="宋体" w:eastAsia="宋体" w:cs="宋体"/>
          <w:color w:val="000000" w:themeColor="text1"/>
          <w:sz w:val="24"/>
          <w:highlight w:val="none"/>
          <w:lang w:val="en-US" w:eastAsia="zh-CN"/>
          <w14:textFill>
            <w14:solidFill>
              <w14:schemeClr w14:val="tx1"/>
            </w14:solidFill>
          </w14:textFill>
        </w:rPr>
        <w:t>0</w:t>
      </w:r>
      <w:r>
        <w:rPr>
          <w:rFonts w:hint="default" w:ascii="宋体" w:hAnsi="宋体" w:eastAsia="宋体" w:cs="宋体"/>
          <w:color w:val="000000" w:themeColor="text1"/>
          <w:sz w:val="24"/>
          <w:highlight w:val="none"/>
          <w:lang w:val="en-US" w:eastAsia="zh-CN"/>
          <w14:textFill>
            <w14:solidFill>
              <w14:schemeClr w14:val="tx1"/>
            </w14:solidFill>
          </w14:textFill>
        </w:rPr>
        <w:t>月</w:t>
      </w:r>
      <w:r>
        <w:rPr>
          <w:rFonts w:hint="eastAsia" w:ascii="宋体" w:hAnsi="宋体" w:eastAsia="宋体" w:cs="宋体"/>
          <w:color w:val="000000" w:themeColor="text1"/>
          <w:sz w:val="24"/>
          <w:highlight w:val="none"/>
          <w:lang w:val="en-US" w:eastAsia="zh-CN"/>
          <w14:textFill>
            <w14:solidFill>
              <w14:schemeClr w14:val="tx1"/>
            </w14:solidFill>
          </w14:textFill>
        </w:rPr>
        <w:t>、12月前</w:t>
      </w:r>
      <w:r>
        <w:rPr>
          <w:rFonts w:hint="default" w:ascii="宋体" w:hAnsi="宋体" w:eastAsia="宋体" w:cs="宋体"/>
          <w:color w:val="000000" w:themeColor="text1"/>
          <w:sz w:val="24"/>
          <w:highlight w:val="none"/>
          <w:lang w:val="en-US" w:eastAsia="zh-CN"/>
          <w14:textFill>
            <w14:solidFill>
              <w14:schemeClr w14:val="tx1"/>
            </w14:solidFill>
          </w14:textFill>
        </w:rPr>
        <w:t>完成市级</w:t>
      </w:r>
      <w:r>
        <w:rPr>
          <w:rFonts w:hint="eastAsia" w:ascii="宋体" w:hAnsi="宋体" w:eastAsia="宋体" w:cs="宋体"/>
          <w:color w:val="000000" w:themeColor="text1"/>
          <w:sz w:val="24"/>
          <w:highlight w:val="none"/>
          <w:lang w:val="en-US" w:eastAsia="zh-CN"/>
          <w14:textFill>
            <w14:solidFill>
              <w14:schemeClr w14:val="tx1"/>
            </w14:solidFill>
          </w14:textFill>
        </w:rPr>
        <w:t>审核</w:t>
      </w:r>
      <w:r>
        <w:rPr>
          <w:rFonts w:hint="default" w:ascii="宋体" w:hAnsi="宋体" w:eastAsia="宋体" w:cs="宋体"/>
          <w:color w:val="000000" w:themeColor="text1"/>
          <w:sz w:val="24"/>
          <w:highlight w:val="none"/>
          <w:lang w:val="en-US" w:eastAsia="zh-CN"/>
          <w14:textFill>
            <w14:solidFill>
              <w14:schemeClr w14:val="tx1"/>
            </w14:solidFill>
          </w14:textFill>
        </w:rPr>
        <w:t>，提交省级</w:t>
      </w:r>
      <w:r>
        <w:rPr>
          <w:rFonts w:hint="eastAsia" w:ascii="宋体" w:hAnsi="宋体" w:eastAsia="宋体" w:cs="宋体"/>
          <w:color w:val="000000" w:themeColor="text1"/>
          <w:sz w:val="24"/>
          <w:highlight w:val="none"/>
          <w:lang w:val="en-US" w:eastAsia="zh-CN"/>
          <w14:textFill>
            <w14:solidFill>
              <w14:schemeClr w14:val="tx1"/>
            </w14:solidFill>
          </w14:textFill>
        </w:rPr>
        <w:t>检查</w:t>
      </w:r>
      <w:r>
        <w:rPr>
          <w:rFonts w:hint="default" w:ascii="宋体" w:hAnsi="宋体" w:eastAsia="宋体" w:cs="宋体"/>
          <w:color w:val="000000" w:themeColor="text1"/>
          <w:sz w:val="24"/>
          <w:highlight w:val="none"/>
          <w:lang w:val="en-US" w:eastAsia="zh-CN"/>
          <w14:textFill>
            <w14:solidFill>
              <w14:schemeClr w14:val="tx1"/>
            </w14:solidFill>
          </w14:textFill>
        </w:rPr>
        <w:t>。</w:t>
      </w:r>
    </w:p>
    <w:p w14:paraId="08003B91">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）数据库质量检查</w:t>
      </w:r>
    </w:p>
    <w:p w14:paraId="3D6024B8">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利用全国统一的数据库质量检查软件，对县级自然资源调查监测数据库成果进行数据质量检查。包括资料完整性检查、成果规范性检查、数据有效性检查，检查资料是否齐全、完整；检查成果格式是否规范；检查变更调查数据库、举证数据包、文字报告、汇总表格等数据是否能正常打开及使用。</w:t>
      </w:r>
    </w:p>
    <w:p w14:paraId="697F59EF">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r>
        <w:rPr>
          <w:rFonts w:hint="eastAsia" w:ascii="宋体" w:hAnsi="宋体" w:eastAsia="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外业检查</w:t>
      </w:r>
    </w:p>
    <w:p w14:paraId="0784D9ED">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根据内业检查结果，对内业依据遥感影像和</w:t>
      </w:r>
      <w:r>
        <w:rPr>
          <w:rFonts w:hint="eastAsia" w:ascii="宋体" w:hAnsi="宋体" w:eastAsia="宋体" w:cs="宋体"/>
          <w:color w:val="000000" w:themeColor="text1"/>
          <w:sz w:val="24"/>
          <w:highlight w:val="none"/>
          <w:lang w:val="zh-CN"/>
          <w14:textFill>
            <w14:solidFill>
              <w14:schemeClr w14:val="tx1"/>
            </w14:solidFill>
          </w14:textFill>
        </w:rPr>
        <w:t>国土调查云</w:t>
      </w:r>
      <w:r>
        <w:rPr>
          <w:rFonts w:hint="eastAsia" w:ascii="宋体" w:hAnsi="宋体" w:eastAsia="宋体" w:cs="宋体"/>
          <w:color w:val="000000" w:themeColor="text1"/>
          <w:sz w:val="24"/>
          <w:highlight w:val="none"/>
          <w14:textFill>
            <w14:solidFill>
              <w14:schemeClr w14:val="tx1"/>
            </w14:solidFill>
          </w14:textFill>
        </w:rPr>
        <w:t>举证资料无法准确判断的图斑开展外业实地检查。</w:t>
      </w:r>
    </w:p>
    <w:p w14:paraId="5875CFF4">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准备工作</w:t>
      </w:r>
    </w:p>
    <w:p w14:paraId="3B322F9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外业检查工作底图制作、</w:t>
      </w:r>
      <w:r>
        <w:rPr>
          <w:rFonts w:hint="eastAsia" w:ascii="宋体" w:hAnsi="宋体" w:eastAsia="宋体" w:cs="宋体"/>
          <w:color w:val="000000" w:themeColor="text1"/>
          <w:sz w:val="24"/>
          <w:highlight w:val="none"/>
          <w:lang w:val="en-US" w:eastAsia="zh-CN"/>
          <w14:textFill>
            <w14:solidFill>
              <w14:schemeClr w14:val="tx1"/>
            </w14:solidFill>
          </w14:textFill>
        </w:rPr>
        <w:t>路线设计</w:t>
      </w:r>
      <w:r>
        <w:rPr>
          <w:rFonts w:hint="eastAsia" w:ascii="宋体" w:hAnsi="宋体" w:eastAsia="宋体" w:cs="宋体"/>
          <w:color w:val="000000" w:themeColor="text1"/>
          <w:sz w:val="24"/>
          <w:highlight w:val="none"/>
          <w14:textFill>
            <w14:solidFill>
              <w14:schemeClr w14:val="tx1"/>
            </w14:solidFill>
          </w14:textFill>
        </w:rPr>
        <w:t>等。</w:t>
      </w:r>
    </w:p>
    <w:p w14:paraId="6EA1B821">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（2）外业检查</w:t>
      </w:r>
    </w:p>
    <w:p w14:paraId="4882FCA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外业检查人员外业实地检查，核实图斑地类</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范围</w:t>
      </w:r>
      <w:r>
        <w:rPr>
          <w:rFonts w:hint="eastAsia" w:ascii="宋体" w:hAnsi="宋体" w:eastAsia="宋体" w:cs="宋体"/>
          <w:color w:val="000000" w:themeColor="text1"/>
          <w:sz w:val="24"/>
          <w:highlight w:val="none"/>
          <w:lang w:val="en-US" w:eastAsia="zh-CN"/>
          <w14:textFill>
            <w14:solidFill>
              <w14:schemeClr w14:val="tx1"/>
            </w14:solidFill>
          </w14:textFill>
        </w:rPr>
        <w:t>和属性等</w:t>
      </w:r>
      <w:r>
        <w:rPr>
          <w:rFonts w:hint="eastAsia" w:ascii="宋体" w:hAnsi="宋体" w:eastAsia="宋体" w:cs="宋体"/>
          <w:color w:val="000000" w:themeColor="text1"/>
          <w:sz w:val="24"/>
          <w:highlight w:val="none"/>
          <w14:textFill>
            <w14:solidFill>
              <w14:schemeClr w14:val="tx1"/>
            </w14:solidFill>
          </w14:textFill>
        </w:rPr>
        <w:t>。</w:t>
      </w:r>
    </w:p>
    <w:p w14:paraId="08C868C1">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（3）成果整理</w:t>
      </w:r>
    </w:p>
    <w:p w14:paraId="14BE9A20">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外业检查结果整理、成果报告编制等。</w:t>
      </w:r>
    </w:p>
    <w:p w14:paraId="5838D909">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监理检查</w:t>
      </w:r>
    </w:p>
    <w:p w14:paraId="2134F0DE">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抽取约20%的变化图斑</w:t>
      </w:r>
      <w:r>
        <w:rPr>
          <w:rFonts w:hint="eastAsia" w:ascii="宋体" w:hAnsi="宋体" w:eastAsia="宋体" w:cs="宋体"/>
          <w:color w:val="000000" w:themeColor="text1"/>
          <w:sz w:val="24"/>
          <w:highlight w:val="none"/>
          <w:lang w:eastAsia="zh-CN"/>
          <w14:textFill>
            <w14:solidFill>
              <w14:schemeClr w14:val="tx1"/>
            </w14:solidFill>
          </w14:textFill>
        </w:rPr>
        <w:t>、单独图层</w:t>
      </w:r>
      <w:r>
        <w:rPr>
          <w:rFonts w:hint="eastAsia" w:ascii="宋体" w:hAnsi="宋体" w:eastAsia="宋体" w:cs="宋体"/>
          <w:color w:val="000000" w:themeColor="text1"/>
          <w:sz w:val="24"/>
          <w:highlight w:val="none"/>
          <w:lang w:val="en-US" w:eastAsia="zh-CN"/>
          <w14:textFill>
            <w14:solidFill>
              <w14:schemeClr w14:val="tx1"/>
            </w14:solidFill>
          </w14:textFill>
        </w:rPr>
        <w:t>开展</w:t>
      </w:r>
      <w:r>
        <w:rPr>
          <w:rFonts w:hint="eastAsia" w:ascii="宋体" w:hAnsi="宋体" w:eastAsia="宋体" w:cs="宋体"/>
          <w:color w:val="000000" w:themeColor="text1"/>
          <w:sz w:val="24"/>
          <w:highlight w:val="none"/>
          <w14:textFill>
            <w14:solidFill>
              <w14:schemeClr w14:val="tx1"/>
            </w14:solidFill>
          </w14:textFill>
        </w:rPr>
        <w:t>监理检查，</w:t>
      </w:r>
      <w:r>
        <w:rPr>
          <w:rFonts w:hint="eastAsia" w:ascii="宋体" w:hAnsi="宋体" w:eastAsia="宋体" w:cs="宋体"/>
          <w:color w:val="000000" w:themeColor="text1"/>
          <w:sz w:val="24"/>
          <w:highlight w:val="none"/>
          <w:lang w:val="en-US" w:eastAsia="zh-CN"/>
          <w14:textFill>
            <w14:solidFill>
              <w14:schemeClr w14:val="tx1"/>
            </w14:solidFill>
          </w14:textFill>
        </w:rPr>
        <w:t>全面检查“摸排”和“</w:t>
      </w:r>
      <w:r>
        <w:rPr>
          <w:rFonts w:hint="default" w:ascii="宋体" w:hAnsi="宋体" w:eastAsia="宋体" w:cs="宋体"/>
          <w:color w:val="000000" w:themeColor="text1"/>
          <w:sz w:val="24"/>
          <w:highlight w:val="none"/>
          <w:lang w:val="en-US" w:eastAsia="zh-CN"/>
          <w14:textFill>
            <w14:solidFill>
              <w14:schemeClr w14:val="tx1"/>
            </w14:solidFill>
          </w14:textFill>
        </w:rPr>
        <w:t>20X</w:t>
      </w:r>
      <w:r>
        <w:rPr>
          <w:rFonts w:hint="eastAsia" w:ascii="宋体" w:hAnsi="宋体" w:eastAsia="宋体" w:cs="宋体"/>
          <w:color w:val="000000" w:themeColor="text1"/>
          <w:sz w:val="24"/>
          <w:highlight w:val="none"/>
          <w:lang w:val="en-US" w:eastAsia="zh-CN"/>
          <w14:textFill>
            <w14:solidFill>
              <w14:schemeClr w14:val="tx1"/>
            </w14:solidFill>
          </w14:textFill>
        </w:rPr>
        <w:t>图层”单独图层</w:t>
      </w:r>
      <w:r>
        <w:rPr>
          <w:rFonts w:hint="eastAsia" w:ascii="宋体" w:hAnsi="宋体" w:eastAsia="宋体" w:cs="宋体"/>
          <w:color w:val="000000" w:themeColor="text1"/>
          <w:sz w:val="24"/>
          <w:highlight w:val="none"/>
          <w14:textFill>
            <w14:solidFill>
              <w14:schemeClr w14:val="tx1"/>
            </w14:solidFill>
          </w14:textFill>
        </w:rPr>
        <w:t>；对外业检查成果开展监理检查，核对外业检查照片、地类认定以及情况说明等的规范性与逻辑一致性。</w:t>
      </w:r>
    </w:p>
    <w:p w14:paraId="31522FD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汇总分析</w:t>
      </w:r>
    </w:p>
    <w:p w14:paraId="2B46D14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根据地方通过检查的变更图斑，即时套合用地管理信息，开展流量分析，辅助管理部门开展相关工作。</w:t>
      </w:r>
    </w:p>
    <w:p w14:paraId="5F74143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2026年10月31日，及时汇总统计最新数据，开展阶段性分析，辅助开展决策支持。</w:t>
      </w:r>
    </w:p>
    <w:p w14:paraId="55789F4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2026年12月31日，以此为统一时点，汇总全年度调查监测成果数据，分析全</w:t>
      </w:r>
      <w:r>
        <w:rPr>
          <w:rFonts w:hint="eastAsia" w:ascii="宋体" w:hAnsi="宋体" w:eastAsia="宋体" w:cs="宋体"/>
          <w:color w:val="000000" w:themeColor="text1"/>
          <w:sz w:val="24"/>
          <w:highlight w:val="none"/>
          <w:lang w:val="en-US" w:eastAsia="zh-CN"/>
          <w14:textFill>
            <w14:solidFill>
              <w14:schemeClr w14:val="tx1"/>
            </w14:solidFill>
          </w14:textFill>
        </w:rPr>
        <w:t>市</w:t>
      </w:r>
      <w:r>
        <w:rPr>
          <w:rFonts w:hint="eastAsia" w:ascii="宋体" w:hAnsi="宋体" w:eastAsia="宋体" w:cs="宋体"/>
          <w:color w:val="000000" w:themeColor="text1"/>
          <w:sz w:val="24"/>
          <w:highlight w:val="none"/>
          <w14:textFill>
            <w14:solidFill>
              <w14:schemeClr w14:val="tx1"/>
            </w14:solidFill>
          </w14:textFill>
        </w:rPr>
        <w:t>国土利用变化总体情况。</w:t>
      </w:r>
    </w:p>
    <w:p w14:paraId="4E5FACE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根据检查合格的成果以及通过国家级检查的国家级自然资源调查监测数据库，深入分析国土利用现状及年度变化状况，编制</w:t>
      </w:r>
      <w:r>
        <w:rPr>
          <w:rFonts w:hint="eastAsia" w:ascii="宋体" w:hAnsi="宋体" w:cs="宋体"/>
          <w:color w:val="000000" w:themeColor="text1"/>
          <w:sz w:val="24"/>
          <w:highlight w:val="none"/>
          <w:lang w:val="en-US" w:eastAsia="zh-CN"/>
          <w14:textFill>
            <w14:solidFill>
              <w14:schemeClr w14:val="tx1"/>
            </w14:solidFill>
          </w14:textFill>
        </w:rPr>
        <w:t>盐城市</w:t>
      </w:r>
      <w:r>
        <w:rPr>
          <w:rFonts w:hint="eastAsia" w:ascii="宋体" w:hAnsi="宋体" w:eastAsia="宋体" w:cs="宋体"/>
          <w:color w:val="000000" w:themeColor="text1"/>
          <w:sz w:val="24"/>
          <w:highlight w:val="none"/>
          <w14:textFill>
            <w14:solidFill>
              <w14:schemeClr w14:val="tx1"/>
            </w14:solidFill>
          </w14:textFill>
        </w:rPr>
        <w:t>2026年度国土利用情况分析报告</w:t>
      </w:r>
      <w:r>
        <w:rPr>
          <w:rFonts w:hint="eastAsia" w:ascii="宋体" w:hAnsi="宋体" w:cs="宋体"/>
          <w:color w:val="000000" w:themeColor="text1"/>
          <w:sz w:val="24"/>
          <w:highlight w:val="none"/>
          <w:lang w:val="en-US" w:eastAsia="zh-CN"/>
          <w14:textFill>
            <w14:solidFill>
              <w14:schemeClr w14:val="tx1"/>
            </w14:solidFill>
          </w14:textFill>
        </w:rPr>
        <w:t>及自然资源综合分析评价报告</w:t>
      </w:r>
      <w:r>
        <w:rPr>
          <w:rFonts w:hint="eastAsia" w:ascii="宋体" w:hAnsi="宋体" w:eastAsia="宋体" w:cs="宋体"/>
          <w:color w:val="000000" w:themeColor="text1"/>
          <w:sz w:val="24"/>
          <w:highlight w:val="none"/>
          <w14:textFill>
            <w14:solidFill>
              <w14:schemeClr w14:val="tx1"/>
            </w14:solidFill>
          </w14:textFill>
        </w:rPr>
        <w:t>等。</w:t>
      </w:r>
    </w:p>
    <w:p w14:paraId="52814BC5">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投标人根据上述服务内容，全面了解项目背景、项目目标、项目内容和相关需求，制定技术方案，方案通过采购人审查后实施。</w:t>
      </w:r>
    </w:p>
    <w:p w14:paraId="3B31FB4C">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w:t>
      </w:r>
      <w:r>
        <w:rPr>
          <w:rFonts w:ascii="宋体" w:hAnsi="宋体" w:cs="宋体"/>
          <w:color w:val="000000" w:themeColor="text1"/>
          <w:sz w:val="24"/>
          <w:highlight w:val="none"/>
          <w14:textFill>
            <w14:solidFill>
              <w14:schemeClr w14:val="tx1"/>
            </w14:solidFill>
          </w14:textFill>
        </w:rPr>
        <w:t>、成果要求及形式</w:t>
      </w:r>
    </w:p>
    <w:p w14:paraId="2398358E">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提交的成果包括表格、数据库成果和文字成果等。具体内容及要求如下：</w:t>
      </w:r>
    </w:p>
    <w:p w14:paraId="3EC038BC">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1、市级汇总统计表；</w:t>
      </w:r>
    </w:p>
    <w:p w14:paraId="1AD4FD72">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2、分县（</w:t>
      </w:r>
      <w:r>
        <w:rPr>
          <w:rFonts w:hint="eastAsia" w:ascii="宋体" w:hAnsi="宋体" w:cs="宋体"/>
          <w:color w:val="000000" w:themeColor="text1"/>
          <w:sz w:val="24"/>
          <w:highlight w:val="none"/>
          <w:lang w:val="en-US" w:eastAsia="zh-CN"/>
          <w14:textFill>
            <w14:solidFill>
              <w14:schemeClr w14:val="tx1"/>
            </w14:solidFill>
          </w14:textFill>
        </w:rPr>
        <w:t>市、</w:t>
      </w:r>
      <w:r>
        <w:rPr>
          <w:rFonts w:ascii="宋体" w:hAnsi="宋体" w:cs="宋体"/>
          <w:color w:val="000000" w:themeColor="text1"/>
          <w:sz w:val="24"/>
          <w:highlight w:val="none"/>
          <w14:textFill>
            <w14:solidFill>
              <w14:schemeClr w14:val="tx1"/>
            </w14:solidFill>
          </w14:textFill>
        </w:rPr>
        <w:t>区）汇总统计表；</w:t>
      </w:r>
    </w:p>
    <w:p w14:paraId="7315F028">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3、形成市级</w:t>
      </w:r>
      <w:r>
        <w:rPr>
          <w:rFonts w:hint="eastAsia" w:ascii="宋体" w:hAnsi="宋体" w:cs="宋体"/>
          <w:color w:val="000000" w:themeColor="text1"/>
          <w:sz w:val="24"/>
          <w:highlight w:val="none"/>
          <w14:textFill>
            <w14:solidFill>
              <w14:schemeClr w14:val="tx1"/>
            </w14:solidFill>
          </w14:textFill>
        </w:rPr>
        <w:t>202</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年度</w:t>
      </w:r>
      <w:r>
        <w:rPr>
          <w:rFonts w:ascii="宋体" w:hAnsi="宋体" w:cs="宋体"/>
          <w:color w:val="000000" w:themeColor="text1"/>
          <w:sz w:val="24"/>
          <w:highlight w:val="none"/>
          <w14:textFill>
            <w14:solidFill>
              <w14:schemeClr w14:val="tx1"/>
            </w14:solidFill>
          </w14:textFill>
        </w:rPr>
        <w:t>国土变更调查数据库成果及遥感影像为一体的市级国土变更调查数据库；</w:t>
      </w:r>
    </w:p>
    <w:p w14:paraId="5588B30A">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盐城</w:t>
      </w:r>
      <w:r>
        <w:rPr>
          <w:rFonts w:ascii="宋体" w:hAnsi="宋体" w:cs="宋体"/>
          <w:color w:val="000000" w:themeColor="text1"/>
          <w:sz w:val="24"/>
          <w:highlight w:val="none"/>
          <w14:textFill>
            <w14:solidFill>
              <w14:schemeClr w14:val="tx1"/>
            </w14:solidFill>
          </w14:textFill>
        </w:rPr>
        <w:t>市</w:t>
      </w:r>
      <w:r>
        <w:rPr>
          <w:rFonts w:hint="eastAsia" w:ascii="宋体" w:hAnsi="宋体" w:cs="宋体"/>
          <w:color w:val="000000" w:themeColor="text1"/>
          <w:sz w:val="24"/>
          <w:highlight w:val="none"/>
          <w14:textFill>
            <w14:solidFill>
              <w14:schemeClr w14:val="tx1"/>
            </w14:solidFill>
          </w14:textFill>
        </w:rPr>
        <w:t>202</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年度</w:t>
      </w:r>
      <w:r>
        <w:rPr>
          <w:rFonts w:ascii="宋体" w:hAnsi="宋体" w:cs="宋体"/>
          <w:color w:val="000000" w:themeColor="text1"/>
          <w:sz w:val="24"/>
          <w:highlight w:val="none"/>
          <w14:textFill>
            <w14:solidFill>
              <w14:schemeClr w14:val="tx1"/>
            </w14:solidFill>
          </w14:textFill>
        </w:rPr>
        <w:t>国土变更调查市级分析报告及各类专项数据分析报告。</w:t>
      </w:r>
    </w:p>
    <w:p w14:paraId="0FDFDA75">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w:t>
      </w:r>
      <w:r>
        <w:rPr>
          <w:rFonts w:ascii="宋体" w:hAnsi="宋体" w:cs="宋体"/>
          <w:color w:val="000000" w:themeColor="text1"/>
          <w:sz w:val="24"/>
          <w:highlight w:val="none"/>
          <w14:textFill>
            <w14:solidFill>
              <w14:schemeClr w14:val="tx1"/>
            </w14:solidFill>
          </w14:textFill>
        </w:rPr>
        <w:t>验收要求</w:t>
      </w:r>
    </w:p>
    <w:p w14:paraId="14E0EFDB">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提交的成果资料符合相关规范、符合</w:t>
      </w:r>
      <w:r>
        <w:rPr>
          <w:rFonts w:hint="eastAsia" w:ascii="宋体" w:hAnsi="宋体" w:cs="宋体"/>
          <w:color w:val="000000" w:themeColor="text1"/>
          <w:sz w:val="24"/>
          <w:highlight w:val="none"/>
          <w14:textFill>
            <w14:solidFill>
              <w14:schemeClr w14:val="tx1"/>
            </w14:solidFill>
          </w14:textFill>
        </w:rPr>
        <w:t>盐城</w:t>
      </w:r>
      <w:r>
        <w:rPr>
          <w:rFonts w:ascii="宋体" w:hAnsi="宋体" w:cs="宋体"/>
          <w:color w:val="000000" w:themeColor="text1"/>
          <w:sz w:val="24"/>
          <w:highlight w:val="none"/>
          <w14:textFill>
            <w14:solidFill>
              <w14:schemeClr w14:val="tx1"/>
            </w14:solidFill>
          </w14:textFill>
        </w:rPr>
        <w:t>市自然资源和规划局有关要求，并顺利通过</w:t>
      </w:r>
      <w:r>
        <w:rPr>
          <w:rFonts w:hint="eastAsia" w:ascii="宋体" w:hAnsi="宋体" w:cs="宋体"/>
          <w:color w:val="000000" w:themeColor="text1"/>
          <w:sz w:val="24"/>
          <w:highlight w:val="none"/>
          <w14:textFill>
            <w14:solidFill>
              <w14:schemeClr w14:val="tx1"/>
            </w14:solidFill>
          </w14:textFill>
        </w:rPr>
        <w:t>省级检查</w:t>
      </w:r>
      <w:r>
        <w:rPr>
          <w:rFonts w:ascii="宋体" w:hAnsi="宋体" w:cs="宋体"/>
          <w:color w:val="000000" w:themeColor="text1"/>
          <w:sz w:val="24"/>
          <w:highlight w:val="none"/>
          <w14:textFill>
            <w14:solidFill>
              <w14:schemeClr w14:val="tx1"/>
            </w14:solidFill>
          </w14:textFill>
        </w:rPr>
        <w:t>。</w:t>
      </w:r>
    </w:p>
    <w:p w14:paraId="49346357">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w:t>
      </w:r>
      <w:r>
        <w:rPr>
          <w:rFonts w:ascii="宋体" w:hAnsi="宋体" w:cs="宋体"/>
          <w:color w:val="000000" w:themeColor="text1"/>
          <w:sz w:val="24"/>
          <w:highlight w:val="none"/>
          <w14:textFill>
            <w14:solidFill>
              <w14:schemeClr w14:val="tx1"/>
            </w14:solidFill>
          </w14:textFill>
        </w:rPr>
        <w:t>其他要求</w:t>
      </w:r>
      <w:bookmarkEnd w:id="139"/>
    </w:p>
    <w:p w14:paraId="211965D4">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1、项目组人员配备要求</w:t>
      </w:r>
    </w:p>
    <w:p w14:paraId="63EE1E15">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项目需配备项目负责人1名，具体负责项目的整体规划与策略，对项目的质量和进度目标进行总体把控；技术负责人1名，协助项目负责人进行项目的技术、质量管理等工作；项目组人员（不含项目负责人）不少于8名，需配合项目负责人、技术负责人完成项目各项工作，最终配合招标人完成项目的全部工作任务。</w:t>
      </w:r>
    </w:p>
    <w:p w14:paraId="04FADB37">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拟派人员必须为投标单位正式职工，中标后签订合同前需提供至投标截止之日当月向前6个月内任意至少1个月在本单位缴纳养老保险的证明材料报采购人核查，核查通过，中标人进场服务，如核查不通过，中标人须在采购人指定时间内完成整改，否则采购人有权解除合同并报监管部门按有关规定处理，同时保留追究中标人违约责任的权利。</w:t>
      </w:r>
    </w:p>
    <w:p w14:paraId="76FCFAE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2、项目实施方案</w:t>
      </w:r>
    </w:p>
    <w:p w14:paraId="0A8F1D3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cs="宋体"/>
          <w:color w:val="000000" w:themeColor="text1"/>
          <w:sz w:val="24"/>
          <w:highlight w:val="none"/>
          <w:lang w:eastAsia="zh-CN"/>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（1）项目技术方案：</w:t>
      </w:r>
      <w:r>
        <w:rPr>
          <w:rFonts w:hint="eastAsia" w:ascii="宋体" w:hAnsi="宋体" w:cs="宋体"/>
          <w:color w:val="000000" w:themeColor="text1"/>
          <w:sz w:val="24"/>
          <w:highlight w:val="none"/>
          <w:lang w:val="en-US" w:eastAsia="zh-CN"/>
          <w14:textFill>
            <w14:solidFill>
              <w14:schemeClr w14:val="tx1"/>
            </w14:solidFill>
          </w14:textFill>
        </w:rPr>
        <w:t>至少包含</w:t>
      </w:r>
      <w:r>
        <w:rPr>
          <w:rFonts w:ascii="宋体" w:hAnsi="宋体" w:eastAsia="宋体" w:cs="宋体"/>
          <w:color w:val="000000" w:themeColor="text1"/>
          <w:sz w:val="24"/>
          <w:highlight w:val="none"/>
          <w14:textFill>
            <w14:solidFill>
              <w14:schemeClr w14:val="tx1"/>
            </w14:solidFill>
          </w14:textFill>
        </w:rPr>
        <w:t>①技术路线</w:t>
      </w:r>
      <w:r>
        <w:rPr>
          <w:rFonts w:hint="eastAsia" w:ascii="宋体" w:hAnsi="宋体" w:cs="宋体"/>
          <w:color w:val="000000" w:themeColor="text1"/>
          <w:sz w:val="24"/>
          <w:highlight w:val="none"/>
          <w:lang w:eastAsia="zh-CN"/>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②工作流程</w:t>
      </w:r>
      <w:r>
        <w:rPr>
          <w:rFonts w:hint="eastAsia" w:ascii="宋体" w:hAnsi="宋体" w:cs="宋体"/>
          <w:color w:val="000000" w:themeColor="text1"/>
          <w:sz w:val="24"/>
          <w:highlight w:val="none"/>
          <w:lang w:eastAsia="zh-CN"/>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③内业检查</w:t>
      </w:r>
      <w:r>
        <w:rPr>
          <w:rFonts w:hint="eastAsia" w:ascii="宋体" w:hAnsi="宋体" w:cs="宋体"/>
          <w:color w:val="000000" w:themeColor="text1"/>
          <w:sz w:val="24"/>
          <w:highlight w:val="none"/>
          <w:lang w:eastAsia="zh-CN"/>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④外业检查</w:t>
      </w:r>
      <w:r>
        <w:rPr>
          <w:rFonts w:hint="eastAsia" w:ascii="宋体" w:hAnsi="宋体" w:cs="宋体"/>
          <w:color w:val="000000" w:themeColor="text1"/>
          <w:sz w:val="24"/>
          <w:highlight w:val="none"/>
          <w:lang w:eastAsia="zh-CN"/>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⑤数据汇总分析和成果应用评价工作制定相应的技术流程等方面内容</w:t>
      </w:r>
      <w:r>
        <w:rPr>
          <w:rFonts w:hint="eastAsia" w:ascii="宋体" w:hAnsi="宋体" w:cs="宋体"/>
          <w:color w:val="000000" w:themeColor="text1"/>
          <w:sz w:val="24"/>
          <w:highlight w:val="none"/>
          <w:lang w:eastAsia="zh-CN"/>
          <w14:textFill>
            <w14:solidFill>
              <w14:schemeClr w14:val="tx1"/>
            </w14:solidFill>
          </w14:textFill>
        </w:rPr>
        <w:t>：</w:t>
      </w:r>
    </w:p>
    <w:p w14:paraId="35CD260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000000" w:themeColor="text1"/>
          <w:sz w:val="24"/>
          <w:highlight w:val="none"/>
          <w:lang w:eastAsia="zh-CN"/>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①技术路线</w:t>
      </w:r>
      <w:r>
        <w:rPr>
          <w:rFonts w:hint="eastAsia" w:ascii="宋体" w:hAnsi="宋体" w:cs="宋体"/>
          <w:color w:val="000000" w:themeColor="text1"/>
          <w:sz w:val="24"/>
          <w:highlight w:val="none"/>
          <w:lang w:eastAsia="zh-CN"/>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结合盐城市实际情况，并依据202</w:t>
      </w:r>
      <w:r>
        <w:rPr>
          <w:rFonts w:hint="eastAsia" w:ascii="宋体" w:hAnsi="宋体" w:cs="宋体"/>
          <w:color w:val="000000" w:themeColor="text1"/>
          <w:sz w:val="24"/>
          <w:highlight w:val="none"/>
          <w:lang w:val="en-US" w:eastAsia="zh-CN"/>
          <w14:textFill>
            <w14:solidFill>
              <w14:schemeClr w14:val="tx1"/>
            </w14:solidFill>
          </w14:textFill>
        </w:rPr>
        <w:t>6</w:t>
      </w:r>
      <w:r>
        <w:rPr>
          <w:rFonts w:ascii="宋体" w:hAnsi="宋体" w:eastAsia="宋体" w:cs="宋体"/>
          <w:color w:val="000000" w:themeColor="text1"/>
          <w:sz w:val="24"/>
          <w:highlight w:val="none"/>
          <w14:textFill>
            <w14:solidFill>
              <w14:schemeClr w14:val="tx1"/>
            </w14:solidFill>
          </w14:textFill>
        </w:rPr>
        <w:t>年度部、省国土变更调查的实施方案和相关技术要求制订市级检查的技术路线</w:t>
      </w:r>
      <w:r>
        <w:rPr>
          <w:rFonts w:hint="eastAsia" w:ascii="宋体" w:hAnsi="宋体" w:cs="宋体"/>
          <w:color w:val="000000" w:themeColor="text1"/>
          <w:sz w:val="24"/>
          <w:highlight w:val="none"/>
          <w:lang w:eastAsia="zh-CN"/>
          <w14:textFill>
            <w14:solidFill>
              <w14:schemeClr w14:val="tx1"/>
            </w14:solidFill>
          </w14:textFill>
        </w:rPr>
        <w:t>。</w:t>
      </w:r>
    </w:p>
    <w:p w14:paraId="4CD0841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000000" w:themeColor="text1"/>
          <w:sz w:val="24"/>
          <w:highlight w:val="none"/>
          <w:lang w:eastAsia="zh-CN"/>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②工作流程</w:t>
      </w:r>
      <w:r>
        <w:rPr>
          <w:rFonts w:hint="eastAsia" w:ascii="宋体" w:hAnsi="宋体" w:cs="宋体"/>
          <w:color w:val="000000" w:themeColor="text1"/>
          <w:sz w:val="24"/>
          <w:highlight w:val="none"/>
          <w:lang w:eastAsia="zh-CN"/>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结合盐城市实际情况，并依据202</w:t>
      </w:r>
      <w:r>
        <w:rPr>
          <w:rFonts w:hint="eastAsia" w:ascii="宋体" w:hAnsi="宋体" w:cs="宋体"/>
          <w:color w:val="000000" w:themeColor="text1"/>
          <w:sz w:val="24"/>
          <w:highlight w:val="none"/>
          <w:lang w:val="en-US" w:eastAsia="zh-CN"/>
          <w14:textFill>
            <w14:solidFill>
              <w14:schemeClr w14:val="tx1"/>
            </w14:solidFill>
          </w14:textFill>
        </w:rPr>
        <w:t>6</w:t>
      </w:r>
      <w:r>
        <w:rPr>
          <w:rFonts w:ascii="宋体" w:hAnsi="宋体" w:eastAsia="宋体" w:cs="宋体"/>
          <w:color w:val="000000" w:themeColor="text1"/>
          <w:sz w:val="24"/>
          <w:highlight w:val="none"/>
          <w14:textFill>
            <w14:solidFill>
              <w14:schemeClr w14:val="tx1"/>
            </w14:solidFill>
          </w14:textFill>
        </w:rPr>
        <w:t>年度部、省国土变更调查的实施方案和相关技术要求制订市级检查的工作流程</w:t>
      </w:r>
      <w:r>
        <w:rPr>
          <w:rFonts w:hint="eastAsia" w:ascii="宋体" w:hAnsi="宋体" w:cs="宋体"/>
          <w:color w:val="000000" w:themeColor="text1"/>
          <w:sz w:val="24"/>
          <w:highlight w:val="none"/>
          <w:lang w:eastAsia="zh-CN"/>
          <w14:textFill>
            <w14:solidFill>
              <w14:schemeClr w14:val="tx1"/>
            </w14:solidFill>
          </w14:textFill>
        </w:rPr>
        <w:t>。</w:t>
      </w:r>
    </w:p>
    <w:p w14:paraId="7723C00F">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③内业检查</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内业检查是本项目的重点工作，主要包括变化图斑检查、</w:t>
      </w:r>
      <w:r>
        <w:rPr>
          <w:rFonts w:hint="eastAsia" w:ascii="宋体" w:hAnsi="宋体" w:eastAsia="宋体" w:cs="宋体"/>
          <w:color w:val="000000" w:themeColor="text1"/>
          <w:sz w:val="24"/>
          <w:highlight w:val="none"/>
          <w:lang w:eastAsia="zh-CN"/>
          <w14:textFill>
            <w14:solidFill>
              <w14:schemeClr w14:val="tx1"/>
            </w14:solidFill>
          </w14:textFill>
        </w:rPr>
        <w:t>单独图层</w:t>
      </w:r>
      <w:r>
        <w:rPr>
          <w:rFonts w:hint="eastAsia" w:ascii="宋体" w:hAnsi="宋体" w:eastAsia="宋体" w:cs="宋体"/>
          <w:color w:val="000000" w:themeColor="text1"/>
          <w:sz w:val="24"/>
          <w:highlight w:val="none"/>
          <w14:textFill>
            <w14:solidFill>
              <w14:schemeClr w14:val="tx1"/>
            </w14:solidFill>
          </w14:textFill>
        </w:rPr>
        <w:t>检查、数据库质量检查等工作内容。</w:t>
      </w:r>
    </w:p>
    <w:p w14:paraId="018D0517">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④外业检查</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根据内业检查结果，对内业依据遥感影像和</w:t>
      </w:r>
      <w:r>
        <w:rPr>
          <w:rFonts w:hint="eastAsia" w:ascii="宋体" w:hAnsi="宋体" w:eastAsia="宋体" w:cs="宋体"/>
          <w:color w:val="000000" w:themeColor="text1"/>
          <w:sz w:val="24"/>
          <w:highlight w:val="none"/>
          <w:lang w:val="zh-CN"/>
          <w14:textFill>
            <w14:solidFill>
              <w14:schemeClr w14:val="tx1"/>
            </w14:solidFill>
          </w14:textFill>
        </w:rPr>
        <w:t>国土调查云</w:t>
      </w:r>
      <w:r>
        <w:rPr>
          <w:rFonts w:hint="eastAsia" w:ascii="宋体" w:hAnsi="宋体" w:eastAsia="宋体" w:cs="宋体"/>
          <w:color w:val="000000" w:themeColor="text1"/>
          <w:sz w:val="24"/>
          <w:highlight w:val="none"/>
          <w14:textFill>
            <w14:solidFill>
              <w14:schemeClr w14:val="tx1"/>
            </w14:solidFill>
          </w14:textFill>
        </w:rPr>
        <w:t>举证资料无法准确判断的图斑开展外业实地检查</w:t>
      </w:r>
      <w:r>
        <w:rPr>
          <w:rFonts w:hint="eastAsia" w:ascii="宋体" w:hAnsi="宋体" w:cs="宋体"/>
          <w:color w:val="000000" w:themeColor="text1"/>
          <w:sz w:val="24"/>
          <w:highlight w:val="none"/>
          <w:lang w:val="en-US" w:eastAsia="zh-CN"/>
          <w14:textFill>
            <w14:solidFill>
              <w14:schemeClr w14:val="tx1"/>
            </w14:solidFill>
          </w14:textFill>
        </w:rPr>
        <w:t>等工作内容</w:t>
      </w:r>
      <w:r>
        <w:rPr>
          <w:rFonts w:hint="eastAsia" w:ascii="宋体" w:hAnsi="宋体" w:eastAsia="宋体" w:cs="宋体"/>
          <w:color w:val="000000" w:themeColor="text1"/>
          <w:sz w:val="24"/>
          <w:highlight w:val="none"/>
          <w14:textFill>
            <w14:solidFill>
              <w14:schemeClr w14:val="tx1"/>
            </w14:solidFill>
          </w14:textFill>
        </w:rPr>
        <w:t>。</w:t>
      </w:r>
    </w:p>
    <w:p w14:paraId="1436EE9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default" w:ascii="宋体" w:hAnsi="宋体" w:eastAsia="宋体" w:cs="宋体"/>
          <w:color w:val="000000" w:themeColor="text1"/>
          <w:sz w:val="24"/>
          <w:highlight w:val="none"/>
          <w:lang w:val="en-US" w:eastAsia="zh-CN"/>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⑤数据汇总分析和成果应用评价工作制定相应的技术流程</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至少包括数据收集与接收、数据预处理、数据汇总、数据分析、成果核查与确认等技术流程。</w:t>
      </w:r>
    </w:p>
    <w:p w14:paraId="46B975F6">
      <w:pPr>
        <w:keepNext w:val="0"/>
        <w:keepLines w:val="0"/>
        <w:pageBreakBefore w:val="0"/>
        <w:numPr>
          <w:ilvl w:val="0"/>
          <w:numId w:val="2"/>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合理化建议：至少包含①分析本项目重点工作；②分析本项目难点工作提出合理化建议等方面内容</w:t>
      </w:r>
    </w:p>
    <w:p w14:paraId="1D61DA1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default" w:ascii="宋体" w:hAnsi="宋体" w:eastAsia="宋体" w:cs="宋体"/>
          <w:color w:val="000000" w:themeColor="text1"/>
          <w:sz w:val="24"/>
          <w:highlight w:val="none"/>
          <w:lang w:val="en-US" w:eastAsia="zh-CN"/>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①分析本项目重点工作</w:t>
      </w:r>
      <w:r>
        <w:rPr>
          <w:rFonts w:hint="eastAsia" w:ascii="宋体" w:hAnsi="宋体" w:eastAsia="宋体" w:cs="宋体"/>
          <w:color w:val="000000" w:themeColor="text1"/>
          <w:sz w:val="24"/>
          <w:highlight w:val="none"/>
          <w:lang w:eastAsia="zh-CN"/>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投标人应根据盐城市实际情况，结合</w:t>
      </w:r>
      <w:r>
        <w:rPr>
          <w:rFonts w:hint="eastAsia" w:ascii="宋体" w:hAnsi="宋体" w:eastAsia="宋体" w:cs="宋体"/>
          <w:color w:val="000000" w:themeColor="text1"/>
          <w:sz w:val="24"/>
          <w:highlight w:val="none"/>
          <w14:textFill>
            <w14:solidFill>
              <w14:schemeClr w14:val="tx1"/>
            </w14:solidFill>
          </w14:textFill>
        </w:rPr>
        <w:t>2026年</w:t>
      </w:r>
      <w:r>
        <w:rPr>
          <w:rFonts w:hint="eastAsia" w:ascii="宋体" w:hAnsi="宋体" w:eastAsia="宋体" w:cs="宋体"/>
          <w:color w:val="000000" w:themeColor="text1"/>
          <w:sz w:val="24"/>
          <w:highlight w:val="none"/>
          <w:lang w:val="en-US" w:eastAsia="zh-CN"/>
          <w14:textFill>
            <w14:solidFill>
              <w14:schemeClr w14:val="tx1"/>
            </w14:solidFill>
          </w14:textFill>
        </w:rPr>
        <w:t>度</w:t>
      </w:r>
      <w:r>
        <w:rPr>
          <w:rFonts w:hint="eastAsia" w:ascii="宋体" w:hAnsi="宋体" w:eastAsia="宋体" w:cs="宋体"/>
          <w:color w:val="000000" w:themeColor="text1"/>
          <w:sz w:val="24"/>
          <w:highlight w:val="none"/>
          <w14:textFill>
            <w14:solidFill>
              <w14:schemeClr w14:val="tx1"/>
            </w14:solidFill>
          </w14:textFill>
        </w:rPr>
        <w:t>一体化调查监测</w:t>
      </w:r>
      <w:r>
        <w:rPr>
          <w:rFonts w:hint="eastAsia" w:ascii="宋体" w:hAnsi="宋体" w:eastAsia="宋体" w:cs="宋体"/>
          <w:color w:val="000000" w:themeColor="text1"/>
          <w:sz w:val="24"/>
          <w:highlight w:val="none"/>
          <w:lang w:val="en-US" w:eastAsia="zh-CN"/>
          <w14:textFill>
            <w14:solidFill>
              <w14:schemeClr w14:val="tx1"/>
            </w14:solidFill>
          </w14:textFill>
        </w:rPr>
        <w:t>实施方案</w:t>
      </w:r>
      <w:r>
        <w:rPr>
          <w:rFonts w:hint="eastAsia" w:ascii="宋体" w:hAnsi="宋体" w:eastAsia="宋体" w:cs="宋体"/>
          <w:color w:val="000000" w:themeColor="text1"/>
          <w:sz w:val="24"/>
          <w:highlight w:val="none"/>
          <w14:textFill>
            <w14:solidFill>
              <w14:schemeClr w14:val="tx1"/>
            </w14:solidFill>
          </w14:textFill>
        </w:rPr>
        <w:t>和</w:t>
      </w:r>
      <w:r>
        <w:rPr>
          <w:rFonts w:hint="eastAsia" w:ascii="宋体" w:hAnsi="宋体" w:eastAsia="宋体" w:cs="宋体"/>
          <w:color w:val="000000" w:themeColor="text1"/>
          <w:sz w:val="24"/>
          <w:highlight w:val="none"/>
          <w:lang w:val="en-US" w:eastAsia="zh-CN"/>
          <w14:textFill>
            <w14:solidFill>
              <w14:schemeClr w14:val="tx1"/>
            </w14:solidFill>
          </w14:textFill>
        </w:rPr>
        <w:t>国土</w:t>
      </w:r>
      <w:r>
        <w:rPr>
          <w:rFonts w:hint="eastAsia" w:ascii="宋体" w:hAnsi="宋体" w:eastAsia="宋体" w:cs="宋体"/>
          <w:color w:val="000000" w:themeColor="text1"/>
          <w:sz w:val="24"/>
          <w:highlight w:val="none"/>
          <w14:textFill>
            <w14:solidFill>
              <w14:schemeClr w14:val="tx1"/>
            </w14:solidFill>
          </w14:textFill>
        </w:rPr>
        <w:t>变更调查</w:t>
      </w:r>
      <w:r>
        <w:rPr>
          <w:rFonts w:hint="eastAsia" w:ascii="宋体" w:hAnsi="宋体" w:eastAsia="宋体" w:cs="宋体"/>
          <w:color w:val="000000" w:themeColor="text1"/>
          <w:sz w:val="24"/>
          <w:highlight w:val="none"/>
          <w:lang w:val="en-US" w:eastAsia="zh-CN"/>
          <w14:textFill>
            <w14:solidFill>
              <w14:schemeClr w14:val="tx1"/>
            </w14:solidFill>
          </w14:textFill>
        </w:rPr>
        <w:t>技术要求中优化</w:t>
      </w:r>
      <w:r>
        <w:rPr>
          <w:rFonts w:ascii="宋体" w:hAnsi="宋体" w:eastAsia="宋体" w:cs="宋体"/>
          <w:color w:val="000000" w:themeColor="text1"/>
          <w:sz w:val="24"/>
          <w:highlight w:val="none"/>
          <w14:textFill>
            <w14:solidFill>
              <w14:schemeClr w14:val="tx1"/>
            </w14:solidFill>
          </w14:textFill>
        </w:rPr>
        <w:t>耕地林地调查有关规则和“批而未用”调查规则等新要求，充分合理利用现有数据及资料</w:t>
      </w:r>
      <w:r>
        <w:rPr>
          <w:rFonts w:hint="eastAsia" w:ascii="宋体" w:hAnsi="宋体" w:cs="宋体"/>
          <w:color w:val="000000" w:themeColor="text1"/>
          <w:sz w:val="24"/>
          <w:highlight w:val="none"/>
          <w:lang w:val="en-US" w:eastAsia="zh-CN"/>
          <w14:textFill>
            <w14:solidFill>
              <w14:schemeClr w14:val="tx1"/>
            </w14:solidFill>
          </w14:textFill>
        </w:rPr>
        <w:t>对重点工作内容进行分析。</w:t>
      </w:r>
    </w:p>
    <w:p w14:paraId="7D196CB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default" w:ascii="宋体" w:hAnsi="宋体" w:eastAsia="宋体" w:cs="宋体"/>
          <w:color w:val="000000" w:themeColor="text1"/>
          <w:sz w:val="24"/>
          <w:highlight w:val="none"/>
          <w:lang w:val="en-US" w:eastAsia="zh-CN"/>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②分析本项目难点工作提出合理化建议</w:t>
      </w:r>
      <w:r>
        <w:rPr>
          <w:rFonts w:hint="eastAsia" w:ascii="宋体" w:hAnsi="宋体" w:eastAsia="宋体" w:cs="宋体"/>
          <w:color w:val="000000" w:themeColor="text1"/>
          <w:sz w:val="24"/>
          <w:highlight w:val="none"/>
          <w:lang w:eastAsia="zh-CN"/>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投标人应根据盐城市实际情况，结合</w:t>
      </w:r>
      <w:r>
        <w:rPr>
          <w:rFonts w:hint="eastAsia" w:ascii="宋体" w:hAnsi="宋体" w:eastAsia="宋体" w:cs="宋体"/>
          <w:color w:val="000000" w:themeColor="text1"/>
          <w:sz w:val="24"/>
          <w:highlight w:val="none"/>
          <w14:textFill>
            <w14:solidFill>
              <w14:schemeClr w14:val="tx1"/>
            </w14:solidFill>
          </w14:textFill>
        </w:rPr>
        <w:t>2026年</w:t>
      </w:r>
      <w:r>
        <w:rPr>
          <w:rFonts w:hint="eastAsia" w:ascii="宋体" w:hAnsi="宋体" w:eastAsia="宋体" w:cs="宋体"/>
          <w:color w:val="000000" w:themeColor="text1"/>
          <w:sz w:val="24"/>
          <w:highlight w:val="none"/>
          <w:lang w:val="en-US" w:eastAsia="zh-CN"/>
          <w14:textFill>
            <w14:solidFill>
              <w14:schemeClr w14:val="tx1"/>
            </w14:solidFill>
          </w14:textFill>
        </w:rPr>
        <w:t>度</w:t>
      </w:r>
      <w:r>
        <w:rPr>
          <w:rFonts w:hint="eastAsia" w:ascii="宋体" w:hAnsi="宋体" w:eastAsia="宋体" w:cs="宋体"/>
          <w:color w:val="000000" w:themeColor="text1"/>
          <w:sz w:val="24"/>
          <w:highlight w:val="none"/>
          <w14:textFill>
            <w14:solidFill>
              <w14:schemeClr w14:val="tx1"/>
            </w14:solidFill>
          </w14:textFill>
        </w:rPr>
        <w:t>一体化调查监测</w:t>
      </w:r>
      <w:r>
        <w:rPr>
          <w:rFonts w:hint="eastAsia" w:ascii="宋体" w:hAnsi="宋体" w:eastAsia="宋体" w:cs="宋体"/>
          <w:color w:val="000000" w:themeColor="text1"/>
          <w:sz w:val="24"/>
          <w:highlight w:val="none"/>
          <w:lang w:val="en-US" w:eastAsia="zh-CN"/>
          <w14:textFill>
            <w14:solidFill>
              <w14:schemeClr w14:val="tx1"/>
            </w14:solidFill>
          </w14:textFill>
        </w:rPr>
        <w:t>实施方案</w:t>
      </w:r>
      <w:r>
        <w:rPr>
          <w:rFonts w:hint="eastAsia" w:ascii="宋体" w:hAnsi="宋体" w:eastAsia="宋体" w:cs="宋体"/>
          <w:color w:val="000000" w:themeColor="text1"/>
          <w:sz w:val="24"/>
          <w:highlight w:val="none"/>
          <w14:textFill>
            <w14:solidFill>
              <w14:schemeClr w14:val="tx1"/>
            </w14:solidFill>
          </w14:textFill>
        </w:rPr>
        <w:t>和</w:t>
      </w:r>
      <w:r>
        <w:rPr>
          <w:rFonts w:hint="eastAsia" w:ascii="宋体" w:hAnsi="宋体" w:eastAsia="宋体" w:cs="宋体"/>
          <w:color w:val="000000" w:themeColor="text1"/>
          <w:sz w:val="24"/>
          <w:highlight w:val="none"/>
          <w:lang w:val="en-US" w:eastAsia="zh-CN"/>
          <w14:textFill>
            <w14:solidFill>
              <w14:schemeClr w14:val="tx1"/>
            </w14:solidFill>
          </w14:textFill>
        </w:rPr>
        <w:t>国土</w:t>
      </w:r>
      <w:r>
        <w:rPr>
          <w:rFonts w:hint="eastAsia" w:ascii="宋体" w:hAnsi="宋体" w:eastAsia="宋体" w:cs="宋体"/>
          <w:color w:val="000000" w:themeColor="text1"/>
          <w:sz w:val="24"/>
          <w:highlight w:val="none"/>
          <w14:textFill>
            <w14:solidFill>
              <w14:schemeClr w14:val="tx1"/>
            </w14:solidFill>
          </w14:textFill>
        </w:rPr>
        <w:t>变更调查</w:t>
      </w:r>
      <w:r>
        <w:rPr>
          <w:rFonts w:hint="eastAsia" w:ascii="宋体" w:hAnsi="宋体" w:eastAsia="宋体" w:cs="宋体"/>
          <w:color w:val="000000" w:themeColor="text1"/>
          <w:sz w:val="24"/>
          <w:highlight w:val="none"/>
          <w:lang w:val="en-US" w:eastAsia="zh-CN"/>
          <w14:textFill>
            <w14:solidFill>
              <w14:schemeClr w14:val="tx1"/>
            </w14:solidFill>
          </w14:textFill>
        </w:rPr>
        <w:t>技术要求中优化</w:t>
      </w:r>
      <w:r>
        <w:rPr>
          <w:rFonts w:ascii="宋体" w:hAnsi="宋体" w:eastAsia="宋体" w:cs="宋体"/>
          <w:color w:val="000000" w:themeColor="text1"/>
          <w:sz w:val="24"/>
          <w:highlight w:val="none"/>
          <w14:textFill>
            <w14:solidFill>
              <w14:schemeClr w14:val="tx1"/>
            </w14:solidFill>
          </w14:textFill>
        </w:rPr>
        <w:t>耕地林地调查有关规则和“</w:t>
      </w:r>
      <w:r>
        <w:rPr>
          <w:rFonts w:hint="eastAsia" w:ascii="宋体" w:hAnsi="宋体" w:eastAsia="宋体" w:cs="宋体"/>
          <w:color w:val="000000" w:themeColor="text1"/>
          <w:sz w:val="24"/>
          <w:highlight w:val="none"/>
          <w14:textFill>
            <w14:solidFill>
              <w14:schemeClr w14:val="tx1"/>
            </w14:solidFill>
          </w14:textFill>
        </w:rPr>
        <w:t>批而未用”调查规则等新要求，充分合理利用现有数据及资料</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对难点工作提出合理化建议。</w:t>
      </w:r>
    </w:p>
    <w:p w14:paraId="1B27828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安全保密措施：至少包含①制定涉密数据管理措施；②安全保密制度等方面内容</w:t>
      </w:r>
    </w:p>
    <w:p w14:paraId="5D89CF9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①制定涉密数据管理措施</w:t>
      </w:r>
      <w:r>
        <w:rPr>
          <w:rFonts w:hint="eastAsia" w:ascii="宋体" w:hAnsi="宋体" w:cs="宋体"/>
          <w:color w:val="000000" w:themeColor="text1"/>
          <w:sz w:val="24"/>
          <w:highlight w:val="none"/>
          <w:lang w:eastAsia="zh-CN"/>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投标人应严格按照《中华人民共和国保守国家秘密法》相关规定对工作中涉及的敏感资料、电子数据等相关信息</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eastAsia="zh-CN"/>
          <w14:textFill>
            <w14:solidFill>
              <w14:schemeClr w14:val="tx1"/>
            </w14:solidFill>
          </w14:textFill>
        </w:rPr>
        <w:t>制定涉密数据管理措施</w:t>
      </w:r>
      <w:r>
        <w:rPr>
          <w:rFonts w:hint="eastAsia" w:ascii="宋体" w:hAnsi="宋体" w:cs="宋体"/>
          <w:color w:val="000000" w:themeColor="text1"/>
          <w:sz w:val="24"/>
          <w:highlight w:val="none"/>
          <w:lang w:eastAsia="zh-CN"/>
          <w14:textFill>
            <w14:solidFill>
              <w14:schemeClr w14:val="tx1"/>
            </w14:solidFill>
          </w14:textFill>
        </w:rPr>
        <w:t>。</w:t>
      </w:r>
    </w:p>
    <w:p w14:paraId="6ACB43E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②安全保密制度等方面内容</w:t>
      </w:r>
      <w:r>
        <w:rPr>
          <w:rFonts w:hint="eastAsia" w:ascii="宋体" w:hAnsi="宋体" w:cs="宋体"/>
          <w:color w:val="000000" w:themeColor="text1"/>
          <w:sz w:val="24"/>
          <w:highlight w:val="none"/>
          <w:lang w:eastAsia="zh-CN"/>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投标人应严格按照《中华人民共和国保守国家秘密法》相关规定对工作中涉及的敏感资料、电子数据等相关信息</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制定</w:t>
      </w:r>
      <w:r>
        <w:rPr>
          <w:rFonts w:hint="eastAsia" w:ascii="宋体" w:hAnsi="宋体" w:eastAsia="宋体" w:cs="宋体"/>
          <w:color w:val="000000" w:themeColor="text1"/>
          <w:sz w:val="24"/>
          <w:highlight w:val="none"/>
          <w14:textFill>
            <w14:solidFill>
              <w14:schemeClr w14:val="tx1"/>
            </w14:solidFill>
          </w14:textFill>
        </w:rPr>
        <w:t>安全保密制度</w:t>
      </w:r>
      <w:r>
        <w:rPr>
          <w:rFonts w:ascii="宋体" w:hAnsi="宋体" w:eastAsia="宋体" w:cs="宋体"/>
          <w:color w:val="000000" w:themeColor="text1"/>
          <w:sz w:val="24"/>
          <w:highlight w:val="none"/>
          <w14:textFill>
            <w14:solidFill>
              <w14:schemeClr w14:val="tx1"/>
            </w14:solidFill>
          </w14:textFill>
        </w:rPr>
        <w:t>等工作措施</w:t>
      </w:r>
    </w:p>
    <w:p w14:paraId="766FF8D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质量控制及进度安排：至少包含</w:t>
      </w:r>
      <w:r>
        <w:rPr>
          <w:rFonts w:ascii="宋体" w:hAnsi="宋体" w:eastAsia="宋体" w:cs="宋体"/>
          <w:color w:val="000000" w:themeColor="text1"/>
          <w:sz w:val="24"/>
          <w:highlight w:val="none"/>
          <w14:textFill>
            <w14:solidFill>
              <w14:schemeClr w14:val="tx1"/>
            </w14:solidFill>
          </w14:textFill>
        </w:rPr>
        <w:t>①质量保证体系；②质量保证措施；③岗前技术培训；④工序控制等方面内容</w:t>
      </w:r>
    </w:p>
    <w:p w14:paraId="4F0FD408">
      <w:pPr>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both"/>
        <w:textAlignment w:val="auto"/>
        <w:rPr>
          <w:rFonts w:hint="default" w:ascii="宋体" w:hAnsi="宋体" w:eastAsia="宋体" w:cs="宋体"/>
          <w:color w:val="000000" w:themeColor="text1"/>
          <w:sz w:val="24"/>
          <w:highlight w:val="none"/>
          <w:lang w:val="en-US" w:eastAsia="zh-CN"/>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①质量保证体系</w:t>
      </w:r>
      <w:r>
        <w:rPr>
          <w:rFonts w:hint="eastAsia" w:ascii="宋体" w:hAnsi="宋体" w:cs="宋体"/>
          <w:color w:val="000000" w:themeColor="text1"/>
          <w:sz w:val="24"/>
          <w:highlight w:val="none"/>
          <w:lang w:eastAsia="zh-CN"/>
          <w14:textFill>
            <w14:solidFill>
              <w14:schemeClr w14:val="tx1"/>
            </w14:solidFill>
          </w14:textFill>
        </w:rPr>
        <w:t>：</w:t>
      </w:r>
      <w:r>
        <w:rPr>
          <w:rFonts w:ascii="Segoe UI" w:hAnsi="Segoe UI" w:eastAsia="Segoe UI" w:cs="Segoe UI"/>
          <w:i w:val="0"/>
          <w:iCs w:val="0"/>
          <w:caps w:val="0"/>
          <w:spacing w:val="0"/>
          <w:sz w:val="24"/>
          <w:szCs w:val="24"/>
          <w:shd w:val="clear" w:fill="FFFFFF"/>
        </w:rPr>
        <w:t>为确保日常变更调查及年度变更调查项目成果质量，项目组建立健全</w:t>
      </w:r>
      <w:r>
        <w:rPr>
          <w:rFonts w:hint="eastAsia" w:ascii="Segoe UI" w:hAnsi="Segoe UI" w:eastAsia="宋体" w:cs="Segoe UI"/>
          <w:i w:val="0"/>
          <w:iCs w:val="0"/>
          <w:caps w:val="0"/>
          <w:spacing w:val="0"/>
          <w:sz w:val="24"/>
          <w:szCs w:val="24"/>
          <w:shd w:val="clear" w:fill="FFFFFF"/>
          <w:lang w:eastAsia="zh-CN"/>
        </w:rPr>
        <w:t>“</w:t>
      </w:r>
      <w:r>
        <w:rPr>
          <w:rFonts w:ascii="Segoe UI" w:hAnsi="Segoe UI" w:eastAsia="Segoe UI" w:cs="Segoe UI"/>
          <w:i w:val="0"/>
          <w:iCs w:val="0"/>
          <w:caps w:val="0"/>
          <w:spacing w:val="0"/>
          <w:sz w:val="24"/>
          <w:szCs w:val="24"/>
          <w:shd w:val="clear" w:fill="FFFFFF"/>
        </w:rPr>
        <w:t>纵向到底、横向到边</w:t>
      </w:r>
      <w:r>
        <w:rPr>
          <w:rFonts w:hint="eastAsia" w:ascii="Segoe UI" w:hAnsi="Segoe UI" w:eastAsia="宋体" w:cs="Segoe UI"/>
          <w:i w:val="0"/>
          <w:iCs w:val="0"/>
          <w:caps w:val="0"/>
          <w:spacing w:val="0"/>
          <w:sz w:val="24"/>
          <w:szCs w:val="24"/>
          <w:shd w:val="clear" w:fill="FFFFFF"/>
          <w:lang w:eastAsia="zh-CN"/>
        </w:rPr>
        <w:t>”</w:t>
      </w:r>
      <w:r>
        <w:rPr>
          <w:rFonts w:ascii="Segoe UI" w:hAnsi="Segoe UI" w:eastAsia="Segoe UI" w:cs="Segoe UI"/>
          <w:i w:val="0"/>
          <w:iCs w:val="0"/>
          <w:caps w:val="0"/>
          <w:spacing w:val="0"/>
          <w:sz w:val="24"/>
          <w:szCs w:val="24"/>
          <w:shd w:val="clear" w:fill="FFFFFF"/>
        </w:rPr>
        <w:t>的质量保证体系：</w:t>
      </w:r>
      <w:r>
        <w:rPr>
          <w:rFonts w:hint="eastAsia" w:ascii="Segoe UI" w:hAnsi="Segoe UI" w:eastAsia="宋体" w:cs="Segoe UI"/>
          <w:i w:val="0"/>
          <w:iCs w:val="0"/>
          <w:caps w:val="0"/>
          <w:spacing w:val="0"/>
          <w:sz w:val="24"/>
          <w:szCs w:val="24"/>
          <w:shd w:val="clear" w:fill="FFFFFF"/>
          <w:lang w:val="en-US" w:eastAsia="zh-CN"/>
        </w:rPr>
        <w:t>至少包含</w:t>
      </w:r>
      <w:r>
        <w:rPr>
          <w:rFonts w:hint="eastAsia" w:ascii="Segoe UI" w:hAnsi="Segoe UI" w:eastAsia="Segoe UI" w:cs="Segoe UI"/>
          <w:i w:val="0"/>
          <w:iCs w:val="0"/>
          <w:caps w:val="0"/>
          <w:spacing w:val="0"/>
          <w:sz w:val="24"/>
          <w:szCs w:val="24"/>
          <w:shd w:val="clear" w:fill="FFFFFF"/>
        </w:rPr>
        <w:t>组织保障体系</w:t>
      </w:r>
      <w:r>
        <w:rPr>
          <w:rFonts w:hint="eastAsia" w:ascii="Segoe UI" w:hAnsi="Segoe UI" w:eastAsia="宋体" w:cs="Segoe UI"/>
          <w:i w:val="0"/>
          <w:iCs w:val="0"/>
          <w:caps w:val="0"/>
          <w:spacing w:val="0"/>
          <w:sz w:val="24"/>
          <w:szCs w:val="24"/>
          <w:shd w:val="clear" w:fill="FFFFFF"/>
          <w:lang w:eastAsia="zh-CN"/>
        </w:rPr>
        <w:t>、制度保障体系、技术标准体系、监督评价体系</w:t>
      </w:r>
      <w:r>
        <w:rPr>
          <w:rFonts w:hint="eastAsia" w:ascii="Segoe UI" w:hAnsi="Segoe UI" w:eastAsia="宋体" w:cs="Segoe UI"/>
          <w:i w:val="0"/>
          <w:iCs w:val="0"/>
          <w:caps w:val="0"/>
          <w:spacing w:val="0"/>
          <w:sz w:val="24"/>
          <w:szCs w:val="24"/>
          <w:shd w:val="clear" w:fill="FFFFFF"/>
          <w:lang w:val="en-US" w:eastAsia="zh-CN"/>
        </w:rPr>
        <w:t>等内容。</w:t>
      </w:r>
    </w:p>
    <w:p w14:paraId="64996BEE">
      <w:pPr>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both"/>
        <w:textAlignment w:val="auto"/>
        <w:rPr>
          <w:rFonts w:hint="default" w:ascii="宋体" w:hAnsi="宋体" w:cs="宋体"/>
          <w:color w:val="000000" w:themeColor="text1"/>
          <w:sz w:val="24"/>
          <w:highlight w:val="none"/>
          <w:lang w:val="en-US" w:eastAsia="zh-CN"/>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②质量保证措施</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至少包含</w:t>
      </w:r>
      <w:r>
        <w:rPr>
          <w:rFonts w:hint="eastAsia" w:ascii="宋体" w:hAnsi="宋体" w:cs="宋体"/>
          <w:color w:val="000000" w:themeColor="text1"/>
          <w:sz w:val="24"/>
          <w:highlight w:val="none"/>
          <w:lang w:eastAsia="zh-CN"/>
          <w14:textFill>
            <w14:solidFill>
              <w14:schemeClr w14:val="tx1"/>
            </w14:solidFill>
          </w14:textFill>
        </w:rPr>
        <w:t>统一技术要求，确保标准一致；源头控制，把好数据入口关；过程控制，强化工序质量管理；技术保障，强化技术手段支撑；成果控制，严格验收程序</w:t>
      </w:r>
      <w:r>
        <w:rPr>
          <w:rFonts w:hint="eastAsia" w:ascii="宋体" w:hAnsi="宋体" w:cs="宋体"/>
          <w:color w:val="000000" w:themeColor="text1"/>
          <w:sz w:val="24"/>
          <w:highlight w:val="none"/>
          <w:lang w:val="en-US" w:eastAsia="zh-CN"/>
          <w14:textFill>
            <w14:solidFill>
              <w14:schemeClr w14:val="tx1"/>
            </w14:solidFill>
          </w14:textFill>
        </w:rPr>
        <w:t>等内容。</w:t>
      </w:r>
    </w:p>
    <w:p w14:paraId="1924A7F2">
      <w:pPr>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both"/>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③岗前技术培训</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至少包含</w:t>
      </w:r>
      <w:r>
        <w:rPr>
          <w:rFonts w:hint="eastAsia" w:ascii="宋体" w:hAnsi="宋体" w:cs="宋体"/>
          <w:color w:val="000000" w:themeColor="text1"/>
          <w:sz w:val="24"/>
          <w:highlight w:val="none"/>
          <w:lang w:eastAsia="zh-CN"/>
          <w14:textFill>
            <w14:solidFill>
              <w14:schemeClr w14:val="tx1"/>
            </w14:solidFill>
          </w14:textFill>
        </w:rPr>
        <w:t>培训目的、培训对象、培训内容（政策法规与标准规范、项目技术要求、质量控制要求、安全保密教育</w:t>
      </w:r>
      <w:r>
        <w:rPr>
          <w:rFonts w:hint="eastAsia" w:ascii="宋体" w:hAnsi="宋体" w:cs="宋体"/>
          <w:color w:val="000000" w:themeColor="text1"/>
          <w:sz w:val="24"/>
          <w:highlight w:val="none"/>
          <w:lang w:val="en-US" w:eastAsia="zh-CN"/>
          <w14:textFill>
            <w14:solidFill>
              <w14:schemeClr w14:val="tx1"/>
            </w14:solidFill>
          </w14:textFill>
        </w:rPr>
        <w:t>等</w:t>
      </w:r>
      <w:r>
        <w:rPr>
          <w:rFonts w:hint="eastAsia" w:ascii="宋体" w:hAnsi="宋体" w:cs="宋体"/>
          <w:color w:val="000000" w:themeColor="text1"/>
          <w:sz w:val="24"/>
          <w:highlight w:val="none"/>
          <w:lang w:eastAsia="zh-CN"/>
          <w14:textFill>
            <w14:solidFill>
              <w14:schemeClr w14:val="tx1"/>
            </w14:solidFill>
          </w14:textFill>
        </w:rPr>
        <w:t>）、培训方式、培训管理</w:t>
      </w:r>
      <w:r>
        <w:rPr>
          <w:rFonts w:hint="eastAsia" w:ascii="宋体" w:hAnsi="宋体" w:cs="宋体"/>
          <w:color w:val="000000" w:themeColor="text1"/>
          <w:sz w:val="24"/>
          <w:highlight w:val="none"/>
          <w:lang w:val="en-US" w:eastAsia="zh-CN"/>
          <w14:textFill>
            <w14:solidFill>
              <w14:schemeClr w14:val="tx1"/>
            </w14:solidFill>
          </w14:textFill>
        </w:rPr>
        <w:t>等内容。</w:t>
      </w:r>
    </w:p>
    <w:p w14:paraId="38B491EA">
      <w:pPr>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rightChars="0" w:firstLine="480" w:firstLineChars="200"/>
        <w:jc w:val="both"/>
        <w:textAlignment w:val="auto"/>
        <w:rPr>
          <w:rFonts w:hint="eastAsia" w:ascii="宋体" w:hAnsi="宋体" w:eastAsia="宋体" w:cs="宋体"/>
          <w:color w:val="000000" w:themeColor="text1"/>
          <w:sz w:val="24"/>
          <w:highlight w:val="none"/>
          <w:lang w:eastAsia="zh-CN"/>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④工序控制</w:t>
      </w:r>
      <w:r>
        <w:rPr>
          <w:rFonts w:hint="eastAsia" w:ascii="宋体" w:hAnsi="宋体" w:cs="宋体"/>
          <w:color w:val="000000" w:themeColor="text1"/>
          <w:sz w:val="24"/>
          <w:highlight w:val="none"/>
          <w:lang w:eastAsia="zh-CN"/>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投标人应根据部、省要求的工作时间节点，制定合理的进度安排，确保项目保质保量完成</w:t>
      </w:r>
      <w:r>
        <w:rPr>
          <w:rFonts w:hint="eastAsia" w:ascii="宋体" w:hAnsi="宋体" w:cs="宋体"/>
          <w:color w:val="000000" w:themeColor="text1"/>
          <w:sz w:val="24"/>
          <w:highlight w:val="none"/>
          <w:lang w:eastAsia="zh-CN"/>
          <w14:textFill>
            <w14:solidFill>
              <w14:schemeClr w14:val="tx1"/>
            </w14:solidFill>
          </w14:textFill>
        </w:rPr>
        <w:t>。</w:t>
      </w:r>
    </w:p>
    <w:p w14:paraId="04051AF8">
      <w:pPr>
        <w:keepNext w:val="0"/>
        <w:keepLines w:val="0"/>
        <w:pageBreakBefore w:val="0"/>
        <w:numPr>
          <w:ilvl w:val="0"/>
          <w:numId w:val="3"/>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售后服务：至少包含①售后服务承诺和售后服务保障措施；②维护期内后续技术支持和维护以及后续技术支持和维护能力情况等方面内容</w:t>
      </w:r>
    </w:p>
    <w:p w14:paraId="0AC4CB65">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rightChars="0" w:firstLine="480" w:firstLineChars="200"/>
        <w:jc w:val="both"/>
        <w:textAlignment w:val="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①售后服务承诺和售后服务保障措施：</w:t>
      </w:r>
      <w:r>
        <w:rPr>
          <w:rFonts w:hint="eastAsia" w:ascii="宋体" w:hAnsi="宋体" w:cs="宋体"/>
          <w:color w:val="000000" w:themeColor="text1"/>
          <w:sz w:val="24"/>
          <w:highlight w:val="none"/>
          <w:lang w:val="en-US" w:eastAsia="zh-CN"/>
          <w14:textFill>
            <w14:solidFill>
              <w14:schemeClr w14:val="tx1"/>
            </w14:solidFill>
          </w14:textFill>
        </w:rPr>
        <w:t>至少包含</w:t>
      </w:r>
      <w:r>
        <w:rPr>
          <w:rFonts w:hint="eastAsia" w:ascii="宋体" w:hAnsi="宋体" w:cs="宋体"/>
          <w:color w:val="000000" w:themeColor="text1"/>
          <w:sz w:val="24"/>
          <w:highlight w:val="none"/>
          <w:lang w:eastAsia="zh-CN"/>
          <w14:textFill>
            <w14:solidFill>
              <w14:schemeClr w14:val="tx1"/>
            </w14:solidFill>
          </w14:textFill>
        </w:rPr>
        <w:t>服务期限承诺、响应时间承诺、服务质量承诺、安全保密承诺</w:t>
      </w:r>
      <w:r>
        <w:rPr>
          <w:rFonts w:hint="eastAsia" w:ascii="宋体" w:hAnsi="宋体" w:cs="宋体"/>
          <w:color w:val="000000" w:themeColor="text1"/>
          <w:sz w:val="24"/>
          <w:highlight w:val="none"/>
          <w:lang w:val="en-US" w:eastAsia="zh-CN"/>
          <w14:textFill>
            <w14:solidFill>
              <w14:schemeClr w14:val="tx1"/>
            </w14:solidFill>
          </w14:textFill>
        </w:rPr>
        <w:t>等；</w:t>
      </w:r>
      <w:r>
        <w:rPr>
          <w:rFonts w:hint="eastAsia" w:ascii="宋体" w:hAnsi="宋体" w:cs="宋体"/>
          <w:color w:val="000000" w:themeColor="text1"/>
          <w:sz w:val="24"/>
          <w:highlight w:val="none"/>
          <w:lang w:eastAsia="zh-CN"/>
          <w14:textFill>
            <w14:solidFill>
              <w14:schemeClr w14:val="tx1"/>
            </w14:solidFill>
          </w14:textFill>
        </w:rPr>
        <w:t>售后服务保障措施</w:t>
      </w:r>
      <w:r>
        <w:rPr>
          <w:rFonts w:hint="eastAsia" w:ascii="宋体" w:hAnsi="宋体" w:cs="宋体"/>
          <w:color w:val="000000" w:themeColor="text1"/>
          <w:sz w:val="24"/>
          <w:highlight w:val="none"/>
          <w:lang w:val="en-US" w:eastAsia="zh-CN"/>
          <w14:textFill>
            <w14:solidFill>
              <w14:schemeClr w14:val="tx1"/>
            </w14:solidFill>
          </w14:textFill>
        </w:rPr>
        <w:t>至少包含</w:t>
      </w:r>
      <w:r>
        <w:rPr>
          <w:rFonts w:hint="eastAsia" w:ascii="宋体" w:hAnsi="宋体" w:cs="宋体"/>
          <w:color w:val="000000" w:themeColor="text1"/>
          <w:sz w:val="24"/>
          <w:highlight w:val="none"/>
          <w:lang w:eastAsia="zh-CN"/>
          <w14:textFill>
            <w14:solidFill>
              <w14:schemeClr w14:val="tx1"/>
            </w14:solidFill>
          </w14:textFill>
        </w:rPr>
        <w:t>组织保障措施、售后服务保障措施、技术保障措施、人员保障措施、</w:t>
      </w:r>
      <w:r>
        <w:rPr>
          <w:rFonts w:hint="eastAsia" w:ascii="宋体" w:hAnsi="宋体" w:cs="宋体"/>
          <w:color w:val="000000" w:themeColor="text1"/>
          <w:sz w:val="24"/>
          <w:highlight w:val="none"/>
          <w:lang w:val="en-US" w:eastAsia="zh-CN"/>
          <w14:textFill>
            <w14:solidFill>
              <w14:schemeClr w14:val="tx1"/>
            </w14:solidFill>
          </w14:textFill>
        </w:rPr>
        <w:t>应急</w:t>
      </w:r>
      <w:r>
        <w:rPr>
          <w:rFonts w:hint="eastAsia" w:ascii="宋体" w:hAnsi="宋体" w:cs="宋体"/>
          <w:color w:val="000000" w:themeColor="text1"/>
          <w:sz w:val="24"/>
          <w:highlight w:val="none"/>
          <w:lang w:eastAsia="zh-CN"/>
          <w14:textFill>
            <w14:solidFill>
              <w14:schemeClr w14:val="tx1"/>
            </w14:solidFill>
          </w14:textFill>
        </w:rPr>
        <w:t>保障措施</w:t>
      </w:r>
      <w:r>
        <w:rPr>
          <w:rFonts w:hint="eastAsia" w:ascii="宋体" w:hAnsi="宋体" w:cs="宋体"/>
          <w:color w:val="000000" w:themeColor="text1"/>
          <w:sz w:val="24"/>
          <w:highlight w:val="none"/>
          <w:lang w:val="en-US" w:eastAsia="zh-CN"/>
          <w14:textFill>
            <w14:solidFill>
              <w14:schemeClr w14:val="tx1"/>
            </w14:solidFill>
          </w14:textFill>
        </w:rPr>
        <w:t>等内容。</w:t>
      </w:r>
    </w:p>
    <w:p w14:paraId="048BF107">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rightChars="0" w:firstLine="480" w:firstLineChars="200"/>
        <w:jc w:val="both"/>
        <w:textAlignment w:val="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②维护期内后续技术支持和维护以及后续技术支持和维护能力情况：至少包含成果数据维护、技术咨询服务、培训服务、系统与软件支持、配合上级检查支持等内容。</w:t>
      </w:r>
    </w:p>
    <w:p w14:paraId="651E756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3、其他要求</w:t>
      </w:r>
    </w:p>
    <w:p w14:paraId="745BD2A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（1）为了</w:t>
      </w:r>
      <w:r>
        <w:rPr>
          <w:rFonts w:hint="eastAsia" w:ascii="宋体" w:hAnsi="宋体" w:cs="宋体"/>
          <w:color w:val="000000" w:themeColor="text1"/>
          <w:sz w:val="24"/>
          <w:highlight w:val="none"/>
          <w:lang w:eastAsia="zh-CN"/>
          <w14:textFill>
            <w14:solidFill>
              <w14:schemeClr w14:val="tx1"/>
            </w14:solidFill>
          </w14:textFill>
        </w:rPr>
        <w:t>盐城市202</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lang w:eastAsia="zh-CN"/>
          <w14:textFill>
            <w14:solidFill>
              <w14:schemeClr w14:val="tx1"/>
            </w14:solidFill>
          </w14:textFill>
        </w:rPr>
        <w:t>年日常变更及年度变更调查</w:t>
      </w:r>
      <w:r>
        <w:rPr>
          <w:rFonts w:ascii="宋体" w:hAnsi="宋体" w:eastAsia="宋体" w:cs="宋体"/>
          <w:color w:val="000000" w:themeColor="text1"/>
          <w:sz w:val="24"/>
          <w:highlight w:val="none"/>
          <w14:textFill>
            <w14:solidFill>
              <w14:schemeClr w14:val="tx1"/>
            </w14:solidFill>
          </w14:textFill>
        </w:rPr>
        <w:t>市级检查及技术支撑服务项目更好的实施，供应商能够提供的项目组成员中项目负责人、技术负责人具备测绘类（或土地类）专业职称、注册测绘师证书的优先。项目组人员（除项目负责人、技术负责人外）具备测绘类（或土地类）职称的优先。</w:t>
      </w:r>
    </w:p>
    <w:p w14:paraId="69E27AE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（2）供应商有丰富的类似项目相关承接经验，为了确保项目的顺利实施，投标人自202</w:t>
      </w:r>
      <w:r>
        <w:rPr>
          <w:rFonts w:hint="eastAsia" w:ascii="宋体" w:hAnsi="宋体" w:cs="宋体"/>
          <w:color w:val="000000" w:themeColor="text1"/>
          <w:sz w:val="24"/>
          <w:highlight w:val="none"/>
          <w:lang w:val="en-US" w:eastAsia="zh-CN"/>
          <w14:textFill>
            <w14:solidFill>
              <w14:schemeClr w14:val="tx1"/>
            </w14:solidFill>
          </w14:textFill>
        </w:rPr>
        <w:t>1</w:t>
      </w:r>
      <w:r>
        <w:rPr>
          <w:rFonts w:ascii="宋体" w:hAnsi="宋体" w:eastAsia="宋体" w:cs="宋体"/>
          <w:color w:val="000000" w:themeColor="text1"/>
          <w:sz w:val="24"/>
          <w:highlight w:val="none"/>
          <w14:textFill>
            <w14:solidFill>
              <w14:schemeClr w14:val="tx1"/>
            </w14:solidFill>
          </w14:textFill>
        </w:rPr>
        <w:t>年1月1日起承担过以上类似案例业绩的优先。</w:t>
      </w:r>
    </w:p>
    <w:p w14:paraId="2AFBCE1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（3）投标人应对本次招标的工作内容和要求进行整体报价，投标报价一次报定不得更改，报价应包括完成本项目服务工作期间所需的人工、材料、车辆、会务、审查等全部费用。</w:t>
      </w:r>
    </w:p>
    <w:p w14:paraId="1EBC65B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60" w:lineRule="auto"/>
        <w:ind w:left="0" w:right="0" w:firstLine="480"/>
        <w:jc w:val="both"/>
        <w:textAlignment w:val="auto"/>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本项目</w:t>
      </w:r>
      <w:r>
        <w:rPr>
          <w:rFonts w:ascii="宋体" w:hAnsi="宋体" w:eastAsia="宋体" w:cs="宋体"/>
          <w:color w:val="000000" w:themeColor="text1"/>
          <w:sz w:val="24"/>
          <w:highlight w:val="none"/>
          <w:u w:val="single"/>
          <w14:textFill>
            <w14:solidFill>
              <w14:schemeClr w14:val="tx1"/>
            </w14:solidFill>
          </w14:textFill>
        </w:rPr>
        <w:t>不接受</w:t>
      </w:r>
      <w:r>
        <w:rPr>
          <w:rFonts w:ascii="宋体" w:hAnsi="宋体" w:eastAsia="宋体" w:cs="宋体"/>
          <w:color w:val="000000" w:themeColor="text1"/>
          <w:sz w:val="24"/>
          <w:highlight w:val="none"/>
          <w14:textFill>
            <w14:solidFill>
              <w14:schemeClr w14:val="tx1"/>
            </w14:solidFill>
          </w14:textFill>
        </w:rPr>
        <w:t>进口产品投标。</w:t>
      </w:r>
    </w:p>
    <w:p w14:paraId="5F72A25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60" w:lineRule="auto"/>
        <w:ind w:left="0" w:right="0" w:firstLine="480" w:firstLineChars="200"/>
        <w:jc w:val="both"/>
        <w:textAlignment w:val="auto"/>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采购标的对应的中小企业划分标准所属行业一览表</w:t>
      </w:r>
    </w:p>
    <w:tbl>
      <w:tblPr>
        <w:tblStyle w:val="50"/>
        <w:tblW w:w="8169"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9"/>
        <w:gridCol w:w="4625"/>
        <w:gridCol w:w="2635"/>
      </w:tblGrid>
      <w:tr w14:paraId="19A4D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9" w:hRule="atLeast"/>
          <w:tblCellSpacing w:w="0" w:type="dxa"/>
          <w:jc w:val="center"/>
        </w:trPr>
        <w:tc>
          <w:tcPr>
            <w:tcW w:w="909" w:type="dxa"/>
            <w:tcBorders>
              <w:tl2br w:val="nil"/>
              <w:tr2bl w:val="nil"/>
            </w:tcBorders>
            <w:shd w:val="clear" w:color="auto" w:fill="auto"/>
            <w:noWrap w:val="0"/>
            <w:vAlign w:val="center"/>
          </w:tcPr>
          <w:p w14:paraId="49DB2FA0">
            <w:pPr>
              <w:pStyle w:val="45"/>
              <w:spacing w:beforeAutospacing="0" w:afterAutospacing="0" w:line="0" w:lineRule="atLeast"/>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序号</w:t>
            </w:r>
          </w:p>
        </w:tc>
        <w:tc>
          <w:tcPr>
            <w:tcW w:w="4625" w:type="dxa"/>
            <w:tcBorders>
              <w:tl2br w:val="nil"/>
              <w:tr2bl w:val="nil"/>
            </w:tcBorders>
            <w:shd w:val="clear" w:color="auto" w:fill="auto"/>
            <w:noWrap w:val="0"/>
            <w:vAlign w:val="center"/>
          </w:tcPr>
          <w:p w14:paraId="0365CE6D">
            <w:pPr>
              <w:pStyle w:val="45"/>
              <w:spacing w:beforeAutospacing="0" w:afterAutospacing="0" w:line="0" w:lineRule="atLeast"/>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采购标的</w:t>
            </w:r>
          </w:p>
        </w:tc>
        <w:tc>
          <w:tcPr>
            <w:tcW w:w="2635" w:type="dxa"/>
            <w:tcBorders>
              <w:tl2br w:val="nil"/>
              <w:tr2bl w:val="nil"/>
            </w:tcBorders>
            <w:shd w:val="clear" w:color="auto" w:fill="auto"/>
            <w:noWrap w:val="0"/>
            <w:vAlign w:val="center"/>
          </w:tcPr>
          <w:p w14:paraId="5823A312">
            <w:pPr>
              <w:pStyle w:val="45"/>
              <w:spacing w:beforeAutospacing="0" w:afterAutospacing="0" w:line="0" w:lineRule="atLeast"/>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对应中小企业划分标准所属行业</w:t>
            </w:r>
          </w:p>
        </w:tc>
      </w:tr>
      <w:tr w14:paraId="06BE8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1" w:hRule="atLeast"/>
          <w:tblCellSpacing w:w="0" w:type="dxa"/>
          <w:jc w:val="center"/>
        </w:trPr>
        <w:tc>
          <w:tcPr>
            <w:tcW w:w="909" w:type="dxa"/>
            <w:tcBorders>
              <w:tl2br w:val="nil"/>
              <w:tr2bl w:val="nil"/>
            </w:tcBorders>
            <w:shd w:val="clear" w:color="auto" w:fill="auto"/>
            <w:noWrap w:val="0"/>
            <w:vAlign w:val="center"/>
          </w:tcPr>
          <w:p w14:paraId="40009284">
            <w:pPr>
              <w:pStyle w:val="45"/>
              <w:spacing w:beforeAutospacing="0" w:afterAutospacing="0" w:line="0" w:lineRule="atLeast"/>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1</w:t>
            </w:r>
          </w:p>
        </w:tc>
        <w:tc>
          <w:tcPr>
            <w:tcW w:w="4625" w:type="dxa"/>
            <w:tcBorders>
              <w:tl2br w:val="nil"/>
              <w:tr2bl w:val="nil"/>
            </w:tcBorders>
            <w:shd w:val="clear" w:color="auto" w:fill="auto"/>
            <w:noWrap w:val="0"/>
            <w:vAlign w:val="center"/>
          </w:tcPr>
          <w:p w14:paraId="4ACF6112">
            <w:pPr>
              <w:pStyle w:val="45"/>
              <w:spacing w:beforeAutospacing="0" w:afterAutospacing="0" w:line="0" w:lineRule="atLeast"/>
              <w:jc w:val="cente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盐城市2026年日常变更及年度变更调查</w:t>
            </w:r>
            <w:r>
              <w:rPr>
                <w:rFonts w:hint="eastAsia"/>
                <w:color w:val="000000" w:themeColor="text1"/>
                <w:highlight w:val="none"/>
                <w14:textFill>
                  <w14:solidFill>
                    <w14:schemeClr w14:val="tx1"/>
                  </w14:solidFill>
                </w14:textFill>
              </w:rPr>
              <w:t>市级检查及技术支撑服务项目</w:t>
            </w:r>
          </w:p>
        </w:tc>
        <w:tc>
          <w:tcPr>
            <w:tcW w:w="2635" w:type="dxa"/>
            <w:tcBorders>
              <w:tl2br w:val="nil"/>
              <w:tr2bl w:val="nil"/>
            </w:tcBorders>
            <w:shd w:val="clear" w:color="auto" w:fill="auto"/>
            <w:noWrap w:val="0"/>
            <w:vAlign w:val="center"/>
          </w:tcPr>
          <w:p w14:paraId="283F3285">
            <w:pPr>
              <w:pStyle w:val="45"/>
              <w:spacing w:beforeAutospacing="0" w:afterAutospacing="0" w:line="0" w:lineRule="atLeas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其他未列明行业</w:t>
            </w:r>
          </w:p>
        </w:tc>
      </w:tr>
    </w:tbl>
    <w:p w14:paraId="3126C48F">
      <w:pPr>
        <w:bidi w:val="0"/>
        <w:rPr>
          <w:rFonts w:hint="eastAsia"/>
          <w:color w:val="000000" w:themeColor="text1"/>
          <w:highlight w:val="none"/>
          <w:lang w:val="en-US" w:eastAsia="zh-CN"/>
          <w14:textFill>
            <w14:solidFill>
              <w14:schemeClr w14:val="tx1"/>
            </w14:solidFill>
          </w14:textFill>
        </w:rPr>
      </w:pPr>
    </w:p>
    <w:p w14:paraId="3C0748C5">
      <w:pPr>
        <w:bidi w:val="0"/>
        <w:rPr>
          <w:rFonts w:hint="eastAsia"/>
          <w:color w:val="000000" w:themeColor="text1"/>
          <w:highlight w:val="none"/>
          <w:lang w:val="en-US" w:eastAsia="zh-CN"/>
          <w14:textFill>
            <w14:solidFill>
              <w14:schemeClr w14:val="tx1"/>
            </w14:solidFill>
          </w14:textFill>
        </w:rPr>
      </w:pPr>
    </w:p>
    <w:p w14:paraId="25BA820A">
      <w:pPr>
        <w:bidi w:val="0"/>
        <w:rPr>
          <w:rFonts w:hint="eastAsia"/>
          <w:color w:val="000000" w:themeColor="text1"/>
          <w:highlight w:val="none"/>
          <w:lang w:val="en-US" w:eastAsia="zh-CN"/>
          <w14:textFill>
            <w14:solidFill>
              <w14:schemeClr w14:val="tx1"/>
            </w14:solidFill>
          </w14:textFill>
        </w:rPr>
      </w:pPr>
    </w:p>
    <w:p w14:paraId="5B19DF85">
      <w:pPr>
        <w:bidi w:val="0"/>
        <w:rPr>
          <w:rFonts w:hint="eastAsia"/>
          <w:color w:val="000000" w:themeColor="text1"/>
          <w:highlight w:val="none"/>
          <w:lang w:val="en-US" w:eastAsia="zh-CN"/>
          <w14:textFill>
            <w14:solidFill>
              <w14:schemeClr w14:val="tx1"/>
            </w14:solidFill>
          </w14:textFill>
        </w:rPr>
      </w:pPr>
    </w:p>
    <w:p w14:paraId="3F85782B">
      <w:pPr>
        <w:bidi w:val="0"/>
        <w:rPr>
          <w:rFonts w:hint="eastAsia"/>
          <w:color w:val="000000" w:themeColor="text1"/>
          <w:highlight w:val="none"/>
          <w:lang w:val="en-US" w:eastAsia="zh-CN"/>
          <w14:textFill>
            <w14:solidFill>
              <w14:schemeClr w14:val="tx1"/>
            </w14:solidFill>
          </w14:textFill>
        </w:rPr>
      </w:pPr>
    </w:p>
    <w:p w14:paraId="4718D1FF">
      <w:pPr>
        <w:bidi w:val="0"/>
        <w:rPr>
          <w:rFonts w:hint="eastAsia"/>
          <w:color w:val="000000" w:themeColor="text1"/>
          <w:highlight w:val="none"/>
          <w:lang w:val="en-US" w:eastAsia="zh-CN"/>
          <w14:textFill>
            <w14:solidFill>
              <w14:schemeClr w14:val="tx1"/>
            </w14:solidFill>
          </w14:textFill>
        </w:rPr>
      </w:pPr>
    </w:p>
    <w:p w14:paraId="421D3156">
      <w:pPr>
        <w:bidi w:val="0"/>
        <w:rPr>
          <w:rFonts w:hint="eastAsia"/>
          <w:color w:val="000000" w:themeColor="text1"/>
          <w:highlight w:val="none"/>
          <w:lang w:val="en-US" w:eastAsia="zh-CN"/>
          <w14:textFill>
            <w14:solidFill>
              <w14:schemeClr w14:val="tx1"/>
            </w14:solidFill>
          </w14:textFill>
        </w:rPr>
      </w:pPr>
    </w:p>
    <w:p w14:paraId="33A3CCC6">
      <w:pPr>
        <w:bidi w:val="0"/>
        <w:rPr>
          <w:rFonts w:hint="eastAsia"/>
          <w:color w:val="000000" w:themeColor="text1"/>
          <w:highlight w:val="none"/>
          <w:lang w:val="en-US" w:eastAsia="zh-CN"/>
          <w14:textFill>
            <w14:solidFill>
              <w14:schemeClr w14:val="tx1"/>
            </w14:solidFill>
          </w14:textFill>
        </w:rPr>
      </w:pPr>
    </w:p>
    <w:p w14:paraId="3D7FD593">
      <w:pPr>
        <w:bidi w:val="0"/>
        <w:rPr>
          <w:rFonts w:hint="eastAsia"/>
          <w:color w:val="000000" w:themeColor="text1"/>
          <w:highlight w:val="none"/>
          <w:lang w:val="en-US" w:eastAsia="zh-CN"/>
          <w14:textFill>
            <w14:solidFill>
              <w14:schemeClr w14:val="tx1"/>
            </w14:solidFill>
          </w14:textFill>
        </w:rPr>
      </w:pPr>
    </w:p>
    <w:p w14:paraId="0B703D64">
      <w:pPr>
        <w:bidi w:val="0"/>
        <w:rPr>
          <w:rFonts w:hint="eastAsia"/>
          <w:color w:val="000000" w:themeColor="text1"/>
          <w:highlight w:val="none"/>
          <w:lang w:val="en-US" w:eastAsia="zh-CN"/>
          <w14:textFill>
            <w14:solidFill>
              <w14:schemeClr w14:val="tx1"/>
            </w14:solidFill>
          </w14:textFill>
        </w:rPr>
      </w:pPr>
    </w:p>
    <w:p w14:paraId="41A9132F">
      <w:pPr>
        <w:bidi w:val="0"/>
        <w:rPr>
          <w:rFonts w:hint="eastAsia"/>
          <w:color w:val="000000" w:themeColor="text1"/>
          <w:highlight w:val="none"/>
          <w:lang w:val="en-US" w:eastAsia="zh-CN"/>
          <w14:textFill>
            <w14:solidFill>
              <w14:schemeClr w14:val="tx1"/>
            </w14:solidFill>
          </w14:textFill>
        </w:rPr>
      </w:pPr>
    </w:p>
    <w:p w14:paraId="326A0DA8">
      <w:pPr>
        <w:bidi w:val="0"/>
        <w:rPr>
          <w:rFonts w:hint="eastAsia"/>
          <w:color w:val="000000" w:themeColor="text1"/>
          <w:highlight w:val="none"/>
          <w:lang w:val="en-US" w:eastAsia="zh-CN"/>
          <w14:textFill>
            <w14:solidFill>
              <w14:schemeClr w14:val="tx1"/>
            </w14:solidFill>
          </w14:textFill>
        </w:rPr>
      </w:pPr>
    </w:p>
    <w:p w14:paraId="3C6EE825">
      <w:pPr>
        <w:bidi w:val="0"/>
        <w:rPr>
          <w:rFonts w:hint="eastAsia"/>
          <w:color w:val="000000" w:themeColor="text1"/>
          <w:highlight w:val="none"/>
          <w:lang w:val="en-US" w:eastAsia="zh-CN"/>
          <w14:textFill>
            <w14:solidFill>
              <w14:schemeClr w14:val="tx1"/>
            </w14:solidFill>
          </w14:textFill>
        </w:rPr>
      </w:pPr>
    </w:p>
    <w:p w14:paraId="4A2398E6">
      <w:pPr>
        <w:pStyle w:val="5"/>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Times New Roman" w:eastAsia="黑体" w:cs="Times New Roman"/>
          <w:b w:val="0"/>
          <w:color w:val="000000" w:themeColor="text1"/>
          <w:sz w:val="44"/>
          <w:szCs w:val="44"/>
          <w:highlight w:val="none"/>
          <w:lang w:val="en-US" w:eastAsia="zh-CN" w:bidi="ar-SA"/>
          <w14:textFill>
            <w14:solidFill>
              <w14:schemeClr w14:val="tx1"/>
            </w14:solidFill>
          </w14:textFill>
        </w:rPr>
      </w:pPr>
      <w:r>
        <w:rPr>
          <w:rFonts w:hint="eastAsia" w:ascii="黑体" w:hAnsi="Times New Roman" w:eastAsia="黑体" w:cs="Times New Roman"/>
          <w:b w:val="0"/>
          <w:color w:val="000000" w:themeColor="text1"/>
          <w:sz w:val="44"/>
          <w:szCs w:val="44"/>
          <w:highlight w:val="none"/>
          <w:lang w:val="en-US" w:eastAsia="zh-CN" w:bidi="ar-SA"/>
          <w14:textFill>
            <w14:solidFill>
              <w14:schemeClr w14:val="tx1"/>
            </w14:solidFill>
          </w14:textFill>
        </w:rPr>
        <w:t>第五章  评审方法和评审标准</w:t>
      </w:r>
    </w:p>
    <w:p w14:paraId="56A2872B">
      <w:pPr>
        <w:pStyle w:val="9"/>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ascii="宋体" w:hAnsi="宋体" w:eastAsia="宋体" w:cs="宋体"/>
          <w:b/>
          <w:color w:val="000000" w:themeColor="text1"/>
          <w:sz w:val="24"/>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一、评标方法与定标原则</w:t>
      </w:r>
    </w:p>
    <w:p w14:paraId="51104E64">
      <w:pPr>
        <w:pageBreakBefore w:val="0"/>
        <w:widowControl w:val="0"/>
        <w:pBdr>
          <w:top w:val="none" w:color="000000" w:sz="0" w:space="0"/>
          <w:left w:val="none" w:color="000000" w:sz="0" w:space="0"/>
          <w:bottom w:val="none" w:color="000000" w:sz="0" w:space="0"/>
          <w:right w:val="none" w:color="000000" w:sz="0" w:space="0"/>
        </w:pBdr>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kinsoku/>
        <w:wordWrap/>
        <w:overflowPunct/>
        <w:topLinePunct w:val="0"/>
        <w:autoSpaceDE/>
        <w:autoSpaceDN/>
        <w:bidi w:val="0"/>
        <w:adjustRightInd/>
        <w:snapToGrid/>
        <w:spacing w:before="0" w:after="0" w:line="360" w:lineRule="auto"/>
        <w:ind w:left="0" w:right="0" w:firstLine="480"/>
        <w:jc w:val="both"/>
        <w:textAlignment w:val="auto"/>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本项目采用</w:t>
      </w:r>
      <w:r>
        <w:rPr>
          <w:rFonts w:ascii="宋体" w:hAnsi="宋体" w:eastAsia="宋体" w:cs="宋体"/>
          <w:color w:val="000000" w:themeColor="text1"/>
          <w:sz w:val="24"/>
          <w:highlight w:val="none"/>
          <w:u w:val="single"/>
          <w14:textFill>
            <w14:solidFill>
              <w14:schemeClr w14:val="tx1"/>
            </w14:solidFill>
          </w14:textFill>
        </w:rPr>
        <w:t>综合评分</w:t>
      </w:r>
      <w:r>
        <w:rPr>
          <w:rFonts w:ascii="宋体" w:hAnsi="宋体" w:eastAsia="宋体" w:cs="宋体"/>
          <w:color w:val="000000" w:themeColor="text1"/>
          <w:sz w:val="24"/>
          <w:highlight w:val="none"/>
          <w14:textFill>
            <w14:solidFill>
              <w14:schemeClr w14:val="tx1"/>
            </w14:solidFill>
          </w14:textFill>
        </w:rPr>
        <w:t>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p>
    <w:p w14:paraId="1842FFD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排名第一的中标候选人放弃中标，或因不可抗力提出不能履行合同，或者被查实存在影响中标结果的违法行为等情形，不符合中标条件的，本项目直接重新招标，不确定其他投标人为中标人。</w:t>
      </w:r>
    </w:p>
    <w:p w14:paraId="2C6DF7B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000000" w:themeColor="text1"/>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政府采购政策功能落实</w:t>
      </w:r>
    </w:p>
    <w:p w14:paraId="10006C9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1、小微型企业价格扣除</w:t>
      </w:r>
    </w:p>
    <w:p w14:paraId="35F5DAB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（1）本项目不专门面向中小企业采购，对符合规定的小型和微型企业报价给予20%的扣除价格，用扣除后的价格参与评审。</w:t>
      </w:r>
    </w:p>
    <w:p w14:paraId="3B285A3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（2）供应商需按照采购文件的要求提供相应的《中小企业声明函》。</w:t>
      </w:r>
    </w:p>
    <w:p w14:paraId="3E8E771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（3）企业标准请参照《关于印发中小企业划型标准规定的通知》（工信部联企业〔2011〕300号）文件规定自行填写。</w:t>
      </w:r>
    </w:p>
    <w:p w14:paraId="59E05F2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2、残疾人福利单位价格扣除</w:t>
      </w:r>
    </w:p>
    <w:p w14:paraId="6D0F03D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（1）本项目对残疾人福利性单位视同小型、微型企业，给予20%的价格扣除，用扣除后的价格参与评审。</w:t>
      </w:r>
    </w:p>
    <w:p w14:paraId="5229687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（2）残疾人福利单位标准请参照《关于促进残疾人就业政府采购政策的通知》（财库〔2017〕141号），需提供《残疾人福利性单位声明函》，格式自拟。</w:t>
      </w:r>
    </w:p>
    <w:p w14:paraId="16CDAF1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3、监狱和戒毒企业价格扣除</w:t>
      </w:r>
    </w:p>
    <w:p w14:paraId="4A8F027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（1）本项目对监狱和戒毒企业（简称监狱企业）视同小型、微型企业，给予10%的价格扣除，用扣除后的价格参与评审。</w:t>
      </w:r>
    </w:p>
    <w:p w14:paraId="4458EF4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（2）监狱企业参加政府采购活动时，需提供由省级以上监狱管理局、戒毒管理局(含新疆生产建设兵团)出具的属于监狱企业的证明文件。供应商如不提供上述证明文件，价格将不做相应扣除。</w:t>
      </w:r>
    </w:p>
    <w:p w14:paraId="3675849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（3）监狱企业标准请参照《关于政府采购支持监狱企业发展有关问题的通知》（财库[2014]68号）。</w:t>
      </w:r>
    </w:p>
    <w:p w14:paraId="0265865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4、残疾人福利单位、监狱企业属于小型、微型企业的，不重复享受政策。</w:t>
      </w:r>
    </w:p>
    <w:p w14:paraId="2FB5EBB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36BC42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6、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323EDD5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7、联合体各方均为小型、微型企业（残疾人福利单位、监狱企业）的，联合体享受20%的价格扣除。</w:t>
      </w:r>
    </w:p>
    <w:p w14:paraId="20F7117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8、供应商对于投标产品的商品包装、快递包装应按照“财办库〔2020〕123号《关于印发《商品包装政府采购需求标准（试行）》、《快递包装政府采购需求标准（试行）》的通知》”执行。</w:t>
      </w:r>
    </w:p>
    <w:p w14:paraId="7880AFF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9、本文件中若涉及到数据中心采购，应按照《&lt;绿色数据中心政府采购需求标准（试行）&gt;的通知》（财库〔2023〕7号）执行。</w:t>
      </w:r>
    </w:p>
    <w:p w14:paraId="6A9EB9C7">
      <w:pPr>
        <w:pStyle w:val="9"/>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color w:val="000000" w:themeColor="text1"/>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二、对投标文件的初审</w:t>
      </w:r>
    </w:p>
    <w:p w14:paraId="0AC7D26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投标文件初审分为资格审查和符合性审查。</w:t>
      </w:r>
    </w:p>
    <w:p w14:paraId="4F20BD2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000000" w:themeColor="text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（一）</w:t>
      </w:r>
      <w:r>
        <w:rPr>
          <w:rFonts w:ascii="宋体" w:hAnsi="宋体" w:eastAsia="宋体" w:cs="宋体"/>
          <w:b/>
          <w:color w:val="000000" w:themeColor="text1"/>
          <w:sz w:val="24"/>
          <w:highlight w:val="none"/>
          <w14:textFill>
            <w14:solidFill>
              <w14:schemeClr w14:val="tx1"/>
            </w14:solidFill>
          </w14:textFill>
        </w:rPr>
        <w:t>资格审查</w:t>
      </w:r>
    </w:p>
    <w:p w14:paraId="42F2E98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color w:val="000000" w:themeColor="text1"/>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开标结束后，采购人或者采购代理机构依法对投标人的资格进行审查。</w:t>
      </w:r>
    </w:p>
    <w:p w14:paraId="6A50D82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审查投标文件中的资格、资信证明文件等，以确定投标人是否具备投标资格。</w:t>
      </w:r>
    </w:p>
    <w:p w14:paraId="2E4B534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（二）</w:t>
      </w:r>
      <w:r>
        <w:rPr>
          <w:rFonts w:ascii="宋体" w:hAnsi="宋体" w:eastAsia="宋体" w:cs="宋体"/>
          <w:b/>
          <w:color w:val="000000" w:themeColor="text1"/>
          <w:sz w:val="24"/>
          <w:highlight w:val="none"/>
          <w14:textFill>
            <w14:solidFill>
              <w14:schemeClr w14:val="tx1"/>
            </w14:solidFill>
          </w14:textFill>
        </w:rPr>
        <w:t>符合性审查</w:t>
      </w:r>
    </w:p>
    <w:p w14:paraId="4C8670F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color w:val="000000" w:themeColor="text1"/>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评标委员会对符合资格的投标人的投标文件进行符合性审查。</w:t>
      </w:r>
    </w:p>
    <w:p w14:paraId="63D6718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依据招标文件的规定，从投标文件的有效性、完整性和对招标文件的响应程度进行审查，以确定其是否满足招标文件的实质性要求。</w:t>
      </w:r>
    </w:p>
    <w:p w14:paraId="24DDD7A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明确响应的投标应该是与招标文件要求的全部条款、条件和规格相符，没有重大偏离或保留的投标。</w:t>
      </w:r>
    </w:p>
    <w:p w14:paraId="368A1F1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评委决定投标文件的响应性只根据投标文件本身的内容，而不寻求外部的证据。</w:t>
      </w:r>
    </w:p>
    <w:p w14:paraId="2A4A18F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如果投标文件没有明确响应招标文件的要求，评标委员会将按无效投标处理，投标人不得通过修改或撤销不合要求的偏离或保留而使其投标成为明确响应的投标。</w:t>
      </w:r>
    </w:p>
    <w:p w14:paraId="62993EE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评标委员会将对确定为明确响应的投标进行进一步审核，投标文件报价出现前后不一致的，除招标文件另有规定外，按照下列规定修正：</w:t>
      </w:r>
    </w:p>
    <w:p w14:paraId="18ECB35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1.投标文件中开标一览表内容与投标文件中相应内容不一致的，以开标一览表为准；</w:t>
      </w:r>
    </w:p>
    <w:p w14:paraId="061C3CF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2.大写金额和小写金额不一致的，以大写金额为准；</w:t>
      </w:r>
    </w:p>
    <w:p w14:paraId="717C451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3.单价金额小数点或者百分比有明显错位的，以开标一览表的总价为准，并修改单价；</w:t>
      </w:r>
    </w:p>
    <w:p w14:paraId="4B98B3B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4.总价金额与按单价汇总金额不一致的，以单价金额计算结果为准。</w:t>
      </w:r>
    </w:p>
    <w:p w14:paraId="485A7CC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评标委员会将按上述修正错误的方法调整投标文件中的投标报价，修正后的报价应当采用书面形式，并加盖公章，或者由法定代表人或其授权的代表签字，经投标人确认后产生约束力，投标人不确认的，其投标无效。</w:t>
      </w:r>
    </w:p>
    <w:p w14:paraId="4B61342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BBDB4AF">
      <w:pPr>
        <w:pStyle w:val="9"/>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ascii="宋体" w:hAnsi="宋体" w:eastAsia="宋体" w:cs="宋体"/>
          <w:b/>
          <w:color w:val="000000" w:themeColor="text1"/>
          <w:sz w:val="24"/>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三、评分标准</w:t>
      </w:r>
    </w:p>
    <w:p w14:paraId="5D2F7A5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评标时，评标委员会各成员独立对每个投标人的投标文件进行评价，并汇总每个投标人的得分。本项目评分总分值为100分。</w:t>
      </w:r>
    </w:p>
    <w:tbl>
      <w:tblPr>
        <w:tblStyle w:val="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57"/>
        <w:gridCol w:w="1221"/>
        <w:gridCol w:w="7691"/>
      </w:tblGrid>
      <w:tr w14:paraId="598058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3" w:hRule="atLeast"/>
        </w:trPr>
        <w:tc>
          <w:tcPr>
            <w:tcW w:w="44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85DA31">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序号</w:t>
            </w:r>
          </w:p>
        </w:tc>
        <w:tc>
          <w:tcPr>
            <w:tcW w:w="122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FF878E">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评标</w:t>
            </w:r>
          </w:p>
          <w:p w14:paraId="0C2E1354">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项目</w:t>
            </w:r>
          </w:p>
        </w:tc>
        <w:tc>
          <w:tcPr>
            <w:tcW w:w="769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D107D61">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评标办法</w:t>
            </w:r>
          </w:p>
        </w:tc>
      </w:tr>
      <w:tr w14:paraId="2962F4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57" w:hRule="atLeast"/>
        </w:trPr>
        <w:tc>
          <w:tcPr>
            <w:tcW w:w="4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6281F9">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w:t>
            </w:r>
          </w:p>
        </w:tc>
        <w:tc>
          <w:tcPr>
            <w:tcW w:w="12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4603765">
            <w:pPr>
              <w:pBdr>
                <w:top w:val="none" w:color="000000" w:sz="0" w:space="0"/>
                <w:left w:val="none" w:color="000000" w:sz="0" w:space="0"/>
                <w:bottom w:val="none" w:color="000000" w:sz="0" w:space="0"/>
                <w:right w:val="none" w:color="000000" w:sz="0" w:space="0"/>
              </w:pBdr>
              <w:spacing w:before="0" w:after="0"/>
              <w:ind w:left="0" w:right="0" w:firstLine="24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价格</w:t>
            </w:r>
          </w:p>
          <w:p w14:paraId="2BCCCE32">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20分）</w:t>
            </w:r>
          </w:p>
        </w:tc>
        <w:tc>
          <w:tcPr>
            <w:tcW w:w="76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577A77">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满足招标文件要求且价格最低的投标价为基准价，其价格分为满分。其他投标人的价格分统一按照下列公式计算：投标报价得分=（评标基准价/投标报价）×20（该结果四舍五入，保留两位小数）</w:t>
            </w:r>
          </w:p>
        </w:tc>
      </w:tr>
      <w:tr w14:paraId="1CBCF7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4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F672CF">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w:t>
            </w:r>
          </w:p>
        </w:tc>
        <w:tc>
          <w:tcPr>
            <w:tcW w:w="12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070E4A">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人员配备</w:t>
            </w:r>
            <w:r>
              <w:rPr>
                <w:rFonts w:hint="eastAsia" w:ascii="宋体" w:hAnsi="宋体" w:cs="宋体"/>
                <w:color w:val="000000" w:themeColor="text1"/>
                <w:sz w:val="24"/>
                <w:highlight w:val="none"/>
                <w:lang w:val="en-US" w:eastAsia="zh-CN"/>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12分）</w:t>
            </w:r>
          </w:p>
        </w:tc>
        <w:tc>
          <w:tcPr>
            <w:tcW w:w="76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CC08BF">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拟投入项目负责人具备测绘类（或土地类）正高级工程师职称的得2分，具备测绘类（或土地类）高级工程师职称的得1分，具备测绘类（或土地类）中级工程师职称的得0.5分，具备注册测绘师证书的加1分，本项最高得3分。</w:t>
            </w:r>
          </w:p>
          <w:p w14:paraId="102CAE84">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拟投入技术负责人（不得与项目负责人为同一人）具备测绘类（或土地类）正高级工程师职称的得2分，具备测绘类（或土地类）高级工程师职称的得1分，具备测绘类（或土地类）中级工程师职称的得0.5分，具备注册测绘师证书的加1分，本项最高得3分。</w:t>
            </w:r>
          </w:p>
          <w:p w14:paraId="6F5AD1F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3.拟投入项目组人员（除项目负责人、技术负责人外）具备测绘类（或土地类）高级及以上职称的每有一人得1分，具备测绘类（或土地类）中级工程师职称的每有一人得0.5分，本项最高得6分。  </w:t>
            </w:r>
          </w:p>
          <w:p w14:paraId="6DA2FCB1">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注：投标时须提供上述人员职称证书、执业资格证书原件扫描件，未提供不得分。</w:t>
            </w:r>
          </w:p>
        </w:tc>
      </w:tr>
      <w:tr w14:paraId="7B918A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trPr>
        <w:tc>
          <w:tcPr>
            <w:tcW w:w="4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6F78D2">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w:t>
            </w:r>
          </w:p>
        </w:tc>
        <w:tc>
          <w:tcPr>
            <w:tcW w:w="12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7A8FEC">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业绩</w:t>
            </w:r>
          </w:p>
          <w:p w14:paraId="2285CBE5">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(26</w:t>
            </w:r>
            <w:r>
              <w:rPr>
                <w:rFonts w:ascii="宋体" w:hAnsi="宋体" w:eastAsia="宋体" w:cs="宋体"/>
                <w:color w:val="000000" w:themeColor="text1"/>
                <w:sz w:val="24"/>
                <w:highlight w:val="none"/>
                <w14:textFill>
                  <w14:solidFill>
                    <w14:schemeClr w14:val="tx1"/>
                  </w14:solidFill>
                </w14:textFill>
              </w:rPr>
              <w:t>分）</w:t>
            </w:r>
          </w:p>
        </w:tc>
        <w:tc>
          <w:tcPr>
            <w:tcW w:w="76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CA34B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1.投标人自202</w:t>
            </w:r>
            <w:r>
              <w:rPr>
                <w:rFonts w:hint="eastAsia" w:ascii="宋体" w:hAnsi="宋体" w:cs="宋体"/>
                <w:color w:val="000000" w:themeColor="text1"/>
                <w:sz w:val="24"/>
                <w:highlight w:val="none"/>
                <w:lang w:val="en-US" w:eastAsia="zh-CN"/>
                <w14:textFill>
                  <w14:solidFill>
                    <w14:schemeClr w14:val="tx1"/>
                  </w14:solidFill>
                </w14:textFill>
              </w:rPr>
              <w:t>1</w:t>
            </w:r>
            <w:r>
              <w:rPr>
                <w:rFonts w:ascii="宋体" w:hAnsi="宋体" w:eastAsia="宋体" w:cs="宋体"/>
                <w:color w:val="000000" w:themeColor="text1"/>
                <w:sz w:val="24"/>
                <w:highlight w:val="none"/>
                <w14:textFill>
                  <w14:solidFill>
                    <w14:schemeClr w14:val="tx1"/>
                  </w14:solidFill>
                </w14:textFill>
              </w:rPr>
              <w:t>年1月1日以来（以合同签订时间为准）承担过国土变更调查应用试点研究工作（调查监测协同或日常变更机制方向）</w:t>
            </w:r>
            <w:r>
              <w:rPr>
                <w:rFonts w:hint="eastAsia" w:ascii="宋体" w:hAnsi="宋体" w:cs="宋体"/>
                <w:color w:val="000000" w:themeColor="text1"/>
                <w:sz w:val="24"/>
                <w:highlight w:val="none"/>
                <w:lang w:val="en-US" w:eastAsia="zh-CN"/>
                <w14:textFill>
                  <w14:solidFill>
                    <w14:schemeClr w14:val="tx1"/>
                  </w14:solidFill>
                </w14:textFill>
              </w:rPr>
              <w:t>或</w:t>
            </w:r>
            <w:r>
              <w:rPr>
                <w:rFonts w:ascii="宋体" w:hAnsi="宋体" w:eastAsia="宋体" w:cs="宋体"/>
                <w:color w:val="000000" w:themeColor="text1"/>
                <w:sz w:val="24"/>
                <w:highlight w:val="none"/>
                <w14:textFill>
                  <w14:solidFill>
                    <w14:schemeClr w14:val="tx1"/>
                  </w14:solidFill>
                </w14:textFill>
              </w:rPr>
              <w:t>日常变更检查项目的，每提供一个得3分，本项最高得</w:t>
            </w:r>
            <w:r>
              <w:rPr>
                <w:rFonts w:hint="eastAsia" w:ascii="宋体" w:hAnsi="宋体" w:cs="宋体"/>
                <w:color w:val="000000" w:themeColor="text1"/>
                <w:sz w:val="24"/>
                <w:highlight w:val="none"/>
                <w:lang w:val="en-US" w:eastAsia="zh-CN"/>
                <w14:textFill>
                  <w14:solidFill>
                    <w14:schemeClr w14:val="tx1"/>
                  </w14:solidFill>
                </w14:textFill>
              </w:rPr>
              <w:t>12</w:t>
            </w:r>
            <w:r>
              <w:rPr>
                <w:rFonts w:ascii="宋体" w:hAnsi="宋体" w:eastAsia="宋体" w:cs="宋体"/>
                <w:color w:val="000000" w:themeColor="text1"/>
                <w:sz w:val="24"/>
                <w:highlight w:val="none"/>
                <w14:textFill>
                  <w14:solidFill>
                    <w14:schemeClr w14:val="tx1"/>
                  </w14:solidFill>
                </w14:textFill>
              </w:rPr>
              <w:t>分，未提供不得分。</w:t>
            </w:r>
          </w:p>
          <w:p w14:paraId="21D17CFD">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2.投标人自202</w:t>
            </w:r>
            <w:r>
              <w:rPr>
                <w:rFonts w:hint="eastAsia" w:ascii="宋体" w:hAnsi="宋体" w:cs="宋体"/>
                <w:color w:val="000000" w:themeColor="text1"/>
                <w:sz w:val="24"/>
                <w:highlight w:val="none"/>
                <w:lang w:val="en-US" w:eastAsia="zh-CN"/>
                <w14:textFill>
                  <w14:solidFill>
                    <w14:schemeClr w14:val="tx1"/>
                  </w14:solidFill>
                </w14:textFill>
              </w:rPr>
              <w:t>1</w:t>
            </w:r>
            <w:r>
              <w:rPr>
                <w:rFonts w:ascii="宋体" w:hAnsi="宋体" w:eastAsia="宋体" w:cs="宋体"/>
                <w:color w:val="000000" w:themeColor="text1"/>
                <w:sz w:val="24"/>
                <w:highlight w:val="none"/>
                <w14:textFill>
                  <w14:solidFill>
                    <w14:schemeClr w14:val="tx1"/>
                  </w14:solidFill>
                </w14:textFill>
              </w:rPr>
              <w:t>年1月1日以来（以合同签订时间为准）承担过年度国土变更调查成果检查或核查汇总项目的，每提供一个得</w:t>
            </w:r>
            <w:r>
              <w:rPr>
                <w:rFonts w:hint="eastAsia" w:ascii="宋体" w:hAnsi="宋体" w:cs="宋体"/>
                <w:color w:val="000000" w:themeColor="text1"/>
                <w:sz w:val="24"/>
                <w:highlight w:val="none"/>
                <w:lang w:val="en-US" w:eastAsia="zh-CN"/>
                <w14:textFill>
                  <w14:solidFill>
                    <w14:schemeClr w14:val="tx1"/>
                  </w14:solidFill>
                </w14:textFill>
              </w:rPr>
              <w:t>3</w:t>
            </w:r>
            <w:r>
              <w:rPr>
                <w:rFonts w:ascii="宋体" w:hAnsi="宋体" w:eastAsia="宋体" w:cs="宋体"/>
                <w:color w:val="000000" w:themeColor="text1"/>
                <w:sz w:val="24"/>
                <w:highlight w:val="none"/>
                <w14:textFill>
                  <w14:solidFill>
                    <w14:schemeClr w14:val="tx1"/>
                  </w14:solidFill>
                </w14:textFill>
              </w:rPr>
              <w:t>分，本项最高得</w:t>
            </w:r>
            <w:r>
              <w:rPr>
                <w:rFonts w:hint="eastAsia" w:ascii="宋体" w:hAnsi="宋体" w:cs="宋体"/>
                <w:color w:val="000000" w:themeColor="text1"/>
                <w:sz w:val="24"/>
                <w:highlight w:val="none"/>
                <w:lang w:val="en-US" w:eastAsia="zh-CN"/>
                <w14:textFill>
                  <w14:solidFill>
                    <w14:schemeClr w14:val="tx1"/>
                  </w14:solidFill>
                </w14:textFill>
              </w:rPr>
              <w:t>12</w:t>
            </w:r>
            <w:r>
              <w:rPr>
                <w:rFonts w:ascii="宋体" w:hAnsi="宋体" w:eastAsia="宋体" w:cs="宋体"/>
                <w:color w:val="000000" w:themeColor="text1"/>
                <w:sz w:val="24"/>
                <w:highlight w:val="none"/>
                <w14:textFill>
                  <w14:solidFill>
                    <w14:schemeClr w14:val="tx1"/>
                  </w14:solidFill>
                </w14:textFill>
              </w:rPr>
              <w:t>分，未提供不得分。</w:t>
            </w:r>
          </w:p>
          <w:p w14:paraId="556B24B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w:t>
            </w:r>
            <w:r>
              <w:rPr>
                <w:rFonts w:ascii="宋体" w:hAnsi="宋体" w:eastAsia="宋体" w:cs="宋体"/>
                <w:color w:val="000000" w:themeColor="text1"/>
                <w:sz w:val="24"/>
                <w:highlight w:val="none"/>
                <w14:textFill>
                  <w14:solidFill>
                    <w14:schemeClr w14:val="tx1"/>
                  </w14:solidFill>
                </w14:textFill>
              </w:rPr>
              <w:t>.投标人自202</w:t>
            </w:r>
            <w:r>
              <w:rPr>
                <w:rFonts w:hint="eastAsia" w:ascii="宋体" w:hAnsi="宋体" w:cs="宋体"/>
                <w:color w:val="000000" w:themeColor="text1"/>
                <w:sz w:val="24"/>
                <w:highlight w:val="none"/>
                <w:lang w:val="en-US" w:eastAsia="zh-CN"/>
                <w14:textFill>
                  <w14:solidFill>
                    <w14:schemeClr w14:val="tx1"/>
                  </w14:solidFill>
                </w14:textFill>
              </w:rPr>
              <w:t>1</w:t>
            </w:r>
            <w:r>
              <w:rPr>
                <w:rFonts w:ascii="宋体" w:hAnsi="宋体" w:eastAsia="宋体" w:cs="宋体"/>
                <w:color w:val="000000" w:themeColor="text1"/>
                <w:sz w:val="24"/>
                <w:highlight w:val="none"/>
                <w14:textFill>
                  <w14:solidFill>
                    <w14:schemeClr w14:val="tx1"/>
                  </w14:solidFill>
                </w14:textFill>
              </w:rPr>
              <w:t>年1月1日以来（以合同签订时间为准）承担过年度森林、草原、湿地调查检查项目的，每提供一个得1分，本项最高得2分，未提供不得分。</w:t>
            </w:r>
          </w:p>
          <w:p w14:paraId="568EF5CF">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注：提供合同原件扫描件，合同须能反映项目名称、主要标的物、签订时间、单位公章或专用合同章,如不能反映的，另须提供盖有原委托单位公章的证明，否则不予认可，分包合同无效不得分。</w:t>
            </w:r>
          </w:p>
        </w:tc>
      </w:tr>
      <w:tr w14:paraId="76F271B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874" w:hRule="atLeast"/>
        </w:trPr>
        <w:tc>
          <w:tcPr>
            <w:tcW w:w="4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4EE484">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4</w:t>
            </w:r>
          </w:p>
        </w:tc>
        <w:tc>
          <w:tcPr>
            <w:tcW w:w="122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087AC8">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实施方案</w:t>
            </w:r>
          </w:p>
          <w:p w14:paraId="7A3B8A0F">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42分）</w:t>
            </w:r>
          </w:p>
        </w:tc>
        <w:tc>
          <w:tcPr>
            <w:tcW w:w="76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DA215D">
            <w:pPr>
              <w:pBdr>
                <w:top w:val="none" w:color="000000" w:sz="0" w:space="0"/>
                <w:left w:val="none" w:color="000000" w:sz="0" w:space="0"/>
                <w:bottom w:val="none" w:color="000000" w:sz="0" w:space="0"/>
                <w:right w:val="none" w:color="000000" w:sz="0" w:space="0"/>
              </w:pBdr>
              <w:spacing w:before="0" w:after="0" w:line="400" w:lineRule="atLeast"/>
              <w:ind w:right="0"/>
              <w:jc w:val="both"/>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1.项目技术方案（10分）</w:t>
            </w:r>
          </w:p>
          <w:p w14:paraId="57103DC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根据投标供应商提供的项目技术方案进行评审，至少包含:①技术路线;②工作流程;③内业检查;④外业检查;⑤数据汇总分析和成果应用评价工作制定相应的技术流程等方面内容。</w:t>
            </w:r>
          </w:p>
          <w:p w14:paraId="6F7B67D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以上方案内容完整得10分，每有一内容缺失的扣2分;每有一处存在缺陷(缺陷是指不适用于本项目，表述前后不一致或内容矛盾，语句有歧义，仅有框架或标题，涉及的规范及标准错误，套用其他项目内容等任意一种情形)的扣0.4分，直至该项分值2分扣完为止，不提供本项不得分。</w:t>
            </w:r>
          </w:p>
          <w:p w14:paraId="15D9E035">
            <w:pPr>
              <w:pBdr>
                <w:top w:val="none" w:color="000000" w:sz="0" w:space="0"/>
                <w:left w:val="none" w:color="000000" w:sz="0" w:space="0"/>
                <w:bottom w:val="none" w:color="000000" w:sz="0" w:space="0"/>
                <w:right w:val="none" w:color="000000" w:sz="0" w:space="0"/>
              </w:pBdr>
              <w:spacing w:before="0" w:after="0" w:line="400" w:lineRule="atLeast"/>
              <w:ind w:right="0"/>
              <w:jc w:val="both"/>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2.合理化建议（10分）</w:t>
            </w:r>
          </w:p>
          <w:p w14:paraId="52E6DF9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根据投标供应商提供的合理化建议进行评审，至少包含:①分析本项目重点工作；②分析本项目难点工作提出合理化建议等方面内容</w:t>
            </w:r>
          </w:p>
          <w:p w14:paraId="30ACB84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以上方案内容完整得10分，每有一内容缺失的扣5分;每有一处存在缺陷(缺陷是指不适用于本项目，表述前后不一致或内容矛盾，语句有歧义，仅有框架或标题，涉及的规范及标准错误，套用其他项目内容等任意一种情形)的扣1分，直至该项分值5分扣完为止，不提供本项不得分。</w:t>
            </w:r>
          </w:p>
          <w:p w14:paraId="37F71370">
            <w:pPr>
              <w:pBdr>
                <w:top w:val="none" w:color="000000" w:sz="0" w:space="0"/>
                <w:left w:val="none" w:color="000000" w:sz="0" w:space="0"/>
                <w:bottom w:val="none" w:color="000000" w:sz="0" w:space="0"/>
                <w:right w:val="none" w:color="000000" w:sz="0" w:space="0"/>
              </w:pBdr>
              <w:spacing w:before="0" w:after="0" w:line="400" w:lineRule="atLeast"/>
              <w:ind w:right="0"/>
              <w:jc w:val="both"/>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3.安全保密措施（8分）</w:t>
            </w:r>
          </w:p>
          <w:p w14:paraId="4A7E9F7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根据投标供应商提供的合理化建议进行评审，至少包含:①制定涉密数据管理措施；②安全保密制度等方面内容</w:t>
            </w:r>
          </w:p>
          <w:p w14:paraId="3C95D28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以上方案内容完整得8分，每有一内容缺失的扣4分;每有一处存在缺陷(缺陷是指不适用于本项目，表述前后不一致或内容矛盾，语句有歧义，仅有框架或标题，涉及的规范及标准错误，套用其他项目内容等任意一种情形)的扣0.8分，直至该项分值4分扣完为止，不提供本项不得分。</w:t>
            </w:r>
          </w:p>
          <w:p w14:paraId="5765CB44">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4.质量控制及进度安排（8分）</w:t>
            </w:r>
          </w:p>
          <w:p w14:paraId="3D4767A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根据投标供应商提供的合理化建议进行评审，至少包含:①质量保证体系；②质量保证措施；③岗前技术培训；④工序控制等方面内容</w:t>
            </w:r>
          </w:p>
          <w:p w14:paraId="2F720AA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以上方案内容完整得8分，每有一内容缺失的扣2分;每有一处存在缺陷(缺陷是指不适用于本项目，表述前后不一致或内容矛盾，语句有歧义，仅有框架或标题，涉及的规范及标准错误，套用其他项目内容等任意一种情形)的扣0.4分，直至该项分值2分扣完为止，不提供本项不得分。</w:t>
            </w:r>
          </w:p>
          <w:p w14:paraId="1B17AACF">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5.售后服务（6分）</w:t>
            </w:r>
          </w:p>
          <w:p w14:paraId="50F6D25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根据投标供应商提供的合理化建议进行评审，至少包含:①售后服务承诺和售后服务保障措施；②维护期内后续技术支持和维护以及后续技术支持和维护能力情况等方面内容</w:t>
            </w:r>
          </w:p>
          <w:p w14:paraId="5D78FBA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以上方案内容完整得6分，每有一内容缺失的扣3分;每有一处存在缺陷(缺陷是指不适用于本项目，表述前后不一致或内容矛盾，语句有歧义，仅有框架或标题，涉及的规范及标准错误，套用其他项目内容等任意一种情形)的扣0.6分，直至该项分值3分扣完为止，不提供本项不得分。</w:t>
            </w:r>
          </w:p>
        </w:tc>
      </w:tr>
    </w:tbl>
    <w:p w14:paraId="094E0AAB">
      <w:pPr>
        <w:pStyle w:val="61"/>
        <w:rPr>
          <w:rFonts w:ascii="黑体" w:hAnsi="黑体" w:eastAsia="黑体" w:cs="黑体"/>
          <w:color w:val="000000" w:themeColor="text1"/>
          <w:sz w:val="21"/>
          <w:highlight w:val="none"/>
          <w14:textFill>
            <w14:solidFill>
              <w14:schemeClr w14:val="tx1"/>
            </w14:solidFill>
          </w14:textFill>
        </w:rPr>
      </w:pPr>
    </w:p>
    <w:p w14:paraId="3C951101">
      <w:pPr>
        <w:pStyle w:val="61"/>
        <w:rPr>
          <w:rFonts w:ascii="黑体" w:hAnsi="黑体" w:eastAsia="黑体" w:cs="黑体"/>
          <w:color w:val="000000" w:themeColor="text1"/>
          <w:sz w:val="21"/>
          <w:highlight w:val="none"/>
          <w14:textFill>
            <w14:solidFill>
              <w14:schemeClr w14:val="tx1"/>
            </w14:solidFill>
          </w14:textFill>
        </w:rPr>
      </w:pPr>
    </w:p>
    <w:p w14:paraId="58393028">
      <w:pPr>
        <w:pStyle w:val="61"/>
        <w:rPr>
          <w:rFonts w:ascii="黑体" w:hAnsi="黑体" w:eastAsia="黑体" w:cs="黑体"/>
          <w:color w:val="000000" w:themeColor="text1"/>
          <w:sz w:val="21"/>
          <w:highlight w:val="none"/>
          <w14:textFill>
            <w14:solidFill>
              <w14:schemeClr w14:val="tx1"/>
            </w14:solidFill>
          </w14:textFill>
        </w:rPr>
      </w:pPr>
      <w:bookmarkStart w:id="150" w:name="_GoBack"/>
      <w:bookmarkEnd w:id="150"/>
    </w:p>
    <w:p w14:paraId="688D122E">
      <w:pPr>
        <w:pStyle w:val="61"/>
        <w:rPr>
          <w:rFonts w:ascii="黑体" w:hAnsi="黑体" w:eastAsia="黑体" w:cs="黑体"/>
          <w:color w:val="000000" w:themeColor="text1"/>
          <w:sz w:val="21"/>
          <w:highlight w:val="none"/>
          <w14:textFill>
            <w14:solidFill>
              <w14:schemeClr w14:val="tx1"/>
            </w14:solidFill>
          </w14:textFill>
        </w:rPr>
      </w:pPr>
    </w:p>
    <w:p w14:paraId="1AE739B6">
      <w:pPr>
        <w:pStyle w:val="61"/>
        <w:rPr>
          <w:rFonts w:ascii="黑体" w:hAnsi="黑体" w:eastAsia="黑体" w:cs="黑体"/>
          <w:color w:val="000000" w:themeColor="text1"/>
          <w:sz w:val="21"/>
          <w:highlight w:val="none"/>
          <w14:textFill>
            <w14:solidFill>
              <w14:schemeClr w14:val="tx1"/>
            </w14:solidFill>
          </w14:textFill>
        </w:rPr>
      </w:pPr>
    </w:p>
    <w:p w14:paraId="148040FA">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p>
    <w:p w14:paraId="54DCEC67">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p>
    <w:p w14:paraId="20680432">
      <w:pPr>
        <w:bidi w:val="0"/>
        <w:rPr>
          <w:rFonts w:hint="eastAsia"/>
          <w:color w:val="000000" w:themeColor="text1"/>
          <w:highlight w:val="none"/>
          <w:lang w:val="en-US" w:eastAsia="zh-CN"/>
          <w14:textFill>
            <w14:solidFill>
              <w14:schemeClr w14:val="tx1"/>
            </w14:solidFill>
          </w14:textFill>
        </w:rPr>
      </w:pPr>
    </w:p>
    <w:p w14:paraId="2342B0CA">
      <w:pPr>
        <w:bidi w:val="0"/>
        <w:rPr>
          <w:rFonts w:hint="eastAsia"/>
          <w:color w:val="000000" w:themeColor="text1"/>
          <w:highlight w:val="none"/>
          <w:lang w:val="en-US" w:eastAsia="zh-CN"/>
          <w14:textFill>
            <w14:solidFill>
              <w14:schemeClr w14:val="tx1"/>
            </w14:solidFill>
          </w14:textFill>
        </w:rPr>
      </w:pPr>
    </w:p>
    <w:p w14:paraId="72531BF4">
      <w:pPr>
        <w:pStyle w:val="5"/>
        <w:jc w:val="center"/>
        <w:rPr>
          <w:rFonts w:hint="eastAsia" w:ascii="黑体" w:hAnsi="Times New Roman" w:eastAsia="黑体" w:cs="Times New Roman"/>
          <w:b w:val="0"/>
          <w:color w:val="000000" w:themeColor="text1"/>
          <w:sz w:val="44"/>
          <w:szCs w:val="44"/>
          <w:highlight w:val="none"/>
          <w:lang w:val="en-US" w:eastAsia="zh-CN" w:bidi="ar-SA"/>
          <w14:textFill>
            <w14:solidFill>
              <w14:schemeClr w14:val="tx1"/>
            </w14:solidFill>
          </w14:textFill>
        </w:rPr>
      </w:pPr>
      <w:r>
        <w:rPr>
          <w:rFonts w:hint="eastAsia" w:ascii="黑体" w:hAnsi="Times New Roman" w:eastAsia="黑体" w:cs="Times New Roman"/>
          <w:b w:val="0"/>
          <w:color w:val="000000" w:themeColor="text1"/>
          <w:sz w:val="44"/>
          <w:szCs w:val="44"/>
          <w:highlight w:val="none"/>
          <w:lang w:val="en-US" w:eastAsia="zh-CN" w:bidi="ar-SA"/>
          <w14:textFill>
            <w14:solidFill>
              <w14:schemeClr w14:val="tx1"/>
            </w14:solidFill>
          </w14:textFill>
        </w:rPr>
        <w:t>第六章  投标文件格式</w:t>
      </w:r>
    </w:p>
    <w:p w14:paraId="73A791A2">
      <w:pPr>
        <w:jc w:val="center"/>
        <w:rPr>
          <w:rFonts w:ascii="黑体" w:hAnsi="黑体" w:eastAsia="黑体"/>
          <w:b/>
          <w:color w:val="000000" w:themeColor="text1"/>
          <w:sz w:val="72"/>
          <w:szCs w:val="21"/>
          <w:highlight w:val="none"/>
          <w14:textFill>
            <w14:solidFill>
              <w14:schemeClr w14:val="tx1"/>
            </w14:solidFill>
          </w14:textFill>
        </w:rPr>
      </w:pPr>
    </w:p>
    <w:p w14:paraId="7965F038">
      <w:pPr>
        <w:jc w:val="center"/>
        <w:rPr>
          <w:rFonts w:hint="eastAsia" w:ascii="黑体" w:hAnsi="黑体" w:eastAsia="黑体"/>
          <w:b/>
          <w:color w:val="000000" w:themeColor="text1"/>
          <w:sz w:val="72"/>
          <w:szCs w:val="21"/>
          <w:highlight w:val="none"/>
          <w14:textFill>
            <w14:solidFill>
              <w14:schemeClr w14:val="tx1"/>
            </w14:solidFill>
          </w14:textFill>
        </w:rPr>
      </w:pPr>
    </w:p>
    <w:p w14:paraId="25F994FF">
      <w:pPr>
        <w:jc w:val="center"/>
        <w:rPr>
          <w:rFonts w:hint="eastAsia" w:ascii="黑体" w:hAnsi="黑体" w:eastAsia="黑体"/>
          <w:b/>
          <w:color w:val="000000" w:themeColor="text1"/>
          <w:sz w:val="72"/>
          <w:szCs w:val="21"/>
          <w:highlight w:val="none"/>
          <w14:textFill>
            <w14:solidFill>
              <w14:schemeClr w14:val="tx1"/>
            </w14:solidFill>
          </w14:textFill>
        </w:rPr>
      </w:pPr>
    </w:p>
    <w:p w14:paraId="4418F267">
      <w:pPr>
        <w:jc w:val="center"/>
        <w:rPr>
          <w:rFonts w:hint="eastAsia" w:ascii="黑体" w:hAnsi="黑体" w:eastAsia="黑体"/>
          <w:b/>
          <w:color w:val="000000" w:themeColor="text1"/>
          <w:sz w:val="72"/>
          <w:szCs w:val="21"/>
          <w:highlight w:val="none"/>
          <w14:textFill>
            <w14:solidFill>
              <w14:schemeClr w14:val="tx1"/>
            </w14:solidFill>
          </w14:textFill>
        </w:rPr>
      </w:pPr>
    </w:p>
    <w:p w14:paraId="1202C745">
      <w:pPr>
        <w:jc w:val="center"/>
        <w:rPr>
          <w:rFonts w:ascii="黑体" w:hAnsi="黑体" w:eastAsia="黑体"/>
          <w:b/>
          <w:color w:val="000000" w:themeColor="text1"/>
          <w:sz w:val="72"/>
          <w:szCs w:val="21"/>
          <w:highlight w:val="none"/>
          <w14:textFill>
            <w14:solidFill>
              <w14:schemeClr w14:val="tx1"/>
            </w14:solidFill>
          </w14:textFill>
        </w:rPr>
      </w:pPr>
      <w:r>
        <w:rPr>
          <w:rFonts w:hint="eastAsia" w:ascii="黑体" w:hAnsi="黑体" w:eastAsia="黑体"/>
          <w:b/>
          <w:color w:val="000000" w:themeColor="text1"/>
          <w:sz w:val="72"/>
          <w:szCs w:val="21"/>
          <w:highlight w:val="none"/>
          <w14:textFill>
            <w14:solidFill>
              <w14:schemeClr w14:val="tx1"/>
            </w14:solidFill>
          </w14:textFill>
        </w:rPr>
        <w:t xml:space="preserve"> 投 标 文 件</w:t>
      </w:r>
    </w:p>
    <w:p w14:paraId="36DE990B">
      <w:pPr>
        <w:pStyle w:val="243"/>
        <w:ind w:firstLine="0"/>
        <w:jc w:val="center"/>
        <w:rPr>
          <w:rFonts w:ascii="黑体" w:hAnsi="黑体" w:eastAsia="黑体"/>
          <w:b/>
          <w:bCs/>
          <w:color w:val="000000" w:themeColor="text1"/>
          <w:sz w:val="32"/>
          <w:highlight w:val="none"/>
          <w14:textFill>
            <w14:solidFill>
              <w14:schemeClr w14:val="tx1"/>
            </w14:solidFill>
          </w14:textFill>
        </w:rPr>
      </w:pPr>
    </w:p>
    <w:p w14:paraId="41A76438">
      <w:pPr>
        <w:ind w:firstLine="1084"/>
        <w:rPr>
          <w:rFonts w:ascii="黑体" w:hAnsi="黑体" w:eastAsia="黑体"/>
          <w:b/>
          <w:color w:val="000000" w:themeColor="text1"/>
          <w:sz w:val="36"/>
          <w:szCs w:val="21"/>
          <w:highlight w:val="none"/>
          <w14:textFill>
            <w14:solidFill>
              <w14:schemeClr w14:val="tx1"/>
            </w14:solidFill>
          </w14:textFill>
        </w:rPr>
      </w:pPr>
    </w:p>
    <w:p w14:paraId="486C7DD3">
      <w:pPr>
        <w:ind w:firstLine="1084"/>
        <w:rPr>
          <w:rFonts w:ascii="黑体" w:hAnsi="黑体" w:eastAsia="黑体"/>
          <w:b/>
          <w:color w:val="000000" w:themeColor="text1"/>
          <w:sz w:val="36"/>
          <w:szCs w:val="21"/>
          <w:highlight w:val="none"/>
          <w14:textFill>
            <w14:solidFill>
              <w14:schemeClr w14:val="tx1"/>
            </w14:solidFill>
          </w14:textFill>
        </w:rPr>
      </w:pPr>
    </w:p>
    <w:p w14:paraId="57F3A842">
      <w:pPr>
        <w:ind w:firstLine="1084"/>
        <w:rPr>
          <w:rFonts w:ascii="黑体" w:hAnsi="黑体" w:eastAsia="黑体"/>
          <w:b/>
          <w:color w:val="000000" w:themeColor="text1"/>
          <w:sz w:val="36"/>
          <w:highlight w:val="none"/>
          <w14:textFill>
            <w14:solidFill>
              <w14:schemeClr w14:val="tx1"/>
            </w14:solidFill>
          </w14:textFill>
        </w:rPr>
      </w:pPr>
    </w:p>
    <w:p w14:paraId="50861E70">
      <w:pPr>
        <w:pStyle w:val="45"/>
        <w:spacing w:beforeAutospacing="0" w:afterAutospacing="0"/>
        <w:ind w:firstLine="1084"/>
        <w:jc w:val="both"/>
        <w:rPr>
          <w:rFonts w:hint="default" w:eastAsia="宋体"/>
          <w:color w:val="000000" w:themeColor="text1"/>
          <w:highlight w:val="none"/>
          <w:lang w:val="en-US" w:eastAsia="zh-CN"/>
          <w14:textFill>
            <w14:solidFill>
              <w14:schemeClr w14:val="tx1"/>
            </w14:solidFill>
          </w14:textFill>
        </w:rPr>
      </w:pPr>
      <w:r>
        <w:rPr>
          <w:rFonts w:hint="eastAsia"/>
          <w:b/>
          <w:color w:val="000000" w:themeColor="text1"/>
          <w:sz w:val="36"/>
          <w:szCs w:val="36"/>
          <w:highlight w:val="none"/>
          <w14:textFill>
            <w14:solidFill>
              <w14:schemeClr w14:val="tx1"/>
            </w14:solidFill>
          </w14:textFill>
        </w:rPr>
        <w:t>项 目 名 称：</w:t>
      </w:r>
      <w:r>
        <w:rPr>
          <w:rFonts w:hint="eastAsia"/>
          <w:b/>
          <w:color w:val="000000" w:themeColor="text1"/>
          <w:sz w:val="36"/>
          <w:szCs w:val="36"/>
          <w:highlight w:val="none"/>
          <w:u w:val="single"/>
          <w:lang w:val="en-US" w:eastAsia="zh-CN"/>
          <w14:textFill>
            <w14:solidFill>
              <w14:schemeClr w14:val="tx1"/>
            </w14:solidFill>
          </w14:textFill>
        </w:rPr>
        <w:t xml:space="preserve">                         </w:t>
      </w:r>
    </w:p>
    <w:p w14:paraId="55EDB8C6">
      <w:pPr>
        <w:pStyle w:val="45"/>
        <w:spacing w:beforeAutospacing="0" w:afterAutospacing="0"/>
        <w:ind w:firstLine="1084"/>
        <w:jc w:val="both"/>
        <w:rPr>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项 目 编 号：</w:t>
      </w:r>
      <w:r>
        <w:rPr>
          <w:rFonts w:hint="eastAsia"/>
          <w:b/>
          <w:color w:val="000000" w:themeColor="text1"/>
          <w:sz w:val="36"/>
          <w:szCs w:val="36"/>
          <w:highlight w:val="none"/>
          <w:u w:val="single"/>
          <w:lang w:val="en-US" w:eastAsia="zh-CN"/>
          <w14:textFill>
            <w14:solidFill>
              <w14:schemeClr w14:val="tx1"/>
            </w14:solidFill>
          </w14:textFill>
        </w:rPr>
        <w:t xml:space="preserve">                         </w:t>
      </w:r>
    </w:p>
    <w:p w14:paraId="63D8362E">
      <w:pPr>
        <w:pStyle w:val="45"/>
        <w:spacing w:beforeAutospacing="0" w:afterAutospacing="0"/>
        <w:ind w:firstLine="1084" w:firstLineChars="300"/>
        <w:jc w:val="both"/>
        <w:rPr>
          <w:rFonts w:hint="default" w:eastAsia="宋体"/>
          <w:color w:val="000000" w:themeColor="text1"/>
          <w:highlight w:val="none"/>
          <w:u w:val="single"/>
          <w:lang w:val="en-US" w:eastAsia="zh-CN"/>
          <w14:textFill>
            <w14:solidFill>
              <w14:schemeClr w14:val="tx1"/>
            </w14:solidFill>
          </w14:textFill>
        </w:rPr>
      </w:pPr>
      <w:r>
        <w:rPr>
          <w:rFonts w:hint="eastAsia"/>
          <w:b/>
          <w:color w:val="000000" w:themeColor="text1"/>
          <w:sz w:val="36"/>
          <w:szCs w:val="36"/>
          <w:highlight w:val="none"/>
          <w14:textFill>
            <w14:solidFill>
              <w14:schemeClr w14:val="tx1"/>
            </w14:solidFill>
          </w14:textFill>
        </w:rPr>
        <w:t>投标人名称 ：</w:t>
      </w:r>
      <w:r>
        <w:rPr>
          <w:rFonts w:hint="eastAsia"/>
          <w:b/>
          <w:color w:val="000000" w:themeColor="text1"/>
          <w:sz w:val="36"/>
          <w:szCs w:val="36"/>
          <w:highlight w:val="none"/>
          <w:u w:val="single"/>
          <w:lang w:val="en-US" w:eastAsia="zh-CN"/>
          <w14:textFill>
            <w14:solidFill>
              <w14:schemeClr w14:val="tx1"/>
            </w14:solidFill>
          </w14:textFill>
        </w:rPr>
        <w:t xml:space="preserve">   </w:t>
      </w:r>
      <w:r>
        <w:rPr>
          <w:rFonts w:hint="eastAsia"/>
          <w:b/>
          <w:color w:val="000000" w:themeColor="text1"/>
          <w:sz w:val="36"/>
          <w:szCs w:val="36"/>
          <w:highlight w:val="none"/>
          <w:u w:val="single"/>
          <w14:textFill>
            <w14:solidFill>
              <w14:schemeClr w14:val="tx1"/>
            </w14:solidFill>
          </w14:textFill>
        </w:rPr>
        <w:t>（加盖CA电子公章）</w:t>
      </w:r>
      <w:r>
        <w:rPr>
          <w:rFonts w:hint="eastAsia"/>
          <w:b/>
          <w:color w:val="000000" w:themeColor="text1"/>
          <w:sz w:val="36"/>
          <w:szCs w:val="36"/>
          <w:highlight w:val="none"/>
          <w:u w:val="single"/>
          <w:lang w:val="en-US" w:eastAsia="zh-CN"/>
          <w14:textFill>
            <w14:solidFill>
              <w14:schemeClr w14:val="tx1"/>
            </w14:solidFill>
          </w14:textFill>
        </w:rPr>
        <w:t xml:space="preserve">   </w:t>
      </w:r>
    </w:p>
    <w:p w14:paraId="392A0D61">
      <w:pPr>
        <w:pStyle w:val="45"/>
        <w:spacing w:beforeAutospacing="0" w:afterAutospacing="0"/>
        <w:ind w:firstLine="1084"/>
        <w:jc w:val="both"/>
        <w:rPr>
          <w:rFonts w:hint="default" w:eastAsia="宋体"/>
          <w:color w:val="000000" w:themeColor="text1"/>
          <w:highlight w:val="none"/>
          <w:lang w:val="en-US" w:eastAsia="zh-CN"/>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日    </w:t>
      </w:r>
      <w:r>
        <w:rPr>
          <w:rFonts w:hint="eastAsia"/>
          <w:b/>
          <w:color w:val="000000" w:themeColor="text1"/>
          <w:sz w:val="36"/>
          <w:szCs w:val="36"/>
          <w:highlight w:val="none"/>
          <w:lang w:val="en-US" w:eastAsia="zh-CN"/>
          <w14:textFill>
            <w14:solidFill>
              <w14:schemeClr w14:val="tx1"/>
            </w14:solidFill>
          </w14:textFill>
        </w:rPr>
        <w:t xml:space="preserve"> </w:t>
      </w:r>
      <w:r>
        <w:rPr>
          <w:rFonts w:hint="eastAsia"/>
          <w:b/>
          <w:color w:val="000000" w:themeColor="text1"/>
          <w:sz w:val="36"/>
          <w:szCs w:val="36"/>
          <w:highlight w:val="none"/>
          <w14:textFill>
            <w14:solidFill>
              <w14:schemeClr w14:val="tx1"/>
            </w14:solidFill>
          </w14:textFill>
        </w:rPr>
        <w:t xml:space="preserve"> 期 ：</w:t>
      </w:r>
      <w:r>
        <w:rPr>
          <w:rFonts w:hint="eastAsia"/>
          <w:b/>
          <w:color w:val="000000" w:themeColor="text1"/>
          <w:sz w:val="36"/>
          <w:szCs w:val="36"/>
          <w:highlight w:val="none"/>
          <w:u w:val="single"/>
          <w:lang w:val="en-US" w:eastAsia="zh-CN"/>
          <w14:textFill>
            <w14:solidFill>
              <w14:schemeClr w14:val="tx1"/>
            </w14:solidFill>
          </w14:textFill>
        </w:rPr>
        <w:t xml:space="preserve">                         </w:t>
      </w:r>
    </w:p>
    <w:p w14:paraId="22855329">
      <w:pPr>
        <w:pStyle w:val="243"/>
        <w:spacing w:before="0" w:after="0"/>
        <w:ind w:firstLine="0"/>
        <w:rPr>
          <w:rFonts w:ascii="宋体" w:hAnsi="宋体"/>
          <w:color w:val="000000" w:themeColor="text1"/>
          <w:highlight w:val="none"/>
          <w14:textFill>
            <w14:solidFill>
              <w14:schemeClr w14:val="tx1"/>
            </w14:solidFill>
          </w14:textFill>
        </w:rPr>
      </w:pPr>
    </w:p>
    <w:p w14:paraId="05AF35FB">
      <w:pPr>
        <w:pStyle w:val="27"/>
        <w:spacing w:line="360" w:lineRule="auto"/>
        <w:jc w:val="center"/>
        <w:rPr>
          <w:rFonts w:ascii="宋体" w:hAnsi="宋体"/>
          <w:color w:val="000000" w:themeColor="text1"/>
          <w:sz w:val="32"/>
          <w:highlight w:val="none"/>
          <w14:textFill>
            <w14:solidFill>
              <w14:schemeClr w14:val="tx1"/>
            </w14:solidFill>
          </w14:textFill>
        </w:rPr>
      </w:pPr>
    </w:p>
    <w:p w14:paraId="59EEE2C5">
      <w:pPr>
        <w:rPr>
          <w:color w:val="000000" w:themeColor="text1"/>
          <w:highlight w:val="none"/>
          <w14:textFill>
            <w14:solidFill>
              <w14:schemeClr w14:val="tx1"/>
            </w14:solidFill>
          </w14:textFill>
        </w:rPr>
      </w:pPr>
    </w:p>
    <w:p w14:paraId="4AE317D2">
      <w:pPr>
        <w:rPr>
          <w:color w:val="000000" w:themeColor="text1"/>
          <w:highlight w:val="none"/>
          <w14:textFill>
            <w14:solidFill>
              <w14:schemeClr w14:val="tx1"/>
            </w14:solidFill>
          </w14:textFill>
        </w:rPr>
      </w:pPr>
    </w:p>
    <w:p w14:paraId="3956230E">
      <w:pPr>
        <w:rPr>
          <w:color w:val="000000" w:themeColor="text1"/>
          <w:highlight w:val="none"/>
          <w14:textFill>
            <w14:solidFill>
              <w14:schemeClr w14:val="tx1"/>
            </w14:solidFill>
          </w14:textFill>
        </w:rPr>
      </w:pPr>
    </w:p>
    <w:p w14:paraId="06E865E4">
      <w:pPr>
        <w:rPr>
          <w:color w:val="000000" w:themeColor="text1"/>
          <w:highlight w:val="none"/>
          <w14:textFill>
            <w14:solidFill>
              <w14:schemeClr w14:val="tx1"/>
            </w14:solidFill>
          </w14:textFill>
        </w:rPr>
      </w:pPr>
    </w:p>
    <w:p w14:paraId="22440E15">
      <w:pPr>
        <w:pStyle w:val="16"/>
        <w:rPr>
          <w:color w:val="000000" w:themeColor="text1"/>
          <w:highlight w:val="none"/>
          <w14:textFill>
            <w14:solidFill>
              <w14:schemeClr w14:val="tx1"/>
            </w14:solidFill>
          </w14:textFill>
        </w:rPr>
      </w:pPr>
    </w:p>
    <w:p w14:paraId="44C396C1">
      <w:pPr>
        <w:pStyle w:val="16"/>
        <w:rPr>
          <w:color w:val="000000" w:themeColor="text1"/>
          <w:highlight w:val="none"/>
          <w14:textFill>
            <w14:solidFill>
              <w14:schemeClr w14:val="tx1"/>
            </w14:solidFill>
          </w14:textFill>
        </w:rPr>
      </w:pPr>
    </w:p>
    <w:p w14:paraId="5DAE31BA">
      <w:pPr>
        <w:pStyle w:val="45"/>
        <w:spacing w:beforeAutospacing="0" w:afterAutospacing="0" w:line="0" w:lineRule="atLeast"/>
        <w:jc w:val="center"/>
        <w:rPr>
          <w:rFonts w:hint="eastAsia"/>
          <w:b/>
          <w:color w:val="000000" w:themeColor="text1"/>
          <w:sz w:val="32"/>
          <w:szCs w:val="32"/>
          <w:highlight w:val="none"/>
          <w14:textFill>
            <w14:solidFill>
              <w14:schemeClr w14:val="tx1"/>
            </w14:solidFill>
          </w14:textFill>
        </w:rPr>
      </w:pPr>
    </w:p>
    <w:p w14:paraId="13683408">
      <w:pPr>
        <w:pStyle w:val="45"/>
        <w:spacing w:beforeAutospacing="0" w:afterAutospacing="0" w:line="0" w:lineRule="atLeast"/>
        <w:jc w:val="center"/>
        <w:rPr>
          <w:rFonts w:hint="eastAsia"/>
          <w:b/>
          <w:color w:val="000000" w:themeColor="text1"/>
          <w:sz w:val="32"/>
          <w:szCs w:val="32"/>
          <w:highlight w:val="none"/>
          <w14:textFill>
            <w14:solidFill>
              <w14:schemeClr w14:val="tx1"/>
            </w14:solidFill>
          </w14:textFill>
        </w:rPr>
      </w:pPr>
    </w:p>
    <w:p w14:paraId="1D20E492">
      <w:pPr>
        <w:pStyle w:val="45"/>
        <w:spacing w:beforeAutospacing="0" w:afterAutospacing="0" w:line="0" w:lineRule="atLeast"/>
        <w:jc w:val="center"/>
        <w:rPr>
          <w:rFonts w:hint="eastAsia"/>
          <w:b/>
          <w:color w:val="000000" w:themeColor="text1"/>
          <w:sz w:val="32"/>
          <w:szCs w:val="32"/>
          <w:highlight w:val="none"/>
          <w14:textFill>
            <w14:solidFill>
              <w14:schemeClr w14:val="tx1"/>
            </w14:solidFill>
          </w14:textFill>
        </w:rPr>
      </w:pPr>
    </w:p>
    <w:p w14:paraId="02308E96">
      <w:pPr>
        <w:pStyle w:val="45"/>
        <w:spacing w:beforeAutospacing="0" w:afterAutospacing="0" w:line="0" w:lineRule="atLeast"/>
        <w:jc w:val="center"/>
        <w:rPr>
          <w:rFonts w:hint="eastAsia"/>
          <w:b/>
          <w:color w:val="000000" w:themeColor="text1"/>
          <w:sz w:val="32"/>
          <w:szCs w:val="32"/>
          <w:highlight w:val="none"/>
          <w14:textFill>
            <w14:solidFill>
              <w14:schemeClr w14:val="tx1"/>
            </w14:solidFill>
          </w14:textFill>
        </w:rPr>
      </w:pPr>
    </w:p>
    <w:p w14:paraId="40DBD9B6">
      <w:pPr>
        <w:pStyle w:val="45"/>
        <w:spacing w:beforeAutospacing="0" w:afterAutospacing="0" w:line="0" w:lineRule="atLeast"/>
        <w:jc w:val="center"/>
        <w:rPr>
          <w:color w:val="000000" w:themeColor="text1"/>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投标文件目录</w:t>
      </w:r>
    </w:p>
    <w:p w14:paraId="3644E085">
      <w:pPr>
        <w:pStyle w:val="45"/>
        <w:spacing w:before="0" w:beforeAutospacing="0" w:after="0" w:afterAutospacing="0"/>
        <w:ind w:firstLine="480"/>
        <w:rPr>
          <w:iCs/>
          <w:color w:val="000000" w:themeColor="text1"/>
          <w:highlight w:val="none"/>
          <w:u w:val="none"/>
          <w14:textFill>
            <w14:solidFill>
              <w14:schemeClr w14:val="tx1"/>
            </w14:solidFill>
          </w14:textFill>
        </w:rPr>
      </w:pPr>
      <w:r>
        <w:rPr>
          <w:rFonts w:hint="eastAsia"/>
          <w:iCs/>
          <w:color w:val="000000" w:themeColor="text1"/>
          <w:highlight w:val="none"/>
          <w:u w:val="none"/>
          <w14:textFill>
            <w14:solidFill>
              <w14:schemeClr w14:val="tx1"/>
            </w14:solidFill>
          </w14:textFill>
        </w:rPr>
        <w:t>一、法人或者其他组织的营业执照等证明文件，自然人的身份证明</w:t>
      </w:r>
    </w:p>
    <w:p w14:paraId="6A4B492E">
      <w:pPr>
        <w:tabs>
          <w:tab w:val="left" w:pos="1331"/>
        </w:tabs>
        <w:ind w:firstLine="480"/>
        <w:jc w:val="left"/>
        <w:rPr>
          <w:rFonts w:ascii="宋体" w:hAnsi="宋体"/>
          <w:iCs/>
          <w:color w:val="000000" w:themeColor="text1"/>
          <w:sz w:val="24"/>
          <w:highlight w:val="none"/>
          <w:u w:val="none"/>
          <w14:textFill>
            <w14:solidFill>
              <w14:schemeClr w14:val="tx1"/>
            </w14:solidFill>
          </w14:textFill>
        </w:rPr>
      </w:pPr>
      <w:r>
        <w:rPr>
          <w:rFonts w:hint="eastAsia" w:ascii="宋体" w:hAnsi="宋体"/>
          <w:iCs/>
          <w:color w:val="000000" w:themeColor="text1"/>
          <w:sz w:val="24"/>
          <w:highlight w:val="none"/>
          <w:u w:val="none"/>
          <w14:textFill>
            <w14:solidFill>
              <w14:schemeClr w14:val="tx1"/>
            </w14:solidFill>
          </w14:textFill>
        </w:rPr>
        <w:t>二、上一年度的财务状况报表（至少提供资产负债表、利润表、现金流量表，</w:t>
      </w:r>
    </w:p>
    <w:p w14:paraId="5AD51956">
      <w:pPr>
        <w:pStyle w:val="45"/>
        <w:spacing w:before="0" w:beforeAutospacing="0" w:after="0" w:afterAutospacing="0"/>
        <w:rPr>
          <w:iCs/>
          <w:color w:val="000000" w:themeColor="text1"/>
          <w:highlight w:val="none"/>
          <w:u w:val="none"/>
          <w14:textFill>
            <w14:solidFill>
              <w14:schemeClr w14:val="tx1"/>
            </w14:solidFill>
          </w14:textFill>
        </w:rPr>
      </w:pPr>
      <w:r>
        <w:rPr>
          <w:rFonts w:hint="eastAsia"/>
          <w:iCs/>
          <w:color w:val="000000" w:themeColor="text1"/>
          <w:highlight w:val="none"/>
          <w:u w:val="none"/>
          <w14:textFill>
            <w14:solidFill>
              <w14:schemeClr w14:val="tx1"/>
            </w14:solidFill>
          </w14:textFill>
        </w:rPr>
        <w:t>投标人成立不满一年无需提供）</w:t>
      </w:r>
    </w:p>
    <w:p w14:paraId="1988740F">
      <w:pPr>
        <w:pStyle w:val="45"/>
        <w:spacing w:before="0" w:beforeAutospacing="0" w:after="0" w:afterAutospacing="0"/>
        <w:ind w:firstLine="480"/>
        <w:rPr>
          <w:iCs/>
          <w:color w:val="000000" w:themeColor="text1"/>
          <w:highlight w:val="none"/>
          <w:u w:val="none"/>
          <w14:textFill>
            <w14:solidFill>
              <w14:schemeClr w14:val="tx1"/>
            </w14:solidFill>
          </w14:textFill>
        </w:rPr>
      </w:pPr>
      <w:r>
        <w:rPr>
          <w:rFonts w:hint="eastAsia"/>
          <w:iCs/>
          <w:color w:val="000000" w:themeColor="text1"/>
          <w:highlight w:val="none"/>
          <w:u w:val="none"/>
          <w14:textFill>
            <w14:solidFill>
              <w14:schemeClr w14:val="tx1"/>
            </w14:solidFill>
          </w14:textFill>
        </w:rPr>
        <w:t>三、具备履行合同所必需的设备和专业技术能力的书面声明</w:t>
      </w:r>
    </w:p>
    <w:p w14:paraId="0FED4280">
      <w:pPr>
        <w:pStyle w:val="45"/>
        <w:spacing w:before="0" w:beforeAutospacing="0" w:after="0" w:afterAutospacing="0"/>
        <w:ind w:firstLine="480"/>
        <w:rPr>
          <w:iCs/>
          <w:color w:val="000000" w:themeColor="text1"/>
          <w:highlight w:val="none"/>
          <w:u w:val="none"/>
          <w14:textFill>
            <w14:solidFill>
              <w14:schemeClr w14:val="tx1"/>
            </w14:solidFill>
          </w14:textFill>
        </w:rPr>
      </w:pPr>
      <w:r>
        <w:rPr>
          <w:rFonts w:hint="eastAsia"/>
          <w:iCs/>
          <w:color w:val="000000" w:themeColor="text1"/>
          <w:highlight w:val="none"/>
          <w:u w:val="none"/>
          <w14:textFill>
            <w14:solidFill>
              <w14:schemeClr w14:val="tx1"/>
            </w14:solidFill>
          </w14:textFill>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3D96BB32">
      <w:pPr>
        <w:pStyle w:val="45"/>
        <w:spacing w:before="0" w:beforeAutospacing="0" w:after="0" w:afterAutospacing="0"/>
        <w:ind w:firstLine="480"/>
        <w:rPr>
          <w:iCs/>
          <w:color w:val="000000" w:themeColor="text1"/>
          <w:highlight w:val="none"/>
          <w:u w:val="none"/>
          <w14:textFill>
            <w14:solidFill>
              <w14:schemeClr w14:val="tx1"/>
            </w14:solidFill>
          </w14:textFill>
        </w:rPr>
      </w:pPr>
      <w:r>
        <w:rPr>
          <w:rFonts w:hint="eastAsia"/>
          <w:iCs/>
          <w:color w:val="000000" w:themeColor="text1"/>
          <w:highlight w:val="none"/>
          <w:u w:val="none"/>
          <w14:textFill>
            <w14:solidFill>
              <w14:schemeClr w14:val="tx1"/>
            </w14:solidFill>
          </w14:textFill>
        </w:rPr>
        <w:t>五、参加政府采购活动前 3 年内在经营活动中没有重大违法记录的书面声明</w:t>
      </w:r>
    </w:p>
    <w:p w14:paraId="1D015256">
      <w:pPr>
        <w:pStyle w:val="45"/>
        <w:spacing w:before="0" w:beforeAutospacing="0" w:after="0" w:afterAutospacing="0"/>
        <w:ind w:firstLine="480"/>
        <w:rPr>
          <w:iCs/>
          <w:color w:val="000000" w:themeColor="text1"/>
          <w:highlight w:val="none"/>
          <w:u w:val="none"/>
          <w14:textFill>
            <w14:solidFill>
              <w14:schemeClr w14:val="tx1"/>
            </w14:solidFill>
          </w14:textFill>
        </w:rPr>
      </w:pPr>
      <w:r>
        <w:rPr>
          <w:rFonts w:hint="eastAsia"/>
          <w:iCs/>
          <w:color w:val="000000" w:themeColor="text1"/>
          <w:highlight w:val="none"/>
          <w:u w:val="none"/>
          <w14:textFill>
            <w14:solidFill>
              <w14:schemeClr w14:val="tx1"/>
            </w14:solidFill>
          </w14:textFill>
        </w:rPr>
        <w:t>六、特定资格要求的证明文件（如果本项目设置特定资格要求，则需要提供）</w:t>
      </w:r>
    </w:p>
    <w:p w14:paraId="2D279704">
      <w:pPr>
        <w:pStyle w:val="45"/>
        <w:spacing w:before="0" w:beforeAutospacing="0" w:after="0" w:afterAutospacing="0"/>
        <w:ind w:firstLine="480"/>
        <w:rPr>
          <w:iCs/>
          <w:color w:val="000000" w:themeColor="text1"/>
          <w:highlight w:val="none"/>
          <w:u w:val="none"/>
          <w14:textFill>
            <w14:solidFill>
              <w14:schemeClr w14:val="tx1"/>
            </w14:solidFill>
          </w14:textFill>
        </w:rPr>
      </w:pPr>
      <w:r>
        <w:rPr>
          <w:rFonts w:hint="eastAsia"/>
          <w:iCs/>
          <w:color w:val="000000" w:themeColor="text1"/>
          <w:highlight w:val="none"/>
          <w:u w:val="none"/>
          <w14:textFill>
            <w14:solidFill>
              <w14:schemeClr w14:val="tx1"/>
            </w14:solidFill>
          </w14:textFill>
        </w:rPr>
        <w:t>七、法人授权书</w:t>
      </w:r>
    </w:p>
    <w:p w14:paraId="2222205C">
      <w:pPr>
        <w:pStyle w:val="45"/>
        <w:spacing w:before="0" w:beforeAutospacing="0" w:after="0" w:afterAutospacing="0"/>
        <w:ind w:firstLine="480"/>
        <w:rPr>
          <w:iCs/>
          <w:color w:val="000000" w:themeColor="text1"/>
          <w:highlight w:val="none"/>
          <w:u w:val="none"/>
          <w14:textFill>
            <w14:solidFill>
              <w14:schemeClr w14:val="tx1"/>
            </w14:solidFill>
          </w14:textFill>
        </w:rPr>
      </w:pPr>
      <w:r>
        <w:rPr>
          <w:rFonts w:hint="eastAsia"/>
          <w:iCs/>
          <w:color w:val="000000" w:themeColor="text1"/>
          <w:highlight w:val="none"/>
          <w:u w:val="none"/>
          <w14:textFill>
            <w14:solidFill>
              <w14:schemeClr w14:val="tx1"/>
            </w14:solidFill>
          </w14:textFill>
        </w:rPr>
        <w:t>八、投标函</w:t>
      </w:r>
    </w:p>
    <w:p w14:paraId="59FB019E">
      <w:pPr>
        <w:pStyle w:val="45"/>
        <w:spacing w:before="0" w:beforeAutospacing="0" w:after="0" w:afterAutospacing="0"/>
        <w:ind w:firstLine="480"/>
        <w:rPr>
          <w:color w:val="000000" w:themeColor="text1"/>
          <w:highlight w:val="none"/>
          <w:u w:val="none"/>
          <w14:textFill>
            <w14:solidFill>
              <w14:schemeClr w14:val="tx1"/>
            </w14:solidFill>
          </w14:textFill>
        </w:rPr>
      </w:pPr>
      <w:r>
        <w:rPr>
          <w:rFonts w:hint="eastAsia"/>
          <w:color w:val="000000" w:themeColor="text1"/>
          <w:highlight w:val="none"/>
          <w:u w:val="none"/>
          <w14:textFill>
            <w14:solidFill>
              <w14:schemeClr w14:val="tx1"/>
            </w14:solidFill>
          </w14:textFill>
        </w:rPr>
        <w:t>九、小微企业声明函</w:t>
      </w:r>
    </w:p>
    <w:p w14:paraId="534B19C7">
      <w:pPr>
        <w:pStyle w:val="45"/>
        <w:spacing w:before="0" w:beforeAutospacing="0" w:after="0" w:afterAutospacing="0"/>
        <w:ind w:firstLine="480"/>
        <w:rPr>
          <w:color w:val="000000" w:themeColor="text1"/>
          <w:highlight w:val="none"/>
          <w:u w:val="none"/>
          <w14:textFill>
            <w14:solidFill>
              <w14:schemeClr w14:val="tx1"/>
            </w14:solidFill>
          </w14:textFill>
        </w:rPr>
      </w:pPr>
      <w:r>
        <w:rPr>
          <w:rFonts w:hint="eastAsia"/>
          <w:color w:val="000000" w:themeColor="text1"/>
          <w:highlight w:val="none"/>
          <w:u w:val="none"/>
          <w14:textFill>
            <w14:solidFill>
              <w14:schemeClr w14:val="tx1"/>
            </w14:solidFill>
          </w14:textFill>
        </w:rPr>
        <w:t>十、残疾人福利性单位声明函</w:t>
      </w:r>
    </w:p>
    <w:p w14:paraId="4A68881E">
      <w:pPr>
        <w:pStyle w:val="45"/>
        <w:spacing w:before="0" w:beforeAutospacing="0" w:after="0" w:afterAutospacing="0"/>
        <w:ind w:firstLine="480"/>
        <w:rPr>
          <w:color w:val="000000" w:themeColor="text1"/>
          <w:highlight w:val="none"/>
          <w:u w:val="none"/>
          <w14:textFill>
            <w14:solidFill>
              <w14:schemeClr w14:val="tx1"/>
            </w14:solidFill>
          </w14:textFill>
        </w:rPr>
      </w:pPr>
      <w:r>
        <w:rPr>
          <w:rFonts w:hint="eastAsia"/>
          <w:color w:val="000000" w:themeColor="text1"/>
          <w:highlight w:val="none"/>
          <w:u w:val="none"/>
          <w14:textFill>
            <w14:solidFill>
              <w14:schemeClr w14:val="tx1"/>
            </w14:solidFill>
          </w14:textFill>
        </w:rPr>
        <w:t>十一、投标分项报价表</w:t>
      </w:r>
    </w:p>
    <w:p w14:paraId="1F035D26">
      <w:pPr>
        <w:pStyle w:val="45"/>
        <w:spacing w:before="0" w:beforeAutospacing="0" w:after="0" w:afterAutospacing="0"/>
        <w:ind w:firstLine="480"/>
        <w:rPr>
          <w:color w:val="000000" w:themeColor="text1"/>
          <w:highlight w:val="none"/>
          <w:u w:val="none"/>
          <w14:textFill>
            <w14:solidFill>
              <w14:schemeClr w14:val="tx1"/>
            </w14:solidFill>
          </w14:textFill>
        </w:rPr>
      </w:pPr>
      <w:r>
        <w:rPr>
          <w:rFonts w:hint="eastAsia"/>
          <w:color w:val="000000" w:themeColor="text1"/>
          <w:highlight w:val="none"/>
          <w:u w:val="none"/>
          <w14:textFill>
            <w14:solidFill>
              <w14:schemeClr w14:val="tx1"/>
            </w14:solidFill>
          </w14:textFill>
        </w:rPr>
        <w:t>十二、技术要求响应及偏离表</w:t>
      </w:r>
    </w:p>
    <w:p w14:paraId="59D3A530">
      <w:pPr>
        <w:pStyle w:val="45"/>
        <w:spacing w:before="0" w:beforeAutospacing="0" w:after="0" w:afterAutospacing="0"/>
        <w:ind w:firstLine="480"/>
        <w:rPr>
          <w:color w:val="000000" w:themeColor="text1"/>
          <w:highlight w:val="none"/>
          <w:u w:val="none"/>
          <w14:textFill>
            <w14:solidFill>
              <w14:schemeClr w14:val="tx1"/>
            </w14:solidFill>
          </w14:textFill>
        </w:rPr>
      </w:pPr>
      <w:r>
        <w:rPr>
          <w:rFonts w:hint="eastAsia"/>
          <w:color w:val="000000" w:themeColor="text1"/>
          <w:highlight w:val="none"/>
          <w:u w:val="none"/>
          <w14:textFill>
            <w14:solidFill>
              <w14:schemeClr w14:val="tx1"/>
            </w14:solidFill>
          </w14:textFill>
        </w:rPr>
        <w:t>十三、商务要求响应及偏离表</w:t>
      </w:r>
    </w:p>
    <w:p w14:paraId="757D3F81">
      <w:pPr>
        <w:pStyle w:val="45"/>
        <w:spacing w:before="0" w:beforeAutospacing="0" w:after="0" w:afterAutospacing="0"/>
        <w:ind w:firstLine="480"/>
        <w:rPr>
          <w:iCs/>
          <w:color w:val="000000" w:themeColor="text1"/>
          <w:highlight w:val="none"/>
          <w:u w:val="none"/>
          <w14:textFill>
            <w14:solidFill>
              <w14:schemeClr w14:val="tx1"/>
            </w14:solidFill>
          </w14:textFill>
        </w:rPr>
      </w:pPr>
      <w:r>
        <w:rPr>
          <w:rFonts w:hint="eastAsia"/>
          <w:iCs/>
          <w:color w:val="000000" w:themeColor="text1"/>
          <w:highlight w:val="none"/>
          <w:u w:val="none"/>
          <w14:textFill>
            <w14:solidFill>
              <w14:schemeClr w14:val="tx1"/>
            </w14:solidFill>
          </w14:textFill>
        </w:rPr>
        <w:t>十四、开标一览表</w:t>
      </w:r>
    </w:p>
    <w:p w14:paraId="37B29A36">
      <w:pPr>
        <w:widowControl/>
        <w:ind w:firstLine="480"/>
        <w:jc w:val="left"/>
        <w:rPr>
          <w:rFonts w:ascii="宋体" w:hAnsi="宋体"/>
          <w:color w:val="000000" w:themeColor="text1"/>
          <w:sz w:val="24"/>
          <w:highlight w:val="none"/>
          <w:u w:val="none"/>
          <w14:textFill>
            <w14:solidFill>
              <w14:schemeClr w14:val="tx1"/>
            </w14:solidFill>
          </w14:textFill>
        </w:rPr>
      </w:pPr>
      <w:r>
        <w:rPr>
          <w:rFonts w:hint="eastAsia" w:ascii="宋体" w:hAnsi="宋体"/>
          <w:color w:val="000000" w:themeColor="text1"/>
          <w:sz w:val="24"/>
          <w:highlight w:val="none"/>
          <w:u w:val="none"/>
          <w14:textFill>
            <w14:solidFill>
              <w14:schemeClr w14:val="tx1"/>
            </w14:solidFill>
          </w14:textFill>
        </w:rPr>
        <w:t>十五、技术方案等</w:t>
      </w:r>
    </w:p>
    <w:p w14:paraId="0AF0C046">
      <w:pPr>
        <w:pStyle w:val="45"/>
        <w:spacing w:before="0" w:beforeAutospacing="0" w:after="0" w:afterAutospacing="0"/>
        <w:ind w:firstLine="480"/>
        <w:rPr>
          <w:color w:val="000000" w:themeColor="text1"/>
          <w:highlight w:val="none"/>
          <w:u w:val="none"/>
          <w14:textFill>
            <w14:solidFill>
              <w14:schemeClr w14:val="tx1"/>
            </w14:solidFill>
          </w14:textFill>
        </w:rPr>
      </w:pPr>
      <w:r>
        <w:rPr>
          <w:rFonts w:hint="eastAsia"/>
          <w:color w:val="000000" w:themeColor="text1"/>
          <w:highlight w:val="none"/>
          <w:u w:val="none"/>
          <w14:textFill>
            <w14:solidFill>
              <w14:schemeClr w14:val="tx1"/>
            </w14:solidFill>
          </w14:textFill>
        </w:rPr>
        <w:t>十六、盐城市政府采购事前信用承诺书</w:t>
      </w:r>
    </w:p>
    <w:p w14:paraId="414340EE">
      <w:pPr>
        <w:pStyle w:val="45"/>
        <w:spacing w:before="0" w:beforeAutospacing="0" w:after="0" w:afterAutospacing="0"/>
        <w:ind w:firstLine="480"/>
        <w:rPr>
          <w:color w:val="000000" w:themeColor="text1"/>
          <w:highlight w:val="none"/>
          <w:u w:val="none"/>
          <w14:textFill>
            <w14:solidFill>
              <w14:schemeClr w14:val="tx1"/>
            </w14:solidFill>
          </w14:textFill>
        </w:rPr>
      </w:pPr>
      <w:r>
        <w:rPr>
          <w:rFonts w:hint="eastAsia"/>
          <w:color w:val="000000" w:themeColor="text1"/>
          <w:highlight w:val="none"/>
          <w:u w:val="none"/>
          <w14:textFill>
            <w14:solidFill>
              <w14:schemeClr w14:val="tx1"/>
            </w14:solidFill>
          </w14:textFill>
        </w:rPr>
        <w:t>十七、人员配备一览表</w:t>
      </w:r>
    </w:p>
    <w:p w14:paraId="4E21E82A">
      <w:pPr>
        <w:pStyle w:val="45"/>
        <w:spacing w:before="0" w:beforeAutospacing="0" w:after="0" w:afterAutospacing="0"/>
        <w:ind w:firstLine="480"/>
        <w:rPr>
          <w:color w:val="000000" w:themeColor="text1"/>
          <w:highlight w:val="none"/>
          <w14:textFill>
            <w14:solidFill>
              <w14:schemeClr w14:val="tx1"/>
            </w14:solidFill>
          </w14:textFill>
        </w:rPr>
      </w:pPr>
      <w:bookmarkStart w:id="140" w:name="_Toc120614291"/>
      <w:bookmarkStart w:id="141" w:name="_Toc120614284"/>
      <w:bookmarkStart w:id="142" w:name="_Toc26554103"/>
      <w:bookmarkStart w:id="143" w:name="_Toc49090582"/>
      <w:bookmarkStart w:id="144" w:name="_Toc22356583"/>
      <w:bookmarkStart w:id="145" w:name="_Toc24878535"/>
      <w:bookmarkStart w:id="146" w:name="_Toc23828483"/>
      <w:bookmarkStart w:id="147" w:name="_Toc513029281"/>
      <w:r>
        <w:rPr>
          <w:rFonts w:hint="eastAsia"/>
          <w:color w:val="000000" w:themeColor="text1"/>
          <w:highlight w:val="none"/>
          <w14:textFill>
            <w14:solidFill>
              <w14:schemeClr w14:val="tx1"/>
            </w14:solidFill>
          </w14:textFill>
        </w:rPr>
        <w:t>十八、招标文件中规定要求提供的其他证明材料和投标人认为需要提供的其他材料</w:t>
      </w:r>
      <w:r>
        <w:rPr>
          <w:color w:val="000000" w:themeColor="text1"/>
          <w:highlight w:val="none"/>
          <w14:textFill>
            <w14:solidFill>
              <w14:schemeClr w14:val="tx1"/>
            </w14:solidFill>
          </w14:textFill>
        </w:rPr>
        <w:t> </w:t>
      </w:r>
    </w:p>
    <w:p w14:paraId="6C83864B">
      <w:pPr>
        <w:pStyle w:val="45"/>
        <w:spacing w:before="0" w:beforeAutospacing="0" w:after="0" w:afterAutospacing="0"/>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注：如招标文件中提供的格式与苏采云系统中的格式不一致的，以苏采云系统中的格式为准。</w:t>
      </w:r>
      <w:bookmarkEnd w:id="63"/>
      <w:bookmarkEnd w:id="64"/>
      <w:bookmarkEnd w:id="65"/>
      <w:bookmarkEnd w:id="140"/>
      <w:bookmarkEnd w:id="141"/>
      <w:bookmarkEnd w:id="142"/>
      <w:bookmarkEnd w:id="143"/>
      <w:bookmarkEnd w:id="144"/>
      <w:bookmarkEnd w:id="145"/>
      <w:bookmarkEnd w:id="146"/>
      <w:bookmarkEnd w:id="147"/>
    </w:p>
    <w:p w14:paraId="4D78848F">
      <w:pPr>
        <w:spacing w:before="50" w:after="143"/>
        <w:ind w:firstLine="482"/>
        <w:jc w:val="left"/>
        <w:rPr>
          <w:rFonts w:ascii="宋体" w:hAnsi="宋体"/>
          <w:b/>
          <w:i/>
          <w:color w:val="000000" w:themeColor="text1"/>
          <w:sz w:val="24"/>
          <w:highlight w:val="none"/>
          <w:u w:val="single"/>
          <w14:textFill>
            <w14:solidFill>
              <w14:schemeClr w14:val="tx1"/>
            </w14:solidFill>
          </w14:textFill>
        </w:rPr>
      </w:pPr>
    </w:p>
    <w:p w14:paraId="7635BF5B">
      <w:pPr>
        <w:pStyle w:val="45"/>
        <w:spacing w:beforeAutospacing="0" w:afterAutospacing="0"/>
        <w:jc w:val="both"/>
        <w:rPr>
          <w:rFonts w:ascii="黑体" w:eastAsia="黑体" w:cs="黑体"/>
          <w:i/>
          <w:color w:val="000000" w:themeColor="text1"/>
          <w:sz w:val="32"/>
          <w:szCs w:val="32"/>
          <w:highlight w:val="none"/>
          <w:u w:val="single"/>
          <w14:textFill>
            <w14:solidFill>
              <w14:schemeClr w14:val="tx1"/>
            </w14:solidFill>
          </w14:textFill>
        </w:rPr>
      </w:pPr>
    </w:p>
    <w:p w14:paraId="1237A3D0">
      <w:pPr>
        <w:pStyle w:val="45"/>
        <w:spacing w:beforeAutospacing="0" w:afterAutospacing="0"/>
        <w:jc w:val="both"/>
        <w:rPr>
          <w:rFonts w:ascii="黑体" w:eastAsia="黑体" w:cs="黑体"/>
          <w:i/>
          <w:color w:val="000000" w:themeColor="text1"/>
          <w:sz w:val="32"/>
          <w:szCs w:val="32"/>
          <w:highlight w:val="none"/>
          <w:u w:val="single"/>
          <w14:textFill>
            <w14:solidFill>
              <w14:schemeClr w14:val="tx1"/>
            </w14:solidFill>
          </w14:textFill>
        </w:rPr>
      </w:pPr>
    </w:p>
    <w:p w14:paraId="17C4E934">
      <w:pPr>
        <w:pStyle w:val="45"/>
        <w:spacing w:beforeAutospacing="0" w:afterAutospacing="0"/>
        <w:jc w:val="both"/>
        <w:rPr>
          <w:rFonts w:ascii="黑体" w:eastAsia="黑体" w:cs="黑体"/>
          <w:i/>
          <w:color w:val="000000" w:themeColor="text1"/>
          <w:sz w:val="32"/>
          <w:szCs w:val="32"/>
          <w:highlight w:val="none"/>
          <w:u w:val="single"/>
          <w14:textFill>
            <w14:solidFill>
              <w14:schemeClr w14:val="tx1"/>
            </w14:solidFill>
          </w14:textFill>
        </w:rPr>
      </w:pPr>
    </w:p>
    <w:p w14:paraId="31AA15EB">
      <w:pPr>
        <w:pStyle w:val="45"/>
        <w:spacing w:beforeAutospacing="0" w:afterAutospacing="0"/>
        <w:jc w:val="both"/>
        <w:rPr>
          <w:rFonts w:ascii="黑体" w:eastAsia="黑体" w:cs="黑体"/>
          <w:i/>
          <w:color w:val="000000" w:themeColor="text1"/>
          <w:sz w:val="32"/>
          <w:szCs w:val="32"/>
          <w:highlight w:val="none"/>
          <w:u w:val="single"/>
          <w14:textFill>
            <w14:solidFill>
              <w14:schemeClr w14:val="tx1"/>
            </w14:solidFill>
          </w14:textFill>
        </w:rPr>
      </w:pPr>
    </w:p>
    <w:p w14:paraId="7AA3F62E">
      <w:pPr>
        <w:pStyle w:val="45"/>
        <w:spacing w:beforeAutospacing="0" w:afterAutospacing="0"/>
        <w:jc w:val="both"/>
        <w:rPr>
          <w:rFonts w:ascii="黑体" w:eastAsia="黑体" w:cs="黑体"/>
          <w:i/>
          <w:color w:val="000000" w:themeColor="text1"/>
          <w:sz w:val="32"/>
          <w:szCs w:val="32"/>
          <w:highlight w:val="none"/>
          <w:u w:val="single"/>
          <w14:textFill>
            <w14:solidFill>
              <w14:schemeClr w14:val="tx1"/>
            </w14:solidFill>
          </w14:textFill>
        </w:rPr>
      </w:pPr>
    </w:p>
    <w:p w14:paraId="58DA4250">
      <w:pPr>
        <w:pStyle w:val="45"/>
        <w:spacing w:beforeAutospacing="0" w:afterAutospacing="0"/>
        <w:jc w:val="both"/>
        <w:rPr>
          <w:rFonts w:ascii="黑体" w:eastAsia="黑体" w:cs="黑体"/>
          <w:i/>
          <w:color w:val="000000" w:themeColor="text1"/>
          <w:sz w:val="32"/>
          <w:szCs w:val="32"/>
          <w:highlight w:val="none"/>
          <w:u w:val="single"/>
          <w14:textFill>
            <w14:solidFill>
              <w14:schemeClr w14:val="tx1"/>
            </w14:solidFill>
          </w14:textFill>
        </w:rPr>
      </w:pPr>
    </w:p>
    <w:p w14:paraId="7F960905">
      <w:pPr>
        <w:pStyle w:val="45"/>
        <w:spacing w:beforeAutospacing="0" w:afterAutospacing="0"/>
        <w:jc w:val="both"/>
        <w:rPr>
          <w:rFonts w:ascii="黑体" w:eastAsia="黑体" w:cs="黑体"/>
          <w:i/>
          <w:color w:val="000000" w:themeColor="text1"/>
          <w:sz w:val="32"/>
          <w:szCs w:val="32"/>
          <w:highlight w:val="none"/>
          <w:u w:val="single"/>
          <w14:textFill>
            <w14:solidFill>
              <w14:schemeClr w14:val="tx1"/>
            </w14:solidFill>
          </w14:textFill>
        </w:rPr>
      </w:pPr>
    </w:p>
    <w:p w14:paraId="3A7B0667">
      <w:pPr>
        <w:pStyle w:val="45"/>
        <w:spacing w:beforeAutospacing="0" w:afterAutospacing="0"/>
        <w:jc w:val="both"/>
        <w:rPr>
          <w:rFonts w:ascii="黑体" w:eastAsia="黑体" w:cs="黑体"/>
          <w:i/>
          <w:color w:val="000000" w:themeColor="text1"/>
          <w:sz w:val="32"/>
          <w:szCs w:val="32"/>
          <w:highlight w:val="none"/>
          <w:u w:val="single"/>
          <w14:textFill>
            <w14:solidFill>
              <w14:schemeClr w14:val="tx1"/>
            </w14:solidFill>
          </w14:textFill>
        </w:rPr>
      </w:pPr>
    </w:p>
    <w:p w14:paraId="784E60C4">
      <w:pPr>
        <w:pStyle w:val="45"/>
        <w:spacing w:beforeAutospacing="0" w:afterAutospacing="0"/>
        <w:jc w:val="both"/>
        <w:rPr>
          <w:rFonts w:ascii="黑体" w:eastAsia="黑体" w:cs="黑体"/>
          <w:i/>
          <w:color w:val="000000" w:themeColor="text1"/>
          <w:sz w:val="32"/>
          <w:szCs w:val="32"/>
          <w:highlight w:val="none"/>
          <w:u w:val="single"/>
          <w14:textFill>
            <w14:solidFill>
              <w14:schemeClr w14:val="tx1"/>
            </w14:solidFill>
          </w14:textFill>
        </w:rPr>
      </w:pPr>
    </w:p>
    <w:p w14:paraId="0E50E3FD">
      <w:pPr>
        <w:pStyle w:val="45"/>
        <w:spacing w:beforeAutospacing="0" w:afterAutospacing="0"/>
        <w:jc w:val="both"/>
        <w:rPr>
          <w:rFonts w:ascii="黑体" w:eastAsia="黑体" w:cs="黑体"/>
          <w:i/>
          <w:color w:val="000000" w:themeColor="text1"/>
          <w:sz w:val="32"/>
          <w:szCs w:val="32"/>
          <w:highlight w:val="none"/>
          <w:u w:val="single"/>
          <w14:textFill>
            <w14:solidFill>
              <w14:schemeClr w14:val="tx1"/>
            </w14:solidFill>
          </w14:textFill>
        </w:rPr>
      </w:pPr>
    </w:p>
    <w:p w14:paraId="0B658EAB">
      <w:pPr>
        <w:pStyle w:val="45"/>
        <w:spacing w:beforeAutospacing="0" w:afterAutospacing="0"/>
        <w:jc w:val="both"/>
        <w:rPr>
          <w:rFonts w:ascii="黑体" w:eastAsia="黑体" w:cs="黑体"/>
          <w:i/>
          <w:color w:val="000000" w:themeColor="text1"/>
          <w:sz w:val="32"/>
          <w:szCs w:val="32"/>
          <w:highlight w:val="none"/>
          <w:u w:val="single"/>
          <w14:textFill>
            <w14:solidFill>
              <w14:schemeClr w14:val="tx1"/>
            </w14:solidFill>
          </w14:textFill>
        </w:rPr>
      </w:pPr>
    </w:p>
    <w:p w14:paraId="7DF6DACE">
      <w:pPr>
        <w:pStyle w:val="45"/>
        <w:spacing w:beforeAutospacing="0" w:afterAutospacing="0"/>
        <w:jc w:val="both"/>
        <w:rPr>
          <w:rFonts w:ascii="黑体" w:eastAsia="黑体" w:cs="黑体"/>
          <w:i/>
          <w:color w:val="000000" w:themeColor="text1"/>
          <w:sz w:val="32"/>
          <w:szCs w:val="32"/>
          <w:highlight w:val="none"/>
          <w:u w:val="single"/>
          <w14:textFill>
            <w14:solidFill>
              <w14:schemeClr w14:val="tx1"/>
            </w14:solidFill>
          </w14:textFill>
        </w:rPr>
      </w:pPr>
    </w:p>
    <w:p w14:paraId="625F2973">
      <w:pPr>
        <w:pStyle w:val="45"/>
        <w:spacing w:beforeAutospacing="0" w:afterAutospacing="0"/>
        <w:jc w:val="both"/>
        <w:rPr>
          <w:rFonts w:ascii="黑体" w:eastAsia="黑体" w:cs="黑体"/>
          <w:i/>
          <w:color w:val="000000" w:themeColor="text1"/>
          <w:sz w:val="32"/>
          <w:szCs w:val="32"/>
          <w:highlight w:val="none"/>
          <w:u w:val="single"/>
          <w14:textFill>
            <w14:solidFill>
              <w14:schemeClr w14:val="tx1"/>
            </w14:solidFill>
          </w14:textFill>
        </w:rPr>
      </w:pPr>
      <w:r>
        <w:rPr>
          <w:rFonts w:hint="eastAsia" w:ascii="黑体" w:eastAsia="黑体" w:cs="黑体"/>
          <w:i/>
          <w:color w:val="000000" w:themeColor="text1"/>
          <w:sz w:val="32"/>
          <w:szCs w:val="32"/>
          <w:highlight w:val="none"/>
          <w:u w:val="single"/>
          <w14:textFill>
            <w14:solidFill>
              <w14:schemeClr w14:val="tx1"/>
            </w14:solidFill>
          </w14:textFill>
        </w:rPr>
        <w:t>一、法人或者其他组织的营业执照等证明文件，自然人的身份证明</w:t>
      </w:r>
    </w:p>
    <w:p w14:paraId="6C0B0670">
      <w:pPr>
        <w:pStyle w:val="45"/>
        <w:spacing w:beforeAutospacing="0" w:afterAutospacing="0"/>
        <w:jc w:val="both"/>
        <w:rPr>
          <w:rFonts w:ascii="黑体" w:eastAsia="黑体" w:cs="黑体"/>
          <w:i/>
          <w:color w:val="000000" w:themeColor="text1"/>
          <w:sz w:val="32"/>
          <w:szCs w:val="32"/>
          <w:highlight w:val="none"/>
          <w:u w:val="single"/>
          <w14:textFill>
            <w14:solidFill>
              <w14:schemeClr w14:val="tx1"/>
            </w14:solidFill>
          </w14:textFill>
        </w:rPr>
      </w:pPr>
    </w:p>
    <w:p w14:paraId="38CB2028">
      <w:pPr>
        <w:pStyle w:val="282"/>
        <w:ind w:firstLine="420"/>
        <w:rPr>
          <w:rFonts w:hAnsi="宋体"/>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p>
    <w:p w14:paraId="4499B8BA">
      <w:pPr>
        <w:pStyle w:val="45"/>
        <w:spacing w:beforeAutospacing="0" w:afterAutospacing="0"/>
        <w:jc w:val="both"/>
        <w:rPr>
          <w:rFonts w:eastAsia="黑体"/>
          <w:color w:val="000000" w:themeColor="text1"/>
          <w:highlight w:val="none"/>
          <w14:textFill>
            <w14:solidFill>
              <w14:schemeClr w14:val="tx1"/>
            </w14:solidFill>
          </w14:textFill>
        </w:rPr>
      </w:pPr>
      <w:r>
        <w:rPr>
          <w:rFonts w:hint="eastAsia" w:ascii="黑体" w:eastAsia="黑体" w:cs="黑体"/>
          <w:i/>
          <w:color w:val="000000" w:themeColor="text1"/>
          <w:sz w:val="32"/>
          <w:szCs w:val="32"/>
          <w:highlight w:val="none"/>
          <w:u w:val="single"/>
          <w14:textFill>
            <w14:solidFill>
              <w14:schemeClr w14:val="tx1"/>
            </w14:solidFill>
          </w14:textFill>
        </w:rPr>
        <w:t>二、上一年度的财务状况报表</w:t>
      </w:r>
    </w:p>
    <w:p w14:paraId="5451E708">
      <w:pPr>
        <w:pStyle w:val="45"/>
        <w:spacing w:beforeAutospacing="0" w:afterAutospacing="0" w:line="0" w:lineRule="atLeast"/>
        <w:ind w:firstLine="48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投标人成立不满一年无需提供</w:t>
      </w:r>
    </w:p>
    <w:p w14:paraId="16A1A303">
      <w:pPr>
        <w:pStyle w:val="282"/>
        <w:ind w:firstLine="420"/>
        <w:rPr>
          <w:rFonts w:hAnsi="宋体"/>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p>
    <w:p w14:paraId="3EDCFA42">
      <w:pPr>
        <w:pStyle w:val="45"/>
        <w:spacing w:beforeAutospacing="0" w:afterAutospacing="0"/>
        <w:jc w:val="both"/>
        <w:rPr>
          <w:color w:val="000000" w:themeColor="text1"/>
          <w:highlight w:val="none"/>
          <w14:textFill>
            <w14:solidFill>
              <w14:schemeClr w14:val="tx1"/>
            </w14:solidFill>
          </w14:textFill>
        </w:rPr>
      </w:pPr>
      <w:r>
        <w:rPr>
          <w:rFonts w:hint="eastAsia" w:ascii="黑体" w:eastAsia="黑体" w:cs="黑体"/>
          <w:i/>
          <w:color w:val="000000" w:themeColor="text1"/>
          <w:sz w:val="32"/>
          <w:szCs w:val="32"/>
          <w:highlight w:val="none"/>
          <w:u w:val="single"/>
          <w14:textFill>
            <w14:solidFill>
              <w14:schemeClr w14:val="tx1"/>
            </w14:solidFill>
          </w14:textFill>
        </w:rPr>
        <w:t>三、具备履行合同所必需的设备和专业技术能力的书面声明</w:t>
      </w:r>
    </w:p>
    <w:p w14:paraId="73C23EAC">
      <w:pPr>
        <w:pStyle w:val="45"/>
        <w:spacing w:beforeAutospacing="0" w:afterAutospacing="0" w:line="0" w:lineRule="atLeast"/>
        <w:ind w:firstLine="492"/>
        <w:jc w:val="both"/>
        <w:rPr>
          <w:rFonts w:hint="eastAsia"/>
          <w:color w:val="000000" w:themeColor="text1"/>
          <w:highlight w:val="none"/>
          <w14:textFill>
            <w14:solidFill>
              <w14:schemeClr w14:val="tx1"/>
            </w14:solidFill>
          </w14:textFill>
        </w:rPr>
      </w:pPr>
    </w:p>
    <w:p w14:paraId="105AD238">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firstLine="492"/>
        <w:jc w:val="both"/>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31E1F94C">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firstLine="492"/>
        <w:jc w:val="both"/>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主要设备有：</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w:t>
      </w:r>
    </w:p>
    <w:p w14:paraId="67CC2A2B">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both"/>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主要专业技术能力有：</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w:t>
      </w:r>
    </w:p>
    <w:p w14:paraId="25FB06B3">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color w:val="000000" w:themeColor="text1"/>
          <w:highlight w:val="none"/>
          <w14:textFill>
            <w14:solidFill>
              <w14:schemeClr w14:val="tx1"/>
            </w14:solidFill>
          </w14:textFill>
        </w:rPr>
      </w:pPr>
    </w:p>
    <w:p w14:paraId="53B12BEB">
      <w:pPr>
        <w:widowControl/>
        <w:jc w:val="left"/>
        <w:rPr>
          <w:rFonts w:ascii="宋体" w:hAnsi="宋体"/>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p>
    <w:p w14:paraId="3B2B1977">
      <w:pPr>
        <w:pStyle w:val="45"/>
        <w:spacing w:beforeAutospacing="0" w:afterAutospacing="0"/>
        <w:jc w:val="both"/>
        <w:rPr>
          <w:color w:val="000000" w:themeColor="text1"/>
          <w:highlight w:val="none"/>
          <w14:textFill>
            <w14:solidFill>
              <w14:schemeClr w14:val="tx1"/>
            </w14:solidFill>
          </w14:textFill>
        </w:rPr>
      </w:pPr>
      <w:r>
        <w:rPr>
          <w:rFonts w:hint="eastAsia" w:ascii="黑体" w:eastAsia="黑体" w:cs="黑体"/>
          <w:i/>
          <w:color w:val="000000" w:themeColor="text1"/>
          <w:sz w:val="32"/>
          <w:szCs w:val="32"/>
          <w:highlight w:val="none"/>
          <w:u w:val="single"/>
          <w14:textFill>
            <w14:solidFill>
              <w14:schemeClr w14:val="tx1"/>
            </w14:solidFill>
          </w14:textFill>
        </w:rPr>
        <w:t>四、依法缴纳税收和社会保障资金的相关材料</w:t>
      </w:r>
    </w:p>
    <w:p w14:paraId="7A24235C">
      <w:pPr>
        <w:pStyle w:val="45"/>
        <w:spacing w:beforeAutospacing="0" w:afterAutospacing="0"/>
        <w:ind w:firstLine="480"/>
        <w:jc w:val="both"/>
        <w:rPr>
          <w:rFonts w:hint="eastAsia"/>
          <w:color w:val="000000" w:themeColor="text1"/>
          <w:highlight w:val="none"/>
          <w14:textFill>
            <w14:solidFill>
              <w14:schemeClr w14:val="tx1"/>
            </w14:solidFill>
          </w14:textFill>
        </w:rPr>
      </w:pPr>
    </w:p>
    <w:p w14:paraId="21F6F9AE">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jc w:val="both"/>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提供提交投标文件截止时间前一年内至少一个月依法缴纳税收及缴纳社会保障资金的证明材料。投标人依法享受缓缴、免缴税收、社会保障资金的提供证明材料。</w:t>
      </w:r>
    </w:p>
    <w:p w14:paraId="0F27D5F8">
      <w:pPr>
        <w:pStyle w:val="45"/>
        <w:spacing w:beforeAutospacing="0" w:afterAutospacing="0"/>
        <w:ind w:firstLine="480"/>
        <w:jc w:val="both"/>
        <w:rPr>
          <w:color w:val="000000" w:themeColor="text1"/>
          <w:highlight w:val="none"/>
          <w14:textFill>
            <w14:solidFill>
              <w14:schemeClr w14:val="tx1"/>
            </w14:solidFill>
          </w14:textFill>
        </w:rPr>
      </w:pPr>
    </w:p>
    <w:p w14:paraId="3DAA4044">
      <w:pPr>
        <w:widowControl/>
        <w:jc w:val="left"/>
        <w:rPr>
          <w:rFonts w:ascii="宋体" w:hAnsi="宋体"/>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p>
    <w:p w14:paraId="7478DCEF">
      <w:pPr>
        <w:pStyle w:val="45"/>
        <w:spacing w:beforeAutospacing="0" w:afterAutospacing="0"/>
        <w:jc w:val="both"/>
        <w:rPr>
          <w:color w:val="000000" w:themeColor="text1"/>
          <w:highlight w:val="none"/>
          <w14:textFill>
            <w14:solidFill>
              <w14:schemeClr w14:val="tx1"/>
            </w14:solidFill>
          </w14:textFill>
        </w:rPr>
      </w:pPr>
      <w:r>
        <w:rPr>
          <w:rFonts w:hint="eastAsia" w:ascii="黑体" w:eastAsia="黑体" w:cs="黑体"/>
          <w:i/>
          <w:color w:val="000000" w:themeColor="text1"/>
          <w:sz w:val="32"/>
          <w:szCs w:val="32"/>
          <w:highlight w:val="none"/>
          <w:u w:val="single"/>
          <w14:textFill>
            <w14:solidFill>
              <w14:schemeClr w14:val="tx1"/>
            </w14:solidFill>
          </w14:textFill>
        </w:rPr>
        <w:t>五、参加政府采购活动前3年内在经营活动中没有重大违法记录的书面声明</w:t>
      </w:r>
    </w:p>
    <w:p w14:paraId="3D849DA9">
      <w:pPr>
        <w:pStyle w:val="45"/>
        <w:spacing w:beforeAutospacing="0" w:afterAutospacing="0" w:line="0" w:lineRule="atLeast"/>
        <w:ind w:firstLine="3092"/>
        <w:jc w:val="both"/>
        <w:rPr>
          <w:rFonts w:hint="eastAsia"/>
          <w:b/>
          <w:color w:val="000000" w:themeColor="text1"/>
          <w:sz w:val="30"/>
          <w:szCs w:val="30"/>
          <w:highlight w:val="none"/>
          <w14:textFill>
            <w14:solidFill>
              <w14:schemeClr w14:val="tx1"/>
            </w14:solidFill>
          </w14:textFill>
        </w:rPr>
      </w:pPr>
    </w:p>
    <w:p w14:paraId="0A5395FA">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color w:val="000000" w:themeColor="text1"/>
          <w:highlight w:val="none"/>
          <w14:textFill>
            <w14:solidFill>
              <w14:schemeClr w14:val="tx1"/>
            </w14:solidFill>
          </w14:textFill>
        </w:rPr>
      </w:pPr>
      <w:r>
        <w:rPr>
          <w:rFonts w:hint="eastAsia"/>
          <w:b/>
          <w:color w:val="000000" w:themeColor="text1"/>
          <w:sz w:val="44"/>
          <w:szCs w:val="44"/>
          <w:highlight w:val="none"/>
          <w14:textFill>
            <w14:solidFill>
              <w14:schemeClr w14:val="tx1"/>
            </w14:solidFill>
          </w14:textFill>
        </w:rPr>
        <w:t xml:space="preserve">声 </w:t>
      </w:r>
      <w:r>
        <w:rPr>
          <w:rFonts w:hint="eastAsia"/>
          <w:b/>
          <w:color w:val="000000" w:themeColor="text1"/>
          <w:sz w:val="44"/>
          <w:szCs w:val="44"/>
          <w:highlight w:val="none"/>
          <w:lang w:val="en-US" w:eastAsia="zh-CN"/>
          <w14:textFill>
            <w14:solidFill>
              <w14:schemeClr w14:val="tx1"/>
            </w14:solidFill>
          </w14:textFill>
        </w:rPr>
        <w:t xml:space="preserve"> </w:t>
      </w:r>
      <w:r>
        <w:rPr>
          <w:rFonts w:hint="eastAsia"/>
          <w:b/>
          <w:color w:val="000000" w:themeColor="text1"/>
          <w:sz w:val="44"/>
          <w:szCs w:val="44"/>
          <w:highlight w:val="none"/>
          <w14:textFill>
            <w14:solidFill>
              <w14:schemeClr w14:val="tx1"/>
            </w14:solidFill>
          </w14:textFill>
        </w:rPr>
        <w:t>明</w:t>
      </w:r>
    </w:p>
    <w:p w14:paraId="59B9621E">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both"/>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我单位郑重声明：参加本次政府采购活动前3年内，我单位在经营活动中没有因违法经营受到刑事处罚或者责令停产停业、吊销许可证或者执照、较大数额罚款等行政处罚。</w:t>
      </w:r>
    </w:p>
    <w:p w14:paraId="1DE8151A">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color w:val="000000" w:themeColor="text1"/>
          <w:highlight w:val="none"/>
          <w14:textFill>
            <w14:solidFill>
              <w14:schemeClr w14:val="tx1"/>
            </w14:solidFill>
          </w14:textFill>
        </w:rPr>
      </w:pPr>
    </w:p>
    <w:p w14:paraId="7B166D6E">
      <w:pPr>
        <w:widowControl/>
        <w:jc w:val="left"/>
        <w:rPr>
          <w:rFonts w:ascii="宋体" w:hAnsi="宋体"/>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p>
    <w:p w14:paraId="6BA463D9">
      <w:pPr>
        <w:pStyle w:val="45"/>
        <w:spacing w:beforeAutospacing="0" w:afterAutospacing="0"/>
        <w:jc w:val="both"/>
        <w:rPr>
          <w:color w:val="000000" w:themeColor="text1"/>
          <w:highlight w:val="none"/>
          <w14:textFill>
            <w14:solidFill>
              <w14:schemeClr w14:val="tx1"/>
            </w14:solidFill>
          </w14:textFill>
        </w:rPr>
      </w:pPr>
      <w:r>
        <w:rPr>
          <w:rFonts w:hint="eastAsia" w:ascii="黑体" w:eastAsia="黑体" w:cs="黑体"/>
          <w:i/>
          <w:color w:val="000000" w:themeColor="text1"/>
          <w:sz w:val="32"/>
          <w:szCs w:val="32"/>
          <w:highlight w:val="none"/>
          <w14:textFill>
            <w14:solidFill>
              <w14:schemeClr w14:val="tx1"/>
            </w14:solidFill>
          </w14:textFill>
        </w:rPr>
        <w:t>六、特定资格要求的证明文件</w:t>
      </w:r>
    </w:p>
    <w:p w14:paraId="58F19F45">
      <w:pPr>
        <w:pStyle w:val="45"/>
        <w:spacing w:beforeAutospacing="0" w:afterAutospacing="0" w:line="0" w:lineRule="atLeast"/>
        <w:ind w:firstLine="480" w:firstLineChars="20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如果本项目申请人的特定资格要求中要求提供的，必须提供。</w:t>
      </w:r>
    </w:p>
    <w:p w14:paraId="653396F9">
      <w:pPr>
        <w:pStyle w:val="45"/>
        <w:spacing w:beforeAutospacing="0" w:afterAutospacing="0" w:line="0" w:lineRule="atLeast"/>
        <w:jc w:val="both"/>
        <w:rPr>
          <w:color w:val="000000" w:themeColor="text1"/>
          <w:highlight w:val="none"/>
          <w14:textFill>
            <w14:solidFill>
              <w14:schemeClr w14:val="tx1"/>
            </w14:solidFill>
          </w14:textFill>
        </w:rPr>
      </w:pPr>
    </w:p>
    <w:p w14:paraId="66999156">
      <w:pPr>
        <w:pStyle w:val="45"/>
        <w:spacing w:beforeAutospacing="0" w:afterAutospacing="0" w:line="0" w:lineRule="atLeast"/>
        <w:jc w:val="both"/>
        <w:rPr>
          <w:color w:val="000000" w:themeColor="text1"/>
          <w:highlight w:val="none"/>
          <w14:textFill>
            <w14:solidFill>
              <w14:schemeClr w14:val="tx1"/>
            </w14:solidFill>
          </w14:textFill>
        </w:rPr>
      </w:pPr>
    </w:p>
    <w:p w14:paraId="2AF73537">
      <w:pPr>
        <w:pStyle w:val="45"/>
        <w:spacing w:beforeAutospacing="0" w:afterAutospacing="0" w:line="0" w:lineRule="atLeast"/>
        <w:jc w:val="both"/>
        <w:rPr>
          <w:color w:val="000000" w:themeColor="text1"/>
          <w:highlight w:val="none"/>
          <w14:textFill>
            <w14:solidFill>
              <w14:schemeClr w14:val="tx1"/>
            </w14:solidFill>
          </w14:textFill>
        </w:rPr>
      </w:pPr>
    </w:p>
    <w:p w14:paraId="31522D74">
      <w:pPr>
        <w:pStyle w:val="45"/>
        <w:spacing w:beforeAutospacing="0" w:afterAutospacing="0" w:line="0" w:lineRule="atLeast"/>
        <w:jc w:val="both"/>
        <w:rPr>
          <w:color w:val="000000" w:themeColor="text1"/>
          <w:highlight w:val="none"/>
          <w14:textFill>
            <w14:solidFill>
              <w14:schemeClr w14:val="tx1"/>
            </w14:solidFill>
          </w14:textFill>
        </w:rPr>
      </w:pPr>
    </w:p>
    <w:p w14:paraId="1EBFF83F">
      <w:pPr>
        <w:pStyle w:val="45"/>
        <w:spacing w:beforeAutospacing="0" w:afterAutospacing="0" w:line="0" w:lineRule="atLeast"/>
        <w:jc w:val="both"/>
        <w:rPr>
          <w:color w:val="000000" w:themeColor="text1"/>
          <w:highlight w:val="none"/>
          <w14:textFill>
            <w14:solidFill>
              <w14:schemeClr w14:val="tx1"/>
            </w14:solidFill>
          </w14:textFill>
        </w:rPr>
      </w:pPr>
    </w:p>
    <w:p w14:paraId="6D8731B3">
      <w:pPr>
        <w:pStyle w:val="45"/>
        <w:spacing w:beforeAutospacing="0" w:afterAutospacing="0" w:line="0" w:lineRule="atLeast"/>
        <w:jc w:val="both"/>
        <w:rPr>
          <w:color w:val="000000" w:themeColor="text1"/>
          <w:highlight w:val="none"/>
          <w14:textFill>
            <w14:solidFill>
              <w14:schemeClr w14:val="tx1"/>
            </w14:solidFill>
          </w14:textFill>
        </w:rPr>
      </w:pPr>
    </w:p>
    <w:p w14:paraId="3F3B9D7B">
      <w:pPr>
        <w:pStyle w:val="45"/>
        <w:spacing w:beforeAutospacing="0" w:afterAutospacing="0" w:line="0" w:lineRule="atLeast"/>
        <w:jc w:val="both"/>
        <w:rPr>
          <w:color w:val="000000" w:themeColor="text1"/>
          <w:highlight w:val="none"/>
          <w14:textFill>
            <w14:solidFill>
              <w14:schemeClr w14:val="tx1"/>
            </w14:solidFill>
          </w14:textFill>
        </w:rPr>
      </w:pPr>
    </w:p>
    <w:p w14:paraId="7FB421B0">
      <w:pPr>
        <w:pStyle w:val="45"/>
        <w:spacing w:beforeAutospacing="0" w:afterAutospacing="0" w:line="0" w:lineRule="atLeast"/>
        <w:jc w:val="both"/>
        <w:rPr>
          <w:color w:val="000000" w:themeColor="text1"/>
          <w:highlight w:val="none"/>
          <w14:textFill>
            <w14:solidFill>
              <w14:schemeClr w14:val="tx1"/>
            </w14:solidFill>
          </w14:textFill>
        </w:rPr>
      </w:pPr>
    </w:p>
    <w:p w14:paraId="3BF5C26F">
      <w:pPr>
        <w:pStyle w:val="45"/>
        <w:spacing w:beforeAutospacing="0" w:afterAutospacing="0" w:line="0" w:lineRule="atLeast"/>
        <w:jc w:val="both"/>
        <w:rPr>
          <w:color w:val="000000" w:themeColor="text1"/>
          <w:highlight w:val="none"/>
          <w14:textFill>
            <w14:solidFill>
              <w14:schemeClr w14:val="tx1"/>
            </w14:solidFill>
          </w14:textFill>
        </w:rPr>
      </w:pPr>
    </w:p>
    <w:p w14:paraId="07A727D2">
      <w:pPr>
        <w:pStyle w:val="45"/>
        <w:spacing w:beforeAutospacing="0" w:afterAutospacing="0" w:line="0" w:lineRule="atLeast"/>
        <w:jc w:val="both"/>
        <w:rPr>
          <w:color w:val="000000" w:themeColor="text1"/>
          <w:highlight w:val="none"/>
          <w14:textFill>
            <w14:solidFill>
              <w14:schemeClr w14:val="tx1"/>
            </w14:solidFill>
          </w14:textFill>
        </w:rPr>
      </w:pPr>
    </w:p>
    <w:p w14:paraId="1AB71863">
      <w:pPr>
        <w:pStyle w:val="45"/>
        <w:spacing w:beforeAutospacing="0" w:afterAutospacing="0" w:line="0" w:lineRule="atLeast"/>
        <w:jc w:val="both"/>
        <w:rPr>
          <w:color w:val="000000" w:themeColor="text1"/>
          <w:highlight w:val="none"/>
          <w14:textFill>
            <w14:solidFill>
              <w14:schemeClr w14:val="tx1"/>
            </w14:solidFill>
          </w14:textFill>
        </w:rPr>
      </w:pPr>
    </w:p>
    <w:p w14:paraId="0168CE2A">
      <w:pPr>
        <w:pStyle w:val="45"/>
        <w:spacing w:beforeAutospacing="0" w:afterAutospacing="0" w:line="0" w:lineRule="atLeast"/>
        <w:jc w:val="both"/>
        <w:rPr>
          <w:color w:val="000000" w:themeColor="text1"/>
          <w:highlight w:val="none"/>
          <w14:textFill>
            <w14:solidFill>
              <w14:schemeClr w14:val="tx1"/>
            </w14:solidFill>
          </w14:textFill>
        </w:rPr>
      </w:pPr>
    </w:p>
    <w:p w14:paraId="5C5E47B5">
      <w:pPr>
        <w:pStyle w:val="45"/>
        <w:spacing w:beforeAutospacing="0" w:afterAutospacing="0" w:line="0" w:lineRule="atLeast"/>
        <w:jc w:val="both"/>
        <w:rPr>
          <w:color w:val="000000" w:themeColor="text1"/>
          <w:highlight w:val="none"/>
          <w14:textFill>
            <w14:solidFill>
              <w14:schemeClr w14:val="tx1"/>
            </w14:solidFill>
          </w14:textFill>
        </w:rPr>
      </w:pPr>
    </w:p>
    <w:p w14:paraId="26B010B7">
      <w:pPr>
        <w:pStyle w:val="45"/>
        <w:spacing w:beforeAutospacing="0" w:afterAutospacing="0" w:line="0" w:lineRule="atLeast"/>
        <w:jc w:val="both"/>
        <w:rPr>
          <w:color w:val="000000" w:themeColor="text1"/>
          <w:highlight w:val="none"/>
          <w14:textFill>
            <w14:solidFill>
              <w14:schemeClr w14:val="tx1"/>
            </w14:solidFill>
          </w14:textFill>
        </w:rPr>
      </w:pPr>
    </w:p>
    <w:p w14:paraId="1C471B1D">
      <w:pPr>
        <w:pStyle w:val="45"/>
        <w:spacing w:beforeAutospacing="0" w:afterAutospacing="0" w:line="0" w:lineRule="atLeast"/>
        <w:jc w:val="both"/>
        <w:rPr>
          <w:color w:val="000000" w:themeColor="text1"/>
          <w:highlight w:val="none"/>
          <w14:textFill>
            <w14:solidFill>
              <w14:schemeClr w14:val="tx1"/>
            </w14:solidFill>
          </w14:textFill>
        </w:rPr>
      </w:pPr>
    </w:p>
    <w:p w14:paraId="634A0006">
      <w:pPr>
        <w:pStyle w:val="45"/>
        <w:spacing w:beforeAutospacing="0" w:afterAutospacing="0" w:line="0" w:lineRule="atLeast"/>
        <w:jc w:val="both"/>
        <w:rPr>
          <w:color w:val="000000" w:themeColor="text1"/>
          <w:highlight w:val="none"/>
          <w14:textFill>
            <w14:solidFill>
              <w14:schemeClr w14:val="tx1"/>
            </w14:solidFill>
          </w14:textFill>
        </w:rPr>
      </w:pPr>
    </w:p>
    <w:p w14:paraId="5D366DFC">
      <w:pPr>
        <w:pStyle w:val="45"/>
        <w:spacing w:beforeAutospacing="0" w:afterAutospacing="0" w:line="0" w:lineRule="atLeast"/>
        <w:jc w:val="both"/>
        <w:rPr>
          <w:color w:val="000000" w:themeColor="text1"/>
          <w:highlight w:val="none"/>
          <w14:textFill>
            <w14:solidFill>
              <w14:schemeClr w14:val="tx1"/>
            </w14:solidFill>
          </w14:textFill>
        </w:rPr>
      </w:pPr>
    </w:p>
    <w:p w14:paraId="1582D936">
      <w:pPr>
        <w:pStyle w:val="45"/>
        <w:spacing w:beforeAutospacing="0" w:afterAutospacing="0" w:line="0" w:lineRule="atLeast"/>
        <w:jc w:val="both"/>
        <w:rPr>
          <w:color w:val="000000" w:themeColor="text1"/>
          <w:highlight w:val="none"/>
          <w14:textFill>
            <w14:solidFill>
              <w14:schemeClr w14:val="tx1"/>
            </w14:solidFill>
          </w14:textFill>
        </w:rPr>
      </w:pPr>
    </w:p>
    <w:p w14:paraId="2A89442F">
      <w:pPr>
        <w:pStyle w:val="45"/>
        <w:spacing w:beforeAutospacing="0" w:afterAutospacing="0" w:line="0" w:lineRule="atLeast"/>
        <w:jc w:val="both"/>
        <w:rPr>
          <w:color w:val="000000" w:themeColor="text1"/>
          <w:highlight w:val="none"/>
          <w14:textFill>
            <w14:solidFill>
              <w14:schemeClr w14:val="tx1"/>
            </w14:solidFill>
          </w14:textFill>
        </w:rPr>
      </w:pPr>
    </w:p>
    <w:p w14:paraId="35DFD8F1">
      <w:pPr>
        <w:pStyle w:val="45"/>
        <w:spacing w:beforeAutospacing="0" w:afterAutospacing="0" w:line="0" w:lineRule="atLeast"/>
        <w:jc w:val="both"/>
        <w:rPr>
          <w:color w:val="000000" w:themeColor="text1"/>
          <w:highlight w:val="none"/>
          <w14:textFill>
            <w14:solidFill>
              <w14:schemeClr w14:val="tx1"/>
            </w14:solidFill>
          </w14:textFill>
        </w:rPr>
      </w:pPr>
    </w:p>
    <w:p w14:paraId="718C9DC6">
      <w:pPr>
        <w:pStyle w:val="45"/>
        <w:spacing w:beforeAutospacing="0" w:afterAutospacing="0" w:line="0" w:lineRule="atLeast"/>
        <w:jc w:val="both"/>
        <w:rPr>
          <w:color w:val="000000" w:themeColor="text1"/>
          <w:highlight w:val="none"/>
          <w14:textFill>
            <w14:solidFill>
              <w14:schemeClr w14:val="tx1"/>
            </w14:solidFill>
          </w14:textFill>
        </w:rPr>
      </w:pPr>
    </w:p>
    <w:p w14:paraId="4784DEF5">
      <w:pPr>
        <w:pStyle w:val="45"/>
        <w:spacing w:beforeAutospacing="0" w:afterAutospacing="0" w:line="0" w:lineRule="atLeast"/>
        <w:jc w:val="both"/>
        <w:rPr>
          <w:color w:val="000000" w:themeColor="text1"/>
          <w:highlight w:val="none"/>
          <w14:textFill>
            <w14:solidFill>
              <w14:schemeClr w14:val="tx1"/>
            </w14:solidFill>
          </w14:textFill>
        </w:rPr>
      </w:pPr>
    </w:p>
    <w:p w14:paraId="22FA37E9">
      <w:pPr>
        <w:pStyle w:val="45"/>
        <w:spacing w:beforeAutospacing="0" w:afterAutospacing="0" w:line="0" w:lineRule="atLeast"/>
        <w:jc w:val="both"/>
        <w:rPr>
          <w:color w:val="000000" w:themeColor="text1"/>
          <w:highlight w:val="none"/>
          <w14:textFill>
            <w14:solidFill>
              <w14:schemeClr w14:val="tx1"/>
            </w14:solidFill>
          </w14:textFill>
        </w:rPr>
      </w:pPr>
    </w:p>
    <w:p w14:paraId="4A366B9B">
      <w:pPr>
        <w:pStyle w:val="45"/>
        <w:spacing w:beforeAutospacing="0" w:afterAutospacing="0" w:line="0" w:lineRule="atLeast"/>
        <w:jc w:val="both"/>
        <w:rPr>
          <w:color w:val="000000" w:themeColor="text1"/>
          <w:highlight w:val="none"/>
          <w14:textFill>
            <w14:solidFill>
              <w14:schemeClr w14:val="tx1"/>
            </w14:solidFill>
          </w14:textFill>
        </w:rPr>
      </w:pPr>
    </w:p>
    <w:p w14:paraId="3635BDD3">
      <w:pPr>
        <w:pStyle w:val="45"/>
        <w:spacing w:beforeAutospacing="0" w:afterAutospacing="0" w:line="0" w:lineRule="atLeast"/>
        <w:jc w:val="both"/>
        <w:rPr>
          <w:color w:val="000000" w:themeColor="text1"/>
          <w:highlight w:val="none"/>
          <w14:textFill>
            <w14:solidFill>
              <w14:schemeClr w14:val="tx1"/>
            </w14:solidFill>
          </w14:textFill>
        </w:rPr>
      </w:pPr>
    </w:p>
    <w:p w14:paraId="288E2360">
      <w:pPr>
        <w:pStyle w:val="45"/>
        <w:spacing w:beforeAutospacing="0" w:afterAutospacing="0" w:line="0" w:lineRule="atLeast"/>
        <w:jc w:val="both"/>
        <w:rPr>
          <w:color w:val="000000" w:themeColor="text1"/>
          <w:highlight w:val="none"/>
          <w14:textFill>
            <w14:solidFill>
              <w14:schemeClr w14:val="tx1"/>
            </w14:solidFill>
          </w14:textFill>
        </w:rPr>
      </w:pPr>
    </w:p>
    <w:p w14:paraId="64A1293F">
      <w:pPr>
        <w:pStyle w:val="45"/>
        <w:spacing w:beforeAutospacing="0" w:afterAutospacing="0" w:line="0" w:lineRule="atLeast"/>
        <w:jc w:val="both"/>
        <w:rPr>
          <w:color w:val="000000" w:themeColor="text1"/>
          <w:highlight w:val="none"/>
          <w14:textFill>
            <w14:solidFill>
              <w14:schemeClr w14:val="tx1"/>
            </w14:solidFill>
          </w14:textFill>
        </w:rPr>
      </w:pPr>
    </w:p>
    <w:p w14:paraId="2B4BFDAA">
      <w:pPr>
        <w:pStyle w:val="45"/>
        <w:spacing w:beforeAutospacing="0" w:afterAutospacing="0" w:line="0" w:lineRule="atLeast"/>
        <w:jc w:val="both"/>
        <w:rPr>
          <w:color w:val="000000" w:themeColor="text1"/>
          <w:highlight w:val="none"/>
          <w14:textFill>
            <w14:solidFill>
              <w14:schemeClr w14:val="tx1"/>
            </w14:solidFill>
          </w14:textFill>
        </w:rPr>
      </w:pPr>
    </w:p>
    <w:p w14:paraId="47FD5D4A">
      <w:pPr>
        <w:pStyle w:val="45"/>
        <w:spacing w:beforeAutospacing="0" w:afterAutospacing="0" w:line="0" w:lineRule="atLeast"/>
        <w:jc w:val="both"/>
        <w:rPr>
          <w:color w:val="000000" w:themeColor="text1"/>
          <w:highlight w:val="none"/>
          <w14:textFill>
            <w14:solidFill>
              <w14:schemeClr w14:val="tx1"/>
            </w14:solidFill>
          </w14:textFill>
        </w:rPr>
      </w:pPr>
    </w:p>
    <w:p w14:paraId="67854237">
      <w:pPr>
        <w:pStyle w:val="45"/>
        <w:spacing w:beforeAutospacing="0" w:afterAutospacing="0" w:line="0" w:lineRule="atLeast"/>
        <w:jc w:val="both"/>
        <w:rPr>
          <w:color w:val="000000" w:themeColor="text1"/>
          <w:highlight w:val="none"/>
          <w14:textFill>
            <w14:solidFill>
              <w14:schemeClr w14:val="tx1"/>
            </w14:solidFill>
          </w14:textFill>
        </w:rPr>
      </w:pPr>
    </w:p>
    <w:p w14:paraId="0EFA8395">
      <w:pPr>
        <w:pStyle w:val="45"/>
        <w:spacing w:beforeAutospacing="0" w:afterAutospacing="0" w:line="0" w:lineRule="atLeast"/>
        <w:jc w:val="both"/>
        <w:rPr>
          <w:color w:val="000000" w:themeColor="text1"/>
          <w:highlight w:val="none"/>
          <w14:textFill>
            <w14:solidFill>
              <w14:schemeClr w14:val="tx1"/>
            </w14:solidFill>
          </w14:textFill>
        </w:rPr>
      </w:pPr>
    </w:p>
    <w:p w14:paraId="400AF2F2">
      <w:pPr>
        <w:pStyle w:val="45"/>
        <w:spacing w:beforeAutospacing="0" w:afterAutospacing="0" w:line="0" w:lineRule="atLeast"/>
        <w:jc w:val="both"/>
        <w:rPr>
          <w:color w:val="000000" w:themeColor="text1"/>
          <w:highlight w:val="none"/>
          <w14:textFill>
            <w14:solidFill>
              <w14:schemeClr w14:val="tx1"/>
            </w14:solidFill>
          </w14:textFill>
        </w:rPr>
      </w:pPr>
    </w:p>
    <w:p w14:paraId="3E2DBEF2">
      <w:pPr>
        <w:pStyle w:val="45"/>
        <w:spacing w:beforeAutospacing="0" w:afterAutospacing="0" w:line="0" w:lineRule="atLeast"/>
        <w:jc w:val="both"/>
        <w:rPr>
          <w:color w:val="000000" w:themeColor="text1"/>
          <w:highlight w:val="none"/>
          <w14:textFill>
            <w14:solidFill>
              <w14:schemeClr w14:val="tx1"/>
            </w14:solidFill>
          </w14:textFill>
        </w:rPr>
      </w:pPr>
    </w:p>
    <w:p w14:paraId="046E7FAC">
      <w:pPr>
        <w:pStyle w:val="45"/>
        <w:spacing w:beforeAutospacing="0" w:afterAutospacing="0"/>
        <w:jc w:val="center"/>
        <w:rPr>
          <w:iCs/>
          <w:color w:val="000000" w:themeColor="text1"/>
          <w:highlight w:val="none"/>
          <w14:textFill>
            <w14:solidFill>
              <w14:schemeClr w14:val="tx1"/>
            </w14:solidFill>
          </w14:textFill>
        </w:rPr>
      </w:pPr>
      <w:r>
        <w:rPr>
          <w:rFonts w:hint="eastAsia" w:ascii="黑体" w:eastAsia="黑体" w:cs="黑体"/>
          <w:iCs/>
          <w:color w:val="000000" w:themeColor="text1"/>
          <w:sz w:val="32"/>
          <w:szCs w:val="32"/>
          <w:highlight w:val="none"/>
          <w14:textFill>
            <w14:solidFill>
              <w14:schemeClr w14:val="tx1"/>
            </w14:solidFill>
          </w14:textFill>
        </w:rPr>
        <w:t>七、法人授权书</w:t>
      </w:r>
    </w:p>
    <w:p w14:paraId="122BC207">
      <w:pPr>
        <w:pStyle w:val="45"/>
        <w:tabs>
          <w:tab w:val="left" w:pos="360"/>
        </w:tabs>
        <w:spacing w:beforeAutospacing="0" w:afterAutospacing="0"/>
        <w:ind w:firstLine="480"/>
        <w:jc w:val="both"/>
        <w:rPr>
          <w:rFonts w:ascii="Times New Roman" w:hAnsi="Times New Roman"/>
          <w:color w:val="000000" w:themeColor="text1"/>
          <w:highlight w:val="none"/>
          <w14:textFill>
            <w14:solidFill>
              <w14:schemeClr w14:val="tx1"/>
            </w14:solidFill>
          </w14:textFill>
        </w:rPr>
      </w:pPr>
    </w:p>
    <w:p w14:paraId="51399AB6">
      <w:pPr>
        <w:pStyle w:val="45"/>
        <w:keepNext w:val="0"/>
        <w:keepLines w:val="0"/>
        <w:pageBreakBefore w:val="0"/>
        <w:widowControl/>
        <w:tabs>
          <w:tab w:val="left" w:pos="360"/>
        </w:tabs>
        <w:kinsoku/>
        <w:wordWrap/>
        <w:overflowPunct/>
        <w:topLinePunct w:val="0"/>
        <w:autoSpaceDE/>
        <w:autoSpaceDN/>
        <w:bidi w:val="0"/>
        <w:adjustRightInd/>
        <w:snapToGrid/>
        <w:spacing w:beforeAutospacing="0" w:afterAutospacing="0" w:line="360" w:lineRule="auto"/>
        <w:ind w:firstLine="480" w:firstLineChars="200"/>
        <w:jc w:val="both"/>
        <w:textAlignment w:val="auto"/>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本授权书声明：</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r>
        <w:rPr>
          <w:rFonts w:ascii="Times New Roman" w:hAnsi="Times New Roman"/>
          <w:color w:val="000000" w:themeColor="text1"/>
          <w:highlight w:val="none"/>
          <w14:textFill>
            <w14:solidFill>
              <w14:schemeClr w14:val="tx1"/>
            </w14:solidFill>
          </w14:textFill>
        </w:rPr>
        <w:t>（投标人名称）授权</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r>
        <w:rPr>
          <w:rFonts w:ascii="Times New Roman" w:hAnsi="Times New Roman"/>
          <w:color w:val="000000" w:themeColor="text1"/>
          <w:highlight w:val="none"/>
          <w14:textFill>
            <w14:solidFill>
              <w14:schemeClr w14:val="tx1"/>
            </w14:solidFill>
          </w14:textFill>
        </w:rPr>
        <w:t>（被授权人的姓名）为我方就</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r>
        <w:rPr>
          <w:rFonts w:ascii="Times New Roman" w:hAnsi="Times New Roman"/>
          <w:color w:val="000000" w:themeColor="text1"/>
          <w:highlight w:val="none"/>
          <w14:textFill>
            <w14:solidFill>
              <w14:schemeClr w14:val="tx1"/>
            </w14:solidFill>
          </w14:textFill>
        </w:rPr>
        <w:t>号项目采购活动的合法代理人，以本单位名义全权处理一切与该项目采购有关的事务。</w:t>
      </w:r>
    </w:p>
    <w:p w14:paraId="5FA1188C">
      <w:pPr>
        <w:pStyle w:val="45"/>
        <w:keepNext w:val="0"/>
        <w:keepLines w:val="0"/>
        <w:pageBreakBefore w:val="0"/>
        <w:widowControl/>
        <w:tabs>
          <w:tab w:val="left" w:pos="360"/>
        </w:tabs>
        <w:kinsoku/>
        <w:wordWrap/>
        <w:overflowPunct/>
        <w:topLinePunct w:val="0"/>
        <w:autoSpaceDE/>
        <w:autoSpaceDN/>
        <w:bidi w:val="0"/>
        <w:adjustRightInd/>
        <w:snapToGrid/>
        <w:spacing w:beforeAutospacing="0" w:afterAutospacing="0" w:line="360" w:lineRule="auto"/>
        <w:ind w:firstLine="480"/>
        <w:jc w:val="both"/>
        <w:textAlignment w:val="auto"/>
        <w:rPr>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本授权书于______年____月____日起生效，特此声明。</w:t>
      </w:r>
    </w:p>
    <w:p w14:paraId="1A104B4F">
      <w:pPr>
        <w:pStyle w:val="45"/>
        <w:keepNext w:val="0"/>
        <w:keepLines w:val="0"/>
        <w:pageBreakBefore w:val="0"/>
        <w:widowControl/>
        <w:tabs>
          <w:tab w:val="left" w:pos="360"/>
        </w:tabs>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eastAsia="宋体"/>
          <w:color w:val="000000" w:themeColor="text1"/>
          <w:highlight w:val="none"/>
          <w:lang w:val="en-US" w:eastAsia="zh-CN"/>
          <w14:textFill>
            <w14:solidFill>
              <w14:schemeClr w14:val="tx1"/>
            </w14:solidFill>
          </w14:textFill>
        </w:rPr>
      </w:pPr>
      <w:r>
        <w:rPr>
          <w:rFonts w:ascii="Times New Roman" w:hAnsi="Times New Roman"/>
          <w:color w:val="000000" w:themeColor="text1"/>
          <w:highlight w:val="none"/>
          <w14:textFill>
            <w14:solidFill>
              <w14:schemeClr w14:val="tx1"/>
            </w14:solidFill>
          </w14:textFill>
        </w:rPr>
        <w:t>被授权人身份证号码：</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r>
        <w:rPr>
          <w:rFonts w:hint="eastAsia" w:ascii="Times New Roman" w:hAnsi="Times New Roman"/>
          <w:color w:val="000000" w:themeColor="text1"/>
          <w:highlight w:val="none"/>
          <w:lang w:val="en-US" w:eastAsia="zh-CN"/>
          <w14:textFill>
            <w14:solidFill>
              <w14:schemeClr w14:val="tx1"/>
            </w14:solidFill>
          </w14:textFill>
        </w:rPr>
        <w:t xml:space="preserve"> </w:t>
      </w:r>
    </w:p>
    <w:p w14:paraId="1EC58AD3">
      <w:pPr>
        <w:pStyle w:val="45"/>
        <w:keepNext w:val="0"/>
        <w:keepLines w:val="0"/>
        <w:pageBreakBefore w:val="0"/>
        <w:widowControl/>
        <w:tabs>
          <w:tab w:val="left" w:pos="360"/>
        </w:tabs>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eastAsia="宋体"/>
          <w:color w:val="000000" w:themeColor="text1"/>
          <w:highlight w:val="none"/>
          <w:lang w:val="en-US" w:eastAsia="zh-CN"/>
          <w14:textFill>
            <w14:solidFill>
              <w14:schemeClr w14:val="tx1"/>
            </w14:solidFill>
          </w14:textFill>
        </w:rPr>
      </w:pPr>
      <w:r>
        <w:rPr>
          <w:rFonts w:ascii="Times New Roman" w:hAnsi="Times New Roman"/>
          <w:color w:val="000000" w:themeColor="text1"/>
          <w:highlight w:val="none"/>
          <w14:textFill>
            <w14:solidFill>
              <w14:schemeClr w14:val="tx1"/>
            </w14:solidFill>
          </w14:textFill>
        </w:rPr>
        <w:t>被授权人联系电话：（手机）</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p>
    <w:p w14:paraId="092A3EDE">
      <w:pPr>
        <w:pStyle w:val="45"/>
        <w:keepNext w:val="0"/>
        <w:keepLines w:val="0"/>
        <w:pageBreakBefore w:val="0"/>
        <w:widowControl/>
        <w:tabs>
          <w:tab w:val="left" w:pos="360"/>
        </w:tabs>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eastAsia="宋体"/>
          <w:color w:val="000000" w:themeColor="text1"/>
          <w:highlight w:val="none"/>
          <w:lang w:val="en-US" w:eastAsia="zh-CN"/>
          <w14:textFill>
            <w14:solidFill>
              <w14:schemeClr w14:val="tx1"/>
            </w14:solidFill>
          </w14:textFill>
        </w:rPr>
      </w:pPr>
      <w:r>
        <w:rPr>
          <w:rFonts w:ascii="Times New Roman" w:hAnsi="Times New Roman"/>
          <w:color w:val="000000" w:themeColor="text1"/>
          <w:highlight w:val="none"/>
          <w14:textFill>
            <w14:solidFill>
              <w14:schemeClr w14:val="tx1"/>
            </w14:solidFill>
          </w14:textFill>
        </w:rPr>
        <w:t>授权单位名称：</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r>
        <w:rPr>
          <w:rFonts w:ascii="Times New Roman" w:hAnsi="Times New Roman"/>
          <w:color w:val="000000" w:themeColor="text1"/>
          <w:highlight w:val="none"/>
          <w:u w:val="single"/>
          <w14:textFill>
            <w14:solidFill>
              <w14:schemeClr w14:val="tx1"/>
            </w14:solidFill>
          </w14:textFill>
        </w:rPr>
        <w:t>（加盖CA电子公章）</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p>
    <w:p w14:paraId="59D53462">
      <w:pPr>
        <w:pStyle w:val="45"/>
        <w:keepNext w:val="0"/>
        <w:keepLines w:val="0"/>
        <w:pageBreakBefore w:val="0"/>
        <w:widowControl/>
        <w:tabs>
          <w:tab w:val="left" w:pos="360"/>
        </w:tabs>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eastAsia="宋体"/>
          <w:color w:val="000000" w:themeColor="text1"/>
          <w:highlight w:val="none"/>
          <w:lang w:val="en-US" w:eastAsia="zh-CN"/>
          <w14:textFill>
            <w14:solidFill>
              <w14:schemeClr w14:val="tx1"/>
            </w14:solidFill>
          </w14:textFill>
        </w:rPr>
      </w:pPr>
      <w:r>
        <w:rPr>
          <w:rFonts w:ascii="Times New Roman" w:hAnsi="Times New Roman"/>
          <w:color w:val="000000" w:themeColor="text1"/>
          <w:highlight w:val="none"/>
          <w14:textFill>
            <w14:solidFill>
              <w14:schemeClr w14:val="tx1"/>
            </w14:solidFill>
          </w14:textFill>
        </w:rPr>
        <w:t>单位地址：</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p>
    <w:p w14:paraId="0663D604">
      <w:pPr>
        <w:pStyle w:val="45"/>
        <w:keepNext w:val="0"/>
        <w:keepLines w:val="0"/>
        <w:pageBreakBefore w:val="0"/>
        <w:widowControl/>
        <w:tabs>
          <w:tab w:val="left" w:pos="360"/>
        </w:tabs>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eastAsia="宋体"/>
          <w:color w:val="000000" w:themeColor="text1"/>
          <w:highlight w:val="none"/>
          <w:lang w:val="en-US" w:eastAsia="zh-CN"/>
          <w14:textFill>
            <w14:solidFill>
              <w14:schemeClr w14:val="tx1"/>
            </w14:solidFill>
          </w14:textFill>
        </w:rPr>
      </w:pPr>
      <w:r>
        <w:rPr>
          <w:rFonts w:ascii="Times New Roman" w:hAnsi="Times New Roman"/>
          <w:color w:val="000000" w:themeColor="text1"/>
          <w:highlight w:val="none"/>
          <w14:textFill>
            <w14:solidFill>
              <w14:schemeClr w14:val="tx1"/>
            </w14:solidFill>
          </w14:textFill>
        </w:rPr>
        <w:t>日</w:t>
      </w:r>
      <w:r>
        <w:rPr>
          <w:rFonts w:hint="eastAsia" w:ascii="Times New Roman" w:hAnsi="Times New Roman"/>
          <w:color w:val="000000" w:themeColor="text1"/>
          <w:highlight w:val="none"/>
          <w:lang w:val="en-US" w:eastAsia="zh-CN"/>
          <w14:textFill>
            <w14:solidFill>
              <w14:schemeClr w14:val="tx1"/>
            </w14:solidFill>
          </w14:textFill>
        </w:rPr>
        <w:t xml:space="preserve">    </w:t>
      </w:r>
      <w:r>
        <w:rPr>
          <w:rFonts w:ascii="Times New Roman" w:hAnsi="Times New Roman"/>
          <w:color w:val="000000" w:themeColor="text1"/>
          <w:highlight w:val="none"/>
          <w14:textFill>
            <w14:solidFill>
              <w14:schemeClr w14:val="tx1"/>
            </w14:solidFill>
          </w14:textFill>
        </w:rPr>
        <w:t>期：</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p>
    <w:p w14:paraId="40B88077">
      <w:pPr>
        <w:pStyle w:val="45"/>
        <w:keepNext w:val="0"/>
        <w:keepLines w:val="0"/>
        <w:pageBreakBefore w:val="0"/>
        <w:widowControl/>
        <w:tabs>
          <w:tab w:val="left" w:pos="360"/>
        </w:tabs>
        <w:kinsoku/>
        <w:wordWrap/>
        <w:overflowPunct/>
        <w:topLinePunct w:val="0"/>
        <w:autoSpaceDE/>
        <w:autoSpaceDN/>
        <w:bidi w:val="0"/>
        <w:adjustRightInd/>
        <w:snapToGrid/>
        <w:spacing w:beforeAutospacing="0" w:afterAutospacing="0" w:line="360" w:lineRule="auto"/>
        <w:ind w:firstLine="720"/>
        <w:jc w:val="both"/>
        <w:textAlignment w:val="auto"/>
        <w:rPr>
          <w:color w:val="000000" w:themeColor="text1"/>
          <w:highlight w:val="none"/>
          <w14:textFill>
            <w14:solidFill>
              <w14:schemeClr w14:val="tx1"/>
            </w14:solidFill>
          </w14:textFill>
        </w:rPr>
      </w:pPr>
    </w:p>
    <w:p w14:paraId="56EA7309">
      <w:pPr>
        <w:pStyle w:val="45"/>
        <w:spacing w:beforeAutospacing="0" w:afterAutospacing="0" w:line="0" w:lineRule="atLeast"/>
        <w:jc w:val="both"/>
        <w:rPr>
          <w:color w:val="000000" w:themeColor="text1"/>
          <w:highlight w:val="none"/>
          <w14:textFill>
            <w14:solidFill>
              <w14:schemeClr w14:val="tx1"/>
            </w14:solidFill>
          </w14:textFill>
        </w:rPr>
      </w:pPr>
    </w:p>
    <w:p w14:paraId="33B21B3C">
      <w:pPr>
        <w:pStyle w:val="45"/>
        <w:spacing w:beforeAutospacing="0" w:afterAutospacing="0" w:line="0" w:lineRule="atLeast"/>
        <w:jc w:val="both"/>
        <w:rPr>
          <w:color w:val="000000" w:themeColor="text1"/>
          <w:highlight w:val="none"/>
          <w14:textFill>
            <w14:solidFill>
              <w14:schemeClr w14:val="tx1"/>
            </w14:solidFill>
          </w14:textFill>
        </w:rPr>
      </w:pPr>
    </w:p>
    <w:p w14:paraId="57C3CAD7">
      <w:pPr>
        <w:pStyle w:val="45"/>
        <w:spacing w:beforeAutospacing="0" w:afterAutospacing="0" w:line="0" w:lineRule="atLeast"/>
        <w:jc w:val="both"/>
        <w:rPr>
          <w:color w:val="000000" w:themeColor="text1"/>
          <w:highlight w:val="none"/>
          <w14:textFill>
            <w14:solidFill>
              <w14:schemeClr w14:val="tx1"/>
            </w14:solidFill>
          </w14:textFill>
        </w:rPr>
      </w:pPr>
    </w:p>
    <w:p w14:paraId="00585658">
      <w:pPr>
        <w:pStyle w:val="45"/>
        <w:spacing w:beforeAutospacing="0" w:afterAutospacing="0" w:line="0" w:lineRule="atLeast"/>
        <w:jc w:val="both"/>
        <w:rPr>
          <w:color w:val="000000" w:themeColor="text1"/>
          <w:highlight w:val="none"/>
          <w14:textFill>
            <w14:solidFill>
              <w14:schemeClr w14:val="tx1"/>
            </w14:solidFill>
          </w14:textFill>
        </w:rPr>
      </w:pPr>
    </w:p>
    <w:p w14:paraId="26B0BE7C">
      <w:pPr>
        <w:pStyle w:val="45"/>
        <w:spacing w:beforeAutospacing="0" w:afterAutospacing="0" w:line="0" w:lineRule="atLeast"/>
        <w:jc w:val="both"/>
        <w:rPr>
          <w:color w:val="000000" w:themeColor="text1"/>
          <w:highlight w:val="none"/>
          <w14:textFill>
            <w14:solidFill>
              <w14:schemeClr w14:val="tx1"/>
            </w14:solidFill>
          </w14:textFill>
        </w:rPr>
      </w:pPr>
    </w:p>
    <w:p w14:paraId="0D36B499">
      <w:pPr>
        <w:pStyle w:val="45"/>
        <w:spacing w:beforeAutospacing="0" w:afterAutospacing="0" w:line="0" w:lineRule="atLeast"/>
        <w:jc w:val="both"/>
        <w:rPr>
          <w:color w:val="000000" w:themeColor="text1"/>
          <w:highlight w:val="none"/>
          <w14:textFill>
            <w14:solidFill>
              <w14:schemeClr w14:val="tx1"/>
            </w14:solidFill>
          </w14:textFill>
        </w:rPr>
      </w:pPr>
    </w:p>
    <w:p w14:paraId="51A25527">
      <w:pPr>
        <w:pStyle w:val="45"/>
        <w:spacing w:beforeAutospacing="0" w:afterAutospacing="0" w:line="0" w:lineRule="atLeast"/>
        <w:jc w:val="both"/>
        <w:rPr>
          <w:color w:val="000000" w:themeColor="text1"/>
          <w:highlight w:val="none"/>
          <w14:textFill>
            <w14:solidFill>
              <w14:schemeClr w14:val="tx1"/>
            </w14:solidFill>
          </w14:textFill>
        </w:rPr>
      </w:pPr>
    </w:p>
    <w:p w14:paraId="0A0B52B3">
      <w:pPr>
        <w:pStyle w:val="45"/>
        <w:spacing w:beforeAutospacing="0" w:afterAutospacing="0" w:line="0" w:lineRule="atLeast"/>
        <w:jc w:val="both"/>
        <w:rPr>
          <w:color w:val="000000" w:themeColor="text1"/>
          <w:highlight w:val="none"/>
          <w14:textFill>
            <w14:solidFill>
              <w14:schemeClr w14:val="tx1"/>
            </w14:solidFill>
          </w14:textFill>
        </w:rPr>
      </w:pPr>
    </w:p>
    <w:p w14:paraId="358AA9A3">
      <w:pPr>
        <w:pStyle w:val="45"/>
        <w:spacing w:beforeAutospacing="0" w:afterAutospacing="0" w:line="0" w:lineRule="atLeast"/>
        <w:jc w:val="both"/>
        <w:rPr>
          <w:color w:val="000000" w:themeColor="text1"/>
          <w:highlight w:val="none"/>
          <w14:textFill>
            <w14:solidFill>
              <w14:schemeClr w14:val="tx1"/>
            </w14:solidFill>
          </w14:textFill>
        </w:rPr>
      </w:pPr>
    </w:p>
    <w:p w14:paraId="039C12BA">
      <w:pPr>
        <w:pStyle w:val="45"/>
        <w:spacing w:beforeAutospacing="0" w:afterAutospacing="0" w:line="0" w:lineRule="atLeast"/>
        <w:jc w:val="both"/>
        <w:rPr>
          <w:color w:val="000000" w:themeColor="text1"/>
          <w:highlight w:val="none"/>
          <w14:textFill>
            <w14:solidFill>
              <w14:schemeClr w14:val="tx1"/>
            </w14:solidFill>
          </w14:textFill>
        </w:rPr>
      </w:pPr>
    </w:p>
    <w:p w14:paraId="327251D2">
      <w:pPr>
        <w:pStyle w:val="45"/>
        <w:spacing w:beforeAutospacing="0" w:afterAutospacing="0" w:line="0" w:lineRule="atLeast"/>
        <w:jc w:val="both"/>
        <w:rPr>
          <w:color w:val="000000" w:themeColor="text1"/>
          <w:highlight w:val="none"/>
          <w14:textFill>
            <w14:solidFill>
              <w14:schemeClr w14:val="tx1"/>
            </w14:solidFill>
          </w14:textFill>
        </w:rPr>
      </w:pPr>
    </w:p>
    <w:p w14:paraId="0490F3F6">
      <w:pPr>
        <w:pStyle w:val="45"/>
        <w:spacing w:beforeAutospacing="0" w:afterAutospacing="0" w:line="0" w:lineRule="atLeast"/>
        <w:jc w:val="both"/>
        <w:rPr>
          <w:color w:val="000000" w:themeColor="text1"/>
          <w:highlight w:val="none"/>
          <w14:textFill>
            <w14:solidFill>
              <w14:schemeClr w14:val="tx1"/>
            </w14:solidFill>
          </w14:textFill>
        </w:rPr>
      </w:pPr>
    </w:p>
    <w:p w14:paraId="6E5F8049">
      <w:pPr>
        <w:pStyle w:val="45"/>
        <w:spacing w:beforeAutospacing="0" w:afterAutospacing="0" w:line="0" w:lineRule="atLeast"/>
        <w:jc w:val="both"/>
        <w:rPr>
          <w:color w:val="000000" w:themeColor="text1"/>
          <w:highlight w:val="none"/>
          <w14:textFill>
            <w14:solidFill>
              <w14:schemeClr w14:val="tx1"/>
            </w14:solidFill>
          </w14:textFill>
        </w:rPr>
      </w:pPr>
    </w:p>
    <w:p w14:paraId="71789A19">
      <w:pPr>
        <w:pStyle w:val="45"/>
        <w:spacing w:beforeAutospacing="0" w:afterAutospacing="0" w:line="0" w:lineRule="atLeast"/>
        <w:jc w:val="both"/>
        <w:rPr>
          <w:color w:val="000000" w:themeColor="text1"/>
          <w:highlight w:val="none"/>
          <w14:textFill>
            <w14:solidFill>
              <w14:schemeClr w14:val="tx1"/>
            </w14:solidFill>
          </w14:textFill>
        </w:rPr>
      </w:pPr>
    </w:p>
    <w:p w14:paraId="1472E2A7">
      <w:pPr>
        <w:pStyle w:val="45"/>
        <w:spacing w:beforeAutospacing="0" w:afterAutospacing="0" w:line="0" w:lineRule="atLeast"/>
        <w:jc w:val="both"/>
        <w:rPr>
          <w:color w:val="000000" w:themeColor="text1"/>
          <w:highlight w:val="none"/>
          <w14:textFill>
            <w14:solidFill>
              <w14:schemeClr w14:val="tx1"/>
            </w14:solidFill>
          </w14:textFill>
        </w:rPr>
      </w:pPr>
    </w:p>
    <w:p w14:paraId="62D5F2F4">
      <w:pPr>
        <w:pStyle w:val="45"/>
        <w:spacing w:beforeAutospacing="0" w:afterAutospacing="0" w:line="0" w:lineRule="atLeast"/>
        <w:jc w:val="both"/>
        <w:rPr>
          <w:color w:val="000000" w:themeColor="text1"/>
          <w:highlight w:val="none"/>
          <w14:textFill>
            <w14:solidFill>
              <w14:schemeClr w14:val="tx1"/>
            </w14:solidFill>
          </w14:textFill>
        </w:rPr>
      </w:pPr>
    </w:p>
    <w:p w14:paraId="5EADBFBE">
      <w:pPr>
        <w:pStyle w:val="45"/>
        <w:spacing w:beforeAutospacing="0" w:afterAutospacing="0" w:line="0" w:lineRule="atLeast"/>
        <w:jc w:val="both"/>
        <w:rPr>
          <w:color w:val="000000" w:themeColor="text1"/>
          <w:highlight w:val="none"/>
          <w14:textFill>
            <w14:solidFill>
              <w14:schemeClr w14:val="tx1"/>
            </w14:solidFill>
          </w14:textFill>
        </w:rPr>
      </w:pPr>
    </w:p>
    <w:p w14:paraId="2413ADB0">
      <w:pPr>
        <w:pStyle w:val="45"/>
        <w:spacing w:beforeAutospacing="0" w:afterAutospacing="0" w:line="0" w:lineRule="atLeast"/>
        <w:jc w:val="both"/>
        <w:rPr>
          <w:color w:val="000000" w:themeColor="text1"/>
          <w:highlight w:val="none"/>
          <w14:textFill>
            <w14:solidFill>
              <w14:schemeClr w14:val="tx1"/>
            </w14:solidFill>
          </w14:textFill>
        </w:rPr>
      </w:pPr>
    </w:p>
    <w:p w14:paraId="5824BCF7">
      <w:pPr>
        <w:pStyle w:val="45"/>
        <w:spacing w:beforeAutospacing="0" w:afterAutospacing="0" w:line="0" w:lineRule="atLeast"/>
        <w:jc w:val="both"/>
        <w:rPr>
          <w:color w:val="000000" w:themeColor="text1"/>
          <w:highlight w:val="none"/>
          <w14:textFill>
            <w14:solidFill>
              <w14:schemeClr w14:val="tx1"/>
            </w14:solidFill>
          </w14:textFill>
        </w:rPr>
      </w:pPr>
    </w:p>
    <w:p w14:paraId="10357419">
      <w:pPr>
        <w:pStyle w:val="45"/>
        <w:spacing w:beforeAutospacing="0" w:afterAutospacing="0" w:line="0" w:lineRule="atLeast"/>
        <w:jc w:val="both"/>
        <w:rPr>
          <w:color w:val="000000" w:themeColor="text1"/>
          <w:highlight w:val="none"/>
          <w14:textFill>
            <w14:solidFill>
              <w14:schemeClr w14:val="tx1"/>
            </w14:solidFill>
          </w14:textFill>
        </w:rPr>
      </w:pPr>
    </w:p>
    <w:p w14:paraId="441A3BF6">
      <w:pPr>
        <w:pStyle w:val="45"/>
        <w:spacing w:beforeAutospacing="0" w:afterAutospacing="0"/>
        <w:jc w:val="center"/>
        <w:rPr>
          <w:rFonts w:hint="eastAsia" w:ascii="黑体" w:eastAsia="黑体" w:cs="黑体"/>
          <w:iCs/>
          <w:color w:val="000000" w:themeColor="text1"/>
          <w:sz w:val="32"/>
          <w:szCs w:val="32"/>
          <w:highlight w:val="none"/>
          <w14:textFill>
            <w14:solidFill>
              <w14:schemeClr w14:val="tx1"/>
            </w14:solidFill>
          </w14:textFill>
        </w:rPr>
      </w:pPr>
      <w:r>
        <w:rPr>
          <w:rFonts w:hint="eastAsia" w:ascii="黑体" w:eastAsia="黑体" w:cs="黑体"/>
          <w:iCs/>
          <w:color w:val="000000" w:themeColor="text1"/>
          <w:sz w:val="32"/>
          <w:szCs w:val="32"/>
          <w:highlight w:val="none"/>
          <w14:textFill>
            <w14:solidFill>
              <w14:schemeClr w14:val="tx1"/>
            </w14:solidFill>
          </w14:textFill>
        </w:rPr>
        <w:t>八、投标函</w:t>
      </w:r>
    </w:p>
    <w:p w14:paraId="760809C2">
      <w:pPr>
        <w:pStyle w:val="45"/>
        <w:spacing w:beforeAutospacing="0" w:afterAutospacing="0" w:line="0" w:lineRule="atLeast"/>
        <w:rPr>
          <w:rFonts w:hint="eastAsia"/>
          <w:color w:val="000000" w:themeColor="text1"/>
          <w:highlight w:val="none"/>
          <w14:textFill>
            <w14:solidFill>
              <w14:schemeClr w14:val="tx1"/>
            </w14:solidFill>
          </w14:textFill>
        </w:rPr>
      </w:pPr>
    </w:p>
    <w:p w14:paraId="5DEAEF4F">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致：（采购人名称）</w:t>
      </w:r>
    </w:p>
    <w:p w14:paraId="31DB5200">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根据贵方的</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号招标文件，正式授权下述签字人</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(姓名)代表我方</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（投标人的名称），全权处理本次项目投标的有关事宜。</w:t>
      </w:r>
    </w:p>
    <w:p w14:paraId="0DA6D624">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据此函，__________签字人兹宣布同意如下：</w:t>
      </w:r>
    </w:p>
    <w:p w14:paraId="78A19832">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1.按招标文件规定的各项要求，向买方提供所需货物（包含与货物相关的服务）。</w:t>
      </w:r>
    </w:p>
    <w:p w14:paraId="42718C76">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2.我们完全理解贵方不一定将合同授予最低报价的投标人。</w:t>
      </w:r>
    </w:p>
    <w:p w14:paraId="4BE31563">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3.我们已详细审核全部招标文件及其有效补充文件，我们知道必须放弃提出含糊不清或误解问题的权利。</w:t>
      </w:r>
    </w:p>
    <w:p w14:paraId="689E6BB6">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4.我们同意从规定的开标日期起遵循本投标文件，并在规定的投标有效期期满之前均具有约束力。</w:t>
      </w:r>
    </w:p>
    <w:p w14:paraId="289AEC44">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5.同意向贵方提供贵方可能另外要求的与投标有关的任何证据或资料，并保证我方已提供和将要提供的文件是真实的、准确的。</w:t>
      </w:r>
    </w:p>
    <w:p w14:paraId="353D92B3">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6.一旦我方中标,我方将根据招标文件的规定，严格履行合同的责任和义务,并保证在招标文件规定的时间完成项目，交付买方验收、使用。</w:t>
      </w:r>
    </w:p>
    <w:p w14:paraId="3B1A5F32">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left="425"/>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7.与本投标有关的正式通讯地址为：</w:t>
      </w:r>
    </w:p>
    <w:p w14:paraId="1B159CBB">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left="420" w:firstLine="48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地址：</w:t>
      </w:r>
    </w:p>
    <w:p w14:paraId="15AC21FF">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left="420" w:firstLine="48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邮编：</w:t>
      </w:r>
    </w:p>
    <w:p w14:paraId="077E74DC">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left="420" w:firstLine="48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电话：</w:t>
      </w:r>
    </w:p>
    <w:p w14:paraId="561D1962">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left="420" w:firstLine="48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传真：</w:t>
      </w:r>
    </w:p>
    <w:p w14:paraId="5C357387">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left="420" w:firstLine="48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投标人开户行：</w:t>
      </w:r>
    </w:p>
    <w:p w14:paraId="6445B751">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left="425" w:firstLine="48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账号：</w:t>
      </w:r>
    </w:p>
    <w:p w14:paraId="1F4CA59F">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left="425" w:firstLine="48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日期：________年____月____日</w:t>
      </w:r>
    </w:p>
    <w:p w14:paraId="4F1CCDB5">
      <w:pPr>
        <w:pStyle w:val="37"/>
        <w:ind w:left="0"/>
        <w:rPr>
          <w:b/>
          <w:color w:val="000000" w:themeColor="text1"/>
          <w:highlight w:val="none"/>
          <w14:textFill>
            <w14:solidFill>
              <w14:schemeClr w14:val="tx1"/>
            </w14:solidFill>
          </w14:textFill>
        </w:rPr>
      </w:pPr>
    </w:p>
    <w:p w14:paraId="701A7FB7">
      <w:pPr>
        <w:pStyle w:val="37"/>
        <w:ind w:left="0"/>
        <w:rPr>
          <w:b/>
          <w:color w:val="000000" w:themeColor="text1"/>
          <w:highlight w:val="none"/>
          <w14:textFill>
            <w14:solidFill>
              <w14:schemeClr w14:val="tx1"/>
            </w14:solidFill>
          </w14:textFill>
        </w:rPr>
      </w:pPr>
    </w:p>
    <w:p w14:paraId="5C3CAF29">
      <w:pPr>
        <w:pStyle w:val="37"/>
        <w:ind w:left="0"/>
        <w:rPr>
          <w:b/>
          <w:color w:val="000000" w:themeColor="text1"/>
          <w:highlight w:val="none"/>
          <w14:textFill>
            <w14:solidFill>
              <w14:schemeClr w14:val="tx1"/>
            </w14:solidFill>
          </w14:textFill>
        </w:rPr>
      </w:pPr>
    </w:p>
    <w:p w14:paraId="197BCEF7">
      <w:pPr>
        <w:pStyle w:val="37"/>
        <w:ind w:left="0"/>
        <w:rPr>
          <w:b/>
          <w:color w:val="000000" w:themeColor="text1"/>
          <w:highlight w:val="none"/>
          <w14:textFill>
            <w14:solidFill>
              <w14:schemeClr w14:val="tx1"/>
            </w14:solidFill>
          </w14:textFill>
        </w:rPr>
      </w:pPr>
    </w:p>
    <w:p w14:paraId="0D14BBA5">
      <w:pPr>
        <w:pStyle w:val="37"/>
        <w:ind w:left="0"/>
        <w:rPr>
          <w:b/>
          <w:color w:val="000000" w:themeColor="text1"/>
          <w:highlight w:val="none"/>
          <w14:textFill>
            <w14:solidFill>
              <w14:schemeClr w14:val="tx1"/>
            </w14:solidFill>
          </w14:textFill>
        </w:rPr>
      </w:pPr>
    </w:p>
    <w:p w14:paraId="1B043DD9">
      <w:pPr>
        <w:pStyle w:val="45"/>
        <w:spacing w:beforeAutospacing="0" w:afterAutospacing="0"/>
        <w:jc w:val="center"/>
        <w:rPr>
          <w:rFonts w:ascii="黑体" w:eastAsia="黑体" w:cs="黑体"/>
          <w:iCs/>
          <w:color w:val="000000" w:themeColor="text1"/>
          <w:sz w:val="32"/>
          <w:szCs w:val="32"/>
          <w:highlight w:val="none"/>
          <w14:textFill>
            <w14:solidFill>
              <w14:schemeClr w14:val="tx1"/>
            </w14:solidFill>
          </w14:textFill>
        </w:rPr>
      </w:pPr>
      <w:r>
        <w:rPr>
          <w:rFonts w:hint="eastAsia" w:ascii="黑体" w:eastAsia="黑体" w:cs="黑体"/>
          <w:iCs/>
          <w:color w:val="000000" w:themeColor="text1"/>
          <w:sz w:val="32"/>
          <w:szCs w:val="32"/>
          <w:highlight w:val="none"/>
          <w14:textFill>
            <w14:solidFill>
              <w14:schemeClr w14:val="tx1"/>
            </w14:solidFill>
          </w14:textFill>
        </w:rPr>
        <w:t>九、小微企业声明函（服务）</w:t>
      </w:r>
    </w:p>
    <w:p w14:paraId="38C934AF">
      <w:pPr>
        <w:pStyle w:val="45"/>
        <w:keepNext w:val="0"/>
        <w:keepLines w:val="0"/>
        <w:pageBreakBefore w:val="0"/>
        <w:kinsoku/>
        <w:wordWrap/>
        <w:overflowPunct/>
        <w:topLinePunct w:val="0"/>
        <w:autoSpaceDE/>
        <w:autoSpaceDN/>
        <w:bidi w:val="0"/>
        <w:adjustRightInd/>
        <w:snapToGrid/>
        <w:spacing w:beforeAutospacing="0" w:afterAutospacing="0" w:line="360" w:lineRule="auto"/>
        <w:ind w:firstLine="360"/>
        <w:jc w:val="both"/>
        <w:textAlignment w:val="auto"/>
        <w:rPr>
          <w:rFonts w:hint="eastAsia" w:cs="宋体"/>
          <w:color w:val="000000" w:themeColor="text1"/>
          <w:highlight w:val="none"/>
          <w14:textFill>
            <w14:solidFill>
              <w14:schemeClr w14:val="tx1"/>
            </w14:solidFill>
          </w14:textFill>
        </w:rPr>
      </w:pPr>
    </w:p>
    <w:p w14:paraId="426B5AA0">
      <w:pPr>
        <w:pStyle w:val="45"/>
        <w:keepNext w:val="0"/>
        <w:keepLines w:val="0"/>
        <w:pageBreakBefore w:val="0"/>
        <w:kinsoku/>
        <w:wordWrap/>
        <w:overflowPunct/>
        <w:topLinePunct w:val="0"/>
        <w:autoSpaceDE/>
        <w:autoSpaceDN/>
        <w:bidi w:val="0"/>
        <w:adjustRightInd/>
        <w:snapToGrid/>
        <w:spacing w:beforeAutospacing="0" w:afterAutospacing="0" w:line="360" w:lineRule="auto"/>
        <w:ind w:firstLine="650" w:firstLineChars="271"/>
        <w:jc w:val="both"/>
        <w:textAlignment w:val="auto"/>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本公司（联合体）郑重声明，根据《政府采购促进中小企业发展管理办法》(财库[2020]46号)的规定，本公司（联合体）参加采购人组织的</w:t>
      </w:r>
      <w:r>
        <w:rPr>
          <w:rFonts w:hint="eastAsia" w:cs="宋体"/>
          <w:color w:val="000000" w:themeColor="text1"/>
          <w:highlight w:val="none"/>
          <w:u w:val="single"/>
          <w14:textFill>
            <w14:solidFill>
              <w14:schemeClr w14:val="tx1"/>
            </w14:solidFill>
          </w14:textFill>
        </w:rPr>
        <w:t>（单位名称）</w:t>
      </w:r>
      <w:r>
        <w:rPr>
          <w:rFonts w:hint="eastAsia" w:cs="宋体"/>
          <w:color w:val="000000" w:themeColor="text1"/>
          <w:highlight w:val="none"/>
          <w14:textFill>
            <w14:solidFill>
              <w14:schemeClr w14:val="tx1"/>
            </w14:solidFill>
          </w14:textFill>
        </w:rPr>
        <w:t>采购编号为</w:t>
      </w:r>
      <w:r>
        <w:rPr>
          <w:rFonts w:hint="eastAsia" w:cs="宋体"/>
          <w:color w:val="000000" w:themeColor="text1"/>
          <w:highlight w:val="none"/>
          <w:u w:val="single"/>
          <w14:textFill>
            <w14:solidFill>
              <w14:schemeClr w14:val="tx1"/>
            </w14:solidFill>
          </w14:textFill>
        </w:rPr>
        <w:t>***</w:t>
      </w:r>
      <w:r>
        <w:rPr>
          <w:rFonts w:hint="eastAsia" w:cs="宋体"/>
          <w:color w:val="000000" w:themeColor="text1"/>
          <w:highlight w:val="none"/>
          <w14:textFill>
            <w14:solidFill>
              <w14:schemeClr w14:val="tx1"/>
            </w14:solidFill>
          </w14:textFill>
        </w:rPr>
        <w:t>，</w:t>
      </w:r>
      <w:r>
        <w:rPr>
          <w:rFonts w:hint="eastAsia" w:cs="宋体"/>
          <w:color w:val="000000" w:themeColor="text1"/>
          <w:highlight w:val="none"/>
          <w:u w:val="single"/>
          <w14:textFill>
            <w14:solidFill>
              <w14:schemeClr w14:val="tx1"/>
            </w14:solidFill>
          </w14:textFill>
        </w:rPr>
        <w:t>（项目名称）</w:t>
      </w:r>
      <w:r>
        <w:rPr>
          <w:rFonts w:hint="eastAsia" w:cs="宋体"/>
          <w:color w:val="000000" w:themeColor="text1"/>
          <w:highlight w:val="none"/>
          <w14:textFill>
            <w14:solidFill>
              <w14:schemeClr w14:val="tx1"/>
            </w14:solidFill>
          </w14:textFill>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B4EE06C">
      <w:pPr>
        <w:pStyle w:val="45"/>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1.</w:t>
      </w:r>
      <w:r>
        <w:rPr>
          <w:rFonts w:hint="eastAsia" w:cs="宋体"/>
          <w:color w:val="000000" w:themeColor="text1"/>
          <w:highlight w:val="none"/>
          <w:u w:val="single"/>
          <w14:textFill>
            <w14:solidFill>
              <w14:schemeClr w14:val="tx1"/>
            </w14:solidFill>
          </w14:textFill>
        </w:rPr>
        <w:t>（标的名称）</w:t>
      </w:r>
      <w:r>
        <w:rPr>
          <w:rFonts w:hint="eastAsia" w:cs="宋体"/>
          <w:i/>
          <w:color w:val="000000" w:themeColor="text1"/>
          <w:highlight w:val="none"/>
          <w14:textFill>
            <w14:solidFill>
              <w14:schemeClr w14:val="tx1"/>
            </w14:solidFill>
          </w14:textFill>
        </w:rPr>
        <w:t>，</w:t>
      </w:r>
      <w:r>
        <w:rPr>
          <w:rFonts w:hint="eastAsia" w:cs="宋体"/>
          <w:color w:val="000000" w:themeColor="text1"/>
          <w:highlight w:val="none"/>
          <w14:textFill>
            <w14:solidFill>
              <w14:schemeClr w14:val="tx1"/>
            </w14:solidFill>
          </w14:textFill>
        </w:rPr>
        <w:t>属于</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行业；承接企业为</w:t>
      </w:r>
      <w:r>
        <w:rPr>
          <w:rFonts w:hint="eastAsia" w:cs="宋体"/>
          <w:color w:val="000000" w:themeColor="text1"/>
          <w:highlight w:val="none"/>
          <w:u w:val="single"/>
          <w14:textFill>
            <w14:solidFill>
              <w14:schemeClr w14:val="tx1"/>
            </w14:solidFill>
          </w14:textFill>
        </w:rPr>
        <w:t>（企业名称）</w:t>
      </w:r>
      <w:r>
        <w:rPr>
          <w:rFonts w:hint="eastAsia" w:cs="宋体"/>
          <w:color w:val="000000" w:themeColor="text1"/>
          <w:highlight w:val="none"/>
          <w14:textFill>
            <w14:solidFill>
              <w14:schemeClr w14:val="tx1"/>
            </w14:solidFill>
          </w14:textFill>
        </w:rPr>
        <w:t>，从业人员</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人，营业收入为</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万元，资产总额为</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万元</w:t>
      </w:r>
      <w:r>
        <w:rPr>
          <w:rFonts w:hint="eastAsia" w:cs="宋体"/>
          <w:color w:val="000000" w:themeColor="text1"/>
          <w:highlight w:val="none"/>
          <w:vertAlign w:val="superscript"/>
          <w14:textFill>
            <w14:solidFill>
              <w14:schemeClr w14:val="tx1"/>
            </w14:solidFill>
          </w14:textFill>
        </w:rPr>
        <w:t>1</w:t>
      </w:r>
      <w:r>
        <w:rPr>
          <w:rFonts w:hint="eastAsia" w:cs="宋体"/>
          <w:color w:val="000000" w:themeColor="text1"/>
          <w:highlight w:val="none"/>
          <w14:textFill>
            <w14:solidFill>
              <w14:schemeClr w14:val="tx1"/>
            </w14:solidFill>
          </w14:textFill>
        </w:rPr>
        <w:t>，属于</w:t>
      </w:r>
      <w:r>
        <w:rPr>
          <w:rFonts w:hint="eastAsia" w:cs="宋体"/>
          <w:color w:val="000000" w:themeColor="text1"/>
          <w:highlight w:val="none"/>
          <w:u w:val="single"/>
          <w14:textFill>
            <w14:solidFill>
              <w14:schemeClr w14:val="tx1"/>
            </w14:solidFill>
          </w14:textFill>
        </w:rPr>
        <w:t>（小型企业、微型企业）；</w:t>
      </w:r>
    </w:p>
    <w:p w14:paraId="46182F16">
      <w:pPr>
        <w:pStyle w:val="45"/>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2.</w:t>
      </w:r>
      <w:r>
        <w:rPr>
          <w:rFonts w:hint="eastAsia" w:cs="宋体"/>
          <w:color w:val="000000" w:themeColor="text1"/>
          <w:highlight w:val="none"/>
          <w:u w:val="single"/>
          <w14:textFill>
            <w14:solidFill>
              <w14:schemeClr w14:val="tx1"/>
            </w14:solidFill>
          </w14:textFill>
        </w:rPr>
        <w:t>（标的名称）</w:t>
      </w:r>
      <w:r>
        <w:rPr>
          <w:rFonts w:hint="eastAsia" w:cs="宋体"/>
          <w:i/>
          <w:color w:val="000000" w:themeColor="text1"/>
          <w:highlight w:val="none"/>
          <w14:textFill>
            <w14:solidFill>
              <w14:schemeClr w14:val="tx1"/>
            </w14:solidFill>
          </w14:textFill>
        </w:rPr>
        <w:t>，</w:t>
      </w:r>
      <w:r>
        <w:rPr>
          <w:rFonts w:hint="eastAsia" w:cs="宋体"/>
          <w:color w:val="000000" w:themeColor="text1"/>
          <w:highlight w:val="none"/>
          <w14:textFill>
            <w14:solidFill>
              <w14:schemeClr w14:val="tx1"/>
            </w14:solidFill>
          </w14:textFill>
        </w:rPr>
        <w:t>属于</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行业；承接企业为</w:t>
      </w:r>
      <w:r>
        <w:rPr>
          <w:rFonts w:hint="eastAsia" w:cs="宋体"/>
          <w:color w:val="000000" w:themeColor="text1"/>
          <w:highlight w:val="none"/>
          <w:u w:val="single"/>
          <w14:textFill>
            <w14:solidFill>
              <w14:schemeClr w14:val="tx1"/>
            </w14:solidFill>
          </w14:textFill>
        </w:rPr>
        <w:t>（企业名称）</w:t>
      </w:r>
      <w:r>
        <w:rPr>
          <w:rFonts w:hint="eastAsia" w:cs="宋体"/>
          <w:color w:val="000000" w:themeColor="text1"/>
          <w:highlight w:val="none"/>
          <w14:textFill>
            <w14:solidFill>
              <w14:schemeClr w14:val="tx1"/>
            </w14:solidFill>
          </w14:textFill>
        </w:rPr>
        <w:t>，从业人员</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人，营业收入为</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万元，资产总额为</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万元</w:t>
      </w:r>
      <w:r>
        <w:rPr>
          <w:rFonts w:hint="eastAsia" w:cs="宋体"/>
          <w:color w:val="000000" w:themeColor="text1"/>
          <w:highlight w:val="none"/>
          <w:vertAlign w:val="superscript"/>
          <w14:textFill>
            <w14:solidFill>
              <w14:schemeClr w14:val="tx1"/>
            </w14:solidFill>
          </w14:textFill>
        </w:rPr>
        <w:t>1</w:t>
      </w:r>
      <w:r>
        <w:rPr>
          <w:rFonts w:hint="eastAsia" w:cs="宋体"/>
          <w:color w:val="000000" w:themeColor="text1"/>
          <w:highlight w:val="none"/>
          <w14:textFill>
            <w14:solidFill>
              <w14:schemeClr w14:val="tx1"/>
            </w14:solidFill>
          </w14:textFill>
        </w:rPr>
        <w:t>，属于</w:t>
      </w:r>
      <w:r>
        <w:rPr>
          <w:rFonts w:hint="eastAsia" w:cs="宋体"/>
          <w:color w:val="000000" w:themeColor="text1"/>
          <w:highlight w:val="none"/>
          <w:u w:val="single"/>
          <w14:textFill>
            <w14:solidFill>
              <w14:schemeClr w14:val="tx1"/>
            </w14:solidFill>
          </w14:textFill>
        </w:rPr>
        <w:t>（小型企业、微型企业）；</w:t>
      </w:r>
    </w:p>
    <w:p w14:paraId="631C56F4">
      <w:pPr>
        <w:pStyle w:val="45"/>
        <w:keepNext w:val="0"/>
        <w:keepLines w:val="0"/>
        <w:pageBreakBefore w:val="0"/>
        <w:kinsoku/>
        <w:wordWrap/>
        <w:overflowPunct/>
        <w:topLinePunct w:val="0"/>
        <w:autoSpaceDE/>
        <w:autoSpaceDN/>
        <w:bidi w:val="0"/>
        <w:adjustRightInd/>
        <w:snapToGrid/>
        <w:spacing w:beforeAutospacing="0" w:afterAutospacing="0" w:line="360" w:lineRule="auto"/>
        <w:ind w:firstLine="360"/>
        <w:jc w:val="both"/>
        <w:textAlignment w:val="auto"/>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w:t>
      </w:r>
    </w:p>
    <w:p w14:paraId="74419247">
      <w:pPr>
        <w:pStyle w:val="45"/>
        <w:keepNext w:val="0"/>
        <w:keepLines w:val="0"/>
        <w:pageBreakBefore w:val="0"/>
        <w:kinsoku/>
        <w:wordWrap/>
        <w:overflowPunct/>
        <w:topLinePunct w:val="0"/>
        <w:autoSpaceDE/>
        <w:autoSpaceDN/>
        <w:bidi w:val="0"/>
        <w:adjustRightInd/>
        <w:snapToGrid/>
        <w:spacing w:beforeAutospacing="0" w:afterAutospacing="0" w:line="360" w:lineRule="auto"/>
        <w:ind w:firstLine="360"/>
        <w:jc w:val="both"/>
        <w:textAlignment w:val="auto"/>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以上企业，不属于大企业的分支机构，不存在控股股东为大企业的情形，也不存在与大企业的负责人为同一人的情形。</w:t>
      </w:r>
    </w:p>
    <w:p w14:paraId="4EB4F65C">
      <w:pPr>
        <w:pStyle w:val="45"/>
        <w:keepNext w:val="0"/>
        <w:keepLines w:val="0"/>
        <w:pageBreakBefore w:val="0"/>
        <w:kinsoku/>
        <w:wordWrap/>
        <w:overflowPunct/>
        <w:topLinePunct w:val="0"/>
        <w:autoSpaceDE/>
        <w:autoSpaceDN/>
        <w:bidi w:val="0"/>
        <w:adjustRightInd/>
        <w:snapToGrid/>
        <w:spacing w:beforeAutospacing="0" w:afterAutospacing="0" w:line="360" w:lineRule="auto"/>
        <w:ind w:firstLine="360"/>
        <w:jc w:val="both"/>
        <w:textAlignment w:val="auto"/>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本企业对上述声明内容的真实性负责。如有虚假，将依法承担相应责任</w:t>
      </w:r>
    </w:p>
    <w:p w14:paraId="7A1AFB28">
      <w:pPr>
        <w:pStyle w:val="45"/>
        <w:keepNext w:val="0"/>
        <w:keepLines w:val="0"/>
        <w:pageBreakBefore w:val="0"/>
        <w:kinsoku/>
        <w:wordWrap/>
        <w:overflowPunct/>
        <w:topLinePunct w:val="0"/>
        <w:autoSpaceDE/>
        <w:autoSpaceDN/>
        <w:bidi w:val="0"/>
        <w:adjustRightInd/>
        <w:snapToGrid/>
        <w:spacing w:beforeAutospacing="0" w:afterAutospacing="0" w:line="360" w:lineRule="auto"/>
        <w:ind w:right="180" w:firstLine="360"/>
        <w:jc w:val="center"/>
        <w:textAlignment w:val="auto"/>
        <w:rPr>
          <w:color w:val="000000" w:themeColor="text1"/>
          <w:highlight w:val="none"/>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企业名称（加盖CA电子公章）：</w:t>
      </w:r>
    </w:p>
    <w:p w14:paraId="0D088864">
      <w:pPr>
        <w:pStyle w:val="45"/>
        <w:keepNext w:val="0"/>
        <w:keepLines w:val="0"/>
        <w:pageBreakBefore w:val="0"/>
        <w:kinsoku/>
        <w:wordWrap/>
        <w:overflowPunct/>
        <w:topLinePunct w:val="0"/>
        <w:autoSpaceDE/>
        <w:autoSpaceDN/>
        <w:bidi w:val="0"/>
        <w:adjustRightInd/>
        <w:snapToGrid/>
        <w:spacing w:beforeAutospacing="0" w:afterAutospacing="0" w:line="360" w:lineRule="auto"/>
        <w:ind w:right="480" w:firstLine="4800" w:firstLineChars="2000"/>
        <w:jc w:val="both"/>
        <w:textAlignment w:val="auto"/>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日</w:t>
      </w:r>
      <w:r>
        <w:rPr>
          <w:rFonts w:hint="eastAsia" w:cs="宋体"/>
          <w:color w:val="000000" w:themeColor="text1"/>
          <w:highlight w:val="none"/>
          <w:lang w:val="en-US" w:eastAsia="zh-CN"/>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期：</w:t>
      </w:r>
    </w:p>
    <w:p w14:paraId="1A3A664B">
      <w:pPr>
        <w:pStyle w:val="45"/>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cs="宋体"/>
          <w:color w:val="000000" w:themeColor="text1"/>
          <w:highlight w:val="none"/>
          <w14:textFill>
            <w14:solidFill>
              <w14:schemeClr w14:val="tx1"/>
            </w14:solidFill>
          </w14:textFill>
        </w:rPr>
      </w:pPr>
    </w:p>
    <w:p w14:paraId="0810A1AC">
      <w:pPr>
        <w:pStyle w:val="45"/>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备注1：从业人员、营业收入、资产总额填报上一年度数据，无上一年度数据的新成立企业可不填报。</w:t>
      </w:r>
    </w:p>
    <w:p w14:paraId="07F73644">
      <w:pPr>
        <w:pStyle w:val="45"/>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备注2：供应商如不提供此声明函，价格将不做相应扣除（如项目全面面向中小企业，则资格审查不通过）。</w:t>
      </w:r>
    </w:p>
    <w:p w14:paraId="7AD5D3EF">
      <w:pPr>
        <w:pStyle w:val="49"/>
        <w:keepNext w:val="0"/>
        <w:keepLines w:val="0"/>
        <w:pageBreakBefore w:val="0"/>
        <w:kinsoku/>
        <w:wordWrap/>
        <w:overflowPunct/>
        <w:topLinePunct w:val="0"/>
        <w:autoSpaceDE/>
        <w:autoSpaceDN/>
        <w:bidi w:val="0"/>
        <w:adjustRightInd/>
        <w:snapToGrid/>
        <w:spacing w:line="360" w:lineRule="auto"/>
        <w:ind w:firstLine="0"/>
        <w:textAlignment w:val="auto"/>
        <w:rPr>
          <w:color w:val="000000" w:themeColor="text1"/>
          <w:highlight w:val="none"/>
          <w14:textFill>
            <w14:solidFill>
              <w14:schemeClr w14:val="tx1"/>
            </w14:solidFill>
          </w14:textFill>
        </w:rPr>
      </w:pPr>
    </w:p>
    <w:p w14:paraId="74087A4C">
      <w:pPr>
        <w:rPr>
          <w:color w:val="000000" w:themeColor="text1"/>
          <w:highlight w:val="none"/>
          <w14:textFill>
            <w14:solidFill>
              <w14:schemeClr w14:val="tx1"/>
            </w14:solidFill>
          </w14:textFill>
        </w:rPr>
      </w:pPr>
    </w:p>
    <w:p w14:paraId="58E344A7">
      <w:pPr>
        <w:pStyle w:val="282"/>
        <w:ind w:firstLine="420"/>
        <w:rPr>
          <w:color w:val="000000" w:themeColor="text1"/>
          <w:highlight w:val="none"/>
          <w14:textFill>
            <w14:solidFill>
              <w14:schemeClr w14:val="tx1"/>
            </w14:solidFill>
          </w14:textFill>
        </w:rPr>
      </w:pPr>
    </w:p>
    <w:p w14:paraId="2ED32AF9">
      <w:pPr>
        <w:rPr>
          <w:color w:val="000000" w:themeColor="text1"/>
          <w:highlight w:val="none"/>
          <w14:textFill>
            <w14:solidFill>
              <w14:schemeClr w14:val="tx1"/>
            </w14:solidFill>
          </w14:textFill>
        </w:rPr>
      </w:pPr>
    </w:p>
    <w:p w14:paraId="14D5E27E">
      <w:pPr>
        <w:pStyle w:val="282"/>
        <w:ind w:firstLine="420"/>
        <w:rPr>
          <w:color w:val="000000" w:themeColor="text1"/>
          <w:highlight w:val="none"/>
          <w14:textFill>
            <w14:solidFill>
              <w14:schemeClr w14:val="tx1"/>
            </w14:solidFill>
          </w14:textFill>
        </w:rPr>
      </w:pPr>
    </w:p>
    <w:p w14:paraId="659CFCA2">
      <w:pPr>
        <w:rPr>
          <w:color w:val="000000" w:themeColor="text1"/>
          <w:highlight w:val="none"/>
          <w14:textFill>
            <w14:solidFill>
              <w14:schemeClr w14:val="tx1"/>
            </w14:solidFill>
          </w14:textFill>
        </w:rPr>
      </w:pPr>
    </w:p>
    <w:p w14:paraId="2BF81CFA">
      <w:pPr>
        <w:pStyle w:val="282"/>
        <w:ind w:firstLine="420"/>
        <w:rPr>
          <w:color w:val="000000" w:themeColor="text1"/>
          <w:highlight w:val="none"/>
          <w14:textFill>
            <w14:solidFill>
              <w14:schemeClr w14:val="tx1"/>
            </w14:solidFill>
          </w14:textFill>
        </w:rPr>
      </w:pPr>
    </w:p>
    <w:p w14:paraId="3BB76F66">
      <w:pPr>
        <w:rPr>
          <w:color w:val="000000" w:themeColor="text1"/>
          <w:highlight w:val="none"/>
          <w14:textFill>
            <w14:solidFill>
              <w14:schemeClr w14:val="tx1"/>
            </w14:solidFill>
          </w14:textFill>
        </w:rPr>
      </w:pPr>
    </w:p>
    <w:p w14:paraId="2B8573E7">
      <w:pPr>
        <w:pStyle w:val="282"/>
        <w:ind w:firstLine="420"/>
        <w:rPr>
          <w:color w:val="000000" w:themeColor="text1"/>
          <w:highlight w:val="none"/>
          <w14:textFill>
            <w14:solidFill>
              <w14:schemeClr w14:val="tx1"/>
            </w14:solidFill>
          </w14:textFill>
        </w:rPr>
      </w:pPr>
    </w:p>
    <w:p w14:paraId="5CE78F65">
      <w:pPr>
        <w:pStyle w:val="45"/>
        <w:spacing w:beforeAutospacing="0" w:afterAutospacing="0"/>
        <w:jc w:val="center"/>
        <w:rPr>
          <w:rFonts w:ascii="黑体" w:eastAsia="黑体" w:cs="黑体"/>
          <w:iCs/>
          <w:color w:val="000000" w:themeColor="text1"/>
          <w:sz w:val="32"/>
          <w:szCs w:val="32"/>
          <w:highlight w:val="none"/>
          <w14:textFill>
            <w14:solidFill>
              <w14:schemeClr w14:val="tx1"/>
            </w14:solidFill>
          </w14:textFill>
        </w:rPr>
      </w:pPr>
      <w:r>
        <w:rPr>
          <w:rFonts w:hint="eastAsia" w:ascii="黑体" w:eastAsia="黑体" w:cs="黑体"/>
          <w:iCs/>
          <w:color w:val="000000" w:themeColor="text1"/>
          <w:sz w:val="32"/>
          <w:szCs w:val="32"/>
          <w:highlight w:val="none"/>
          <w14:textFill>
            <w14:solidFill>
              <w14:schemeClr w14:val="tx1"/>
            </w14:solidFill>
          </w14:textFill>
        </w:rPr>
        <w:t>十、残疾人福利性单位声明函</w:t>
      </w:r>
    </w:p>
    <w:p w14:paraId="00CF5649">
      <w:pPr>
        <w:spacing w:line="360" w:lineRule="auto"/>
        <w:jc w:val="center"/>
        <w:rPr>
          <w:rFonts w:ascii="宋体" w:hAnsi="宋体"/>
          <w:b/>
          <w:color w:val="000000" w:themeColor="text1"/>
          <w:sz w:val="24"/>
          <w:highlight w:val="none"/>
          <w14:textFill>
            <w14:solidFill>
              <w14:schemeClr w14:val="tx1"/>
            </w14:solidFill>
          </w14:textFill>
        </w:rPr>
      </w:pPr>
    </w:p>
    <w:p w14:paraId="2604F4FC">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both"/>
        <w:textAlignment w:val="auto"/>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单位的采购文件编号为</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的</w:t>
      </w:r>
      <w:r>
        <w:rPr>
          <w:rFonts w:hint="eastAsia" w:ascii="Times New Roman" w:hAnsi="Times New Roman"/>
          <w:color w:val="000000" w:themeColor="text1"/>
          <w:highlight w:val="none"/>
          <w:u w:val="single"/>
          <w:lang w:val="en-US" w:eastAsia="zh-CN"/>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项目采购活动由本单位提供服务。</w:t>
      </w:r>
    </w:p>
    <w:p w14:paraId="7F51F4B2">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both"/>
        <w:textAlignment w:val="auto"/>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本单位对上述声明的真实性负责。如有虚假，将依法承担相应责任。</w:t>
      </w:r>
    </w:p>
    <w:p w14:paraId="7EC2BC53">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both"/>
        <w:textAlignment w:val="auto"/>
        <w:rPr>
          <w:rFonts w:hint="eastAsia" w:cs="宋体"/>
          <w:color w:val="000000" w:themeColor="text1"/>
          <w:highlight w:val="none"/>
          <w14:textFill>
            <w14:solidFill>
              <w14:schemeClr w14:val="tx1"/>
            </w14:solidFill>
          </w14:textFill>
        </w:rPr>
      </w:pPr>
    </w:p>
    <w:p w14:paraId="6F40661B">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both"/>
        <w:textAlignment w:val="auto"/>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备注：1、供应商如不提供此声明函，价格将不做相应扣除（如项目全面面向中小企业，则资格审查不通过）。</w:t>
      </w:r>
    </w:p>
    <w:p w14:paraId="46BAFC2D">
      <w:pPr>
        <w:pStyle w:val="45"/>
        <w:keepNext w:val="0"/>
        <w:keepLines w:val="0"/>
        <w:pageBreakBefore w:val="0"/>
        <w:widowControl/>
        <w:kinsoku/>
        <w:wordWrap/>
        <w:overflowPunct/>
        <w:topLinePunct w:val="0"/>
        <w:autoSpaceDE/>
        <w:autoSpaceDN/>
        <w:bidi w:val="0"/>
        <w:adjustRightInd/>
        <w:snapToGrid/>
        <w:spacing w:beforeAutospacing="0" w:afterAutospacing="0" w:line="360" w:lineRule="auto"/>
        <w:ind w:firstLine="1262" w:firstLineChars="526"/>
        <w:jc w:val="both"/>
        <w:textAlignment w:val="auto"/>
        <w:rPr>
          <w:rFonts w:hint="eastAsia" w:cs="宋体"/>
          <w:color w:val="000000" w:themeColor="text1"/>
          <w:highlight w:val="none"/>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2、</w:t>
      </w:r>
      <w:r>
        <w:rPr>
          <w:rFonts w:hint="eastAsia" w:cs="宋体"/>
          <w:color w:val="000000" w:themeColor="text1"/>
          <w:highlight w:val="none"/>
          <w14:textFill>
            <w14:solidFill>
              <w14:schemeClr w14:val="tx1"/>
            </w14:solidFill>
          </w14:textFill>
        </w:rPr>
        <w:t>中标人为残疾人福利单位的，此声明函将随中标结果同时公告，接受社会监督。</w:t>
      </w:r>
    </w:p>
    <w:p w14:paraId="4FA45006">
      <w:pPr>
        <w:pStyle w:val="45"/>
        <w:keepNext w:val="0"/>
        <w:keepLines w:val="0"/>
        <w:pageBreakBefore w:val="0"/>
        <w:widowControl/>
        <w:tabs>
          <w:tab w:val="left" w:pos="4864"/>
        </w:tabs>
        <w:kinsoku/>
        <w:wordWrap/>
        <w:overflowPunct/>
        <w:topLinePunct w:val="0"/>
        <w:autoSpaceDE/>
        <w:autoSpaceDN/>
        <w:bidi w:val="0"/>
        <w:adjustRightInd/>
        <w:snapToGrid/>
        <w:spacing w:beforeAutospacing="0" w:afterAutospacing="0" w:line="360" w:lineRule="auto"/>
        <w:ind w:right="1560" w:firstLine="624"/>
        <w:jc w:val="center"/>
        <w:textAlignment w:val="auto"/>
        <w:rPr>
          <w:rFonts w:hint="eastAsia" w:ascii="仿宋_GB2312" w:eastAsia="仿宋_GB2312" w:cs="仿宋_GB2312"/>
          <w:color w:val="000000" w:themeColor="text1"/>
          <w:sz w:val="30"/>
          <w:szCs w:val="30"/>
          <w:highlight w:val="none"/>
          <w14:textFill>
            <w14:solidFill>
              <w14:schemeClr w14:val="tx1"/>
            </w14:solidFill>
          </w14:textFill>
        </w:rPr>
      </w:pPr>
    </w:p>
    <w:p w14:paraId="19D0ACA3">
      <w:pPr>
        <w:pStyle w:val="45"/>
        <w:keepNext w:val="0"/>
        <w:keepLines w:val="0"/>
        <w:pageBreakBefore w:val="0"/>
        <w:widowControl/>
        <w:tabs>
          <w:tab w:val="left" w:pos="4864"/>
        </w:tabs>
        <w:kinsoku/>
        <w:wordWrap/>
        <w:overflowPunct/>
        <w:topLinePunct w:val="0"/>
        <w:autoSpaceDE/>
        <w:autoSpaceDN/>
        <w:bidi w:val="0"/>
        <w:adjustRightInd/>
        <w:snapToGrid/>
        <w:spacing w:beforeAutospacing="0" w:afterAutospacing="0" w:line="360" w:lineRule="auto"/>
        <w:ind w:right="1560" w:firstLine="624"/>
        <w:jc w:val="center"/>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供应商全称（加盖CA电子公章）：</w:t>
      </w:r>
    </w:p>
    <w:p w14:paraId="05BE5C4E">
      <w:pPr>
        <w:pStyle w:val="45"/>
        <w:keepNext w:val="0"/>
        <w:keepLines w:val="0"/>
        <w:pageBreakBefore w:val="0"/>
        <w:widowControl/>
        <w:tabs>
          <w:tab w:val="left" w:pos="4864"/>
        </w:tabs>
        <w:kinsoku/>
        <w:wordWrap/>
        <w:overflowPunct/>
        <w:topLinePunct w:val="0"/>
        <w:autoSpaceDE/>
        <w:autoSpaceDN/>
        <w:bidi w:val="0"/>
        <w:adjustRightInd/>
        <w:snapToGrid/>
        <w:spacing w:beforeAutospacing="0" w:afterAutospacing="0" w:line="360" w:lineRule="auto"/>
        <w:ind w:right="1560" w:firstLine="480"/>
        <w:jc w:val="center"/>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期：</w:t>
      </w:r>
    </w:p>
    <w:p w14:paraId="2C16A7C4">
      <w:pPr>
        <w:spacing w:line="360" w:lineRule="auto"/>
        <w:rPr>
          <w:color w:val="000000" w:themeColor="text1"/>
          <w:highlight w:val="none"/>
          <w14:textFill>
            <w14:solidFill>
              <w14:schemeClr w14:val="tx1"/>
            </w14:solidFill>
          </w14:textFill>
        </w:rPr>
      </w:pPr>
    </w:p>
    <w:p w14:paraId="35FABF1A">
      <w:pPr>
        <w:spacing w:line="360" w:lineRule="auto"/>
        <w:rPr>
          <w:b/>
          <w:color w:val="000000" w:themeColor="text1"/>
          <w:highlight w:val="none"/>
          <w14:textFill>
            <w14:solidFill>
              <w14:schemeClr w14:val="tx1"/>
            </w14:solidFill>
          </w14:textFill>
        </w:rPr>
      </w:pPr>
    </w:p>
    <w:p w14:paraId="0205FAE2">
      <w:pPr>
        <w:spacing w:line="360" w:lineRule="auto"/>
        <w:rPr>
          <w:b/>
          <w:color w:val="000000" w:themeColor="text1"/>
          <w:highlight w:val="none"/>
          <w14:textFill>
            <w14:solidFill>
              <w14:schemeClr w14:val="tx1"/>
            </w14:solidFill>
          </w14:textFill>
        </w:rPr>
      </w:pPr>
    </w:p>
    <w:p w14:paraId="7AE58788">
      <w:pPr>
        <w:spacing w:line="360" w:lineRule="auto"/>
        <w:rPr>
          <w:b/>
          <w:color w:val="000000" w:themeColor="text1"/>
          <w:highlight w:val="none"/>
          <w14:textFill>
            <w14:solidFill>
              <w14:schemeClr w14:val="tx1"/>
            </w14:solidFill>
          </w14:textFill>
        </w:rPr>
      </w:pPr>
    </w:p>
    <w:p w14:paraId="7462A9A1">
      <w:pPr>
        <w:pStyle w:val="37"/>
        <w:rPr>
          <w:color w:val="000000" w:themeColor="text1"/>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br w:type="page" w:clear="all"/>
      </w:r>
    </w:p>
    <w:p w14:paraId="09B01663">
      <w:pPr>
        <w:pStyle w:val="45"/>
        <w:spacing w:beforeAutospacing="0" w:afterAutospacing="0"/>
        <w:jc w:val="center"/>
        <w:rPr>
          <w:rFonts w:hint="eastAsia" w:ascii="黑体" w:eastAsia="黑体" w:cs="黑体"/>
          <w:iCs/>
          <w:color w:val="000000" w:themeColor="text1"/>
          <w:sz w:val="32"/>
          <w:szCs w:val="32"/>
          <w:highlight w:val="none"/>
          <w14:textFill>
            <w14:solidFill>
              <w14:schemeClr w14:val="tx1"/>
            </w14:solidFill>
          </w14:textFill>
        </w:rPr>
      </w:pPr>
      <w:r>
        <w:rPr>
          <w:rFonts w:hint="eastAsia" w:ascii="黑体" w:eastAsia="黑体" w:cs="黑体"/>
          <w:iCs/>
          <w:color w:val="000000" w:themeColor="text1"/>
          <w:sz w:val="32"/>
          <w:szCs w:val="32"/>
          <w:highlight w:val="none"/>
          <w14:textFill>
            <w14:solidFill>
              <w14:schemeClr w14:val="tx1"/>
            </w14:solidFill>
          </w14:textFill>
        </w:rPr>
        <w:t>十一、投标分项报价表（格式）</w:t>
      </w:r>
    </w:p>
    <w:p w14:paraId="54BFEE7B">
      <w:pPr>
        <w:spacing w:line="500" w:lineRule="exact"/>
        <w:ind w:firstLine="120"/>
        <w:jc w:val="left"/>
        <w:rPr>
          <w:rFonts w:hint="eastAsia" w:ascii="宋体" w:hAnsi="宋体"/>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投标人全称</w:t>
      </w:r>
      <w:r>
        <w:rPr>
          <w:rFonts w:hint="eastAsia" w:ascii="宋体" w:hAnsi="宋体"/>
          <w:color w:val="000000" w:themeColor="text1"/>
          <w:sz w:val="24"/>
          <w:highlight w:val="none"/>
          <w:u w:val="none"/>
          <w:lang w:eastAsia="zh-CN"/>
          <w14:textFill>
            <w14:solidFill>
              <w14:schemeClr w14:val="tx1"/>
            </w14:solidFill>
          </w14:textFill>
        </w:rPr>
        <w:t>：</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（加盖公章）</w:t>
      </w:r>
    </w:p>
    <w:p w14:paraId="08ABCDB1">
      <w:pPr>
        <w:pStyle w:val="61"/>
        <w:rPr>
          <w:color w:val="000000" w:themeColor="text1"/>
          <w:highlight w:val="none"/>
          <w14:textFill>
            <w14:solidFill>
              <w14:schemeClr w14:val="tx1"/>
            </w14:solidFill>
          </w14:textFill>
        </w:rPr>
      </w:pPr>
    </w:p>
    <w:tbl>
      <w:tblPr>
        <w:tblStyle w:val="50"/>
        <w:tblW w:w="9437"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4"/>
        <w:gridCol w:w="1349"/>
        <w:gridCol w:w="1334"/>
        <w:gridCol w:w="972"/>
        <w:gridCol w:w="1249"/>
        <w:gridCol w:w="1667"/>
        <w:gridCol w:w="1842"/>
      </w:tblGrid>
      <w:tr w14:paraId="75629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blCellSpacing w:w="0" w:type="dxa"/>
        </w:trPr>
        <w:tc>
          <w:tcPr>
            <w:tcW w:w="1024" w:type="dxa"/>
            <w:vMerge w:val="restart"/>
            <w:tcBorders>
              <w:tl2br w:val="nil"/>
              <w:tr2bl w:val="nil"/>
            </w:tcBorders>
            <w:noWrap w:val="0"/>
            <w:vAlign w:val="center"/>
          </w:tcPr>
          <w:p w14:paraId="365A6A40">
            <w:pPr>
              <w:pStyle w:val="45"/>
              <w:spacing w:beforeAutospacing="0" w:afterAutospacing="0" w:line="0" w:lineRule="atLeast"/>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序号</w:t>
            </w:r>
          </w:p>
        </w:tc>
        <w:tc>
          <w:tcPr>
            <w:tcW w:w="1349" w:type="dxa"/>
            <w:tcBorders>
              <w:tl2br w:val="nil"/>
              <w:tr2bl w:val="nil"/>
            </w:tcBorders>
            <w:noWrap w:val="0"/>
            <w:vAlign w:val="center"/>
          </w:tcPr>
          <w:p w14:paraId="4AF31E3D">
            <w:pPr>
              <w:pStyle w:val="45"/>
              <w:spacing w:beforeAutospacing="0" w:afterAutospacing="0" w:line="0" w:lineRule="atLeast"/>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1</w:t>
            </w:r>
          </w:p>
        </w:tc>
        <w:tc>
          <w:tcPr>
            <w:tcW w:w="1334" w:type="dxa"/>
            <w:tcBorders>
              <w:tl2br w:val="nil"/>
              <w:tr2bl w:val="nil"/>
            </w:tcBorders>
            <w:noWrap w:val="0"/>
            <w:vAlign w:val="center"/>
          </w:tcPr>
          <w:p w14:paraId="26064578">
            <w:pPr>
              <w:pStyle w:val="45"/>
              <w:spacing w:beforeAutospacing="0" w:afterAutospacing="0" w:line="0" w:lineRule="atLeast"/>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2</w:t>
            </w:r>
          </w:p>
        </w:tc>
        <w:tc>
          <w:tcPr>
            <w:tcW w:w="972" w:type="dxa"/>
            <w:tcBorders>
              <w:tl2br w:val="nil"/>
              <w:tr2bl w:val="nil"/>
            </w:tcBorders>
            <w:noWrap w:val="0"/>
            <w:vAlign w:val="center"/>
          </w:tcPr>
          <w:p w14:paraId="3B01F8EF">
            <w:pPr>
              <w:pStyle w:val="45"/>
              <w:spacing w:beforeAutospacing="0" w:afterAutospacing="0" w:line="0" w:lineRule="atLeast"/>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w:t>
            </w:r>
          </w:p>
        </w:tc>
        <w:tc>
          <w:tcPr>
            <w:tcW w:w="1249" w:type="dxa"/>
            <w:tcBorders>
              <w:tl2br w:val="nil"/>
              <w:tr2bl w:val="nil"/>
            </w:tcBorders>
            <w:noWrap w:val="0"/>
            <w:vAlign w:val="center"/>
          </w:tcPr>
          <w:p w14:paraId="0B6BAA7C">
            <w:pPr>
              <w:pStyle w:val="45"/>
              <w:spacing w:beforeAutospacing="0" w:afterAutospacing="0" w:line="0" w:lineRule="atLeast"/>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4</w:t>
            </w:r>
          </w:p>
        </w:tc>
        <w:tc>
          <w:tcPr>
            <w:tcW w:w="1667" w:type="dxa"/>
            <w:tcBorders>
              <w:tl2br w:val="nil"/>
              <w:tr2bl w:val="nil"/>
            </w:tcBorders>
            <w:noWrap w:val="0"/>
            <w:vAlign w:val="center"/>
          </w:tcPr>
          <w:p w14:paraId="6F44FA0B">
            <w:pPr>
              <w:pStyle w:val="45"/>
              <w:spacing w:beforeAutospacing="0" w:afterAutospacing="0" w:line="0" w:lineRule="atLeast"/>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5</w:t>
            </w:r>
          </w:p>
        </w:tc>
        <w:tc>
          <w:tcPr>
            <w:tcW w:w="1842" w:type="dxa"/>
            <w:tcBorders>
              <w:tl2br w:val="nil"/>
              <w:tr2bl w:val="nil"/>
            </w:tcBorders>
            <w:noWrap w:val="0"/>
            <w:vAlign w:val="center"/>
          </w:tcPr>
          <w:p w14:paraId="0C903C4D">
            <w:pPr>
              <w:pStyle w:val="45"/>
              <w:spacing w:beforeAutospacing="0" w:afterAutospacing="0" w:line="0" w:lineRule="atLeast"/>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6</w:t>
            </w:r>
          </w:p>
        </w:tc>
      </w:tr>
      <w:tr w14:paraId="3CF10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blCellSpacing w:w="0" w:type="dxa"/>
        </w:trPr>
        <w:tc>
          <w:tcPr>
            <w:tcW w:w="1024" w:type="dxa"/>
            <w:vMerge w:val="continue"/>
            <w:tcBorders>
              <w:tl2br w:val="nil"/>
              <w:tr2bl w:val="nil"/>
            </w:tcBorders>
            <w:noWrap w:val="0"/>
            <w:vAlign w:val="center"/>
          </w:tcPr>
          <w:p w14:paraId="5196DD41">
            <w:pPr>
              <w:jc w:val="center"/>
              <w:rPr>
                <w:rFonts w:ascii="宋体" w:hAnsi="宋体" w:cs="宋体"/>
                <w:color w:val="000000" w:themeColor="text1"/>
                <w:sz w:val="24"/>
                <w:highlight w:val="none"/>
                <w14:textFill>
                  <w14:solidFill>
                    <w14:schemeClr w14:val="tx1"/>
                  </w14:solidFill>
                </w14:textFill>
              </w:rPr>
            </w:pPr>
          </w:p>
        </w:tc>
        <w:tc>
          <w:tcPr>
            <w:tcW w:w="1349" w:type="dxa"/>
            <w:tcBorders>
              <w:tl2br w:val="nil"/>
              <w:tr2bl w:val="nil"/>
            </w:tcBorders>
            <w:noWrap w:val="0"/>
            <w:vAlign w:val="center"/>
          </w:tcPr>
          <w:p w14:paraId="0483A576">
            <w:pPr>
              <w:pStyle w:val="45"/>
              <w:spacing w:beforeAutospacing="0" w:afterAutospacing="0" w:line="0" w:lineRule="atLeast"/>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分项服务名称</w:t>
            </w:r>
          </w:p>
        </w:tc>
        <w:tc>
          <w:tcPr>
            <w:tcW w:w="1334" w:type="dxa"/>
            <w:tcBorders>
              <w:tl2br w:val="nil"/>
              <w:tr2bl w:val="nil"/>
            </w:tcBorders>
            <w:noWrap w:val="0"/>
            <w:vAlign w:val="center"/>
          </w:tcPr>
          <w:p w14:paraId="3A0B0ADA">
            <w:pPr>
              <w:pStyle w:val="45"/>
              <w:spacing w:beforeAutospacing="0" w:afterAutospacing="0" w:line="0" w:lineRule="atLeast"/>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交付期</w:t>
            </w:r>
          </w:p>
        </w:tc>
        <w:tc>
          <w:tcPr>
            <w:tcW w:w="972" w:type="dxa"/>
            <w:tcBorders>
              <w:tl2br w:val="nil"/>
              <w:tr2bl w:val="nil"/>
            </w:tcBorders>
            <w:noWrap w:val="0"/>
            <w:vAlign w:val="center"/>
          </w:tcPr>
          <w:p w14:paraId="02194C4D">
            <w:pPr>
              <w:pStyle w:val="45"/>
              <w:spacing w:beforeAutospacing="0" w:afterAutospacing="0" w:line="0" w:lineRule="atLeast"/>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分项单位</w:t>
            </w:r>
          </w:p>
        </w:tc>
        <w:tc>
          <w:tcPr>
            <w:tcW w:w="1249" w:type="dxa"/>
            <w:tcBorders>
              <w:tl2br w:val="nil"/>
              <w:tr2bl w:val="nil"/>
            </w:tcBorders>
            <w:noWrap w:val="0"/>
            <w:vAlign w:val="center"/>
          </w:tcPr>
          <w:p w14:paraId="4A77CE94">
            <w:pPr>
              <w:pStyle w:val="45"/>
              <w:spacing w:beforeAutospacing="0" w:afterAutospacing="0" w:line="0" w:lineRule="atLeast"/>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数量</w:t>
            </w:r>
          </w:p>
        </w:tc>
        <w:tc>
          <w:tcPr>
            <w:tcW w:w="1667" w:type="dxa"/>
            <w:tcBorders>
              <w:tl2br w:val="nil"/>
              <w:tr2bl w:val="nil"/>
            </w:tcBorders>
            <w:noWrap w:val="0"/>
            <w:vAlign w:val="center"/>
          </w:tcPr>
          <w:p w14:paraId="1471D134">
            <w:pPr>
              <w:pStyle w:val="45"/>
              <w:spacing w:beforeAutospacing="0" w:afterAutospacing="0" w:line="0" w:lineRule="atLeast"/>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分项</w:t>
            </w:r>
          </w:p>
          <w:p w14:paraId="3ED7A522">
            <w:pPr>
              <w:pStyle w:val="45"/>
              <w:spacing w:beforeAutospacing="0" w:afterAutospacing="0" w:line="0" w:lineRule="atLeast"/>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单价</w:t>
            </w:r>
          </w:p>
        </w:tc>
        <w:tc>
          <w:tcPr>
            <w:tcW w:w="1842" w:type="dxa"/>
            <w:tcBorders>
              <w:tl2br w:val="nil"/>
              <w:tr2bl w:val="nil"/>
            </w:tcBorders>
            <w:noWrap w:val="0"/>
            <w:vAlign w:val="center"/>
          </w:tcPr>
          <w:p w14:paraId="40CA5D29">
            <w:pPr>
              <w:pStyle w:val="45"/>
              <w:spacing w:beforeAutospacing="0" w:afterAutospacing="0" w:line="0" w:lineRule="atLeast"/>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分项</w:t>
            </w:r>
          </w:p>
          <w:p w14:paraId="00A86DCC">
            <w:pPr>
              <w:pStyle w:val="45"/>
              <w:spacing w:beforeAutospacing="0" w:afterAutospacing="0" w:line="0" w:lineRule="atLeast"/>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总价</w:t>
            </w:r>
          </w:p>
        </w:tc>
      </w:tr>
      <w:tr w14:paraId="011DB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blCellSpacing w:w="0" w:type="dxa"/>
        </w:trPr>
        <w:tc>
          <w:tcPr>
            <w:tcW w:w="1024" w:type="dxa"/>
            <w:tcBorders>
              <w:tl2br w:val="nil"/>
              <w:tr2bl w:val="nil"/>
            </w:tcBorders>
            <w:noWrap w:val="0"/>
            <w:vAlign w:val="center"/>
          </w:tcPr>
          <w:p w14:paraId="0099E190">
            <w:pPr>
              <w:pStyle w:val="45"/>
              <w:spacing w:beforeAutospacing="0" w:afterAutospacing="0" w:line="0" w:lineRule="atLeast"/>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1</w:t>
            </w:r>
          </w:p>
        </w:tc>
        <w:tc>
          <w:tcPr>
            <w:tcW w:w="1349" w:type="dxa"/>
            <w:tcBorders>
              <w:tl2br w:val="nil"/>
              <w:tr2bl w:val="nil"/>
            </w:tcBorders>
            <w:noWrap w:val="0"/>
            <w:vAlign w:val="center"/>
          </w:tcPr>
          <w:p w14:paraId="7C823D4B">
            <w:pPr>
              <w:pStyle w:val="45"/>
              <w:spacing w:beforeAutospacing="0" w:afterAutospacing="0" w:line="0" w:lineRule="atLeast"/>
              <w:jc w:val="center"/>
              <w:rPr>
                <w:rFonts w:cs="宋体"/>
                <w:color w:val="000000" w:themeColor="text1"/>
                <w:highlight w:val="none"/>
                <w14:textFill>
                  <w14:solidFill>
                    <w14:schemeClr w14:val="tx1"/>
                  </w14:solidFill>
                </w14:textFill>
              </w:rPr>
            </w:pPr>
          </w:p>
        </w:tc>
        <w:tc>
          <w:tcPr>
            <w:tcW w:w="1334" w:type="dxa"/>
            <w:tcBorders>
              <w:tl2br w:val="nil"/>
              <w:tr2bl w:val="nil"/>
            </w:tcBorders>
            <w:noWrap w:val="0"/>
            <w:vAlign w:val="center"/>
          </w:tcPr>
          <w:p w14:paraId="094B434A">
            <w:pPr>
              <w:pStyle w:val="45"/>
              <w:spacing w:beforeAutospacing="0" w:afterAutospacing="0" w:line="0" w:lineRule="atLeast"/>
              <w:jc w:val="center"/>
              <w:rPr>
                <w:rFonts w:cs="宋体"/>
                <w:color w:val="000000" w:themeColor="text1"/>
                <w:highlight w:val="none"/>
                <w14:textFill>
                  <w14:solidFill>
                    <w14:schemeClr w14:val="tx1"/>
                  </w14:solidFill>
                </w14:textFill>
              </w:rPr>
            </w:pPr>
          </w:p>
        </w:tc>
        <w:tc>
          <w:tcPr>
            <w:tcW w:w="972" w:type="dxa"/>
            <w:tcBorders>
              <w:tl2br w:val="nil"/>
              <w:tr2bl w:val="nil"/>
            </w:tcBorders>
            <w:noWrap w:val="0"/>
            <w:vAlign w:val="center"/>
          </w:tcPr>
          <w:p w14:paraId="1E4E4F82">
            <w:pPr>
              <w:pStyle w:val="45"/>
              <w:spacing w:beforeAutospacing="0" w:afterAutospacing="0" w:line="0" w:lineRule="atLeast"/>
              <w:jc w:val="center"/>
              <w:rPr>
                <w:rFonts w:cs="宋体"/>
                <w:color w:val="000000" w:themeColor="text1"/>
                <w:highlight w:val="none"/>
                <w14:textFill>
                  <w14:solidFill>
                    <w14:schemeClr w14:val="tx1"/>
                  </w14:solidFill>
                </w14:textFill>
              </w:rPr>
            </w:pPr>
          </w:p>
        </w:tc>
        <w:tc>
          <w:tcPr>
            <w:tcW w:w="1249" w:type="dxa"/>
            <w:tcBorders>
              <w:tl2br w:val="nil"/>
              <w:tr2bl w:val="nil"/>
            </w:tcBorders>
            <w:noWrap w:val="0"/>
            <w:vAlign w:val="center"/>
          </w:tcPr>
          <w:p w14:paraId="4A437341">
            <w:pPr>
              <w:pStyle w:val="45"/>
              <w:spacing w:beforeAutospacing="0" w:afterAutospacing="0" w:line="0" w:lineRule="atLeast"/>
              <w:jc w:val="center"/>
              <w:rPr>
                <w:rFonts w:cs="宋体"/>
                <w:color w:val="000000" w:themeColor="text1"/>
                <w:highlight w:val="none"/>
                <w14:textFill>
                  <w14:solidFill>
                    <w14:schemeClr w14:val="tx1"/>
                  </w14:solidFill>
                </w14:textFill>
              </w:rPr>
            </w:pPr>
          </w:p>
        </w:tc>
        <w:tc>
          <w:tcPr>
            <w:tcW w:w="1667" w:type="dxa"/>
            <w:tcBorders>
              <w:tl2br w:val="nil"/>
              <w:tr2bl w:val="nil"/>
            </w:tcBorders>
            <w:noWrap w:val="0"/>
            <w:vAlign w:val="center"/>
          </w:tcPr>
          <w:p w14:paraId="11AC785E">
            <w:pPr>
              <w:pStyle w:val="45"/>
              <w:spacing w:beforeAutospacing="0" w:afterAutospacing="0" w:line="0" w:lineRule="atLeast"/>
              <w:jc w:val="center"/>
              <w:rPr>
                <w:rFonts w:cs="宋体"/>
                <w:color w:val="000000" w:themeColor="text1"/>
                <w:highlight w:val="none"/>
                <w14:textFill>
                  <w14:solidFill>
                    <w14:schemeClr w14:val="tx1"/>
                  </w14:solidFill>
                </w14:textFill>
              </w:rPr>
            </w:pPr>
          </w:p>
        </w:tc>
        <w:tc>
          <w:tcPr>
            <w:tcW w:w="1842" w:type="dxa"/>
            <w:tcBorders>
              <w:tl2br w:val="nil"/>
              <w:tr2bl w:val="nil"/>
            </w:tcBorders>
            <w:noWrap w:val="0"/>
            <w:vAlign w:val="center"/>
          </w:tcPr>
          <w:p w14:paraId="6343E425">
            <w:pPr>
              <w:pStyle w:val="45"/>
              <w:spacing w:beforeAutospacing="0" w:afterAutospacing="0" w:line="0" w:lineRule="atLeast"/>
              <w:jc w:val="center"/>
              <w:rPr>
                <w:rFonts w:cs="宋体"/>
                <w:color w:val="000000" w:themeColor="text1"/>
                <w:highlight w:val="none"/>
                <w14:textFill>
                  <w14:solidFill>
                    <w14:schemeClr w14:val="tx1"/>
                  </w14:solidFill>
                </w14:textFill>
              </w:rPr>
            </w:pPr>
          </w:p>
        </w:tc>
      </w:tr>
      <w:tr w14:paraId="013EB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blCellSpacing w:w="0" w:type="dxa"/>
        </w:trPr>
        <w:tc>
          <w:tcPr>
            <w:tcW w:w="1024" w:type="dxa"/>
            <w:tcBorders>
              <w:tl2br w:val="nil"/>
              <w:tr2bl w:val="nil"/>
            </w:tcBorders>
            <w:noWrap w:val="0"/>
            <w:vAlign w:val="center"/>
          </w:tcPr>
          <w:p w14:paraId="66CBCA25">
            <w:pPr>
              <w:pStyle w:val="45"/>
              <w:spacing w:beforeAutospacing="0" w:afterAutospacing="0" w:line="0" w:lineRule="atLeast"/>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2</w:t>
            </w:r>
          </w:p>
        </w:tc>
        <w:tc>
          <w:tcPr>
            <w:tcW w:w="1349" w:type="dxa"/>
            <w:tcBorders>
              <w:tl2br w:val="nil"/>
              <w:tr2bl w:val="nil"/>
            </w:tcBorders>
            <w:noWrap w:val="0"/>
            <w:vAlign w:val="center"/>
          </w:tcPr>
          <w:p w14:paraId="60A1E65F">
            <w:pPr>
              <w:pStyle w:val="45"/>
              <w:spacing w:beforeAutospacing="0" w:afterAutospacing="0" w:line="0" w:lineRule="atLeast"/>
              <w:jc w:val="center"/>
              <w:rPr>
                <w:rFonts w:cs="宋体"/>
                <w:color w:val="000000" w:themeColor="text1"/>
                <w:highlight w:val="none"/>
                <w14:textFill>
                  <w14:solidFill>
                    <w14:schemeClr w14:val="tx1"/>
                  </w14:solidFill>
                </w14:textFill>
              </w:rPr>
            </w:pPr>
          </w:p>
        </w:tc>
        <w:tc>
          <w:tcPr>
            <w:tcW w:w="1334" w:type="dxa"/>
            <w:tcBorders>
              <w:tl2br w:val="nil"/>
              <w:tr2bl w:val="nil"/>
            </w:tcBorders>
            <w:noWrap w:val="0"/>
            <w:vAlign w:val="center"/>
          </w:tcPr>
          <w:p w14:paraId="7D46DD0F">
            <w:pPr>
              <w:pStyle w:val="45"/>
              <w:spacing w:beforeAutospacing="0" w:afterAutospacing="0" w:line="0" w:lineRule="atLeast"/>
              <w:jc w:val="center"/>
              <w:rPr>
                <w:rFonts w:cs="宋体"/>
                <w:color w:val="000000" w:themeColor="text1"/>
                <w:highlight w:val="none"/>
                <w14:textFill>
                  <w14:solidFill>
                    <w14:schemeClr w14:val="tx1"/>
                  </w14:solidFill>
                </w14:textFill>
              </w:rPr>
            </w:pPr>
          </w:p>
        </w:tc>
        <w:tc>
          <w:tcPr>
            <w:tcW w:w="972" w:type="dxa"/>
            <w:tcBorders>
              <w:tl2br w:val="nil"/>
              <w:tr2bl w:val="nil"/>
            </w:tcBorders>
            <w:noWrap w:val="0"/>
            <w:vAlign w:val="center"/>
          </w:tcPr>
          <w:p w14:paraId="1DC4414D">
            <w:pPr>
              <w:pStyle w:val="45"/>
              <w:spacing w:beforeAutospacing="0" w:afterAutospacing="0" w:line="0" w:lineRule="atLeast"/>
              <w:jc w:val="center"/>
              <w:rPr>
                <w:rFonts w:cs="宋体"/>
                <w:color w:val="000000" w:themeColor="text1"/>
                <w:highlight w:val="none"/>
                <w14:textFill>
                  <w14:solidFill>
                    <w14:schemeClr w14:val="tx1"/>
                  </w14:solidFill>
                </w14:textFill>
              </w:rPr>
            </w:pPr>
          </w:p>
        </w:tc>
        <w:tc>
          <w:tcPr>
            <w:tcW w:w="1249" w:type="dxa"/>
            <w:tcBorders>
              <w:tl2br w:val="nil"/>
              <w:tr2bl w:val="nil"/>
            </w:tcBorders>
            <w:noWrap w:val="0"/>
            <w:vAlign w:val="center"/>
          </w:tcPr>
          <w:p w14:paraId="2ECF2A4D">
            <w:pPr>
              <w:pStyle w:val="45"/>
              <w:spacing w:beforeAutospacing="0" w:afterAutospacing="0" w:line="0" w:lineRule="atLeast"/>
              <w:jc w:val="center"/>
              <w:rPr>
                <w:rFonts w:cs="宋体"/>
                <w:color w:val="000000" w:themeColor="text1"/>
                <w:highlight w:val="none"/>
                <w14:textFill>
                  <w14:solidFill>
                    <w14:schemeClr w14:val="tx1"/>
                  </w14:solidFill>
                </w14:textFill>
              </w:rPr>
            </w:pPr>
          </w:p>
        </w:tc>
        <w:tc>
          <w:tcPr>
            <w:tcW w:w="1667" w:type="dxa"/>
            <w:tcBorders>
              <w:tl2br w:val="nil"/>
              <w:tr2bl w:val="nil"/>
            </w:tcBorders>
            <w:noWrap w:val="0"/>
            <w:vAlign w:val="center"/>
          </w:tcPr>
          <w:p w14:paraId="39DA5AE5">
            <w:pPr>
              <w:pStyle w:val="45"/>
              <w:spacing w:beforeAutospacing="0" w:afterAutospacing="0" w:line="0" w:lineRule="atLeast"/>
              <w:jc w:val="center"/>
              <w:rPr>
                <w:rFonts w:cs="宋体"/>
                <w:color w:val="000000" w:themeColor="text1"/>
                <w:highlight w:val="none"/>
                <w14:textFill>
                  <w14:solidFill>
                    <w14:schemeClr w14:val="tx1"/>
                  </w14:solidFill>
                </w14:textFill>
              </w:rPr>
            </w:pPr>
          </w:p>
        </w:tc>
        <w:tc>
          <w:tcPr>
            <w:tcW w:w="1842" w:type="dxa"/>
            <w:tcBorders>
              <w:tl2br w:val="nil"/>
              <w:tr2bl w:val="nil"/>
            </w:tcBorders>
            <w:noWrap w:val="0"/>
            <w:vAlign w:val="center"/>
          </w:tcPr>
          <w:p w14:paraId="4A5363B1">
            <w:pPr>
              <w:pStyle w:val="45"/>
              <w:spacing w:beforeAutospacing="0" w:afterAutospacing="0" w:line="0" w:lineRule="atLeast"/>
              <w:jc w:val="center"/>
              <w:rPr>
                <w:rFonts w:cs="宋体"/>
                <w:color w:val="000000" w:themeColor="text1"/>
                <w:highlight w:val="none"/>
                <w14:textFill>
                  <w14:solidFill>
                    <w14:schemeClr w14:val="tx1"/>
                  </w14:solidFill>
                </w14:textFill>
              </w:rPr>
            </w:pPr>
          </w:p>
        </w:tc>
      </w:tr>
      <w:tr w14:paraId="14B47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blCellSpacing w:w="0" w:type="dxa"/>
        </w:trPr>
        <w:tc>
          <w:tcPr>
            <w:tcW w:w="1024" w:type="dxa"/>
            <w:tcBorders>
              <w:tl2br w:val="nil"/>
              <w:tr2bl w:val="nil"/>
            </w:tcBorders>
            <w:noWrap w:val="0"/>
            <w:vAlign w:val="center"/>
          </w:tcPr>
          <w:p w14:paraId="6BAEA5E0">
            <w:pPr>
              <w:pStyle w:val="45"/>
              <w:spacing w:beforeAutospacing="0" w:afterAutospacing="0" w:line="0" w:lineRule="atLeast"/>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w:t>
            </w:r>
          </w:p>
        </w:tc>
        <w:tc>
          <w:tcPr>
            <w:tcW w:w="1349" w:type="dxa"/>
            <w:tcBorders>
              <w:tl2br w:val="nil"/>
              <w:tr2bl w:val="nil"/>
            </w:tcBorders>
            <w:noWrap w:val="0"/>
            <w:vAlign w:val="center"/>
          </w:tcPr>
          <w:p w14:paraId="15100860">
            <w:pPr>
              <w:pStyle w:val="45"/>
              <w:spacing w:beforeAutospacing="0" w:afterAutospacing="0" w:line="0" w:lineRule="atLeast"/>
              <w:jc w:val="center"/>
              <w:rPr>
                <w:rFonts w:cs="宋体"/>
                <w:color w:val="000000" w:themeColor="text1"/>
                <w:highlight w:val="none"/>
                <w14:textFill>
                  <w14:solidFill>
                    <w14:schemeClr w14:val="tx1"/>
                  </w14:solidFill>
                </w14:textFill>
              </w:rPr>
            </w:pPr>
          </w:p>
        </w:tc>
        <w:tc>
          <w:tcPr>
            <w:tcW w:w="1334" w:type="dxa"/>
            <w:tcBorders>
              <w:tl2br w:val="nil"/>
              <w:tr2bl w:val="nil"/>
            </w:tcBorders>
            <w:noWrap w:val="0"/>
            <w:vAlign w:val="center"/>
          </w:tcPr>
          <w:p w14:paraId="4E782213">
            <w:pPr>
              <w:pStyle w:val="45"/>
              <w:spacing w:beforeAutospacing="0" w:afterAutospacing="0" w:line="0" w:lineRule="atLeast"/>
              <w:jc w:val="center"/>
              <w:rPr>
                <w:rFonts w:cs="宋体"/>
                <w:color w:val="000000" w:themeColor="text1"/>
                <w:highlight w:val="none"/>
                <w14:textFill>
                  <w14:solidFill>
                    <w14:schemeClr w14:val="tx1"/>
                  </w14:solidFill>
                </w14:textFill>
              </w:rPr>
            </w:pPr>
          </w:p>
        </w:tc>
        <w:tc>
          <w:tcPr>
            <w:tcW w:w="972" w:type="dxa"/>
            <w:tcBorders>
              <w:tl2br w:val="nil"/>
              <w:tr2bl w:val="nil"/>
            </w:tcBorders>
            <w:noWrap w:val="0"/>
            <w:vAlign w:val="center"/>
          </w:tcPr>
          <w:p w14:paraId="1AAB65AD">
            <w:pPr>
              <w:pStyle w:val="45"/>
              <w:spacing w:beforeAutospacing="0" w:afterAutospacing="0" w:line="0" w:lineRule="atLeast"/>
              <w:jc w:val="center"/>
              <w:rPr>
                <w:rFonts w:cs="宋体"/>
                <w:color w:val="000000" w:themeColor="text1"/>
                <w:highlight w:val="none"/>
                <w14:textFill>
                  <w14:solidFill>
                    <w14:schemeClr w14:val="tx1"/>
                  </w14:solidFill>
                </w14:textFill>
              </w:rPr>
            </w:pPr>
          </w:p>
        </w:tc>
        <w:tc>
          <w:tcPr>
            <w:tcW w:w="1249" w:type="dxa"/>
            <w:tcBorders>
              <w:tl2br w:val="nil"/>
              <w:tr2bl w:val="nil"/>
            </w:tcBorders>
            <w:noWrap w:val="0"/>
            <w:vAlign w:val="center"/>
          </w:tcPr>
          <w:p w14:paraId="42255078">
            <w:pPr>
              <w:pStyle w:val="45"/>
              <w:spacing w:beforeAutospacing="0" w:afterAutospacing="0" w:line="0" w:lineRule="atLeast"/>
              <w:jc w:val="center"/>
              <w:rPr>
                <w:rFonts w:cs="宋体"/>
                <w:color w:val="000000" w:themeColor="text1"/>
                <w:highlight w:val="none"/>
                <w14:textFill>
                  <w14:solidFill>
                    <w14:schemeClr w14:val="tx1"/>
                  </w14:solidFill>
                </w14:textFill>
              </w:rPr>
            </w:pPr>
          </w:p>
        </w:tc>
        <w:tc>
          <w:tcPr>
            <w:tcW w:w="1667" w:type="dxa"/>
            <w:tcBorders>
              <w:tl2br w:val="nil"/>
              <w:tr2bl w:val="nil"/>
            </w:tcBorders>
            <w:noWrap w:val="0"/>
            <w:vAlign w:val="center"/>
          </w:tcPr>
          <w:p w14:paraId="51950793">
            <w:pPr>
              <w:pStyle w:val="45"/>
              <w:spacing w:beforeAutospacing="0" w:afterAutospacing="0" w:line="0" w:lineRule="atLeast"/>
              <w:jc w:val="center"/>
              <w:rPr>
                <w:rFonts w:cs="宋体"/>
                <w:color w:val="000000" w:themeColor="text1"/>
                <w:highlight w:val="none"/>
                <w14:textFill>
                  <w14:solidFill>
                    <w14:schemeClr w14:val="tx1"/>
                  </w14:solidFill>
                </w14:textFill>
              </w:rPr>
            </w:pPr>
          </w:p>
        </w:tc>
        <w:tc>
          <w:tcPr>
            <w:tcW w:w="1842" w:type="dxa"/>
            <w:tcBorders>
              <w:tl2br w:val="nil"/>
              <w:tr2bl w:val="nil"/>
            </w:tcBorders>
            <w:noWrap w:val="0"/>
            <w:vAlign w:val="center"/>
          </w:tcPr>
          <w:p w14:paraId="60141F65">
            <w:pPr>
              <w:pStyle w:val="45"/>
              <w:spacing w:beforeAutospacing="0" w:afterAutospacing="0" w:line="0" w:lineRule="atLeast"/>
              <w:jc w:val="center"/>
              <w:rPr>
                <w:rFonts w:cs="宋体"/>
                <w:color w:val="000000" w:themeColor="text1"/>
                <w:highlight w:val="none"/>
                <w14:textFill>
                  <w14:solidFill>
                    <w14:schemeClr w14:val="tx1"/>
                  </w14:solidFill>
                </w14:textFill>
              </w:rPr>
            </w:pPr>
          </w:p>
        </w:tc>
      </w:tr>
      <w:tr w14:paraId="43901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blCellSpacing w:w="0" w:type="dxa"/>
        </w:trPr>
        <w:tc>
          <w:tcPr>
            <w:tcW w:w="1024" w:type="dxa"/>
            <w:tcBorders>
              <w:tl2br w:val="nil"/>
              <w:tr2bl w:val="nil"/>
            </w:tcBorders>
            <w:noWrap w:val="0"/>
            <w:vAlign w:val="center"/>
          </w:tcPr>
          <w:p w14:paraId="1258791A">
            <w:pPr>
              <w:pStyle w:val="45"/>
              <w:spacing w:beforeAutospacing="0" w:afterAutospacing="0" w:line="0" w:lineRule="atLeast"/>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w:t>
            </w:r>
          </w:p>
        </w:tc>
        <w:tc>
          <w:tcPr>
            <w:tcW w:w="1349" w:type="dxa"/>
            <w:tcBorders>
              <w:tl2br w:val="nil"/>
              <w:tr2bl w:val="nil"/>
            </w:tcBorders>
            <w:noWrap w:val="0"/>
            <w:vAlign w:val="center"/>
          </w:tcPr>
          <w:p w14:paraId="3F160804">
            <w:pPr>
              <w:pStyle w:val="45"/>
              <w:spacing w:beforeAutospacing="0" w:afterAutospacing="0" w:line="0" w:lineRule="atLeast"/>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w:t>
            </w:r>
          </w:p>
        </w:tc>
        <w:tc>
          <w:tcPr>
            <w:tcW w:w="1334" w:type="dxa"/>
            <w:tcBorders>
              <w:tl2br w:val="nil"/>
              <w:tr2bl w:val="nil"/>
            </w:tcBorders>
            <w:noWrap w:val="0"/>
            <w:vAlign w:val="center"/>
          </w:tcPr>
          <w:p w14:paraId="63EA7F90">
            <w:pPr>
              <w:pStyle w:val="45"/>
              <w:spacing w:beforeAutospacing="0" w:afterAutospacing="0" w:line="0" w:lineRule="atLeast"/>
              <w:jc w:val="center"/>
              <w:rPr>
                <w:rFonts w:cs="宋体"/>
                <w:color w:val="000000" w:themeColor="text1"/>
                <w:highlight w:val="none"/>
                <w14:textFill>
                  <w14:solidFill>
                    <w14:schemeClr w14:val="tx1"/>
                  </w14:solidFill>
                </w14:textFill>
              </w:rPr>
            </w:pPr>
          </w:p>
        </w:tc>
        <w:tc>
          <w:tcPr>
            <w:tcW w:w="972" w:type="dxa"/>
            <w:tcBorders>
              <w:tl2br w:val="nil"/>
              <w:tr2bl w:val="nil"/>
            </w:tcBorders>
            <w:noWrap w:val="0"/>
            <w:vAlign w:val="center"/>
          </w:tcPr>
          <w:p w14:paraId="18F8D5DA">
            <w:pPr>
              <w:pStyle w:val="45"/>
              <w:spacing w:beforeAutospacing="0" w:afterAutospacing="0" w:line="0" w:lineRule="atLeast"/>
              <w:jc w:val="center"/>
              <w:rPr>
                <w:rFonts w:cs="宋体"/>
                <w:color w:val="000000" w:themeColor="text1"/>
                <w:highlight w:val="none"/>
                <w14:textFill>
                  <w14:solidFill>
                    <w14:schemeClr w14:val="tx1"/>
                  </w14:solidFill>
                </w14:textFill>
              </w:rPr>
            </w:pPr>
          </w:p>
        </w:tc>
        <w:tc>
          <w:tcPr>
            <w:tcW w:w="1249" w:type="dxa"/>
            <w:tcBorders>
              <w:tl2br w:val="nil"/>
              <w:tr2bl w:val="nil"/>
            </w:tcBorders>
            <w:noWrap w:val="0"/>
            <w:vAlign w:val="center"/>
          </w:tcPr>
          <w:p w14:paraId="74372F61">
            <w:pPr>
              <w:pStyle w:val="45"/>
              <w:spacing w:beforeAutospacing="0" w:afterAutospacing="0" w:line="0" w:lineRule="atLeast"/>
              <w:jc w:val="center"/>
              <w:rPr>
                <w:rFonts w:cs="宋体"/>
                <w:color w:val="000000" w:themeColor="text1"/>
                <w:highlight w:val="none"/>
                <w14:textFill>
                  <w14:solidFill>
                    <w14:schemeClr w14:val="tx1"/>
                  </w14:solidFill>
                </w14:textFill>
              </w:rPr>
            </w:pPr>
          </w:p>
        </w:tc>
        <w:tc>
          <w:tcPr>
            <w:tcW w:w="1667" w:type="dxa"/>
            <w:tcBorders>
              <w:tl2br w:val="nil"/>
              <w:tr2bl w:val="nil"/>
            </w:tcBorders>
            <w:noWrap w:val="0"/>
            <w:vAlign w:val="center"/>
          </w:tcPr>
          <w:p w14:paraId="0277809C">
            <w:pPr>
              <w:pStyle w:val="45"/>
              <w:spacing w:beforeAutospacing="0" w:afterAutospacing="0" w:line="0" w:lineRule="atLeast"/>
              <w:jc w:val="center"/>
              <w:rPr>
                <w:rFonts w:cs="宋体"/>
                <w:color w:val="000000" w:themeColor="text1"/>
                <w:highlight w:val="none"/>
                <w14:textFill>
                  <w14:solidFill>
                    <w14:schemeClr w14:val="tx1"/>
                  </w14:solidFill>
                </w14:textFill>
              </w:rPr>
            </w:pPr>
          </w:p>
        </w:tc>
        <w:tc>
          <w:tcPr>
            <w:tcW w:w="1842" w:type="dxa"/>
            <w:tcBorders>
              <w:tl2br w:val="nil"/>
              <w:tr2bl w:val="nil"/>
            </w:tcBorders>
            <w:noWrap w:val="0"/>
            <w:vAlign w:val="center"/>
          </w:tcPr>
          <w:p w14:paraId="1906770A">
            <w:pPr>
              <w:pStyle w:val="45"/>
              <w:spacing w:beforeAutospacing="0" w:afterAutospacing="0" w:line="0" w:lineRule="atLeast"/>
              <w:jc w:val="center"/>
              <w:rPr>
                <w:rFonts w:cs="宋体"/>
                <w:color w:val="000000" w:themeColor="text1"/>
                <w:highlight w:val="none"/>
                <w14:textFill>
                  <w14:solidFill>
                    <w14:schemeClr w14:val="tx1"/>
                  </w14:solidFill>
                </w14:textFill>
              </w:rPr>
            </w:pPr>
          </w:p>
        </w:tc>
      </w:tr>
      <w:tr w14:paraId="6F716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1" w:hRule="atLeast"/>
          <w:tblCellSpacing w:w="0" w:type="dxa"/>
        </w:trPr>
        <w:tc>
          <w:tcPr>
            <w:tcW w:w="7595" w:type="dxa"/>
            <w:gridSpan w:val="6"/>
            <w:tcBorders>
              <w:tl2br w:val="nil"/>
              <w:tr2bl w:val="nil"/>
            </w:tcBorders>
            <w:noWrap w:val="0"/>
            <w:vAlign w:val="center"/>
          </w:tcPr>
          <w:p w14:paraId="7F0A0DE1">
            <w:pPr>
              <w:pStyle w:val="45"/>
              <w:spacing w:beforeAutospacing="0" w:afterAutospacing="0" w:line="0" w:lineRule="atLeast"/>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投标总报价（人民币：元）</w:t>
            </w:r>
          </w:p>
        </w:tc>
        <w:tc>
          <w:tcPr>
            <w:tcW w:w="1842" w:type="dxa"/>
            <w:tcBorders>
              <w:tl2br w:val="nil"/>
              <w:tr2bl w:val="nil"/>
            </w:tcBorders>
            <w:noWrap w:val="0"/>
            <w:vAlign w:val="center"/>
          </w:tcPr>
          <w:p w14:paraId="2A818562">
            <w:pPr>
              <w:pStyle w:val="45"/>
              <w:spacing w:beforeAutospacing="0" w:afterAutospacing="0" w:line="0" w:lineRule="atLeast"/>
              <w:jc w:val="center"/>
              <w:rPr>
                <w:rFonts w:cs="宋体"/>
                <w:color w:val="000000" w:themeColor="text1"/>
                <w:highlight w:val="none"/>
                <w14:textFill>
                  <w14:solidFill>
                    <w14:schemeClr w14:val="tx1"/>
                  </w14:solidFill>
                </w14:textFill>
              </w:rPr>
            </w:pPr>
          </w:p>
        </w:tc>
      </w:tr>
    </w:tbl>
    <w:p w14:paraId="1FD7B036">
      <w:pPr>
        <w:spacing w:line="800" w:lineRule="exact"/>
        <w:rPr>
          <w:rFonts w:asci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法定代表人或授权代表签字：</w:t>
      </w:r>
    </w:p>
    <w:p w14:paraId="162C9EEC">
      <w:pPr>
        <w:spacing w:line="500" w:lineRule="exact"/>
        <w:ind w:firstLine="480"/>
        <w:rPr>
          <w:rFonts w:hint="eastAsia" w:ascii="宋体" w:hAnsi="宋体"/>
          <w:color w:val="000000" w:themeColor="text1"/>
          <w:sz w:val="24"/>
          <w:highlight w:val="none"/>
          <w14:textFill>
            <w14:solidFill>
              <w14:schemeClr w14:val="tx1"/>
            </w14:solidFill>
          </w14:textFill>
        </w:rPr>
      </w:pPr>
    </w:p>
    <w:p w14:paraId="2107E939">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p>
    <w:p w14:paraId="25F69165">
      <w:pPr>
        <w:spacing w:line="500" w:lineRule="exact"/>
        <w:rPr>
          <w:rFonts w:ascii="宋体" w:hAnsi="宋体"/>
          <w:b/>
          <w:color w:val="000000" w:themeColor="text1"/>
          <w:sz w:val="36"/>
          <w:szCs w:val="36"/>
          <w:highlight w:val="none"/>
          <w14:textFill>
            <w14:solidFill>
              <w14:schemeClr w14:val="tx1"/>
            </w14:solidFill>
          </w14:textFill>
        </w:rPr>
      </w:pPr>
    </w:p>
    <w:p w14:paraId="118B68EF">
      <w:pPr>
        <w:spacing w:line="500" w:lineRule="exact"/>
        <w:rPr>
          <w:rFonts w:ascii="宋体" w:hAnsi="宋体"/>
          <w:b/>
          <w:color w:val="000000" w:themeColor="text1"/>
          <w:sz w:val="36"/>
          <w:szCs w:val="36"/>
          <w:highlight w:val="none"/>
          <w14:textFill>
            <w14:solidFill>
              <w14:schemeClr w14:val="tx1"/>
            </w14:solidFill>
          </w14:textFill>
        </w:rPr>
      </w:pPr>
    </w:p>
    <w:p w14:paraId="12E057CF">
      <w:pPr>
        <w:spacing w:line="500" w:lineRule="exact"/>
        <w:rPr>
          <w:rFonts w:ascii="宋体" w:hAnsi="宋体"/>
          <w:b/>
          <w:color w:val="000000" w:themeColor="text1"/>
          <w:sz w:val="36"/>
          <w:szCs w:val="36"/>
          <w:highlight w:val="none"/>
          <w14:textFill>
            <w14:solidFill>
              <w14:schemeClr w14:val="tx1"/>
            </w14:solidFill>
          </w14:textFill>
        </w:rPr>
      </w:pPr>
    </w:p>
    <w:p w14:paraId="4149C36F">
      <w:pPr>
        <w:spacing w:line="500" w:lineRule="exact"/>
        <w:rPr>
          <w:rFonts w:ascii="宋体" w:hAnsi="宋体"/>
          <w:b/>
          <w:color w:val="000000" w:themeColor="text1"/>
          <w:sz w:val="36"/>
          <w:szCs w:val="36"/>
          <w:highlight w:val="none"/>
          <w14:textFill>
            <w14:solidFill>
              <w14:schemeClr w14:val="tx1"/>
            </w14:solidFill>
          </w14:textFill>
        </w:rPr>
      </w:pPr>
    </w:p>
    <w:p w14:paraId="20D70AA6">
      <w:pPr>
        <w:spacing w:line="500" w:lineRule="exact"/>
        <w:rPr>
          <w:rFonts w:ascii="宋体" w:hAnsi="宋体"/>
          <w:b/>
          <w:color w:val="000000" w:themeColor="text1"/>
          <w:sz w:val="36"/>
          <w:szCs w:val="36"/>
          <w:highlight w:val="none"/>
          <w14:textFill>
            <w14:solidFill>
              <w14:schemeClr w14:val="tx1"/>
            </w14:solidFill>
          </w14:textFill>
        </w:rPr>
      </w:pPr>
    </w:p>
    <w:p w14:paraId="2D98EA82">
      <w:pPr>
        <w:spacing w:line="500" w:lineRule="exact"/>
        <w:rPr>
          <w:rFonts w:ascii="宋体" w:hAnsi="宋体"/>
          <w:b/>
          <w:color w:val="000000" w:themeColor="text1"/>
          <w:sz w:val="36"/>
          <w:szCs w:val="36"/>
          <w:highlight w:val="none"/>
          <w14:textFill>
            <w14:solidFill>
              <w14:schemeClr w14:val="tx1"/>
            </w14:solidFill>
          </w14:textFill>
        </w:rPr>
      </w:pPr>
    </w:p>
    <w:p w14:paraId="7D9961FB">
      <w:pPr>
        <w:pStyle w:val="2"/>
        <w:ind w:firstLine="723"/>
        <w:rPr>
          <w:b/>
          <w:color w:val="000000" w:themeColor="text1"/>
          <w:sz w:val="36"/>
          <w:szCs w:val="36"/>
          <w:highlight w:val="none"/>
          <w14:textFill>
            <w14:solidFill>
              <w14:schemeClr w14:val="tx1"/>
            </w14:solidFill>
          </w14:textFill>
        </w:rPr>
      </w:pPr>
    </w:p>
    <w:p w14:paraId="46A70142">
      <w:pPr>
        <w:pStyle w:val="16"/>
        <w:rPr>
          <w:rFonts w:ascii="宋体" w:hAnsi="宋体"/>
          <w:b/>
          <w:color w:val="000000" w:themeColor="text1"/>
          <w:sz w:val="36"/>
          <w:szCs w:val="36"/>
          <w:highlight w:val="none"/>
          <w14:textFill>
            <w14:solidFill>
              <w14:schemeClr w14:val="tx1"/>
            </w14:solidFill>
          </w14:textFill>
        </w:rPr>
      </w:pPr>
    </w:p>
    <w:p w14:paraId="1FBDF089">
      <w:pPr>
        <w:pStyle w:val="45"/>
        <w:spacing w:beforeAutospacing="0" w:afterAutospacing="0"/>
        <w:jc w:val="center"/>
        <w:rPr>
          <w:rFonts w:ascii="黑体" w:eastAsia="黑体" w:cs="黑体"/>
          <w:iCs/>
          <w:color w:val="000000" w:themeColor="text1"/>
          <w:sz w:val="32"/>
          <w:szCs w:val="32"/>
          <w:highlight w:val="none"/>
          <w14:textFill>
            <w14:solidFill>
              <w14:schemeClr w14:val="tx1"/>
            </w14:solidFill>
          </w14:textFill>
        </w:rPr>
      </w:pPr>
      <w:bookmarkStart w:id="148" w:name="_Toc462564146"/>
      <w:r>
        <w:rPr>
          <w:rFonts w:hint="eastAsia" w:ascii="黑体" w:eastAsia="黑体" w:cs="黑体"/>
          <w:iCs/>
          <w:color w:val="000000" w:themeColor="text1"/>
          <w:sz w:val="32"/>
          <w:szCs w:val="32"/>
          <w:highlight w:val="none"/>
          <w14:textFill>
            <w14:solidFill>
              <w14:schemeClr w14:val="tx1"/>
            </w14:solidFill>
          </w14:textFill>
        </w:rPr>
        <w:t>十二、技术参数响应及偏离表</w:t>
      </w:r>
    </w:p>
    <w:p w14:paraId="4334BCB8">
      <w:pPr>
        <w:jc w:val="center"/>
        <w:rPr>
          <w:rFonts w:ascii="宋体" w:hAnsi="宋体"/>
          <w:color w:val="000000" w:themeColor="text1"/>
          <w:sz w:val="24"/>
          <w:highlight w:val="none"/>
          <w14:textFill>
            <w14:solidFill>
              <w14:schemeClr w14:val="tx1"/>
            </w14:solidFill>
          </w14:textFill>
        </w:rPr>
      </w:pPr>
    </w:p>
    <w:tbl>
      <w:tblPr>
        <w:tblStyle w:val="50"/>
        <w:tblW w:w="8520" w:type="dxa"/>
        <w:tblCellSpacing w:w="0" w:type="dxa"/>
        <w:tblInd w:w="1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38"/>
        <w:gridCol w:w="3026"/>
        <w:gridCol w:w="2608"/>
        <w:gridCol w:w="1247"/>
        <w:gridCol w:w="1101"/>
      </w:tblGrid>
      <w:tr w14:paraId="30AEC3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blCellSpacing w:w="0" w:type="dxa"/>
        </w:trPr>
        <w:tc>
          <w:tcPr>
            <w:tcW w:w="538" w:type="dxa"/>
            <w:tcBorders>
              <w:tl2br w:val="nil"/>
              <w:tr2bl w:val="nil"/>
            </w:tcBorders>
            <w:shd w:val="clear" w:color="auto" w:fill="auto"/>
            <w:noWrap w:val="0"/>
            <w:vAlign w:val="center"/>
          </w:tcPr>
          <w:p w14:paraId="71D8737E">
            <w:pPr>
              <w:pStyle w:val="45"/>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序号</w:t>
            </w:r>
          </w:p>
        </w:tc>
        <w:tc>
          <w:tcPr>
            <w:tcW w:w="3026" w:type="dxa"/>
            <w:tcBorders>
              <w:tl2br w:val="nil"/>
              <w:tr2bl w:val="nil"/>
            </w:tcBorders>
            <w:shd w:val="clear" w:color="auto" w:fill="auto"/>
            <w:noWrap w:val="0"/>
            <w:vAlign w:val="center"/>
          </w:tcPr>
          <w:p w14:paraId="323D69C5">
            <w:pPr>
              <w:pStyle w:val="45"/>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招标文件要求</w:t>
            </w:r>
          </w:p>
        </w:tc>
        <w:tc>
          <w:tcPr>
            <w:tcW w:w="2608" w:type="dxa"/>
            <w:tcBorders>
              <w:tl2br w:val="nil"/>
              <w:tr2bl w:val="nil"/>
            </w:tcBorders>
            <w:shd w:val="clear" w:color="auto" w:fill="auto"/>
            <w:noWrap w:val="0"/>
            <w:vAlign w:val="center"/>
          </w:tcPr>
          <w:p w14:paraId="3F21B1AE">
            <w:pPr>
              <w:pStyle w:val="45"/>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投标响应情况</w:t>
            </w:r>
          </w:p>
        </w:tc>
        <w:tc>
          <w:tcPr>
            <w:tcW w:w="1247" w:type="dxa"/>
            <w:tcBorders>
              <w:tl2br w:val="nil"/>
              <w:tr2bl w:val="nil"/>
            </w:tcBorders>
            <w:shd w:val="clear" w:color="auto" w:fill="auto"/>
            <w:noWrap w:val="0"/>
            <w:vAlign w:val="center"/>
          </w:tcPr>
          <w:p w14:paraId="70467288">
            <w:pPr>
              <w:pStyle w:val="45"/>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超出、符合或偏离</w:t>
            </w:r>
          </w:p>
        </w:tc>
        <w:tc>
          <w:tcPr>
            <w:tcW w:w="1101" w:type="dxa"/>
            <w:tcBorders>
              <w:tl2br w:val="nil"/>
              <w:tr2bl w:val="nil"/>
            </w:tcBorders>
            <w:shd w:val="clear" w:color="auto" w:fill="auto"/>
            <w:noWrap w:val="0"/>
            <w:vAlign w:val="center"/>
          </w:tcPr>
          <w:p w14:paraId="3C638DA1">
            <w:pPr>
              <w:pStyle w:val="45"/>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证明</w:t>
            </w:r>
          </w:p>
          <w:p w14:paraId="23BF5B71">
            <w:pPr>
              <w:pStyle w:val="45"/>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材料</w:t>
            </w:r>
          </w:p>
        </w:tc>
      </w:tr>
      <w:tr w14:paraId="52784DB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0" w:hRule="atLeast"/>
          <w:tblCellSpacing w:w="0" w:type="dxa"/>
        </w:trPr>
        <w:tc>
          <w:tcPr>
            <w:tcW w:w="538" w:type="dxa"/>
            <w:tcBorders>
              <w:tl2br w:val="nil"/>
              <w:tr2bl w:val="nil"/>
            </w:tcBorders>
            <w:shd w:val="clear" w:color="auto" w:fill="auto"/>
            <w:noWrap w:val="0"/>
            <w:vAlign w:val="center"/>
          </w:tcPr>
          <w:p w14:paraId="2A80C59B">
            <w:pPr>
              <w:pStyle w:val="45"/>
              <w:spacing w:beforeAutospacing="0" w:afterAutospacing="0"/>
              <w:jc w:val="center"/>
              <w:rPr>
                <w:color w:val="000000" w:themeColor="text1"/>
                <w:highlight w:val="none"/>
                <w14:textFill>
                  <w14:solidFill>
                    <w14:schemeClr w14:val="tx1"/>
                  </w14:solidFill>
                </w14:textFill>
              </w:rPr>
            </w:pPr>
          </w:p>
        </w:tc>
        <w:tc>
          <w:tcPr>
            <w:tcW w:w="3026" w:type="dxa"/>
            <w:tcBorders>
              <w:tl2br w:val="nil"/>
              <w:tr2bl w:val="nil"/>
            </w:tcBorders>
            <w:shd w:val="clear" w:color="auto" w:fill="auto"/>
            <w:noWrap w:val="0"/>
            <w:vAlign w:val="center"/>
          </w:tcPr>
          <w:p w14:paraId="3BD99C4E">
            <w:pPr>
              <w:pStyle w:val="45"/>
              <w:spacing w:beforeAutospacing="0" w:afterAutospacing="0"/>
              <w:jc w:val="center"/>
              <w:rPr>
                <w:color w:val="000000" w:themeColor="text1"/>
                <w:highlight w:val="none"/>
                <w14:textFill>
                  <w14:solidFill>
                    <w14:schemeClr w14:val="tx1"/>
                  </w14:solidFill>
                </w14:textFill>
              </w:rPr>
            </w:pPr>
          </w:p>
        </w:tc>
        <w:tc>
          <w:tcPr>
            <w:tcW w:w="2608" w:type="dxa"/>
            <w:tcBorders>
              <w:tl2br w:val="nil"/>
              <w:tr2bl w:val="nil"/>
            </w:tcBorders>
            <w:shd w:val="clear" w:color="auto" w:fill="auto"/>
            <w:noWrap w:val="0"/>
            <w:vAlign w:val="center"/>
          </w:tcPr>
          <w:p w14:paraId="31166068">
            <w:pPr>
              <w:pStyle w:val="45"/>
              <w:spacing w:beforeAutospacing="0" w:afterAutospacing="0"/>
              <w:jc w:val="center"/>
              <w:rPr>
                <w:color w:val="000000" w:themeColor="text1"/>
                <w:highlight w:val="none"/>
                <w14:textFill>
                  <w14:solidFill>
                    <w14:schemeClr w14:val="tx1"/>
                  </w14:solidFill>
                </w14:textFill>
              </w:rPr>
            </w:pPr>
          </w:p>
        </w:tc>
        <w:tc>
          <w:tcPr>
            <w:tcW w:w="1247" w:type="dxa"/>
            <w:tcBorders>
              <w:tl2br w:val="nil"/>
              <w:tr2bl w:val="nil"/>
            </w:tcBorders>
            <w:shd w:val="clear" w:color="auto" w:fill="auto"/>
            <w:noWrap w:val="0"/>
            <w:vAlign w:val="center"/>
          </w:tcPr>
          <w:p w14:paraId="029D8BA4">
            <w:pPr>
              <w:pStyle w:val="45"/>
              <w:spacing w:beforeAutospacing="0" w:afterAutospacing="0"/>
              <w:jc w:val="center"/>
              <w:rPr>
                <w:color w:val="000000" w:themeColor="text1"/>
                <w:highlight w:val="none"/>
                <w14:textFill>
                  <w14:solidFill>
                    <w14:schemeClr w14:val="tx1"/>
                  </w14:solidFill>
                </w14:textFill>
              </w:rPr>
            </w:pPr>
          </w:p>
        </w:tc>
        <w:tc>
          <w:tcPr>
            <w:tcW w:w="1101" w:type="dxa"/>
            <w:tcBorders>
              <w:tl2br w:val="nil"/>
              <w:tr2bl w:val="nil"/>
            </w:tcBorders>
            <w:shd w:val="clear" w:color="auto" w:fill="auto"/>
            <w:noWrap w:val="0"/>
            <w:vAlign w:val="center"/>
          </w:tcPr>
          <w:p w14:paraId="2483FBCD">
            <w:pPr>
              <w:pStyle w:val="45"/>
              <w:spacing w:beforeAutospacing="0" w:afterAutospacing="0"/>
              <w:jc w:val="center"/>
              <w:rPr>
                <w:color w:val="000000" w:themeColor="text1"/>
                <w:highlight w:val="none"/>
                <w14:textFill>
                  <w14:solidFill>
                    <w14:schemeClr w14:val="tx1"/>
                  </w14:solidFill>
                </w14:textFill>
              </w:rPr>
            </w:pPr>
          </w:p>
        </w:tc>
      </w:tr>
      <w:tr w14:paraId="67BA9D7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0" w:hRule="atLeast"/>
          <w:tblCellSpacing w:w="0" w:type="dxa"/>
        </w:trPr>
        <w:tc>
          <w:tcPr>
            <w:tcW w:w="538" w:type="dxa"/>
            <w:tcBorders>
              <w:tl2br w:val="nil"/>
              <w:tr2bl w:val="nil"/>
            </w:tcBorders>
            <w:shd w:val="clear" w:color="auto" w:fill="auto"/>
            <w:noWrap w:val="0"/>
            <w:vAlign w:val="center"/>
          </w:tcPr>
          <w:p w14:paraId="600B10F3">
            <w:pPr>
              <w:pStyle w:val="45"/>
              <w:spacing w:beforeAutospacing="0" w:afterAutospacing="0"/>
              <w:jc w:val="center"/>
              <w:rPr>
                <w:color w:val="000000" w:themeColor="text1"/>
                <w:highlight w:val="none"/>
                <w14:textFill>
                  <w14:solidFill>
                    <w14:schemeClr w14:val="tx1"/>
                  </w14:solidFill>
                </w14:textFill>
              </w:rPr>
            </w:pPr>
          </w:p>
        </w:tc>
        <w:tc>
          <w:tcPr>
            <w:tcW w:w="3026" w:type="dxa"/>
            <w:tcBorders>
              <w:tl2br w:val="nil"/>
              <w:tr2bl w:val="nil"/>
            </w:tcBorders>
            <w:shd w:val="clear" w:color="auto" w:fill="auto"/>
            <w:noWrap w:val="0"/>
            <w:vAlign w:val="center"/>
          </w:tcPr>
          <w:p w14:paraId="627BCCC1">
            <w:pPr>
              <w:pStyle w:val="45"/>
              <w:spacing w:beforeAutospacing="0" w:afterAutospacing="0"/>
              <w:jc w:val="center"/>
              <w:rPr>
                <w:color w:val="000000" w:themeColor="text1"/>
                <w:highlight w:val="none"/>
                <w14:textFill>
                  <w14:solidFill>
                    <w14:schemeClr w14:val="tx1"/>
                  </w14:solidFill>
                </w14:textFill>
              </w:rPr>
            </w:pPr>
          </w:p>
        </w:tc>
        <w:tc>
          <w:tcPr>
            <w:tcW w:w="2608" w:type="dxa"/>
            <w:tcBorders>
              <w:tl2br w:val="nil"/>
              <w:tr2bl w:val="nil"/>
            </w:tcBorders>
            <w:shd w:val="clear" w:color="auto" w:fill="auto"/>
            <w:noWrap w:val="0"/>
            <w:vAlign w:val="center"/>
          </w:tcPr>
          <w:p w14:paraId="436BD84C">
            <w:pPr>
              <w:pStyle w:val="45"/>
              <w:spacing w:beforeAutospacing="0" w:afterAutospacing="0"/>
              <w:jc w:val="center"/>
              <w:rPr>
                <w:color w:val="000000" w:themeColor="text1"/>
                <w:highlight w:val="none"/>
                <w14:textFill>
                  <w14:solidFill>
                    <w14:schemeClr w14:val="tx1"/>
                  </w14:solidFill>
                </w14:textFill>
              </w:rPr>
            </w:pPr>
          </w:p>
        </w:tc>
        <w:tc>
          <w:tcPr>
            <w:tcW w:w="1247" w:type="dxa"/>
            <w:tcBorders>
              <w:tl2br w:val="nil"/>
              <w:tr2bl w:val="nil"/>
            </w:tcBorders>
            <w:shd w:val="clear" w:color="auto" w:fill="auto"/>
            <w:noWrap w:val="0"/>
            <w:vAlign w:val="center"/>
          </w:tcPr>
          <w:p w14:paraId="355C06FE">
            <w:pPr>
              <w:pStyle w:val="45"/>
              <w:spacing w:beforeAutospacing="0" w:afterAutospacing="0"/>
              <w:jc w:val="center"/>
              <w:rPr>
                <w:color w:val="000000" w:themeColor="text1"/>
                <w:highlight w:val="none"/>
                <w14:textFill>
                  <w14:solidFill>
                    <w14:schemeClr w14:val="tx1"/>
                  </w14:solidFill>
                </w14:textFill>
              </w:rPr>
            </w:pPr>
          </w:p>
        </w:tc>
        <w:tc>
          <w:tcPr>
            <w:tcW w:w="1101" w:type="dxa"/>
            <w:tcBorders>
              <w:tl2br w:val="nil"/>
              <w:tr2bl w:val="nil"/>
            </w:tcBorders>
            <w:shd w:val="clear" w:color="auto" w:fill="auto"/>
            <w:noWrap w:val="0"/>
            <w:vAlign w:val="center"/>
          </w:tcPr>
          <w:p w14:paraId="11767105">
            <w:pPr>
              <w:pStyle w:val="45"/>
              <w:spacing w:beforeAutospacing="0" w:afterAutospacing="0"/>
              <w:jc w:val="center"/>
              <w:rPr>
                <w:color w:val="000000" w:themeColor="text1"/>
                <w:highlight w:val="none"/>
                <w14:textFill>
                  <w14:solidFill>
                    <w14:schemeClr w14:val="tx1"/>
                  </w14:solidFill>
                </w14:textFill>
              </w:rPr>
            </w:pPr>
          </w:p>
        </w:tc>
      </w:tr>
      <w:tr w14:paraId="1DFE082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0" w:hRule="atLeast"/>
          <w:tblCellSpacing w:w="0" w:type="dxa"/>
        </w:trPr>
        <w:tc>
          <w:tcPr>
            <w:tcW w:w="538" w:type="dxa"/>
            <w:tcBorders>
              <w:tl2br w:val="nil"/>
              <w:tr2bl w:val="nil"/>
            </w:tcBorders>
            <w:shd w:val="clear" w:color="auto" w:fill="auto"/>
            <w:noWrap w:val="0"/>
            <w:vAlign w:val="center"/>
          </w:tcPr>
          <w:p w14:paraId="130C4264">
            <w:pPr>
              <w:pStyle w:val="45"/>
              <w:spacing w:beforeAutospacing="0" w:afterAutospacing="0"/>
              <w:jc w:val="center"/>
              <w:rPr>
                <w:color w:val="000000" w:themeColor="text1"/>
                <w:highlight w:val="none"/>
                <w14:textFill>
                  <w14:solidFill>
                    <w14:schemeClr w14:val="tx1"/>
                  </w14:solidFill>
                </w14:textFill>
              </w:rPr>
            </w:pPr>
          </w:p>
        </w:tc>
        <w:tc>
          <w:tcPr>
            <w:tcW w:w="3026" w:type="dxa"/>
            <w:tcBorders>
              <w:tl2br w:val="nil"/>
              <w:tr2bl w:val="nil"/>
            </w:tcBorders>
            <w:shd w:val="clear" w:color="auto" w:fill="auto"/>
            <w:noWrap w:val="0"/>
            <w:vAlign w:val="center"/>
          </w:tcPr>
          <w:p w14:paraId="5379C927">
            <w:pPr>
              <w:pStyle w:val="45"/>
              <w:spacing w:beforeAutospacing="0" w:afterAutospacing="0"/>
              <w:jc w:val="center"/>
              <w:rPr>
                <w:color w:val="000000" w:themeColor="text1"/>
                <w:highlight w:val="none"/>
                <w14:textFill>
                  <w14:solidFill>
                    <w14:schemeClr w14:val="tx1"/>
                  </w14:solidFill>
                </w14:textFill>
              </w:rPr>
            </w:pPr>
          </w:p>
        </w:tc>
        <w:tc>
          <w:tcPr>
            <w:tcW w:w="2608" w:type="dxa"/>
            <w:tcBorders>
              <w:tl2br w:val="nil"/>
              <w:tr2bl w:val="nil"/>
            </w:tcBorders>
            <w:shd w:val="clear" w:color="auto" w:fill="auto"/>
            <w:noWrap w:val="0"/>
            <w:vAlign w:val="center"/>
          </w:tcPr>
          <w:p w14:paraId="545B31D4">
            <w:pPr>
              <w:pStyle w:val="45"/>
              <w:spacing w:beforeAutospacing="0" w:afterAutospacing="0"/>
              <w:jc w:val="center"/>
              <w:rPr>
                <w:color w:val="000000" w:themeColor="text1"/>
                <w:highlight w:val="none"/>
                <w14:textFill>
                  <w14:solidFill>
                    <w14:schemeClr w14:val="tx1"/>
                  </w14:solidFill>
                </w14:textFill>
              </w:rPr>
            </w:pPr>
          </w:p>
        </w:tc>
        <w:tc>
          <w:tcPr>
            <w:tcW w:w="1247" w:type="dxa"/>
            <w:tcBorders>
              <w:tl2br w:val="nil"/>
              <w:tr2bl w:val="nil"/>
            </w:tcBorders>
            <w:shd w:val="clear" w:color="auto" w:fill="auto"/>
            <w:noWrap w:val="0"/>
            <w:vAlign w:val="center"/>
          </w:tcPr>
          <w:p w14:paraId="6669657D">
            <w:pPr>
              <w:pStyle w:val="45"/>
              <w:spacing w:beforeAutospacing="0" w:afterAutospacing="0"/>
              <w:jc w:val="center"/>
              <w:rPr>
                <w:color w:val="000000" w:themeColor="text1"/>
                <w:highlight w:val="none"/>
                <w14:textFill>
                  <w14:solidFill>
                    <w14:schemeClr w14:val="tx1"/>
                  </w14:solidFill>
                </w14:textFill>
              </w:rPr>
            </w:pPr>
          </w:p>
        </w:tc>
        <w:tc>
          <w:tcPr>
            <w:tcW w:w="1101" w:type="dxa"/>
            <w:tcBorders>
              <w:tl2br w:val="nil"/>
              <w:tr2bl w:val="nil"/>
            </w:tcBorders>
            <w:shd w:val="clear" w:color="auto" w:fill="auto"/>
            <w:noWrap w:val="0"/>
            <w:vAlign w:val="center"/>
          </w:tcPr>
          <w:p w14:paraId="5AE0688A">
            <w:pPr>
              <w:pStyle w:val="45"/>
              <w:spacing w:beforeAutospacing="0" w:afterAutospacing="0"/>
              <w:jc w:val="center"/>
              <w:rPr>
                <w:color w:val="000000" w:themeColor="text1"/>
                <w:highlight w:val="none"/>
                <w14:textFill>
                  <w14:solidFill>
                    <w14:schemeClr w14:val="tx1"/>
                  </w14:solidFill>
                </w14:textFill>
              </w:rPr>
            </w:pPr>
          </w:p>
        </w:tc>
      </w:tr>
      <w:tr w14:paraId="7A89F6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0" w:hRule="atLeast"/>
          <w:tblCellSpacing w:w="0" w:type="dxa"/>
        </w:trPr>
        <w:tc>
          <w:tcPr>
            <w:tcW w:w="538" w:type="dxa"/>
            <w:tcBorders>
              <w:tl2br w:val="nil"/>
              <w:tr2bl w:val="nil"/>
            </w:tcBorders>
            <w:shd w:val="clear" w:color="auto" w:fill="auto"/>
            <w:noWrap w:val="0"/>
            <w:vAlign w:val="center"/>
          </w:tcPr>
          <w:p w14:paraId="44E493B4">
            <w:pPr>
              <w:pStyle w:val="45"/>
              <w:spacing w:beforeAutospacing="0" w:afterAutospacing="0"/>
              <w:jc w:val="center"/>
              <w:rPr>
                <w:color w:val="000000" w:themeColor="text1"/>
                <w:highlight w:val="none"/>
                <w14:textFill>
                  <w14:solidFill>
                    <w14:schemeClr w14:val="tx1"/>
                  </w14:solidFill>
                </w14:textFill>
              </w:rPr>
            </w:pPr>
          </w:p>
        </w:tc>
        <w:tc>
          <w:tcPr>
            <w:tcW w:w="3026" w:type="dxa"/>
            <w:tcBorders>
              <w:tl2br w:val="nil"/>
              <w:tr2bl w:val="nil"/>
            </w:tcBorders>
            <w:shd w:val="clear" w:color="auto" w:fill="auto"/>
            <w:noWrap w:val="0"/>
            <w:vAlign w:val="center"/>
          </w:tcPr>
          <w:p w14:paraId="56C5D5A1">
            <w:pPr>
              <w:pStyle w:val="45"/>
              <w:spacing w:beforeAutospacing="0" w:afterAutospacing="0"/>
              <w:jc w:val="center"/>
              <w:rPr>
                <w:color w:val="000000" w:themeColor="text1"/>
                <w:highlight w:val="none"/>
                <w14:textFill>
                  <w14:solidFill>
                    <w14:schemeClr w14:val="tx1"/>
                  </w14:solidFill>
                </w14:textFill>
              </w:rPr>
            </w:pPr>
          </w:p>
        </w:tc>
        <w:tc>
          <w:tcPr>
            <w:tcW w:w="2608" w:type="dxa"/>
            <w:tcBorders>
              <w:tl2br w:val="nil"/>
              <w:tr2bl w:val="nil"/>
            </w:tcBorders>
            <w:shd w:val="clear" w:color="auto" w:fill="auto"/>
            <w:noWrap w:val="0"/>
            <w:vAlign w:val="center"/>
          </w:tcPr>
          <w:p w14:paraId="21421A14">
            <w:pPr>
              <w:pStyle w:val="45"/>
              <w:spacing w:beforeAutospacing="0" w:afterAutospacing="0"/>
              <w:jc w:val="center"/>
              <w:rPr>
                <w:color w:val="000000" w:themeColor="text1"/>
                <w:highlight w:val="none"/>
                <w14:textFill>
                  <w14:solidFill>
                    <w14:schemeClr w14:val="tx1"/>
                  </w14:solidFill>
                </w14:textFill>
              </w:rPr>
            </w:pPr>
          </w:p>
        </w:tc>
        <w:tc>
          <w:tcPr>
            <w:tcW w:w="1247" w:type="dxa"/>
            <w:tcBorders>
              <w:tl2br w:val="nil"/>
              <w:tr2bl w:val="nil"/>
            </w:tcBorders>
            <w:shd w:val="clear" w:color="auto" w:fill="auto"/>
            <w:noWrap w:val="0"/>
            <w:vAlign w:val="center"/>
          </w:tcPr>
          <w:p w14:paraId="084556D3">
            <w:pPr>
              <w:pStyle w:val="45"/>
              <w:spacing w:beforeAutospacing="0" w:afterAutospacing="0"/>
              <w:jc w:val="center"/>
              <w:rPr>
                <w:color w:val="000000" w:themeColor="text1"/>
                <w:highlight w:val="none"/>
                <w14:textFill>
                  <w14:solidFill>
                    <w14:schemeClr w14:val="tx1"/>
                  </w14:solidFill>
                </w14:textFill>
              </w:rPr>
            </w:pPr>
          </w:p>
        </w:tc>
        <w:tc>
          <w:tcPr>
            <w:tcW w:w="1101" w:type="dxa"/>
            <w:tcBorders>
              <w:tl2br w:val="nil"/>
              <w:tr2bl w:val="nil"/>
            </w:tcBorders>
            <w:shd w:val="clear" w:color="auto" w:fill="auto"/>
            <w:noWrap w:val="0"/>
            <w:vAlign w:val="center"/>
          </w:tcPr>
          <w:p w14:paraId="78F0B54A">
            <w:pPr>
              <w:pStyle w:val="45"/>
              <w:spacing w:beforeAutospacing="0" w:afterAutospacing="0"/>
              <w:jc w:val="center"/>
              <w:rPr>
                <w:color w:val="000000" w:themeColor="text1"/>
                <w:highlight w:val="none"/>
                <w14:textFill>
                  <w14:solidFill>
                    <w14:schemeClr w14:val="tx1"/>
                  </w14:solidFill>
                </w14:textFill>
              </w:rPr>
            </w:pPr>
          </w:p>
        </w:tc>
      </w:tr>
      <w:tr w14:paraId="23D3054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0" w:hRule="atLeast"/>
          <w:tblCellSpacing w:w="0" w:type="dxa"/>
        </w:trPr>
        <w:tc>
          <w:tcPr>
            <w:tcW w:w="538" w:type="dxa"/>
            <w:tcBorders>
              <w:tl2br w:val="nil"/>
              <w:tr2bl w:val="nil"/>
            </w:tcBorders>
            <w:shd w:val="clear" w:color="auto" w:fill="auto"/>
            <w:noWrap w:val="0"/>
            <w:vAlign w:val="center"/>
          </w:tcPr>
          <w:p w14:paraId="2A9975D2">
            <w:pPr>
              <w:pStyle w:val="45"/>
              <w:spacing w:beforeAutospacing="0" w:afterAutospacing="0"/>
              <w:jc w:val="center"/>
              <w:rPr>
                <w:color w:val="000000" w:themeColor="text1"/>
                <w:highlight w:val="none"/>
                <w14:textFill>
                  <w14:solidFill>
                    <w14:schemeClr w14:val="tx1"/>
                  </w14:solidFill>
                </w14:textFill>
              </w:rPr>
            </w:pPr>
          </w:p>
        </w:tc>
        <w:tc>
          <w:tcPr>
            <w:tcW w:w="3026" w:type="dxa"/>
            <w:tcBorders>
              <w:tl2br w:val="nil"/>
              <w:tr2bl w:val="nil"/>
            </w:tcBorders>
            <w:shd w:val="clear" w:color="auto" w:fill="auto"/>
            <w:noWrap w:val="0"/>
            <w:vAlign w:val="center"/>
          </w:tcPr>
          <w:p w14:paraId="05B3A117">
            <w:pPr>
              <w:pStyle w:val="45"/>
              <w:spacing w:beforeAutospacing="0" w:afterAutospacing="0"/>
              <w:jc w:val="center"/>
              <w:rPr>
                <w:color w:val="000000" w:themeColor="text1"/>
                <w:highlight w:val="none"/>
                <w14:textFill>
                  <w14:solidFill>
                    <w14:schemeClr w14:val="tx1"/>
                  </w14:solidFill>
                </w14:textFill>
              </w:rPr>
            </w:pPr>
          </w:p>
        </w:tc>
        <w:tc>
          <w:tcPr>
            <w:tcW w:w="2608" w:type="dxa"/>
            <w:tcBorders>
              <w:tl2br w:val="nil"/>
              <w:tr2bl w:val="nil"/>
            </w:tcBorders>
            <w:shd w:val="clear" w:color="auto" w:fill="auto"/>
            <w:noWrap w:val="0"/>
            <w:vAlign w:val="center"/>
          </w:tcPr>
          <w:p w14:paraId="128309BF">
            <w:pPr>
              <w:pStyle w:val="45"/>
              <w:spacing w:beforeAutospacing="0" w:afterAutospacing="0"/>
              <w:jc w:val="center"/>
              <w:rPr>
                <w:color w:val="000000" w:themeColor="text1"/>
                <w:highlight w:val="none"/>
                <w14:textFill>
                  <w14:solidFill>
                    <w14:schemeClr w14:val="tx1"/>
                  </w14:solidFill>
                </w14:textFill>
              </w:rPr>
            </w:pPr>
          </w:p>
        </w:tc>
        <w:tc>
          <w:tcPr>
            <w:tcW w:w="1247" w:type="dxa"/>
            <w:tcBorders>
              <w:tl2br w:val="nil"/>
              <w:tr2bl w:val="nil"/>
            </w:tcBorders>
            <w:shd w:val="clear" w:color="auto" w:fill="auto"/>
            <w:noWrap w:val="0"/>
            <w:vAlign w:val="center"/>
          </w:tcPr>
          <w:p w14:paraId="42E37469">
            <w:pPr>
              <w:pStyle w:val="45"/>
              <w:spacing w:beforeAutospacing="0" w:afterAutospacing="0"/>
              <w:jc w:val="center"/>
              <w:rPr>
                <w:color w:val="000000" w:themeColor="text1"/>
                <w:highlight w:val="none"/>
                <w14:textFill>
                  <w14:solidFill>
                    <w14:schemeClr w14:val="tx1"/>
                  </w14:solidFill>
                </w14:textFill>
              </w:rPr>
            </w:pPr>
          </w:p>
        </w:tc>
        <w:tc>
          <w:tcPr>
            <w:tcW w:w="1101" w:type="dxa"/>
            <w:tcBorders>
              <w:tl2br w:val="nil"/>
              <w:tr2bl w:val="nil"/>
            </w:tcBorders>
            <w:shd w:val="clear" w:color="auto" w:fill="auto"/>
            <w:noWrap w:val="0"/>
            <w:vAlign w:val="center"/>
          </w:tcPr>
          <w:p w14:paraId="32985EA6">
            <w:pPr>
              <w:pStyle w:val="45"/>
              <w:spacing w:beforeAutospacing="0" w:afterAutospacing="0"/>
              <w:jc w:val="center"/>
              <w:rPr>
                <w:color w:val="000000" w:themeColor="text1"/>
                <w:highlight w:val="none"/>
                <w14:textFill>
                  <w14:solidFill>
                    <w14:schemeClr w14:val="tx1"/>
                  </w14:solidFill>
                </w14:textFill>
              </w:rPr>
            </w:pPr>
          </w:p>
        </w:tc>
      </w:tr>
      <w:tr w14:paraId="5A68E84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0" w:hRule="atLeast"/>
          <w:tblCellSpacing w:w="0" w:type="dxa"/>
        </w:trPr>
        <w:tc>
          <w:tcPr>
            <w:tcW w:w="538" w:type="dxa"/>
            <w:tcBorders>
              <w:tl2br w:val="nil"/>
              <w:tr2bl w:val="nil"/>
            </w:tcBorders>
            <w:shd w:val="clear" w:color="auto" w:fill="auto"/>
            <w:noWrap w:val="0"/>
            <w:vAlign w:val="center"/>
          </w:tcPr>
          <w:p w14:paraId="5F7379FA">
            <w:pPr>
              <w:pStyle w:val="45"/>
              <w:spacing w:beforeAutospacing="0" w:afterAutospacing="0"/>
              <w:jc w:val="center"/>
              <w:rPr>
                <w:color w:val="000000" w:themeColor="text1"/>
                <w:highlight w:val="none"/>
                <w14:textFill>
                  <w14:solidFill>
                    <w14:schemeClr w14:val="tx1"/>
                  </w14:solidFill>
                </w14:textFill>
              </w:rPr>
            </w:pPr>
          </w:p>
        </w:tc>
        <w:tc>
          <w:tcPr>
            <w:tcW w:w="3026" w:type="dxa"/>
            <w:tcBorders>
              <w:tl2br w:val="nil"/>
              <w:tr2bl w:val="nil"/>
            </w:tcBorders>
            <w:shd w:val="clear" w:color="auto" w:fill="auto"/>
            <w:noWrap w:val="0"/>
            <w:vAlign w:val="center"/>
          </w:tcPr>
          <w:p w14:paraId="60F4D29D">
            <w:pPr>
              <w:pStyle w:val="45"/>
              <w:spacing w:beforeAutospacing="0" w:afterAutospacing="0"/>
              <w:jc w:val="center"/>
              <w:rPr>
                <w:color w:val="000000" w:themeColor="text1"/>
                <w:highlight w:val="none"/>
                <w14:textFill>
                  <w14:solidFill>
                    <w14:schemeClr w14:val="tx1"/>
                  </w14:solidFill>
                </w14:textFill>
              </w:rPr>
            </w:pPr>
          </w:p>
        </w:tc>
        <w:tc>
          <w:tcPr>
            <w:tcW w:w="2608" w:type="dxa"/>
            <w:tcBorders>
              <w:tl2br w:val="nil"/>
              <w:tr2bl w:val="nil"/>
            </w:tcBorders>
            <w:shd w:val="clear" w:color="auto" w:fill="auto"/>
            <w:noWrap w:val="0"/>
            <w:vAlign w:val="center"/>
          </w:tcPr>
          <w:p w14:paraId="6F2BE490">
            <w:pPr>
              <w:pStyle w:val="45"/>
              <w:spacing w:beforeAutospacing="0" w:afterAutospacing="0"/>
              <w:jc w:val="center"/>
              <w:rPr>
                <w:color w:val="000000" w:themeColor="text1"/>
                <w:highlight w:val="none"/>
                <w14:textFill>
                  <w14:solidFill>
                    <w14:schemeClr w14:val="tx1"/>
                  </w14:solidFill>
                </w14:textFill>
              </w:rPr>
            </w:pPr>
          </w:p>
        </w:tc>
        <w:tc>
          <w:tcPr>
            <w:tcW w:w="1247" w:type="dxa"/>
            <w:tcBorders>
              <w:tl2br w:val="nil"/>
              <w:tr2bl w:val="nil"/>
            </w:tcBorders>
            <w:shd w:val="clear" w:color="auto" w:fill="auto"/>
            <w:noWrap w:val="0"/>
            <w:vAlign w:val="center"/>
          </w:tcPr>
          <w:p w14:paraId="37EDD437">
            <w:pPr>
              <w:pStyle w:val="45"/>
              <w:spacing w:beforeAutospacing="0" w:afterAutospacing="0"/>
              <w:jc w:val="center"/>
              <w:rPr>
                <w:color w:val="000000" w:themeColor="text1"/>
                <w:highlight w:val="none"/>
                <w14:textFill>
                  <w14:solidFill>
                    <w14:schemeClr w14:val="tx1"/>
                  </w14:solidFill>
                </w14:textFill>
              </w:rPr>
            </w:pPr>
          </w:p>
        </w:tc>
        <w:tc>
          <w:tcPr>
            <w:tcW w:w="1101" w:type="dxa"/>
            <w:tcBorders>
              <w:tl2br w:val="nil"/>
              <w:tr2bl w:val="nil"/>
            </w:tcBorders>
            <w:shd w:val="clear" w:color="auto" w:fill="auto"/>
            <w:noWrap w:val="0"/>
            <w:vAlign w:val="center"/>
          </w:tcPr>
          <w:p w14:paraId="51821EB8">
            <w:pPr>
              <w:pStyle w:val="45"/>
              <w:spacing w:beforeAutospacing="0" w:afterAutospacing="0"/>
              <w:jc w:val="center"/>
              <w:rPr>
                <w:color w:val="000000" w:themeColor="text1"/>
                <w:highlight w:val="none"/>
                <w14:textFill>
                  <w14:solidFill>
                    <w14:schemeClr w14:val="tx1"/>
                  </w14:solidFill>
                </w14:textFill>
              </w:rPr>
            </w:pPr>
          </w:p>
        </w:tc>
      </w:tr>
      <w:tr w14:paraId="2EB0F93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0" w:hRule="atLeast"/>
          <w:tblCellSpacing w:w="0" w:type="dxa"/>
        </w:trPr>
        <w:tc>
          <w:tcPr>
            <w:tcW w:w="538" w:type="dxa"/>
            <w:tcBorders>
              <w:tl2br w:val="nil"/>
              <w:tr2bl w:val="nil"/>
            </w:tcBorders>
            <w:shd w:val="clear" w:color="auto" w:fill="auto"/>
            <w:noWrap w:val="0"/>
            <w:vAlign w:val="center"/>
          </w:tcPr>
          <w:p w14:paraId="75CCF1D3">
            <w:pPr>
              <w:pStyle w:val="45"/>
              <w:spacing w:beforeAutospacing="0" w:afterAutospacing="0"/>
              <w:jc w:val="center"/>
              <w:rPr>
                <w:color w:val="000000" w:themeColor="text1"/>
                <w:highlight w:val="none"/>
                <w14:textFill>
                  <w14:solidFill>
                    <w14:schemeClr w14:val="tx1"/>
                  </w14:solidFill>
                </w14:textFill>
              </w:rPr>
            </w:pPr>
          </w:p>
        </w:tc>
        <w:tc>
          <w:tcPr>
            <w:tcW w:w="3026" w:type="dxa"/>
            <w:tcBorders>
              <w:tl2br w:val="nil"/>
              <w:tr2bl w:val="nil"/>
            </w:tcBorders>
            <w:shd w:val="clear" w:color="auto" w:fill="auto"/>
            <w:noWrap w:val="0"/>
            <w:vAlign w:val="center"/>
          </w:tcPr>
          <w:p w14:paraId="271E8D8B">
            <w:pPr>
              <w:pStyle w:val="45"/>
              <w:spacing w:beforeAutospacing="0" w:afterAutospacing="0"/>
              <w:jc w:val="center"/>
              <w:rPr>
                <w:color w:val="000000" w:themeColor="text1"/>
                <w:highlight w:val="none"/>
                <w14:textFill>
                  <w14:solidFill>
                    <w14:schemeClr w14:val="tx1"/>
                  </w14:solidFill>
                </w14:textFill>
              </w:rPr>
            </w:pPr>
          </w:p>
        </w:tc>
        <w:tc>
          <w:tcPr>
            <w:tcW w:w="2608" w:type="dxa"/>
            <w:tcBorders>
              <w:tl2br w:val="nil"/>
              <w:tr2bl w:val="nil"/>
            </w:tcBorders>
            <w:shd w:val="clear" w:color="auto" w:fill="auto"/>
            <w:noWrap w:val="0"/>
            <w:vAlign w:val="center"/>
          </w:tcPr>
          <w:p w14:paraId="11CA4D56">
            <w:pPr>
              <w:pStyle w:val="45"/>
              <w:spacing w:beforeAutospacing="0" w:afterAutospacing="0"/>
              <w:jc w:val="center"/>
              <w:rPr>
                <w:color w:val="000000" w:themeColor="text1"/>
                <w:highlight w:val="none"/>
                <w14:textFill>
                  <w14:solidFill>
                    <w14:schemeClr w14:val="tx1"/>
                  </w14:solidFill>
                </w14:textFill>
              </w:rPr>
            </w:pPr>
          </w:p>
        </w:tc>
        <w:tc>
          <w:tcPr>
            <w:tcW w:w="1247" w:type="dxa"/>
            <w:tcBorders>
              <w:tl2br w:val="nil"/>
              <w:tr2bl w:val="nil"/>
            </w:tcBorders>
            <w:shd w:val="clear" w:color="auto" w:fill="auto"/>
            <w:noWrap w:val="0"/>
            <w:vAlign w:val="center"/>
          </w:tcPr>
          <w:p w14:paraId="78DCA3C5">
            <w:pPr>
              <w:pStyle w:val="45"/>
              <w:spacing w:beforeAutospacing="0" w:afterAutospacing="0"/>
              <w:jc w:val="center"/>
              <w:rPr>
                <w:color w:val="000000" w:themeColor="text1"/>
                <w:highlight w:val="none"/>
                <w14:textFill>
                  <w14:solidFill>
                    <w14:schemeClr w14:val="tx1"/>
                  </w14:solidFill>
                </w14:textFill>
              </w:rPr>
            </w:pPr>
          </w:p>
        </w:tc>
        <w:tc>
          <w:tcPr>
            <w:tcW w:w="1101" w:type="dxa"/>
            <w:tcBorders>
              <w:tl2br w:val="nil"/>
              <w:tr2bl w:val="nil"/>
            </w:tcBorders>
            <w:shd w:val="clear" w:color="auto" w:fill="auto"/>
            <w:noWrap w:val="0"/>
            <w:vAlign w:val="center"/>
          </w:tcPr>
          <w:p w14:paraId="212744A0">
            <w:pPr>
              <w:pStyle w:val="45"/>
              <w:spacing w:beforeAutospacing="0" w:afterAutospacing="0"/>
              <w:jc w:val="center"/>
              <w:rPr>
                <w:color w:val="000000" w:themeColor="text1"/>
                <w:highlight w:val="none"/>
                <w14:textFill>
                  <w14:solidFill>
                    <w14:schemeClr w14:val="tx1"/>
                  </w14:solidFill>
                </w14:textFill>
              </w:rPr>
            </w:pPr>
          </w:p>
        </w:tc>
      </w:tr>
      <w:tr w14:paraId="4E22E4A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0" w:hRule="atLeast"/>
          <w:tblCellSpacing w:w="0" w:type="dxa"/>
        </w:trPr>
        <w:tc>
          <w:tcPr>
            <w:tcW w:w="538" w:type="dxa"/>
            <w:tcBorders>
              <w:tl2br w:val="nil"/>
              <w:tr2bl w:val="nil"/>
            </w:tcBorders>
            <w:shd w:val="clear" w:color="auto" w:fill="auto"/>
            <w:noWrap w:val="0"/>
            <w:vAlign w:val="center"/>
          </w:tcPr>
          <w:p w14:paraId="28FC8C83">
            <w:pPr>
              <w:pStyle w:val="45"/>
              <w:spacing w:beforeAutospacing="0" w:afterAutospacing="0"/>
              <w:jc w:val="center"/>
              <w:rPr>
                <w:color w:val="000000" w:themeColor="text1"/>
                <w:highlight w:val="none"/>
                <w14:textFill>
                  <w14:solidFill>
                    <w14:schemeClr w14:val="tx1"/>
                  </w14:solidFill>
                </w14:textFill>
              </w:rPr>
            </w:pPr>
          </w:p>
        </w:tc>
        <w:tc>
          <w:tcPr>
            <w:tcW w:w="3026" w:type="dxa"/>
            <w:tcBorders>
              <w:tl2br w:val="nil"/>
              <w:tr2bl w:val="nil"/>
            </w:tcBorders>
            <w:shd w:val="clear" w:color="auto" w:fill="auto"/>
            <w:noWrap w:val="0"/>
            <w:vAlign w:val="center"/>
          </w:tcPr>
          <w:p w14:paraId="226E4E12">
            <w:pPr>
              <w:pStyle w:val="45"/>
              <w:spacing w:beforeAutospacing="0" w:afterAutospacing="0"/>
              <w:jc w:val="center"/>
              <w:rPr>
                <w:color w:val="000000" w:themeColor="text1"/>
                <w:highlight w:val="none"/>
                <w14:textFill>
                  <w14:solidFill>
                    <w14:schemeClr w14:val="tx1"/>
                  </w14:solidFill>
                </w14:textFill>
              </w:rPr>
            </w:pPr>
          </w:p>
        </w:tc>
        <w:tc>
          <w:tcPr>
            <w:tcW w:w="2608" w:type="dxa"/>
            <w:tcBorders>
              <w:tl2br w:val="nil"/>
              <w:tr2bl w:val="nil"/>
            </w:tcBorders>
            <w:shd w:val="clear" w:color="auto" w:fill="auto"/>
            <w:noWrap w:val="0"/>
            <w:vAlign w:val="center"/>
          </w:tcPr>
          <w:p w14:paraId="3F3E3EBD">
            <w:pPr>
              <w:pStyle w:val="45"/>
              <w:spacing w:beforeAutospacing="0" w:afterAutospacing="0"/>
              <w:jc w:val="center"/>
              <w:rPr>
                <w:color w:val="000000" w:themeColor="text1"/>
                <w:highlight w:val="none"/>
                <w14:textFill>
                  <w14:solidFill>
                    <w14:schemeClr w14:val="tx1"/>
                  </w14:solidFill>
                </w14:textFill>
              </w:rPr>
            </w:pPr>
          </w:p>
        </w:tc>
        <w:tc>
          <w:tcPr>
            <w:tcW w:w="1247" w:type="dxa"/>
            <w:tcBorders>
              <w:tl2br w:val="nil"/>
              <w:tr2bl w:val="nil"/>
            </w:tcBorders>
            <w:shd w:val="clear" w:color="auto" w:fill="auto"/>
            <w:noWrap w:val="0"/>
            <w:vAlign w:val="center"/>
          </w:tcPr>
          <w:p w14:paraId="3D39308F">
            <w:pPr>
              <w:pStyle w:val="45"/>
              <w:spacing w:beforeAutospacing="0" w:afterAutospacing="0"/>
              <w:jc w:val="center"/>
              <w:rPr>
                <w:color w:val="000000" w:themeColor="text1"/>
                <w:highlight w:val="none"/>
                <w14:textFill>
                  <w14:solidFill>
                    <w14:schemeClr w14:val="tx1"/>
                  </w14:solidFill>
                </w14:textFill>
              </w:rPr>
            </w:pPr>
          </w:p>
        </w:tc>
        <w:tc>
          <w:tcPr>
            <w:tcW w:w="1101" w:type="dxa"/>
            <w:tcBorders>
              <w:tl2br w:val="nil"/>
              <w:tr2bl w:val="nil"/>
            </w:tcBorders>
            <w:shd w:val="clear" w:color="auto" w:fill="auto"/>
            <w:noWrap w:val="0"/>
            <w:vAlign w:val="center"/>
          </w:tcPr>
          <w:p w14:paraId="14D918A3">
            <w:pPr>
              <w:pStyle w:val="45"/>
              <w:spacing w:beforeAutospacing="0" w:afterAutospacing="0"/>
              <w:jc w:val="center"/>
              <w:rPr>
                <w:color w:val="000000" w:themeColor="text1"/>
                <w:highlight w:val="none"/>
                <w14:textFill>
                  <w14:solidFill>
                    <w14:schemeClr w14:val="tx1"/>
                  </w14:solidFill>
                </w14:textFill>
              </w:rPr>
            </w:pPr>
          </w:p>
        </w:tc>
      </w:tr>
    </w:tbl>
    <w:p w14:paraId="0C9C7EED">
      <w:pPr>
        <w:pStyle w:val="45"/>
        <w:spacing w:beforeAutospacing="0" w:afterAutospacing="0"/>
        <w:jc w:val="both"/>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注：行数不够，可自行添加。</w:t>
      </w:r>
    </w:p>
    <w:p w14:paraId="2335710A">
      <w:pPr>
        <w:spacing w:line="360" w:lineRule="auto"/>
        <w:ind w:left="480"/>
        <w:rPr>
          <w:rFonts w:ascii="宋体" w:hAnsi="宋体"/>
          <w:bCs/>
          <w:color w:val="000000" w:themeColor="text1"/>
          <w:sz w:val="24"/>
          <w:highlight w:val="none"/>
          <w14:textFill>
            <w14:solidFill>
              <w14:schemeClr w14:val="tx1"/>
            </w14:solidFill>
          </w14:textFill>
        </w:rPr>
      </w:pPr>
    </w:p>
    <w:p w14:paraId="4601689C">
      <w:pPr>
        <w:spacing w:before="50" w:after="50"/>
        <w:rPr>
          <w:rFonts w:ascii="黑体" w:eastAsia="黑体"/>
          <w:color w:val="000000" w:themeColor="text1"/>
          <w:sz w:val="32"/>
          <w:szCs w:val="32"/>
          <w:highlight w:val="none"/>
          <w14:textFill>
            <w14:solidFill>
              <w14:schemeClr w14:val="tx1"/>
            </w14:solidFill>
          </w14:textFill>
        </w:rPr>
      </w:pPr>
    </w:p>
    <w:p w14:paraId="2ADD94AE">
      <w:pPr>
        <w:pStyle w:val="49"/>
        <w:ind w:firstLine="640"/>
        <w:rPr>
          <w:rFonts w:ascii="黑体" w:eastAsia="黑体"/>
          <w:color w:val="000000" w:themeColor="text1"/>
          <w:sz w:val="32"/>
          <w:szCs w:val="32"/>
          <w:highlight w:val="none"/>
          <w14:textFill>
            <w14:solidFill>
              <w14:schemeClr w14:val="tx1"/>
            </w14:solidFill>
          </w14:textFill>
        </w:rPr>
      </w:pPr>
    </w:p>
    <w:p w14:paraId="35F80D6B">
      <w:pPr>
        <w:pStyle w:val="37"/>
        <w:rPr>
          <w:color w:val="000000" w:themeColor="text1"/>
          <w:highlight w:val="none"/>
          <w14:textFill>
            <w14:solidFill>
              <w14:schemeClr w14:val="tx1"/>
            </w14:solidFill>
          </w14:textFill>
        </w:rPr>
      </w:pPr>
    </w:p>
    <w:p w14:paraId="19B65E47">
      <w:pPr>
        <w:rPr>
          <w:color w:val="000000" w:themeColor="text1"/>
          <w:highlight w:val="none"/>
          <w14:textFill>
            <w14:solidFill>
              <w14:schemeClr w14:val="tx1"/>
            </w14:solidFill>
          </w14:textFill>
        </w:rPr>
      </w:pPr>
    </w:p>
    <w:p w14:paraId="226C72D8">
      <w:pPr>
        <w:pStyle w:val="49"/>
        <w:rPr>
          <w:color w:val="000000" w:themeColor="text1"/>
          <w:highlight w:val="none"/>
          <w14:textFill>
            <w14:solidFill>
              <w14:schemeClr w14:val="tx1"/>
            </w14:solidFill>
          </w14:textFill>
        </w:rPr>
      </w:pPr>
    </w:p>
    <w:p w14:paraId="78252A9E">
      <w:pPr>
        <w:pStyle w:val="37"/>
        <w:rPr>
          <w:color w:val="000000" w:themeColor="text1"/>
          <w:highlight w:val="none"/>
          <w14:textFill>
            <w14:solidFill>
              <w14:schemeClr w14:val="tx1"/>
            </w14:solidFill>
          </w14:textFill>
        </w:rPr>
      </w:pPr>
    </w:p>
    <w:p w14:paraId="5BF4C563">
      <w:pPr>
        <w:rPr>
          <w:color w:val="000000" w:themeColor="text1"/>
          <w:highlight w:val="none"/>
          <w14:textFill>
            <w14:solidFill>
              <w14:schemeClr w14:val="tx1"/>
            </w14:solidFill>
          </w14:textFill>
        </w:rPr>
      </w:pPr>
    </w:p>
    <w:p w14:paraId="7186F387">
      <w:pPr>
        <w:pStyle w:val="49"/>
        <w:rPr>
          <w:color w:val="000000" w:themeColor="text1"/>
          <w:highlight w:val="none"/>
          <w14:textFill>
            <w14:solidFill>
              <w14:schemeClr w14:val="tx1"/>
            </w14:solidFill>
          </w14:textFill>
        </w:rPr>
      </w:pPr>
    </w:p>
    <w:p w14:paraId="3D149DCC">
      <w:pPr>
        <w:pStyle w:val="37"/>
        <w:rPr>
          <w:color w:val="000000" w:themeColor="text1"/>
          <w:highlight w:val="none"/>
          <w14:textFill>
            <w14:solidFill>
              <w14:schemeClr w14:val="tx1"/>
            </w14:solidFill>
          </w14:textFill>
        </w:rPr>
      </w:pPr>
    </w:p>
    <w:p w14:paraId="793EC510">
      <w:pPr>
        <w:rPr>
          <w:color w:val="000000" w:themeColor="text1"/>
          <w:highlight w:val="none"/>
          <w14:textFill>
            <w14:solidFill>
              <w14:schemeClr w14:val="tx1"/>
            </w14:solidFill>
          </w14:textFill>
        </w:rPr>
      </w:pPr>
    </w:p>
    <w:p w14:paraId="3F5B0E7C">
      <w:pPr>
        <w:rPr>
          <w:color w:val="000000" w:themeColor="text1"/>
          <w:highlight w:val="none"/>
          <w14:textFill>
            <w14:solidFill>
              <w14:schemeClr w14:val="tx1"/>
            </w14:solidFill>
          </w14:textFill>
        </w:rPr>
      </w:pPr>
    </w:p>
    <w:p w14:paraId="788C7F7C">
      <w:pPr>
        <w:rPr>
          <w:color w:val="000000" w:themeColor="text1"/>
          <w:highlight w:val="none"/>
          <w14:textFill>
            <w14:solidFill>
              <w14:schemeClr w14:val="tx1"/>
            </w14:solidFill>
          </w14:textFill>
        </w:rPr>
      </w:pPr>
    </w:p>
    <w:p w14:paraId="198B7A22">
      <w:pPr>
        <w:rPr>
          <w:color w:val="000000" w:themeColor="text1"/>
          <w:highlight w:val="none"/>
          <w14:textFill>
            <w14:solidFill>
              <w14:schemeClr w14:val="tx1"/>
            </w14:solidFill>
          </w14:textFill>
        </w:rPr>
      </w:pPr>
    </w:p>
    <w:p w14:paraId="796BCD75">
      <w:pPr>
        <w:rPr>
          <w:color w:val="000000" w:themeColor="text1"/>
          <w:highlight w:val="none"/>
          <w14:textFill>
            <w14:solidFill>
              <w14:schemeClr w14:val="tx1"/>
            </w14:solidFill>
          </w14:textFill>
        </w:rPr>
      </w:pPr>
    </w:p>
    <w:p w14:paraId="5DF9B2F5">
      <w:pPr>
        <w:rPr>
          <w:color w:val="000000" w:themeColor="text1"/>
          <w:highlight w:val="none"/>
          <w14:textFill>
            <w14:solidFill>
              <w14:schemeClr w14:val="tx1"/>
            </w14:solidFill>
          </w14:textFill>
        </w:rPr>
      </w:pPr>
    </w:p>
    <w:p w14:paraId="3A945222">
      <w:pPr>
        <w:rPr>
          <w:color w:val="000000" w:themeColor="text1"/>
          <w:highlight w:val="none"/>
          <w14:textFill>
            <w14:solidFill>
              <w14:schemeClr w14:val="tx1"/>
            </w14:solidFill>
          </w14:textFill>
        </w:rPr>
      </w:pPr>
    </w:p>
    <w:p w14:paraId="5B351730">
      <w:pPr>
        <w:rPr>
          <w:color w:val="000000" w:themeColor="text1"/>
          <w:highlight w:val="none"/>
          <w14:textFill>
            <w14:solidFill>
              <w14:schemeClr w14:val="tx1"/>
            </w14:solidFill>
          </w14:textFill>
        </w:rPr>
      </w:pPr>
    </w:p>
    <w:p w14:paraId="1E88109F">
      <w:pPr>
        <w:pStyle w:val="49"/>
        <w:ind w:firstLine="0"/>
        <w:rPr>
          <w:color w:val="000000" w:themeColor="text1"/>
          <w:highlight w:val="none"/>
          <w14:textFill>
            <w14:solidFill>
              <w14:schemeClr w14:val="tx1"/>
            </w14:solidFill>
          </w14:textFill>
        </w:rPr>
      </w:pPr>
    </w:p>
    <w:p w14:paraId="683358F4">
      <w:pPr>
        <w:spacing w:before="50" w:after="50"/>
        <w:jc w:val="center"/>
        <w:rPr>
          <w:rFonts w:ascii="宋体" w:hAnsi="宋体"/>
          <w:color w:val="000000" w:themeColor="text1"/>
          <w:sz w:val="24"/>
          <w:highlight w:val="none"/>
          <w14:textFill>
            <w14:solidFill>
              <w14:schemeClr w14:val="tx1"/>
            </w14:solidFill>
          </w14:textFill>
        </w:rPr>
      </w:pPr>
      <w:r>
        <w:rPr>
          <w:rFonts w:hint="eastAsia" w:ascii="黑体" w:hAnsi="宋体" w:eastAsia="黑体" w:cs="黑体"/>
          <w:iCs/>
          <w:color w:val="000000" w:themeColor="text1"/>
          <w:sz w:val="32"/>
          <w:szCs w:val="32"/>
          <w:highlight w:val="none"/>
          <w14:textFill>
            <w14:solidFill>
              <w14:schemeClr w14:val="tx1"/>
            </w14:solidFill>
          </w14:textFill>
        </w:rPr>
        <w:t>十三、商务要求响应及偏离表</w:t>
      </w:r>
    </w:p>
    <w:tbl>
      <w:tblPr>
        <w:tblStyle w:val="50"/>
        <w:tblW w:w="8520" w:type="dxa"/>
        <w:jc w:val="center"/>
        <w:tblCellSpacing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661"/>
        <w:gridCol w:w="2469"/>
        <w:gridCol w:w="2645"/>
        <w:gridCol w:w="1244"/>
        <w:gridCol w:w="1501"/>
      </w:tblGrid>
      <w:tr w14:paraId="19AACD1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blCellSpacing w:w="0" w:type="dxa"/>
          <w:jc w:val="center"/>
        </w:trPr>
        <w:tc>
          <w:tcPr>
            <w:tcW w:w="661" w:type="dxa"/>
            <w:tcBorders>
              <w:tl2br w:val="nil"/>
              <w:tr2bl w:val="nil"/>
            </w:tcBorders>
            <w:shd w:val="clear" w:color="auto" w:fill="auto"/>
            <w:noWrap w:val="0"/>
            <w:vAlign w:val="center"/>
          </w:tcPr>
          <w:p w14:paraId="5CB17E71">
            <w:pPr>
              <w:pStyle w:val="45"/>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序号</w:t>
            </w:r>
          </w:p>
        </w:tc>
        <w:tc>
          <w:tcPr>
            <w:tcW w:w="2469" w:type="dxa"/>
            <w:tcBorders>
              <w:tl2br w:val="nil"/>
              <w:tr2bl w:val="nil"/>
            </w:tcBorders>
            <w:shd w:val="clear" w:color="auto" w:fill="auto"/>
            <w:noWrap w:val="0"/>
            <w:vAlign w:val="center"/>
          </w:tcPr>
          <w:p w14:paraId="77EE03B8">
            <w:pPr>
              <w:pStyle w:val="45"/>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招标文件要求</w:t>
            </w:r>
          </w:p>
        </w:tc>
        <w:tc>
          <w:tcPr>
            <w:tcW w:w="2645" w:type="dxa"/>
            <w:tcBorders>
              <w:tl2br w:val="nil"/>
              <w:tr2bl w:val="nil"/>
            </w:tcBorders>
            <w:shd w:val="clear" w:color="auto" w:fill="auto"/>
            <w:noWrap w:val="0"/>
            <w:vAlign w:val="center"/>
          </w:tcPr>
          <w:p w14:paraId="5BB67B95">
            <w:pPr>
              <w:pStyle w:val="45"/>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投标响应情况</w:t>
            </w:r>
          </w:p>
        </w:tc>
        <w:tc>
          <w:tcPr>
            <w:tcW w:w="1244" w:type="dxa"/>
            <w:tcBorders>
              <w:tl2br w:val="nil"/>
              <w:tr2bl w:val="nil"/>
            </w:tcBorders>
            <w:shd w:val="clear" w:color="auto" w:fill="auto"/>
            <w:noWrap w:val="0"/>
            <w:vAlign w:val="center"/>
          </w:tcPr>
          <w:p w14:paraId="393F70A5">
            <w:pPr>
              <w:pStyle w:val="45"/>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超出、符合或偏离</w:t>
            </w:r>
          </w:p>
        </w:tc>
        <w:tc>
          <w:tcPr>
            <w:tcW w:w="1501" w:type="dxa"/>
            <w:tcBorders>
              <w:tl2br w:val="nil"/>
              <w:tr2bl w:val="nil"/>
            </w:tcBorders>
            <w:shd w:val="clear" w:color="auto" w:fill="auto"/>
            <w:noWrap w:val="0"/>
            <w:vAlign w:val="center"/>
          </w:tcPr>
          <w:p w14:paraId="5BDBB46A">
            <w:pPr>
              <w:pStyle w:val="45"/>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证明</w:t>
            </w:r>
          </w:p>
          <w:p w14:paraId="41E974D9">
            <w:pPr>
              <w:pStyle w:val="45"/>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材料</w:t>
            </w:r>
          </w:p>
        </w:tc>
      </w:tr>
      <w:tr w14:paraId="51BE7D7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0" w:hRule="atLeast"/>
          <w:tblCellSpacing w:w="0" w:type="dxa"/>
          <w:jc w:val="center"/>
        </w:trPr>
        <w:tc>
          <w:tcPr>
            <w:tcW w:w="661" w:type="dxa"/>
            <w:tcBorders>
              <w:tl2br w:val="nil"/>
              <w:tr2bl w:val="nil"/>
            </w:tcBorders>
            <w:shd w:val="clear" w:color="auto" w:fill="auto"/>
            <w:noWrap w:val="0"/>
            <w:vAlign w:val="center"/>
          </w:tcPr>
          <w:p w14:paraId="1B8A0627">
            <w:pPr>
              <w:pStyle w:val="45"/>
              <w:spacing w:beforeAutospacing="0" w:afterAutospacing="0"/>
              <w:jc w:val="center"/>
              <w:rPr>
                <w:color w:val="000000" w:themeColor="text1"/>
                <w:highlight w:val="none"/>
                <w14:textFill>
                  <w14:solidFill>
                    <w14:schemeClr w14:val="tx1"/>
                  </w14:solidFill>
                </w14:textFill>
              </w:rPr>
            </w:pPr>
          </w:p>
        </w:tc>
        <w:tc>
          <w:tcPr>
            <w:tcW w:w="2469" w:type="dxa"/>
            <w:tcBorders>
              <w:tl2br w:val="nil"/>
              <w:tr2bl w:val="nil"/>
            </w:tcBorders>
            <w:shd w:val="clear" w:color="auto" w:fill="auto"/>
            <w:noWrap w:val="0"/>
            <w:vAlign w:val="center"/>
          </w:tcPr>
          <w:p w14:paraId="13F8DFE0">
            <w:pPr>
              <w:pStyle w:val="45"/>
              <w:spacing w:beforeAutospacing="0" w:afterAutospacing="0"/>
              <w:jc w:val="center"/>
              <w:rPr>
                <w:color w:val="000000" w:themeColor="text1"/>
                <w:highlight w:val="none"/>
                <w14:textFill>
                  <w14:solidFill>
                    <w14:schemeClr w14:val="tx1"/>
                  </w14:solidFill>
                </w14:textFill>
              </w:rPr>
            </w:pPr>
          </w:p>
        </w:tc>
        <w:tc>
          <w:tcPr>
            <w:tcW w:w="2645" w:type="dxa"/>
            <w:tcBorders>
              <w:tl2br w:val="nil"/>
              <w:tr2bl w:val="nil"/>
            </w:tcBorders>
            <w:shd w:val="clear" w:color="auto" w:fill="auto"/>
            <w:noWrap w:val="0"/>
            <w:vAlign w:val="center"/>
          </w:tcPr>
          <w:p w14:paraId="08A97213">
            <w:pPr>
              <w:pStyle w:val="45"/>
              <w:spacing w:beforeAutospacing="0" w:afterAutospacing="0"/>
              <w:jc w:val="center"/>
              <w:rPr>
                <w:color w:val="000000" w:themeColor="text1"/>
                <w:highlight w:val="none"/>
                <w14:textFill>
                  <w14:solidFill>
                    <w14:schemeClr w14:val="tx1"/>
                  </w14:solidFill>
                </w14:textFill>
              </w:rPr>
            </w:pPr>
          </w:p>
        </w:tc>
        <w:tc>
          <w:tcPr>
            <w:tcW w:w="1244" w:type="dxa"/>
            <w:tcBorders>
              <w:tl2br w:val="nil"/>
              <w:tr2bl w:val="nil"/>
            </w:tcBorders>
            <w:shd w:val="clear" w:color="auto" w:fill="auto"/>
            <w:noWrap w:val="0"/>
            <w:vAlign w:val="center"/>
          </w:tcPr>
          <w:p w14:paraId="42682F81">
            <w:pPr>
              <w:pStyle w:val="45"/>
              <w:spacing w:beforeAutospacing="0" w:afterAutospacing="0"/>
              <w:jc w:val="center"/>
              <w:rPr>
                <w:color w:val="000000" w:themeColor="text1"/>
                <w:highlight w:val="none"/>
                <w14:textFill>
                  <w14:solidFill>
                    <w14:schemeClr w14:val="tx1"/>
                  </w14:solidFill>
                </w14:textFill>
              </w:rPr>
            </w:pPr>
          </w:p>
        </w:tc>
        <w:tc>
          <w:tcPr>
            <w:tcW w:w="1501" w:type="dxa"/>
            <w:tcBorders>
              <w:tl2br w:val="nil"/>
              <w:tr2bl w:val="nil"/>
            </w:tcBorders>
            <w:shd w:val="clear" w:color="auto" w:fill="auto"/>
            <w:noWrap w:val="0"/>
            <w:vAlign w:val="center"/>
          </w:tcPr>
          <w:p w14:paraId="7B35C2BD">
            <w:pPr>
              <w:pStyle w:val="45"/>
              <w:spacing w:beforeAutospacing="0" w:afterAutospacing="0"/>
              <w:jc w:val="center"/>
              <w:rPr>
                <w:color w:val="000000" w:themeColor="text1"/>
                <w:highlight w:val="none"/>
                <w14:textFill>
                  <w14:solidFill>
                    <w14:schemeClr w14:val="tx1"/>
                  </w14:solidFill>
                </w14:textFill>
              </w:rPr>
            </w:pPr>
          </w:p>
        </w:tc>
      </w:tr>
      <w:tr w14:paraId="3EBA56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0" w:hRule="atLeast"/>
          <w:tblCellSpacing w:w="0" w:type="dxa"/>
          <w:jc w:val="center"/>
        </w:trPr>
        <w:tc>
          <w:tcPr>
            <w:tcW w:w="661" w:type="dxa"/>
            <w:tcBorders>
              <w:tl2br w:val="nil"/>
              <w:tr2bl w:val="nil"/>
            </w:tcBorders>
            <w:shd w:val="clear" w:color="auto" w:fill="auto"/>
            <w:noWrap w:val="0"/>
            <w:vAlign w:val="center"/>
          </w:tcPr>
          <w:p w14:paraId="7B6956AC">
            <w:pPr>
              <w:pStyle w:val="45"/>
              <w:spacing w:beforeAutospacing="0" w:afterAutospacing="0"/>
              <w:jc w:val="center"/>
              <w:rPr>
                <w:color w:val="000000" w:themeColor="text1"/>
                <w:highlight w:val="none"/>
                <w14:textFill>
                  <w14:solidFill>
                    <w14:schemeClr w14:val="tx1"/>
                  </w14:solidFill>
                </w14:textFill>
              </w:rPr>
            </w:pPr>
          </w:p>
        </w:tc>
        <w:tc>
          <w:tcPr>
            <w:tcW w:w="2469" w:type="dxa"/>
            <w:tcBorders>
              <w:tl2br w:val="nil"/>
              <w:tr2bl w:val="nil"/>
            </w:tcBorders>
            <w:shd w:val="clear" w:color="auto" w:fill="auto"/>
            <w:noWrap w:val="0"/>
            <w:vAlign w:val="center"/>
          </w:tcPr>
          <w:p w14:paraId="3EB793D7">
            <w:pPr>
              <w:pStyle w:val="45"/>
              <w:spacing w:beforeAutospacing="0" w:afterAutospacing="0"/>
              <w:jc w:val="center"/>
              <w:rPr>
                <w:color w:val="000000" w:themeColor="text1"/>
                <w:highlight w:val="none"/>
                <w14:textFill>
                  <w14:solidFill>
                    <w14:schemeClr w14:val="tx1"/>
                  </w14:solidFill>
                </w14:textFill>
              </w:rPr>
            </w:pPr>
          </w:p>
        </w:tc>
        <w:tc>
          <w:tcPr>
            <w:tcW w:w="2645" w:type="dxa"/>
            <w:tcBorders>
              <w:tl2br w:val="nil"/>
              <w:tr2bl w:val="nil"/>
            </w:tcBorders>
            <w:shd w:val="clear" w:color="auto" w:fill="auto"/>
            <w:noWrap w:val="0"/>
            <w:vAlign w:val="center"/>
          </w:tcPr>
          <w:p w14:paraId="2B128BE0">
            <w:pPr>
              <w:pStyle w:val="45"/>
              <w:spacing w:beforeAutospacing="0" w:afterAutospacing="0"/>
              <w:jc w:val="center"/>
              <w:rPr>
                <w:color w:val="000000" w:themeColor="text1"/>
                <w:highlight w:val="none"/>
                <w14:textFill>
                  <w14:solidFill>
                    <w14:schemeClr w14:val="tx1"/>
                  </w14:solidFill>
                </w14:textFill>
              </w:rPr>
            </w:pPr>
          </w:p>
        </w:tc>
        <w:tc>
          <w:tcPr>
            <w:tcW w:w="1244" w:type="dxa"/>
            <w:tcBorders>
              <w:tl2br w:val="nil"/>
              <w:tr2bl w:val="nil"/>
            </w:tcBorders>
            <w:shd w:val="clear" w:color="auto" w:fill="auto"/>
            <w:noWrap w:val="0"/>
            <w:vAlign w:val="center"/>
          </w:tcPr>
          <w:p w14:paraId="32489F22">
            <w:pPr>
              <w:pStyle w:val="45"/>
              <w:spacing w:beforeAutospacing="0" w:afterAutospacing="0"/>
              <w:jc w:val="center"/>
              <w:rPr>
                <w:color w:val="000000" w:themeColor="text1"/>
                <w:highlight w:val="none"/>
                <w14:textFill>
                  <w14:solidFill>
                    <w14:schemeClr w14:val="tx1"/>
                  </w14:solidFill>
                </w14:textFill>
              </w:rPr>
            </w:pPr>
          </w:p>
        </w:tc>
        <w:tc>
          <w:tcPr>
            <w:tcW w:w="1501" w:type="dxa"/>
            <w:tcBorders>
              <w:tl2br w:val="nil"/>
              <w:tr2bl w:val="nil"/>
            </w:tcBorders>
            <w:shd w:val="clear" w:color="auto" w:fill="auto"/>
            <w:noWrap w:val="0"/>
            <w:vAlign w:val="center"/>
          </w:tcPr>
          <w:p w14:paraId="5B2568C9">
            <w:pPr>
              <w:pStyle w:val="45"/>
              <w:spacing w:beforeAutospacing="0" w:afterAutospacing="0"/>
              <w:jc w:val="center"/>
              <w:rPr>
                <w:color w:val="000000" w:themeColor="text1"/>
                <w:highlight w:val="none"/>
                <w14:textFill>
                  <w14:solidFill>
                    <w14:schemeClr w14:val="tx1"/>
                  </w14:solidFill>
                </w14:textFill>
              </w:rPr>
            </w:pPr>
          </w:p>
        </w:tc>
      </w:tr>
      <w:tr w14:paraId="2FBE867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0" w:hRule="atLeast"/>
          <w:tblCellSpacing w:w="0" w:type="dxa"/>
          <w:jc w:val="center"/>
        </w:trPr>
        <w:tc>
          <w:tcPr>
            <w:tcW w:w="661" w:type="dxa"/>
            <w:tcBorders>
              <w:tl2br w:val="nil"/>
              <w:tr2bl w:val="nil"/>
            </w:tcBorders>
            <w:shd w:val="clear" w:color="auto" w:fill="auto"/>
            <w:noWrap w:val="0"/>
            <w:vAlign w:val="center"/>
          </w:tcPr>
          <w:p w14:paraId="3534B27C">
            <w:pPr>
              <w:pStyle w:val="45"/>
              <w:spacing w:beforeAutospacing="0" w:afterAutospacing="0"/>
              <w:jc w:val="center"/>
              <w:rPr>
                <w:color w:val="000000" w:themeColor="text1"/>
                <w:highlight w:val="none"/>
                <w14:textFill>
                  <w14:solidFill>
                    <w14:schemeClr w14:val="tx1"/>
                  </w14:solidFill>
                </w14:textFill>
              </w:rPr>
            </w:pPr>
          </w:p>
        </w:tc>
        <w:tc>
          <w:tcPr>
            <w:tcW w:w="2469" w:type="dxa"/>
            <w:tcBorders>
              <w:tl2br w:val="nil"/>
              <w:tr2bl w:val="nil"/>
            </w:tcBorders>
            <w:shd w:val="clear" w:color="auto" w:fill="auto"/>
            <w:noWrap w:val="0"/>
            <w:vAlign w:val="center"/>
          </w:tcPr>
          <w:p w14:paraId="4F494B91">
            <w:pPr>
              <w:pStyle w:val="45"/>
              <w:spacing w:beforeAutospacing="0" w:afterAutospacing="0"/>
              <w:jc w:val="center"/>
              <w:rPr>
                <w:color w:val="000000" w:themeColor="text1"/>
                <w:highlight w:val="none"/>
                <w14:textFill>
                  <w14:solidFill>
                    <w14:schemeClr w14:val="tx1"/>
                  </w14:solidFill>
                </w14:textFill>
              </w:rPr>
            </w:pPr>
          </w:p>
        </w:tc>
        <w:tc>
          <w:tcPr>
            <w:tcW w:w="2645" w:type="dxa"/>
            <w:tcBorders>
              <w:tl2br w:val="nil"/>
              <w:tr2bl w:val="nil"/>
            </w:tcBorders>
            <w:shd w:val="clear" w:color="auto" w:fill="auto"/>
            <w:noWrap w:val="0"/>
            <w:vAlign w:val="center"/>
          </w:tcPr>
          <w:p w14:paraId="1B33B1DC">
            <w:pPr>
              <w:pStyle w:val="45"/>
              <w:spacing w:beforeAutospacing="0" w:afterAutospacing="0"/>
              <w:jc w:val="center"/>
              <w:rPr>
                <w:color w:val="000000" w:themeColor="text1"/>
                <w:highlight w:val="none"/>
                <w14:textFill>
                  <w14:solidFill>
                    <w14:schemeClr w14:val="tx1"/>
                  </w14:solidFill>
                </w14:textFill>
              </w:rPr>
            </w:pPr>
          </w:p>
        </w:tc>
        <w:tc>
          <w:tcPr>
            <w:tcW w:w="1244" w:type="dxa"/>
            <w:tcBorders>
              <w:tl2br w:val="nil"/>
              <w:tr2bl w:val="nil"/>
            </w:tcBorders>
            <w:shd w:val="clear" w:color="auto" w:fill="auto"/>
            <w:noWrap w:val="0"/>
            <w:vAlign w:val="center"/>
          </w:tcPr>
          <w:p w14:paraId="58181C6A">
            <w:pPr>
              <w:pStyle w:val="45"/>
              <w:spacing w:beforeAutospacing="0" w:afterAutospacing="0"/>
              <w:jc w:val="center"/>
              <w:rPr>
                <w:color w:val="000000" w:themeColor="text1"/>
                <w:highlight w:val="none"/>
                <w14:textFill>
                  <w14:solidFill>
                    <w14:schemeClr w14:val="tx1"/>
                  </w14:solidFill>
                </w14:textFill>
              </w:rPr>
            </w:pPr>
          </w:p>
        </w:tc>
        <w:tc>
          <w:tcPr>
            <w:tcW w:w="1501" w:type="dxa"/>
            <w:tcBorders>
              <w:tl2br w:val="nil"/>
              <w:tr2bl w:val="nil"/>
            </w:tcBorders>
            <w:shd w:val="clear" w:color="auto" w:fill="auto"/>
            <w:noWrap w:val="0"/>
            <w:vAlign w:val="center"/>
          </w:tcPr>
          <w:p w14:paraId="2F886E63">
            <w:pPr>
              <w:pStyle w:val="45"/>
              <w:spacing w:beforeAutospacing="0" w:afterAutospacing="0"/>
              <w:jc w:val="center"/>
              <w:rPr>
                <w:color w:val="000000" w:themeColor="text1"/>
                <w:highlight w:val="none"/>
                <w14:textFill>
                  <w14:solidFill>
                    <w14:schemeClr w14:val="tx1"/>
                  </w14:solidFill>
                </w14:textFill>
              </w:rPr>
            </w:pPr>
          </w:p>
        </w:tc>
      </w:tr>
      <w:tr w14:paraId="19F1F1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0" w:hRule="atLeast"/>
          <w:tblCellSpacing w:w="0" w:type="dxa"/>
          <w:jc w:val="center"/>
        </w:trPr>
        <w:tc>
          <w:tcPr>
            <w:tcW w:w="661" w:type="dxa"/>
            <w:tcBorders>
              <w:tl2br w:val="nil"/>
              <w:tr2bl w:val="nil"/>
            </w:tcBorders>
            <w:shd w:val="clear" w:color="auto" w:fill="auto"/>
            <w:noWrap w:val="0"/>
            <w:vAlign w:val="center"/>
          </w:tcPr>
          <w:p w14:paraId="21629147">
            <w:pPr>
              <w:pStyle w:val="45"/>
              <w:spacing w:beforeAutospacing="0" w:afterAutospacing="0"/>
              <w:jc w:val="center"/>
              <w:rPr>
                <w:color w:val="000000" w:themeColor="text1"/>
                <w:highlight w:val="none"/>
                <w14:textFill>
                  <w14:solidFill>
                    <w14:schemeClr w14:val="tx1"/>
                  </w14:solidFill>
                </w14:textFill>
              </w:rPr>
            </w:pPr>
          </w:p>
        </w:tc>
        <w:tc>
          <w:tcPr>
            <w:tcW w:w="2469" w:type="dxa"/>
            <w:tcBorders>
              <w:tl2br w:val="nil"/>
              <w:tr2bl w:val="nil"/>
            </w:tcBorders>
            <w:shd w:val="clear" w:color="auto" w:fill="auto"/>
            <w:noWrap w:val="0"/>
            <w:vAlign w:val="center"/>
          </w:tcPr>
          <w:p w14:paraId="1C5B3EB8">
            <w:pPr>
              <w:pStyle w:val="45"/>
              <w:spacing w:beforeAutospacing="0" w:afterAutospacing="0"/>
              <w:jc w:val="center"/>
              <w:rPr>
                <w:color w:val="000000" w:themeColor="text1"/>
                <w:highlight w:val="none"/>
                <w14:textFill>
                  <w14:solidFill>
                    <w14:schemeClr w14:val="tx1"/>
                  </w14:solidFill>
                </w14:textFill>
              </w:rPr>
            </w:pPr>
          </w:p>
        </w:tc>
        <w:tc>
          <w:tcPr>
            <w:tcW w:w="2645" w:type="dxa"/>
            <w:tcBorders>
              <w:tl2br w:val="nil"/>
              <w:tr2bl w:val="nil"/>
            </w:tcBorders>
            <w:shd w:val="clear" w:color="auto" w:fill="auto"/>
            <w:noWrap w:val="0"/>
            <w:vAlign w:val="center"/>
          </w:tcPr>
          <w:p w14:paraId="38CCF2F0">
            <w:pPr>
              <w:pStyle w:val="45"/>
              <w:spacing w:beforeAutospacing="0" w:afterAutospacing="0"/>
              <w:jc w:val="center"/>
              <w:rPr>
                <w:color w:val="000000" w:themeColor="text1"/>
                <w:highlight w:val="none"/>
                <w14:textFill>
                  <w14:solidFill>
                    <w14:schemeClr w14:val="tx1"/>
                  </w14:solidFill>
                </w14:textFill>
              </w:rPr>
            </w:pPr>
          </w:p>
        </w:tc>
        <w:tc>
          <w:tcPr>
            <w:tcW w:w="1244" w:type="dxa"/>
            <w:tcBorders>
              <w:tl2br w:val="nil"/>
              <w:tr2bl w:val="nil"/>
            </w:tcBorders>
            <w:shd w:val="clear" w:color="auto" w:fill="auto"/>
            <w:noWrap w:val="0"/>
            <w:vAlign w:val="center"/>
          </w:tcPr>
          <w:p w14:paraId="13751D76">
            <w:pPr>
              <w:pStyle w:val="45"/>
              <w:spacing w:beforeAutospacing="0" w:afterAutospacing="0"/>
              <w:jc w:val="center"/>
              <w:rPr>
                <w:color w:val="000000" w:themeColor="text1"/>
                <w:highlight w:val="none"/>
                <w14:textFill>
                  <w14:solidFill>
                    <w14:schemeClr w14:val="tx1"/>
                  </w14:solidFill>
                </w14:textFill>
              </w:rPr>
            </w:pPr>
          </w:p>
        </w:tc>
        <w:tc>
          <w:tcPr>
            <w:tcW w:w="1501" w:type="dxa"/>
            <w:tcBorders>
              <w:tl2br w:val="nil"/>
              <w:tr2bl w:val="nil"/>
            </w:tcBorders>
            <w:shd w:val="clear" w:color="auto" w:fill="auto"/>
            <w:noWrap w:val="0"/>
            <w:vAlign w:val="center"/>
          </w:tcPr>
          <w:p w14:paraId="6D5735B8">
            <w:pPr>
              <w:pStyle w:val="45"/>
              <w:spacing w:beforeAutospacing="0" w:afterAutospacing="0"/>
              <w:jc w:val="center"/>
              <w:rPr>
                <w:color w:val="000000" w:themeColor="text1"/>
                <w:highlight w:val="none"/>
                <w14:textFill>
                  <w14:solidFill>
                    <w14:schemeClr w14:val="tx1"/>
                  </w14:solidFill>
                </w14:textFill>
              </w:rPr>
            </w:pPr>
          </w:p>
        </w:tc>
      </w:tr>
      <w:tr w14:paraId="69690D8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0" w:hRule="atLeast"/>
          <w:tblCellSpacing w:w="0" w:type="dxa"/>
          <w:jc w:val="center"/>
        </w:trPr>
        <w:tc>
          <w:tcPr>
            <w:tcW w:w="661" w:type="dxa"/>
            <w:tcBorders>
              <w:tl2br w:val="nil"/>
              <w:tr2bl w:val="nil"/>
            </w:tcBorders>
            <w:shd w:val="clear" w:color="auto" w:fill="auto"/>
            <w:noWrap w:val="0"/>
            <w:vAlign w:val="center"/>
          </w:tcPr>
          <w:p w14:paraId="4CC41086">
            <w:pPr>
              <w:pStyle w:val="45"/>
              <w:spacing w:beforeAutospacing="0" w:afterAutospacing="0"/>
              <w:jc w:val="center"/>
              <w:rPr>
                <w:color w:val="000000" w:themeColor="text1"/>
                <w:highlight w:val="none"/>
                <w14:textFill>
                  <w14:solidFill>
                    <w14:schemeClr w14:val="tx1"/>
                  </w14:solidFill>
                </w14:textFill>
              </w:rPr>
            </w:pPr>
          </w:p>
        </w:tc>
        <w:tc>
          <w:tcPr>
            <w:tcW w:w="2469" w:type="dxa"/>
            <w:tcBorders>
              <w:tl2br w:val="nil"/>
              <w:tr2bl w:val="nil"/>
            </w:tcBorders>
            <w:shd w:val="clear" w:color="auto" w:fill="auto"/>
            <w:noWrap w:val="0"/>
            <w:vAlign w:val="center"/>
          </w:tcPr>
          <w:p w14:paraId="4D184F4A">
            <w:pPr>
              <w:pStyle w:val="45"/>
              <w:spacing w:beforeAutospacing="0" w:afterAutospacing="0"/>
              <w:jc w:val="center"/>
              <w:rPr>
                <w:color w:val="000000" w:themeColor="text1"/>
                <w:highlight w:val="none"/>
                <w14:textFill>
                  <w14:solidFill>
                    <w14:schemeClr w14:val="tx1"/>
                  </w14:solidFill>
                </w14:textFill>
              </w:rPr>
            </w:pPr>
          </w:p>
        </w:tc>
        <w:tc>
          <w:tcPr>
            <w:tcW w:w="2645" w:type="dxa"/>
            <w:tcBorders>
              <w:tl2br w:val="nil"/>
              <w:tr2bl w:val="nil"/>
            </w:tcBorders>
            <w:shd w:val="clear" w:color="auto" w:fill="auto"/>
            <w:noWrap w:val="0"/>
            <w:vAlign w:val="center"/>
          </w:tcPr>
          <w:p w14:paraId="0E1B873A">
            <w:pPr>
              <w:pStyle w:val="45"/>
              <w:spacing w:beforeAutospacing="0" w:afterAutospacing="0"/>
              <w:jc w:val="center"/>
              <w:rPr>
                <w:color w:val="000000" w:themeColor="text1"/>
                <w:highlight w:val="none"/>
                <w14:textFill>
                  <w14:solidFill>
                    <w14:schemeClr w14:val="tx1"/>
                  </w14:solidFill>
                </w14:textFill>
              </w:rPr>
            </w:pPr>
          </w:p>
        </w:tc>
        <w:tc>
          <w:tcPr>
            <w:tcW w:w="1244" w:type="dxa"/>
            <w:tcBorders>
              <w:tl2br w:val="nil"/>
              <w:tr2bl w:val="nil"/>
            </w:tcBorders>
            <w:shd w:val="clear" w:color="auto" w:fill="auto"/>
            <w:noWrap w:val="0"/>
            <w:vAlign w:val="center"/>
          </w:tcPr>
          <w:p w14:paraId="096F566F">
            <w:pPr>
              <w:pStyle w:val="45"/>
              <w:spacing w:beforeAutospacing="0" w:afterAutospacing="0"/>
              <w:jc w:val="center"/>
              <w:rPr>
                <w:color w:val="000000" w:themeColor="text1"/>
                <w:highlight w:val="none"/>
                <w14:textFill>
                  <w14:solidFill>
                    <w14:schemeClr w14:val="tx1"/>
                  </w14:solidFill>
                </w14:textFill>
              </w:rPr>
            </w:pPr>
          </w:p>
        </w:tc>
        <w:tc>
          <w:tcPr>
            <w:tcW w:w="1501" w:type="dxa"/>
            <w:tcBorders>
              <w:tl2br w:val="nil"/>
              <w:tr2bl w:val="nil"/>
            </w:tcBorders>
            <w:shd w:val="clear" w:color="auto" w:fill="auto"/>
            <w:noWrap w:val="0"/>
            <w:vAlign w:val="center"/>
          </w:tcPr>
          <w:p w14:paraId="060B7F59">
            <w:pPr>
              <w:pStyle w:val="45"/>
              <w:spacing w:beforeAutospacing="0" w:afterAutospacing="0"/>
              <w:jc w:val="center"/>
              <w:rPr>
                <w:color w:val="000000" w:themeColor="text1"/>
                <w:highlight w:val="none"/>
                <w14:textFill>
                  <w14:solidFill>
                    <w14:schemeClr w14:val="tx1"/>
                  </w14:solidFill>
                </w14:textFill>
              </w:rPr>
            </w:pPr>
          </w:p>
        </w:tc>
      </w:tr>
      <w:tr w14:paraId="53A975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0" w:hRule="atLeast"/>
          <w:tblCellSpacing w:w="0" w:type="dxa"/>
          <w:jc w:val="center"/>
        </w:trPr>
        <w:tc>
          <w:tcPr>
            <w:tcW w:w="661" w:type="dxa"/>
            <w:tcBorders>
              <w:tl2br w:val="nil"/>
              <w:tr2bl w:val="nil"/>
            </w:tcBorders>
            <w:shd w:val="clear" w:color="auto" w:fill="auto"/>
            <w:noWrap w:val="0"/>
            <w:vAlign w:val="center"/>
          </w:tcPr>
          <w:p w14:paraId="2DFA8E4D">
            <w:pPr>
              <w:pStyle w:val="45"/>
              <w:spacing w:beforeAutospacing="0" w:afterAutospacing="0"/>
              <w:jc w:val="center"/>
              <w:rPr>
                <w:color w:val="000000" w:themeColor="text1"/>
                <w:highlight w:val="none"/>
                <w14:textFill>
                  <w14:solidFill>
                    <w14:schemeClr w14:val="tx1"/>
                  </w14:solidFill>
                </w14:textFill>
              </w:rPr>
            </w:pPr>
          </w:p>
        </w:tc>
        <w:tc>
          <w:tcPr>
            <w:tcW w:w="2469" w:type="dxa"/>
            <w:tcBorders>
              <w:tl2br w:val="nil"/>
              <w:tr2bl w:val="nil"/>
            </w:tcBorders>
            <w:shd w:val="clear" w:color="auto" w:fill="auto"/>
            <w:noWrap w:val="0"/>
            <w:vAlign w:val="center"/>
          </w:tcPr>
          <w:p w14:paraId="742DD121">
            <w:pPr>
              <w:pStyle w:val="45"/>
              <w:spacing w:beforeAutospacing="0" w:afterAutospacing="0"/>
              <w:jc w:val="center"/>
              <w:rPr>
                <w:color w:val="000000" w:themeColor="text1"/>
                <w:highlight w:val="none"/>
                <w14:textFill>
                  <w14:solidFill>
                    <w14:schemeClr w14:val="tx1"/>
                  </w14:solidFill>
                </w14:textFill>
              </w:rPr>
            </w:pPr>
          </w:p>
        </w:tc>
        <w:tc>
          <w:tcPr>
            <w:tcW w:w="2645" w:type="dxa"/>
            <w:tcBorders>
              <w:tl2br w:val="nil"/>
              <w:tr2bl w:val="nil"/>
            </w:tcBorders>
            <w:shd w:val="clear" w:color="auto" w:fill="auto"/>
            <w:noWrap w:val="0"/>
            <w:vAlign w:val="center"/>
          </w:tcPr>
          <w:p w14:paraId="76B28EBC">
            <w:pPr>
              <w:pStyle w:val="45"/>
              <w:spacing w:beforeAutospacing="0" w:afterAutospacing="0"/>
              <w:jc w:val="center"/>
              <w:rPr>
                <w:color w:val="000000" w:themeColor="text1"/>
                <w:highlight w:val="none"/>
                <w14:textFill>
                  <w14:solidFill>
                    <w14:schemeClr w14:val="tx1"/>
                  </w14:solidFill>
                </w14:textFill>
              </w:rPr>
            </w:pPr>
          </w:p>
        </w:tc>
        <w:tc>
          <w:tcPr>
            <w:tcW w:w="1244" w:type="dxa"/>
            <w:tcBorders>
              <w:tl2br w:val="nil"/>
              <w:tr2bl w:val="nil"/>
            </w:tcBorders>
            <w:shd w:val="clear" w:color="auto" w:fill="auto"/>
            <w:noWrap w:val="0"/>
            <w:vAlign w:val="center"/>
          </w:tcPr>
          <w:p w14:paraId="73966108">
            <w:pPr>
              <w:pStyle w:val="45"/>
              <w:spacing w:beforeAutospacing="0" w:afterAutospacing="0"/>
              <w:jc w:val="center"/>
              <w:rPr>
                <w:color w:val="000000" w:themeColor="text1"/>
                <w:highlight w:val="none"/>
                <w14:textFill>
                  <w14:solidFill>
                    <w14:schemeClr w14:val="tx1"/>
                  </w14:solidFill>
                </w14:textFill>
              </w:rPr>
            </w:pPr>
          </w:p>
        </w:tc>
        <w:tc>
          <w:tcPr>
            <w:tcW w:w="1501" w:type="dxa"/>
            <w:tcBorders>
              <w:tl2br w:val="nil"/>
              <w:tr2bl w:val="nil"/>
            </w:tcBorders>
            <w:shd w:val="clear" w:color="auto" w:fill="auto"/>
            <w:noWrap w:val="0"/>
            <w:vAlign w:val="center"/>
          </w:tcPr>
          <w:p w14:paraId="476FA867">
            <w:pPr>
              <w:pStyle w:val="45"/>
              <w:spacing w:beforeAutospacing="0" w:afterAutospacing="0"/>
              <w:jc w:val="center"/>
              <w:rPr>
                <w:color w:val="000000" w:themeColor="text1"/>
                <w:highlight w:val="none"/>
                <w14:textFill>
                  <w14:solidFill>
                    <w14:schemeClr w14:val="tx1"/>
                  </w14:solidFill>
                </w14:textFill>
              </w:rPr>
            </w:pPr>
          </w:p>
        </w:tc>
      </w:tr>
      <w:tr w14:paraId="5676AE4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0" w:hRule="atLeast"/>
          <w:tblCellSpacing w:w="0" w:type="dxa"/>
          <w:jc w:val="center"/>
        </w:trPr>
        <w:tc>
          <w:tcPr>
            <w:tcW w:w="661" w:type="dxa"/>
            <w:tcBorders>
              <w:tl2br w:val="nil"/>
              <w:tr2bl w:val="nil"/>
            </w:tcBorders>
            <w:shd w:val="clear" w:color="auto" w:fill="auto"/>
            <w:noWrap w:val="0"/>
            <w:vAlign w:val="center"/>
          </w:tcPr>
          <w:p w14:paraId="69A82D91">
            <w:pPr>
              <w:pStyle w:val="45"/>
              <w:spacing w:beforeAutospacing="0" w:afterAutospacing="0"/>
              <w:jc w:val="center"/>
              <w:rPr>
                <w:color w:val="000000" w:themeColor="text1"/>
                <w:highlight w:val="none"/>
                <w14:textFill>
                  <w14:solidFill>
                    <w14:schemeClr w14:val="tx1"/>
                  </w14:solidFill>
                </w14:textFill>
              </w:rPr>
            </w:pPr>
          </w:p>
        </w:tc>
        <w:tc>
          <w:tcPr>
            <w:tcW w:w="2469" w:type="dxa"/>
            <w:tcBorders>
              <w:tl2br w:val="nil"/>
              <w:tr2bl w:val="nil"/>
            </w:tcBorders>
            <w:shd w:val="clear" w:color="auto" w:fill="auto"/>
            <w:noWrap w:val="0"/>
            <w:vAlign w:val="center"/>
          </w:tcPr>
          <w:p w14:paraId="4743CBE2">
            <w:pPr>
              <w:pStyle w:val="45"/>
              <w:spacing w:beforeAutospacing="0" w:afterAutospacing="0"/>
              <w:jc w:val="center"/>
              <w:rPr>
                <w:color w:val="000000" w:themeColor="text1"/>
                <w:highlight w:val="none"/>
                <w14:textFill>
                  <w14:solidFill>
                    <w14:schemeClr w14:val="tx1"/>
                  </w14:solidFill>
                </w14:textFill>
              </w:rPr>
            </w:pPr>
          </w:p>
        </w:tc>
        <w:tc>
          <w:tcPr>
            <w:tcW w:w="2645" w:type="dxa"/>
            <w:tcBorders>
              <w:tl2br w:val="nil"/>
              <w:tr2bl w:val="nil"/>
            </w:tcBorders>
            <w:shd w:val="clear" w:color="auto" w:fill="auto"/>
            <w:noWrap w:val="0"/>
            <w:vAlign w:val="center"/>
          </w:tcPr>
          <w:p w14:paraId="2C5BF880">
            <w:pPr>
              <w:pStyle w:val="45"/>
              <w:spacing w:beforeAutospacing="0" w:afterAutospacing="0"/>
              <w:jc w:val="center"/>
              <w:rPr>
                <w:color w:val="000000" w:themeColor="text1"/>
                <w:highlight w:val="none"/>
                <w14:textFill>
                  <w14:solidFill>
                    <w14:schemeClr w14:val="tx1"/>
                  </w14:solidFill>
                </w14:textFill>
              </w:rPr>
            </w:pPr>
          </w:p>
        </w:tc>
        <w:tc>
          <w:tcPr>
            <w:tcW w:w="1244" w:type="dxa"/>
            <w:tcBorders>
              <w:tl2br w:val="nil"/>
              <w:tr2bl w:val="nil"/>
            </w:tcBorders>
            <w:shd w:val="clear" w:color="auto" w:fill="auto"/>
            <w:noWrap w:val="0"/>
            <w:vAlign w:val="center"/>
          </w:tcPr>
          <w:p w14:paraId="0F520509">
            <w:pPr>
              <w:pStyle w:val="45"/>
              <w:spacing w:beforeAutospacing="0" w:afterAutospacing="0"/>
              <w:jc w:val="center"/>
              <w:rPr>
                <w:color w:val="000000" w:themeColor="text1"/>
                <w:highlight w:val="none"/>
                <w14:textFill>
                  <w14:solidFill>
                    <w14:schemeClr w14:val="tx1"/>
                  </w14:solidFill>
                </w14:textFill>
              </w:rPr>
            </w:pPr>
          </w:p>
        </w:tc>
        <w:tc>
          <w:tcPr>
            <w:tcW w:w="1501" w:type="dxa"/>
            <w:tcBorders>
              <w:tl2br w:val="nil"/>
              <w:tr2bl w:val="nil"/>
            </w:tcBorders>
            <w:shd w:val="clear" w:color="auto" w:fill="auto"/>
            <w:noWrap w:val="0"/>
            <w:vAlign w:val="center"/>
          </w:tcPr>
          <w:p w14:paraId="59CF2654">
            <w:pPr>
              <w:pStyle w:val="45"/>
              <w:spacing w:beforeAutospacing="0" w:afterAutospacing="0"/>
              <w:jc w:val="center"/>
              <w:rPr>
                <w:color w:val="000000" w:themeColor="text1"/>
                <w:highlight w:val="none"/>
                <w14:textFill>
                  <w14:solidFill>
                    <w14:schemeClr w14:val="tx1"/>
                  </w14:solidFill>
                </w14:textFill>
              </w:rPr>
            </w:pPr>
          </w:p>
        </w:tc>
      </w:tr>
      <w:tr w14:paraId="5E00198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0" w:hRule="atLeast"/>
          <w:tblCellSpacing w:w="0" w:type="dxa"/>
          <w:jc w:val="center"/>
        </w:trPr>
        <w:tc>
          <w:tcPr>
            <w:tcW w:w="661" w:type="dxa"/>
            <w:tcBorders>
              <w:tl2br w:val="nil"/>
              <w:tr2bl w:val="nil"/>
            </w:tcBorders>
            <w:shd w:val="clear" w:color="auto" w:fill="auto"/>
            <w:noWrap w:val="0"/>
            <w:vAlign w:val="center"/>
          </w:tcPr>
          <w:p w14:paraId="5A1A0EF2">
            <w:pPr>
              <w:pStyle w:val="45"/>
              <w:spacing w:beforeAutospacing="0" w:afterAutospacing="0"/>
              <w:jc w:val="center"/>
              <w:rPr>
                <w:color w:val="000000" w:themeColor="text1"/>
                <w:highlight w:val="none"/>
                <w14:textFill>
                  <w14:solidFill>
                    <w14:schemeClr w14:val="tx1"/>
                  </w14:solidFill>
                </w14:textFill>
              </w:rPr>
            </w:pPr>
          </w:p>
        </w:tc>
        <w:tc>
          <w:tcPr>
            <w:tcW w:w="2469" w:type="dxa"/>
            <w:tcBorders>
              <w:tl2br w:val="nil"/>
              <w:tr2bl w:val="nil"/>
            </w:tcBorders>
            <w:shd w:val="clear" w:color="auto" w:fill="auto"/>
            <w:noWrap w:val="0"/>
            <w:vAlign w:val="center"/>
          </w:tcPr>
          <w:p w14:paraId="17D4ED7A">
            <w:pPr>
              <w:pStyle w:val="45"/>
              <w:spacing w:beforeAutospacing="0" w:afterAutospacing="0"/>
              <w:jc w:val="center"/>
              <w:rPr>
                <w:color w:val="000000" w:themeColor="text1"/>
                <w:highlight w:val="none"/>
                <w14:textFill>
                  <w14:solidFill>
                    <w14:schemeClr w14:val="tx1"/>
                  </w14:solidFill>
                </w14:textFill>
              </w:rPr>
            </w:pPr>
          </w:p>
        </w:tc>
        <w:tc>
          <w:tcPr>
            <w:tcW w:w="2645" w:type="dxa"/>
            <w:tcBorders>
              <w:tl2br w:val="nil"/>
              <w:tr2bl w:val="nil"/>
            </w:tcBorders>
            <w:shd w:val="clear" w:color="auto" w:fill="auto"/>
            <w:noWrap w:val="0"/>
            <w:vAlign w:val="center"/>
          </w:tcPr>
          <w:p w14:paraId="14C8E1D4">
            <w:pPr>
              <w:pStyle w:val="45"/>
              <w:spacing w:beforeAutospacing="0" w:afterAutospacing="0"/>
              <w:jc w:val="center"/>
              <w:rPr>
                <w:color w:val="000000" w:themeColor="text1"/>
                <w:highlight w:val="none"/>
                <w14:textFill>
                  <w14:solidFill>
                    <w14:schemeClr w14:val="tx1"/>
                  </w14:solidFill>
                </w14:textFill>
              </w:rPr>
            </w:pPr>
          </w:p>
        </w:tc>
        <w:tc>
          <w:tcPr>
            <w:tcW w:w="1244" w:type="dxa"/>
            <w:tcBorders>
              <w:tl2br w:val="nil"/>
              <w:tr2bl w:val="nil"/>
            </w:tcBorders>
            <w:shd w:val="clear" w:color="auto" w:fill="auto"/>
            <w:noWrap w:val="0"/>
            <w:vAlign w:val="center"/>
          </w:tcPr>
          <w:p w14:paraId="772D43FB">
            <w:pPr>
              <w:pStyle w:val="45"/>
              <w:spacing w:beforeAutospacing="0" w:afterAutospacing="0"/>
              <w:jc w:val="center"/>
              <w:rPr>
                <w:color w:val="000000" w:themeColor="text1"/>
                <w:highlight w:val="none"/>
                <w14:textFill>
                  <w14:solidFill>
                    <w14:schemeClr w14:val="tx1"/>
                  </w14:solidFill>
                </w14:textFill>
              </w:rPr>
            </w:pPr>
          </w:p>
        </w:tc>
        <w:tc>
          <w:tcPr>
            <w:tcW w:w="1501" w:type="dxa"/>
            <w:tcBorders>
              <w:tl2br w:val="nil"/>
              <w:tr2bl w:val="nil"/>
            </w:tcBorders>
            <w:shd w:val="clear" w:color="auto" w:fill="auto"/>
            <w:noWrap w:val="0"/>
            <w:vAlign w:val="center"/>
          </w:tcPr>
          <w:p w14:paraId="51A451B0">
            <w:pPr>
              <w:pStyle w:val="45"/>
              <w:spacing w:beforeAutospacing="0" w:afterAutospacing="0"/>
              <w:jc w:val="center"/>
              <w:rPr>
                <w:color w:val="000000" w:themeColor="text1"/>
                <w:highlight w:val="none"/>
                <w14:textFill>
                  <w14:solidFill>
                    <w14:schemeClr w14:val="tx1"/>
                  </w14:solidFill>
                </w14:textFill>
              </w:rPr>
            </w:pPr>
          </w:p>
        </w:tc>
      </w:tr>
    </w:tbl>
    <w:p w14:paraId="670BC592">
      <w:pPr>
        <w:pStyle w:val="45"/>
        <w:spacing w:beforeAutospacing="0" w:afterAutospacing="0"/>
        <w:jc w:val="both"/>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注：行数不够，可自行添加。</w:t>
      </w:r>
    </w:p>
    <w:p w14:paraId="612D6C50">
      <w:pPr>
        <w:spacing w:line="500" w:lineRule="exact"/>
        <w:ind w:firstLine="723"/>
        <w:jc w:val="center"/>
        <w:rPr>
          <w:rFonts w:ascii="宋体" w:hAnsi="宋体"/>
          <w:b/>
          <w:color w:val="000000" w:themeColor="text1"/>
          <w:sz w:val="36"/>
          <w:szCs w:val="36"/>
          <w:highlight w:val="none"/>
          <w14:textFill>
            <w14:solidFill>
              <w14:schemeClr w14:val="tx1"/>
            </w14:solidFill>
          </w14:textFill>
        </w:rPr>
      </w:pPr>
    </w:p>
    <w:p w14:paraId="52A2701E">
      <w:pPr>
        <w:spacing w:line="500" w:lineRule="exact"/>
        <w:ind w:firstLine="723"/>
        <w:jc w:val="center"/>
        <w:rPr>
          <w:rFonts w:ascii="宋体" w:hAnsi="宋体"/>
          <w:b/>
          <w:color w:val="000000" w:themeColor="text1"/>
          <w:sz w:val="36"/>
          <w:szCs w:val="36"/>
          <w:highlight w:val="none"/>
          <w14:textFill>
            <w14:solidFill>
              <w14:schemeClr w14:val="tx1"/>
            </w14:solidFill>
          </w14:textFill>
        </w:rPr>
      </w:pPr>
    </w:p>
    <w:p w14:paraId="26BB81AB">
      <w:pPr>
        <w:pStyle w:val="49"/>
        <w:ind w:firstLine="723"/>
        <w:rPr>
          <w:rFonts w:ascii="宋体" w:hAnsi="宋体"/>
          <w:b/>
          <w:color w:val="000000" w:themeColor="text1"/>
          <w:sz w:val="36"/>
          <w:szCs w:val="36"/>
          <w:highlight w:val="none"/>
          <w14:textFill>
            <w14:solidFill>
              <w14:schemeClr w14:val="tx1"/>
            </w14:solidFill>
          </w14:textFill>
        </w:rPr>
      </w:pPr>
    </w:p>
    <w:p w14:paraId="42CA841F">
      <w:pPr>
        <w:pStyle w:val="37"/>
        <w:rPr>
          <w:rFonts w:ascii="宋体" w:hAnsi="宋体"/>
          <w:b/>
          <w:color w:val="000000" w:themeColor="text1"/>
          <w:sz w:val="36"/>
          <w:szCs w:val="36"/>
          <w:highlight w:val="none"/>
          <w14:textFill>
            <w14:solidFill>
              <w14:schemeClr w14:val="tx1"/>
            </w14:solidFill>
          </w14:textFill>
        </w:rPr>
      </w:pPr>
    </w:p>
    <w:p w14:paraId="119E7095">
      <w:pPr>
        <w:rPr>
          <w:rFonts w:ascii="宋体" w:hAnsi="宋体"/>
          <w:b/>
          <w:color w:val="000000" w:themeColor="text1"/>
          <w:sz w:val="36"/>
          <w:szCs w:val="36"/>
          <w:highlight w:val="none"/>
          <w14:textFill>
            <w14:solidFill>
              <w14:schemeClr w14:val="tx1"/>
            </w14:solidFill>
          </w14:textFill>
        </w:rPr>
      </w:pPr>
    </w:p>
    <w:p w14:paraId="53F714D3">
      <w:pPr>
        <w:pStyle w:val="49"/>
        <w:ind w:firstLine="723"/>
        <w:rPr>
          <w:rFonts w:ascii="宋体" w:hAnsi="宋体"/>
          <w:b/>
          <w:color w:val="000000" w:themeColor="text1"/>
          <w:sz w:val="36"/>
          <w:szCs w:val="36"/>
          <w:highlight w:val="none"/>
          <w14:textFill>
            <w14:solidFill>
              <w14:schemeClr w14:val="tx1"/>
            </w14:solidFill>
          </w14:textFill>
        </w:rPr>
      </w:pPr>
    </w:p>
    <w:p w14:paraId="7CD94F85">
      <w:pPr>
        <w:pStyle w:val="37"/>
        <w:rPr>
          <w:rFonts w:ascii="宋体" w:hAnsi="宋体"/>
          <w:b/>
          <w:color w:val="000000" w:themeColor="text1"/>
          <w:sz w:val="36"/>
          <w:szCs w:val="36"/>
          <w:highlight w:val="none"/>
          <w14:textFill>
            <w14:solidFill>
              <w14:schemeClr w14:val="tx1"/>
            </w14:solidFill>
          </w14:textFill>
        </w:rPr>
      </w:pPr>
    </w:p>
    <w:p w14:paraId="7870BB4E">
      <w:pPr>
        <w:rPr>
          <w:rFonts w:ascii="宋体" w:hAnsi="宋体"/>
          <w:b/>
          <w:color w:val="000000" w:themeColor="text1"/>
          <w:sz w:val="36"/>
          <w:szCs w:val="36"/>
          <w:highlight w:val="none"/>
          <w14:textFill>
            <w14:solidFill>
              <w14:schemeClr w14:val="tx1"/>
            </w14:solidFill>
          </w14:textFill>
        </w:rPr>
      </w:pPr>
    </w:p>
    <w:bookmarkEnd w:id="148"/>
    <w:p w14:paraId="14FB9FDF">
      <w:pPr>
        <w:rPr>
          <w:rFonts w:ascii="宋体" w:hAnsi="宋体"/>
          <w:b/>
          <w:color w:val="000000" w:themeColor="text1"/>
          <w:sz w:val="36"/>
          <w:szCs w:val="36"/>
          <w:highlight w:val="none"/>
          <w14:textFill>
            <w14:solidFill>
              <w14:schemeClr w14:val="tx1"/>
            </w14:solidFill>
          </w14:textFill>
        </w:rPr>
      </w:pPr>
    </w:p>
    <w:p w14:paraId="44F4CEE5">
      <w:pPr>
        <w:rPr>
          <w:rFonts w:ascii="宋体" w:hAnsi="宋体"/>
          <w:b/>
          <w:color w:val="000000" w:themeColor="text1"/>
          <w:sz w:val="36"/>
          <w:szCs w:val="36"/>
          <w:highlight w:val="none"/>
          <w14:textFill>
            <w14:solidFill>
              <w14:schemeClr w14:val="tx1"/>
            </w14:solidFill>
          </w14:textFill>
        </w:rPr>
      </w:pPr>
    </w:p>
    <w:p w14:paraId="7C0AC370">
      <w:pPr>
        <w:pStyle w:val="49"/>
        <w:rPr>
          <w:rFonts w:ascii="宋体" w:hAnsi="宋体"/>
          <w:b/>
          <w:color w:val="000000" w:themeColor="text1"/>
          <w:sz w:val="36"/>
          <w:szCs w:val="36"/>
          <w:highlight w:val="none"/>
          <w14:textFill>
            <w14:solidFill>
              <w14:schemeClr w14:val="tx1"/>
            </w14:solidFill>
          </w14:textFill>
        </w:rPr>
      </w:pPr>
    </w:p>
    <w:p w14:paraId="5243D586">
      <w:pPr>
        <w:pStyle w:val="37"/>
        <w:rPr>
          <w:rFonts w:ascii="宋体" w:hAnsi="宋体"/>
          <w:b/>
          <w:color w:val="000000" w:themeColor="text1"/>
          <w:sz w:val="36"/>
          <w:szCs w:val="36"/>
          <w:highlight w:val="none"/>
          <w14:textFill>
            <w14:solidFill>
              <w14:schemeClr w14:val="tx1"/>
            </w14:solidFill>
          </w14:textFill>
        </w:rPr>
      </w:pPr>
    </w:p>
    <w:p w14:paraId="62DE634E">
      <w:pPr>
        <w:rPr>
          <w:rFonts w:ascii="宋体" w:hAnsi="宋体"/>
          <w:b/>
          <w:color w:val="000000" w:themeColor="text1"/>
          <w:sz w:val="36"/>
          <w:szCs w:val="36"/>
          <w:highlight w:val="none"/>
          <w14:textFill>
            <w14:solidFill>
              <w14:schemeClr w14:val="tx1"/>
            </w14:solidFill>
          </w14:textFill>
        </w:rPr>
      </w:pPr>
    </w:p>
    <w:p w14:paraId="152321D5">
      <w:pPr>
        <w:pStyle w:val="49"/>
        <w:rPr>
          <w:color w:val="000000" w:themeColor="text1"/>
          <w:highlight w:val="none"/>
          <w14:textFill>
            <w14:solidFill>
              <w14:schemeClr w14:val="tx1"/>
            </w14:solidFill>
          </w14:textFill>
        </w:rPr>
      </w:pPr>
    </w:p>
    <w:p w14:paraId="5DD7EDFF">
      <w:pPr>
        <w:spacing w:before="50" w:after="50"/>
        <w:jc w:val="center"/>
        <w:rPr>
          <w:rFonts w:ascii="黑体" w:hAnsi="宋体" w:eastAsia="黑体" w:cs="黑体"/>
          <w:iCs/>
          <w:color w:val="000000" w:themeColor="text1"/>
          <w:sz w:val="32"/>
          <w:szCs w:val="32"/>
          <w:highlight w:val="none"/>
          <w14:textFill>
            <w14:solidFill>
              <w14:schemeClr w14:val="tx1"/>
            </w14:solidFill>
          </w14:textFill>
        </w:rPr>
      </w:pPr>
      <w:r>
        <w:rPr>
          <w:rFonts w:hint="eastAsia" w:ascii="黑体" w:hAnsi="宋体" w:eastAsia="黑体" w:cs="黑体"/>
          <w:iCs/>
          <w:color w:val="000000" w:themeColor="text1"/>
          <w:sz w:val="32"/>
          <w:szCs w:val="32"/>
          <w:highlight w:val="none"/>
          <w14:textFill>
            <w14:solidFill>
              <w14:schemeClr w14:val="tx1"/>
            </w14:solidFill>
          </w14:textFill>
        </w:rPr>
        <w:t>十四、开标一览表</w:t>
      </w:r>
    </w:p>
    <w:p w14:paraId="1282415D">
      <w:pPr>
        <w:pStyle w:val="45"/>
        <w:rPr>
          <w:color w:val="000000" w:themeColor="text1"/>
          <w:highlight w:val="none"/>
          <w14:textFill>
            <w14:solidFill>
              <w14:schemeClr w14:val="tx1"/>
            </w14:solidFill>
          </w14:textFill>
        </w:rPr>
      </w:pPr>
    </w:p>
    <w:p w14:paraId="03B50E23">
      <w:pPr>
        <w:pStyle w:val="4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项目编号：</w:t>
      </w:r>
    </w:p>
    <w:p w14:paraId="75D25876">
      <w:pPr>
        <w:pStyle w:val="4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货币单位：人民币元</w:t>
      </w:r>
    </w:p>
    <w:tbl>
      <w:tblPr>
        <w:tblStyle w:val="50"/>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937"/>
        <w:gridCol w:w="2730"/>
        <w:gridCol w:w="3453"/>
      </w:tblGrid>
      <w:tr w14:paraId="7C699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2892" w:type="dxa"/>
            <w:tcBorders>
              <w:tl2br w:val="nil"/>
              <w:tr2bl w:val="nil"/>
            </w:tcBorders>
            <w:shd w:val="clear" w:color="auto" w:fill="auto"/>
            <w:noWrap w:val="0"/>
            <w:vAlign w:val="center"/>
          </w:tcPr>
          <w:p w14:paraId="3AA5B324">
            <w:pPr>
              <w:pStyle w:val="4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项目名称</w:t>
            </w:r>
          </w:p>
        </w:tc>
        <w:tc>
          <w:tcPr>
            <w:tcW w:w="2700" w:type="dxa"/>
            <w:tcBorders>
              <w:tl2br w:val="nil"/>
              <w:tr2bl w:val="nil"/>
            </w:tcBorders>
            <w:shd w:val="clear" w:color="auto" w:fill="auto"/>
            <w:noWrap w:val="0"/>
            <w:vAlign w:val="center"/>
          </w:tcPr>
          <w:p w14:paraId="31C6CD54">
            <w:pPr>
              <w:pStyle w:val="4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项目内容</w:t>
            </w:r>
          </w:p>
        </w:tc>
        <w:tc>
          <w:tcPr>
            <w:tcW w:w="3408" w:type="dxa"/>
            <w:tcBorders>
              <w:tl2br w:val="nil"/>
              <w:tr2bl w:val="nil"/>
            </w:tcBorders>
            <w:shd w:val="clear" w:color="auto" w:fill="auto"/>
            <w:noWrap w:val="0"/>
            <w:vAlign w:val="center"/>
          </w:tcPr>
          <w:p w14:paraId="1A10B042">
            <w:pPr>
              <w:pStyle w:val="4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总价（小写）</w:t>
            </w:r>
          </w:p>
        </w:tc>
      </w:tr>
      <w:tr w14:paraId="0BEB6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2892" w:type="dxa"/>
            <w:tcBorders>
              <w:tl2br w:val="nil"/>
              <w:tr2bl w:val="nil"/>
            </w:tcBorders>
            <w:shd w:val="clear" w:color="auto" w:fill="auto"/>
            <w:noWrap w:val="0"/>
            <w:vAlign w:val="center"/>
          </w:tcPr>
          <w:p w14:paraId="00943153">
            <w:pPr>
              <w:widowControl/>
              <w:jc w:val="left"/>
              <w:rPr>
                <w:color w:val="000000" w:themeColor="text1"/>
                <w:highlight w:val="none"/>
                <w14:textFill>
                  <w14:solidFill>
                    <w14:schemeClr w14:val="tx1"/>
                  </w14:solidFill>
                </w14:textFill>
              </w:rPr>
            </w:pPr>
            <w:r>
              <w:rPr>
                <w:rFonts w:hint="eastAsia" w:ascii="宋体" w:hAnsi="宋体" w:cs="宋体"/>
                <w:color w:val="000000" w:themeColor="text1"/>
                <w:sz w:val="24"/>
                <w:highlight w:val="none"/>
                <w:lang w:eastAsia="zh-CN" w:bidi="ar"/>
                <w14:textFill>
                  <w14:solidFill>
                    <w14:schemeClr w14:val="tx1"/>
                  </w14:solidFill>
                </w14:textFill>
              </w:rPr>
              <w:t>盐城市2026年日常变更及年度变更调查</w:t>
            </w:r>
            <w:r>
              <w:rPr>
                <w:rFonts w:hint="eastAsia" w:ascii="宋体" w:hAnsi="宋体" w:cs="宋体"/>
                <w:color w:val="000000" w:themeColor="text1"/>
                <w:sz w:val="24"/>
                <w:highlight w:val="none"/>
                <w:lang w:bidi="ar"/>
                <w14:textFill>
                  <w14:solidFill>
                    <w14:schemeClr w14:val="tx1"/>
                  </w14:solidFill>
                </w14:textFill>
              </w:rPr>
              <w:t>市级检查及技术支撑服务项目</w:t>
            </w:r>
          </w:p>
        </w:tc>
        <w:tc>
          <w:tcPr>
            <w:tcW w:w="2700" w:type="dxa"/>
            <w:tcBorders>
              <w:tl2br w:val="nil"/>
              <w:tr2bl w:val="nil"/>
            </w:tcBorders>
            <w:shd w:val="clear" w:color="auto" w:fill="auto"/>
            <w:noWrap w:val="0"/>
            <w:vAlign w:val="center"/>
          </w:tcPr>
          <w:p w14:paraId="2B4BAC89">
            <w:pPr>
              <w:pStyle w:val="4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详见投标文件</w:t>
            </w:r>
          </w:p>
        </w:tc>
        <w:tc>
          <w:tcPr>
            <w:tcW w:w="3408" w:type="dxa"/>
            <w:tcBorders>
              <w:tl2br w:val="nil"/>
              <w:tr2bl w:val="nil"/>
            </w:tcBorders>
            <w:shd w:val="clear" w:color="auto" w:fill="auto"/>
            <w:noWrap w:val="0"/>
            <w:vAlign w:val="center"/>
          </w:tcPr>
          <w:p w14:paraId="4C51E074">
            <w:pPr>
              <w:pStyle w:val="45"/>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u w:val="single"/>
                <w:lang w:val="en-US" w:eastAsia="zh-CN"/>
                <w14:textFill>
                  <w14:solidFill>
                    <w14:schemeClr w14:val="tx1"/>
                  </w14:solidFill>
                </w14:textFill>
              </w:rPr>
              <w:t xml:space="preserve">            元</w:t>
            </w:r>
          </w:p>
        </w:tc>
      </w:tr>
      <w:tr w14:paraId="2DA3B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2892" w:type="dxa"/>
            <w:tcBorders>
              <w:tl2br w:val="nil"/>
              <w:tr2bl w:val="nil"/>
            </w:tcBorders>
            <w:shd w:val="clear" w:color="auto" w:fill="auto"/>
            <w:noWrap w:val="0"/>
            <w:vAlign w:val="center"/>
          </w:tcPr>
          <w:p w14:paraId="69B2F4E6">
            <w:pPr>
              <w:pStyle w:val="4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总价（大写）：</w:t>
            </w:r>
          </w:p>
        </w:tc>
        <w:tc>
          <w:tcPr>
            <w:tcW w:w="6096" w:type="dxa"/>
            <w:gridSpan w:val="2"/>
            <w:tcBorders>
              <w:tl2br w:val="nil"/>
              <w:tr2bl w:val="nil"/>
            </w:tcBorders>
            <w:shd w:val="clear" w:color="auto" w:fill="auto"/>
            <w:noWrap w:val="0"/>
            <w:vAlign w:val="center"/>
          </w:tcPr>
          <w:p w14:paraId="1AFB8C84">
            <w:pPr>
              <w:pStyle w:val="4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金额大写</w:t>
            </w:r>
          </w:p>
        </w:tc>
      </w:tr>
    </w:tbl>
    <w:p w14:paraId="2BFD66BE">
      <w:pPr>
        <w:pStyle w:val="4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投标人公章：</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（电子签章）</w:t>
      </w:r>
    </w:p>
    <w:p w14:paraId="182CD925">
      <w:pPr>
        <w:pStyle w:val="45"/>
        <w:jc w:val="righ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日期：</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日</w:t>
      </w:r>
    </w:p>
    <w:p w14:paraId="5256D924">
      <w:pPr>
        <w:pStyle w:val="45"/>
        <w:spacing w:beforeAutospacing="0" w:afterAutospacing="0"/>
        <w:jc w:val="both"/>
        <w:rPr>
          <w:color w:val="000000" w:themeColor="text1"/>
          <w:highlight w:val="none"/>
          <w14:textFill>
            <w14:solidFill>
              <w14:schemeClr w14:val="tx1"/>
            </w14:solidFill>
          </w14:textFill>
        </w:rPr>
      </w:pPr>
    </w:p>
    <w:p w14:paraId="580A647C">
      <w:pPr>
        <w:pStyle w:val="45"/>
        <w:spacing w:beforeAutospacing="0" w:afterAutospacing="0"/>
        <w:jc w:val="center"/>
        <w:rPr>
          <w:b/>
          <w:color w:val="000000" w:themeColor="text1"/>
          <w:sz w:val="32"/>
          <w:szCs w:val="32"/>
          <w:highlight w:val="none"/>
          <w14:textFill>
            <w14:solidFill>
              <w14:schemeClr w14:val="tx1"/>
            </w14:solidFill>
          </w14:textFill>
        </w:rPr>
      </w:pPr>
    </w:p>
    <w:p w14:paraId="457DD885">
      <w:pPr>
        <w:pStyle w:val="45"/>
        <w:spacing w:beforeAutospacing="0" w:afterAutospacing="0"/>
        <w:rPr>
          <w:b/>
          <w:color w:val="000000" w:themeColor="text1"/>
          <w:sz w:val="32"/>
          <w:szCs w:val="32"/>
          <w:highlight w:val="none"/>
          <w14:textFill>
            <w14:solidFill>
              <w14:schemeClr w14:val="tx1"/>
            </w14:solidFill>
          </w14:textFill>
        </w:rPr>
      </w:pPr>
    </w:p>
    <w:p w14:paraId="5281BF86">
      <w:pPr>
        <w:widowControl/>
        <w:spacing w:before="50" w:after="5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b/>
      </w:r>
    </w:p>
    <w:p w14:paraId="2A27E85E">
      <w:pPr>
        <w:pStyle w:val="282"/>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6F16640F">
      <w:pPr>
        <w:spacing w:before="50" w:after="50"/>
        <w:jc w:val="center"/>
        <w:rPr>
          <w:rFonts w:ascii="黑体" w:hAnsi="宋体" w:eastAsia="黑体" w:cs="黑体"/>
          <w:iCs/>
          <w:color w:val="000000" w:themeColor="text1"/>
          <w:sz w:val="32"/>
          <w:szCs w:val="32"/>
          <w:highlight w:val="none"/>
          <w14:textFill>
            <w14:solidFill>
              <w14:schemeClr w14:val="tx1"/>
            </w14:solidFill>
          </w14:textFill>
        </w:rPr>
      </w:pPr>
      <w:r>
        <w:rPr>
          <w:rFonts w:hint="eastAsia" w:ascii="黑体" w:hAnsi="宋体" w:eastAsia="黑体" w:cs="黑体"/>
          <w:iCs/>
          <w:color w:val="000000" w:themeColor="text1"/>
          <w:sz w:val="32"/>
          <w:szCs w:val="32"/>
          <w:highlight w:val="none"/>
          <w14:textFill>
            <w14:solidFill>
              <w14:schemeClr w14:val="tx1"/>
            </w14:solidFill>
          </w14:textFill>
        </w:rPr>
        <w:t>十五、技术方案等</w:t>
      </w:r>
    </w:p>
    <w:p w14:paraId="47BE4709">
      <w:pPr>
        <w:pStyle w:val="45"/>
        <w:spacing w:beforeAutospacing="0" w:afterAutospacing="0"/>
        <w:jc w:val="center"/>
        <w:rPr>
          <w:b/>
          <w:color w:val="000000" w:themeColor="text1"/>
          <w:sz w:val="32"/>
          <w:szCs w:val="32"/>
          <w:highlight w:val="none"/>
          <w14:textFill>
            <w14:solidFill>
              <w14:schemeClr w14:val="tx1"/>
            </w14:solidFill>
          </w14:textFill>
        </w:rPr>
      </w:pPr>
    </w:p>
    <w:p w14:paraId="08976045">
      <w:pPr>
        <w:pStyle w:val="45"/>
        <w:spacing w:beforeAutospacing="0" w:afterAutospacing="0"/>
        <w:jc w:val="center"/>
        <w:rPr>
          <w:b/>
          <w:color w:val="000000" w:themeColor="text1"/>
          <w:sz w:val="32"/>
          <w:szCs w:val="32"/>
          <w:highlight w:val="none"/>
          <w14:textFill>
            <w14:solidFill>
              <w14:schemeClr w14:val="tx1"/>
            </w14:solidFill>
          </w14:textFill>
        </w:rPr>
      </w:pPr>
    </w:p>
    <w:p w14:paraId="00C3904C">
      <w:pPr>
        <w:pStyle w:val="45"/>
        <w:spacing w:beforeAutospacing="0" w:afterAutospacing="0"/>
        <w:jc w:val="center"/>
        <w:rPr>
          <w:b/>
          <w:color w:val="000000" w:themeColor="text1"/>
          <w:sz w:val="32"/>
          <w:szCs w:val="32"/>
          <w:highlight w:val="none"/>
          <w14:textFill>
            <w14:solidFill>
              <w14:schemeClr w14:val="tx1"/>
            </w14:solidFill>
          </w14:textFill>
        </w:rPr>
      </w:pPr>
    </w:p>
    <w:p w14:paraId="069495F4">
      <w:pPr>
        <w:pStyle w:val="45"/>
        <w:spacing w:beforeAutospacing="0" w:afterAutospacing="0"/>
        <w:jc w:val="center"/>
        <w:rPr>
          <w:b/>
          <w:color w:val="000000" w:themeColor="text1"/>
          <w:sz w:val="32"/>
          <w:szCs w:val="32"/>
          <w:highlight w:val="none"/>
          <w14:textFill>
            <w14:solidFill>
              <w14:schemeClr w14:val="tx1"/>
            </w14:solidFill>
          </w14:textFill>
        </w:rPr>
      </w:pPr>
    </w:p>
    <w:p w14:paraId="389D6C2C">
      <w:pPr>
        <w:pStyle w:val="45"/>
        <w:spacing w:beforeAutospacing="0" w:afterAutospacing="0"/>
        <w:jc w:val="center"/>
        <w:rPr>
          <w:b/>
          <w:color w:val="000000" w:themeColor="text1"/>
          <w:sz w:val="32"/>
          <w:szCs w:val="32"/>
          <w:highlight w:val="none"/>
          <w14:textFill>
            <w14:solidFill>
              <w14:schemeClr w14:val="tx1"/>
            </w14:solidFill>
          </w14:textFill>
        </w:rPr>
      </w:pPr>
    </w:p>
    <w:p w14:paraId="31DC3ABB">
      <w:pPr>
        <w:pStyle w:val="45"/>
        <w:spacing w:beforeAutospacing="0" w:afterAutospacing="0"/>
        <w:jc w:val="center"/>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（详见评标办法部分的要求）</w:t>
      </w:r>
    </w:p>
    <w:p w14:paraId="74B540F8">
      <w:pPr>
        <w:pStyle w:val="45"/>
        <w:spacing w:beforeAutospacing="0" w:afterAutospacing="0"/>
        <w:jc w:val="center"/>
        <w:rPr>
          <w:b/>
          <w:color w:val="000000" w:themeColor="text1"/>
          <w:sz w:val="32"/>
          <w:szCs w:val="32"/>
          <w:highlight w:val="none"/>
          <w14:textFill>
            <w14:solidFill>
              <w14:schemeClr w14:val="tx1"/>
            </w14:solidFill>
          </w14:textFill>
        </w:rPr>
      </w:pPr>
    </w:p>
    <w:p w14:paraId="298A6229">
      <w:pPr>
        <w:pStyle w:val="45"/>
        <w:spacing w:beforeAutospacing="0" w:afterAutospacing="0"/>
        <w:jc w:val="center"/>
        <w:rPr>
          <w:b/>
          <w:color w:val="000000" w:themeColor="text1"/>
          <w:sz w:val="32"/>
          <w:szCs w:val="32"/>
          <w:highlight w:val="none"/>
          <w14:textFill>
            <w14:solidFill>
              <w14:schemeClr w14:val="tx1"/>
            </w14:solidFill>
          </w14:textFill>
        </w:rPr>
      </w:pPr>
    </w:p>
    <w:p w14:paraId="31F0C5D4">
      <w:pPr>
        <w:pStyle w:val="45"/>
        <w:spacing w:beforeAutospacing="0" w:afterAutospacing="0"/>
        <w:jc w:val="center"/>
        <w:rPr>
          <w:b/>
          <w:color w:val="000000" w:themeColor="text1"/>
          <w:sz w:val="32"/>
          <w:szCs w:val="32"/>
          <w:highlight w:val="none"/>
          <w14:textFill>
            <w14:solidFill>
              <w14:schemeClr w14:val="tx1"/>
            </w14:solidFill>
          </w14:textFill>
        </w:rPr>
      </w:pPr>
    </w:p>
    <w:p w14:paraId="1BAE08BD">
      <w:pPr>
        <w:pStyle w:val="45"/>
        <w:spacing w:beforeAutospacing="0" w:afterAutospacing="0"/>
        <w:jc w:val="center"/>
        <w:rPr>
          <w:b/>
          <w:color w:val="000000" w:themeColor="text1"/>
          <w:sz w:val="32"/>
          <w:szCs w:val="32"/>
          <w:highlight w:val="none"/>
          <w14:textFill>
            <w14:solidFill>
              <w14:schemeClr w14:val="tx1"/>
            </w14:solidFill>
          </w14:textFill>
        </w:rPr>
      </w:pPr>
    </w:p>
    <w:p w14:paraId="7AA9FD7E">
      <w:pPr>
        <w:pStyle w:val="45"/>
        <w:spacing w:beforeAutospacing="0" w:afterAutospacing="0"/>
        <w:jc w:val="center"/>
        <w:rPr>
          <w:b/>
          <w:color w:val="000000" w:themeColor="text1"/>
          <w:sz w:val="32"/>
          <w:szCs w:val="32"/>
          <w:highlight w:val="none"/>
          <w14:textFill>
            <w14:solidFill>
              <w14:schemeClr w14:val="tx1"/>
            </w14:solidFill>
          </w14:textFill>
        </w:rPr>
      </w:pPr>
    </w:p>
    <w:p w14:paraId="216DED6E">
      <w:pPr>
        <w:pStyle w:val="45"/>
        <w:spacing w:beforeAutospacing="0" w:afterAutospacing="0"/>
        <w:jc w:val="center"/>
        <w:rPr>
          <w:b/>
          <w:color w:val="000000" w:themeColor="text1"/>
          <w:sz w:val="32"/>
          <w:szCs w:val="32"/>
          <w:highlight w:val="none"/>
          <w14:textFill>
            <w14:solidFill>
              <w14:schemeClr w14:val="tx1"/>
            </w14:solidFill>
          </w14:textFill>
        </w:rPr>
      </w:pPr>
    </w:p>
    <w:p w14:paraId="1F6ED372">
      <w:pPr>
        <w:pStyle w:val="45"/>
        <w:spacing w:beforeAutospacing="0" w:afterAutospacing="0"/>
        <w:jc w:val="center"/>
        <w:rPr>
          <w:b/>
          <w:color w:val="000000" w:themeColor="text1"/>
          <w:sz w:val="32"/>
          <w:szCs w:val="32"/>
          <w:highlight w:val="none"/>
          <w14:textFill>
            <w14:solidFill>
              <w14:schemeClr w14:val="tx1"/>
            </w14:solidFill>
          </w14:textFill>
        </w:rPr>
      </w:pPr>
    </w:p>
    <w:p w14:paraId="1593067A">
      <w:pPr>
        <w:pStyle w:val="45"/>
        <w:spacing w:beforeAutospacing="0" w:afterAutospacing="0"/>
        <w:jc w:val="center"/>
        <w:rPr>
          <w:b/>
          <w:color w:val="000000" w:themeColor="text1"/>
          <w:sz w:val="32"/>
          <w:szCs w:val="32"/>
          <w:highlight w:val="none"/>
          <w14:textFill>
            <w14:solidFill>
              <w14:schemeClr w14:val="tx1"/>
            </w14:solidFill>
          </w14:textFill>
        </w:rPr>
      </w:pPr>
    </w:p>
    <w:p w14:paraId="21FBC02C">
      <w:pPr>
        <w:pStyle w:val="45"/>
        <w:spacing w:beforeAutospacing="0" w:afterAutospacing="0"/>
        <w:jc w:val="center"/>
        <w:rPr>
          <w:b/>
          <w:color w:val="000000" w:themeColor="text1"/>
          <w:sz w:val="32"/>
          <w:szCs w:val="32"/>
          <w:highlight w:val="none"/>
          <w14:textFill>
            <w14:solidFill>
              <w14:schemeClr w14:val="tx1"/>
            </w14:solidFill>
          </w14:textFill>
        </w:rPr>
      </w:pPr>
    </w:p>
    <w:p w14:paraId="67768069">
      <w:pPr>
        <w:pStyle w:val="45"/>
        <w:spacing w:beforeAutospacing="0" w:afterAutospacing="0"/>
        <w:jc w:val="center"/>
        <w:rPr>
          <w:b/>
          <w:color w:val="000000" w:themeColor="text1"/>
          <w:sz w:val="32"/>
          <w:szCs w:val="32"/>
          <w:highlight w:val="none"/>
          <w14:textFill>
            <w14:solidFill>
              <w14:schemeClr w14:val="tx1"/>
            </w14:solidFill>
          </w14:textFill>
        </w:rPr>
      </w:pPr>
    </w:p>
    <w:p w14:paraId="789E0EB5">
      <w:pPr>
        <w:pStyle w:val="45"/>
        <w:spacing w:beforeAutospacing="0" w:afterAutospacing="0"/>
        <w:jc w:val="center"/>
        <w:rPr>
          <w:b/>
          <w:color w:val="000000" w:themeColor="text1"/>
          <w:sz w:val="32"/>
          <w:szCs w:val="32"/>
          <w:highlight w:val="none"/>
          <w14:textFill>
            <w14:solidFill>
              <w14:schemeClr w14:val="tx1"/>
            </w14:solidFill>
          </w14:textFill>
        </w:rPr>
      </w:pPr>
    </w:p>
    <w:p w14:paraId="0F51998A">
      <w:pPr>
        <w:pStyle w:val="45"/>
        <w:spacing w:beforeAutospacing="0" w:afterAutospacing="0"/>
        <w:jc w:val="center"/>
        <w:rPr>
          <w:b/>
          <w:color w:val="000000" w:themeColor="text1"/>
          <w:sz w:val="32"/>
          <w:szCs w:val="32"/>
          <w:highlight w:val="none"/>
          <w14:textFill>
            <w14:solidFill>
              <w14:schemeClr w14:val="tx1"/>
            </w14:solidFill>
          </w14:textFill>
        </w:rPr>
      </w:pPr>
    </w:p>
    <w:p w14:paraId="4C67601C">
      <w:pPr>
        <w:pStyle w:val="45"/>
        <w:spacing w:beforeAutospacing="0" w:afterAutospacing="0"/>
        <w:jc w:val="center"/>
        <w:rPr>
          <w:b/>
          <w:color w:val="000000" w:themeColor="text1"/>
          <w:sz w:val="32"/>
          <w:szCs w:val="32"/>
          <w:highlight w:val="none"/>
          <w14:textFill>
            <w14:solidFill>
              <w14:schemeClr w14:val="tx1"/>
            </w14:solidFill>
          </w14:textFill>
        </w:rPr>
      </w:pPr>
    </w:p>
    <w:p w14:paraId="2E5F50B3">
      <w:pPr>
        <w:pStyle w:val="45"/>
        <w:spacing w:beforeAutospacing="0" w:afterAutospacing="0"/>
        <w:jc w:val="center"/>
        <w:rPr>
          <w:b/>
          <w:color w:val="000000" w:themeColor="text1"/>
          <w:sz w:val="32"/>
          <w:szCs w:val="32"/>
          <w:highlight w:val="none"/>
          <w14:textFill>
            <w14:solidFill>
              <w14:schemeClr w14:val="tx1"/>
            </w14:solidFill>
          </w14:textFill>
        </w:rPr>
      </w:pPr>
    </w:p>
    <w:p w14:paraId="163E9F4D">
      <w:pPr>
        <w:pStyle w:val="45"/>
        <w:spacing w:beforeAutospacing="0" w:afterAutospacing="0"/>
        <w:jc w:val="center"/>
        <w:rPr>
          <w:b/>
          <w:color w:val="000000" w:themeColor="text1"/>
          <w:sz w:val="32"/>
          <w:szCs w:val="32"/>
          <w:highlight w:val="none"/>
          <w14:textFill>
            <w14:solidFill>
              <w14:schemeClr w14:val="tx1"/>
            </w14:solidFill>
          </w14:textFill>
        </w:rPr>
      </w:pPr>
    </w:p>
    <w:p w14:paraId="33C9BAEB">
      <w:pPr>
        <w:pStyle w:val="45"/>
        <w:spacing w:beforeAutospacing="0" w:afterAutospacing="0"/>
        <w:jc w:val="center"/>
        <w:rPr>
          <w:rFonts w:ascii="黑体" w:eastAsia="黑体" w:cs="黑体"/>
          <w:iCs/>
          <w:color w:val="000000" w:themeColor="text1"/>
          <w:sz w:val="32"/>
          <w:szCs w:val="32"/>
          <w:highlight w:val="none"/>
          <w14:textFill>
            <w14:solidFill>
              <w14:schemeClr w14:val="tx1"/>
            </w14:solidFill>
          </w14:textFill>
        </w:rPr>
      </w:pPr>
    </w:p>
    <w:p w14:paraId="5235FBC7">
      <w:pPr>
        <w:pStyle w:val="45"/>
        <w:spacing w:beforeAutospacing="0" w:afterAutospacing="0"/>
        <w:jc w:val="center"/>
        <w:rPr>
          <w:rFonts w:ascii="黑体" w:eastAsia="黑体" w:cs="黑体"/>
          <w:iCs/>
          <w:color w:val="000000" w:themeColor="text1"/>
          <w:sz w:val="32"/>
          <w:szCs w:val="32"/>
          <w:highlight w:val="none"/>
          <w14:textFill>
            <w14:solidFill>
              <w14:schemeClr w14:val="tx1"/>
            </w14:solidFill>
          </w14:textFill>
        </w:rPr>
      </w:pPr>
    </w:p>
    <w:p w14:paraId="704A0F04">
      <w:pPr>
        <w:pStyle w:val="45"/>
        <w:spacing w:beforeAutospacing="0" w:afterAutospacing="0"/>
        <w:jc w:val="center"/>
        <w:rPr>
          <w:rFonts w:ascii="黑体" w:eastAsia="黑体" w:cs="黑体"/>
          <w:iCs/>
          <w:color w:val="000000" w:themeColor="text1"/>
          <w:sz w:val="32"/>
          <w:szCs w:val="32"/>
          <w:highlight w:val="none"/>
          <w14:textFill>
            <w14:solidFill>
              <w14:schemeClr w14:val="tx1"/>
            </w14:solidFill>
          </w14:textFill>
        </w:rPr>
      </w:pPr>
    </w:p>
    <w:p w14:paraId="02B7064F">
      <w:pPr>
        <w:pStyle w:val="45"/>
        <w:spacing w:beforeAutospacing="0" w:afterAutospacing="0"/>
        <w:jc w:val="center"/>
        <w:rPr>
          <w:rFonts w:ascii="黑体" w:eastAsia="黑体" w:cs="黑体"/>
          <w:iCs/>
          <w:color w:val="000000" w:themeColor="text1"/>
          <w:sz w:val="32"/>
          <w:szCs w:val="32"/>
          <w:highlight w:val="none"/>
          <w14:textFill>
            <w14:solidFill>
              <w14:schemeClr w14:val="tx1"/>
            </w14:solidFill>
          </w14:textFill>
        </w:rPr>
      </w:pPr>
    </w:p>
    <w:p w14:paraId="146B3757">
      <w:pPr>
        <w:pStyle w:val="45"/>
        <w:spacing w:beforeAutospacing="0" w:afterAutospacing="0"/>
        <w:jc w:val="center"/>
        <w:rPr>
          <w:rFonts w:ascii="黑体" w:eastAsia="黑体" w:cs="黑体"/>
          <w:iCs/>
          <w:color w:val="000000" w:themeColor="text1"/>
          <w:sz w:val="32"/>
          <w:szCs w:val="32"/>
          <w:highlight w:val="none"/>
          <w14:textFill>
            <w14:solidFill>
              <w14:schemeClr w14:val="tx1"/>
            </w14:solidFill>
          </w14:textFill>
        </w:rPr>
      </w:pPr>
    </w:p>
    <w:p w14:paraId="4C19F36B">
      <w:pPr>
        <w:pStyle w:val="45"/>
        <w:spacing w:beforeAutospacing="0" w:afterAutospacing="0"/>
        <w:jc w:val="center"/>
        <w:rPr>
          <w:rFonts w:ascii="黑体" w:eastAsia="黑体" w:cs="黑体"/>
          <w:iCs/>
          <w:color w:val="000000" w:themeColor="text1"/>
          <w:sz w:val="32"/>
          <w:szCs w:val="32"/>
          <w:highlight w:val="none"/>
          <w14:textFill>
            <w14:solidFill>
              <w14:schemeClr w14:val="tx1"/>
            </w14:solidFill>
          </w14:textFill>
        </w:rPr>
      </w:pPr>
    </w:p>
    <w:p w14:paraId="6CC0D7CA">
      <w:pPr>
        <w:pStyle w:val="45"/>
        <w:spacing w:beforeAutospacing="0" w:afterAutospacing="0"/>
        <w:jc w:val="center"/>
        <w:rPr>
          <w:b/>
          <w:color w:val="000000" w:themeColor="text1"/>
          <w:sz w:val="32"/>
          <w:szCs w:val="32"/>
          <w:highlight w:val="none"/>
          <w14:textFill>
            <w14:solidFill>
              <w14:schemeClr w14:val="tx1"/>
            </w14:solidFill>
          </w14:textFill>
        </w:rPr>
      </w:pPr>
      <w:r>
        <w:rPr>
          <w:rFonts w:hint="eastAsia" w:ascii="黑体" w:eastAsia="黑体" w:cs="黑体"/>
          <w:iCs/>
          <w:color w:val="000000" w:themeColor="text1"/>
          <w:sz w:val="32"/>
          <w:szCs w:val="32"/>
          <w:highlight w:val="none"/>
          <w14:textFill>
            <w14:solidFill>
              <w14:schemeClr w14:val="tx1"/>
            </w14:solidFill>
          </w14:textFill>
        </w:rPr>
        <w:t>十六、盐城市政府采购事前信用承诺书</w:t>
      </w:r>
    </w:p>
    <w:p w14:paraId="7A484870">
      <w:pPr>
        <w:widowControl/>
        <w:spacing w:line="499" w:lineRule="atLeas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为营造我市公开、公平、公正、诚实守信的政府采购交易环境，树立诚信守法的投标人形象，本人代表本单位作出以下承诺：</w:t>
      </w:r>
    </w:p>
    <w:p w14:paraId="3CECE4C6">
      <w:pPr>
        <w:widowControl/>
        <w:spacing w:line="499" w:lineRule="atLeast"/>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7488EA47">
      <w:pPr>
        <w:widowControl/>
        <w:spacing w:line="499" w:lineRule="atLeas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2FFADDA">
      <w:pPr>
        <w:widowControl/>
        <w:spacing w:line="499" w:lineRule="atLeast"/>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（三）严格依照国家和省、市关于政府采购的法律、法规、规章、规范性文件，参加政府采购投标活动；积极履行社会责任，促进廉政建设； </w:t>
      </w:r>
    </w:p>
    <w:p w14:paraId="53664D61">
      <w:pPr>
        <w:widowControl/>
        <w:spacing w:line="499" w:lineRule="atLeast"/>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（四）严格遵守即时信息公示规定，及时维护和更新盐城市政府采购网中与本单位相关的信息；</w:t>
      </w:r>
    </w:p>
    <w:p w14:paraId="3217B720">
      <w:pPr>
        <w:widowControl/>
        <w:spacing w:line="499" w:lineRule="atLeast"/>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319A1864">
      <w:pPr>
        <w:widowControl/>
        <w:spacing w:line="499" w:lineRule="atLeast"/>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（六）自觉接受政府、行业组织、社会公众、新闻舆论的监督；</w:t>
      </w:r>
    </w:p>
    <w:p w14:paraId="2E82DB9D">
      <w:pPr>
        <w:widowControl/>
        <w:spacing w:line="499" w:lineRule="atLeast"/>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D672669">
      <w:pPr>
        <w:widowControl/>
        <w:spacing w:line="499" w:lineRule="atLeast"/>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（八）本人已认真阅读了上述承诺，并向本单位员工做了宣传教育。</w:t>
      </w:r>
    </w:p>
    <w:p w14:paraId="757A7B00">
      <w:pPr>
        <w:widowControl/>
        <w:spacing w:line="360" w:lineRule="auto"/>
        <w:ind w:firstLine="240"/>
        <w:jc w:val="left"/>
        <w:rPr>
          <w:rFonts w:ascii="宋体" w:hAnsi="宋体"/>
          <w:color w:val="000000" w:themeColor="text1"/>
          <w:sz w:val="24"/>
          <w:highlight w:val="none"/>
          <w14:textFill>
            <w14:solidFill>
              <w14:schemeClr w14:val="tx1"/>
            </w14:solidFill>
          </w14:textFill>
        </w:rPr>
      </w:pPr>
    </w:p>
    <w:p w14:paraId="0F740FEE">
      <w:pPr>
        <w:pStyle w:val="282"/>
        <w:ind w:firstLine="420"/>
        <w:rPr>
          <w:color w:val="000000" w:themeColor="text1"/>
          <w:highlight w:val="none"/>
          <w14:textFill>
            <w14:solidFill>
              <w14:schemeClr w14:val="tx1"/>
            </w14:solidFill>
          </w14:textFill>
        </w:rPr>
      </w:pPr>
    </w:p>
    <w:p w14:paraId="18BF0537">
      <w:pPr>
        <w:widowControl/>
        <w:spacing w:line="360" w:lineRule="auto"/>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法定代表人签名：</w:t>
      </w:r>
    </w:p>
    <w:p w14:paraId="43FEDDCB">
      <w:pPr>
        <w:widowControl/>
        <w:spacing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单位名称（盖章）：</w:t>
      </w:r>
    </w:p>
    <w:p w14:paraId="39666B9A">
      <w:pPr>
        <w:widowControl/>
        <w:spacing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月</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日</w:t>
      </w:r>
    </w:p>
    <w:p w14:paraId="37FA083F">
      <w:pPr>
        <w:widowControl/>
        <w:jc w:val="left"/>
        <w:rPr>
          <w:rFonts w:ascii="宋体" w:hAnsi="宋体"/>
          <w:b/>
          <w:color w:val="000000" w:themeColor="text1"/>
          <w:sz w:val="32"/>
          <w:szCs w:val="32"/>
          <w:highlight w:val="none"/>
          <w14:textFill>
            <w14:solidFill>
              <w14:schemeClr w14:val="tx1"/>
            </w14:solidFill>
          </w14:textFill>
        </w:rPr>
      </w:pPr>
      <w:bookmarkStart w:id="149" w:name="_Hlk132197618"/>
      <w:r>
        <w:rPr>
          <w:rFonts w:hint="eastAsia" w:ascii="宋体" w:hAnsi="宋体"/>
          <w:b/>
          <w:color w:val="000000" w:themeColor="text1"/>
          <w:sz w:val="32"/>
          <w:szCs w:val="32"/>
          <w:highlight w:val="none"/>
          <w14:textFill>
            <w14:solidFill>
              <w14:schemeClr w14:val="tx1"/>
            </w14:solidFill>
          </w14:textFill>
        </w:rPr>
        <w:br w:type="page" w:clear="all"/>
      </w:r>
    </w:p>
    <w:p w14:paraId="053E66FF">
      <w:pPr>
        <w:spacing w:after="240" w:line="560" w:lineRule="exact"/>
        <w:jc w:val="center"/>
        <w:rPr>
          <w:rFonts w:ascii="黑体" w:hAnsi="宋体" w:eastAsia="黑体" w:cs="黑体"/>
          <w:iCs/>
          <w:color w:val="000000" w:themeColor="text1"/>
          <w:sz w:val="32"/>
          <w:szCs w:val="32"/>
          <w:highlight w:val="none"/>
          <w14:textFill>
            <w14:solidFill>
              <w14:schemeClr w14:val="tx1"/>
            </w14:solidFill>
          </w14:textFill>
        </w:rPr>
      </w:pPr>
      <w:r>
        <w:rPr>
          <w:rFonts w:hint="eastAsia" w:ascii="黑体" w:hAnsi="宋体" w:eastAsia="黑体" w:cs="黑体"/>
          <w:iCs/>
          <w:color w:val="000000" w:themeColor="text1"/>
          <w:sz w:val="32"/>
          <w:szCs w:val="32"/>
          <w:highlight w:val="none"/>
          <w14:textFill>
            <w14:solidFill>
              <w14:schemeClr w14:val="tx1"/>
            </w14:solidFill>
          </w14:textFill>
        </w:rPr>
        <w:t>十七、人员配备一览表</w:t>
      </w:r>
      <w:bookmarkEnd w:id="149"/>
    </w:p>
    <w:tbl>
      <w:tblPr>
        <w:tblStyle w:val="50"/>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59"/>
        <w:gridCol w:w="2721"/>
        <w:gridCol w:w="1757"/>
        <w:gridCol w:w="2290"/>
      </w:tblGrid>
      <w:tr w14:paraId="7438ED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noWrap w:val="0"/>
            <w:vAlign w:val="center"/>
          </w:tcPr>
          <w:p w14:paraId="1966283A">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序号</w:t>
            </w:r>
          </w:p>
        </w:tc>
        <w:tc>
          <w:tcPr>
            <w:tcW w:w="2721" w:type="dxa"/>
            <w:tcBorders>
              <w:top w:val="single" w:color="auto" w:sz="4" w:space="0"/>
              <w:left w:val="single" w:color="auto" w:sz="4" w:space="0"/>
              <w:bottom w:val="single" w:color="auto" w:sz="4" w:space="0"/>
              <w:right w:val="single" w:color="auto" w:sz="4" w:space="0"/>
            </w:tcBorders>
            <w:noWrap w:val="0"/>
            <w:vAlign w:val="center"/>
          </w:tcPr>
          <w:p w14:paraId="0CBA9831">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岗位</w:t>
            </w:r>
          </w:p>
        </w:tc>
        <w:tc>
          <w:tcPr>
            <w:tcW w:w="1757" w:type="dxa"/>
            <w:tcBorders>
              <w:top w:val="single" w:color="auto" w:sz="4" w:space="0"/>
              <w:left w:val="single" w:color="auto" w:sz="4" w:space="0"/>
              <w:bottom w:val="single" w:color="auto" w:sz="4" w:space="0"/>
              <w:right w:val="single" w:color="auto" w:sz="4" w:space="0"/>
            </w:tcBorders>
            <w:noWrap w:val="0"/>
            <w:vAlign w:val="center"/>
          </w:tcPr>
          <w:p w14:paraId="45CCDB5C">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姓名</w:t>
            </w:r>
          </w:p>
        </w:tc>
        <w:tc>
          <w:tcPr>
            <w:tcW w:w="2290" w:type="dxa"/>
            <w:tcBorders>
              <w:top w:val="single" w:color="auto" w:sz="4" w:space="0"/>
              <w:left w:val="single" w:color="auto" w:sz="4" w:space="0"/>
              <w:bottom w:val="single" w:color="auto" w:sz="4" w:space="0"/>
              <w:right w:val="single" w:color="auto" w:sz="4" w:space="0"/>
            </w:tcBorders>
            <w:noWrap w:val="0"/>
            <w:vAlign w:val="center"/>
          </w:tcPr>
          <w:p w14:paraId="74000317">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执业资格</w:t>
            </w:r>
          </w:p>
        </w:tc>
      </w:tr>
      <w:tr w14:paraId="0205F7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noWrap w:val="0"/>
            <w:vAlign w:val="center"/>
          </w:tcPr>
          <w:p w14:paraId="646501E4">
            <w:pPr>
              <w:jc w:val="center"/>
              <w:rPr>
                <w:rFonts w:ascii="宋体" w:hAnsi="宋体"/>
                <w:color w:val="000000" w:themeColor="text1"/>
                <w:sz w:val="24"/>
                <w:highlight w:val="none"/>
                <w14:textFill>
                  <w14:solidFill>
                    <w14:schemeClr w14:val="tx1"/>
                  </w14:solidFill>
                </w14:textFill>
              </w:rPr>
            </w:pPr>
            <w:r>
              <w:rPr>
                <w:rFonts w:hint="eastAsia" w:ascii="宋体" w:hAnsi="宋体" w:cs="Courier New"/>
                <w:color w:val="000000" w:themeColor="text1"/>
                <w:sz w:val="24"/>
                <w:highlight w:val="none"/>
                <w14:textFill>
                  <w14:solidFill>
                    <w14:schemeClr w14:val="tx1"/>
                  </w14:solidFill>
                </w14:textFill>
              </w:rPr>
              <w:t>1</w:t>
            </w:r>
          </w:p>
        </w:tc>
        <w:tc>
          <w:tcPr>
            <w:tcW w:w="2721" w:type="dxa"/>
            <w:tcBorders>
              <w:top w:val="single" w:color="auto" w:sz="4" w:space="0"/>
              <w:left w:val="single" w:color="auto" w:sz="4" w:space="0"/>
              <w:bottom w:val="single" w:color="auto" w:sz="4" w:space="0"/>
              <w:right w:val="single" w:color="auto" w:sz="4" w:space="0"/>
            </w:tcBorders>
            <w:noWrap w:val="0"/>
            <w:vAlign w:val="center"/>
          </w:tcPr>
          <w:p w14:paraId="0D5F7D79">
            <w:pPr>
              <w:widowControl/>
              <w:jc w:val="center"/>
              <w:rPr>
                <w:rFonts w:ascii="宋体" w:hAnsi="宋体"/>
                <w:color w:val="000000" w:themeColor="text1"/>
                <w:sz w:val="24"/>
                <w:highlight w:val="none"/>
                <w14:textFill>
                  <w14:solidFill>
                    <w14:schemeClr w14:val="tx1"/>
                  </w14:solidFill>
                </w14:textFill>
              </w:rPr>
            </w:pPr>
            <w:r>
              <w:rPr>
                <w:rFonts w:hint="eastAsia" w:ascii="宋体" w:hAnsi="宋体" w:cs="Courier New"/>
                <w:color w:val="000000" w:themeColor="text1"/>
                <w:sz w:val="24"/>
                <w:highlight w:val="none"/>
                <w14:textFill>
                  <w14:solidFill>
                    <w14:schemeClr w14:val="tx1"/>
                  </w14:solidFill>
                </w14:textFill>
              </w:rPr>
              <w:t>项目负责人</w:t>
            </w:r>
          </w:p>
        </w:tc>
        <w:tc>
          <w:tcPr>
            <w:tcW w:w="1757" w:type="dxa"/>
            <w:tcBorders>
              <w:top w:val="single" w:color="auto" w:sz="4" w:space="0"/>
              <w:left w:val="single" w:color="auto" w:sz="4" w:space="0"/>
              <w:bottom w:val="single" w:color="auto" w:sz="4" w:space="0"/>
              <w:right w:val="single" w:color="auto" w:sz="4" w:space="0"/>
            </w:tcBorders>
            <w:noWrap w:val="0"/>
            <w:vAlign w:val="center"/>
          </w:tcPr>
          <w:p w14:paraId="7F1DB2A1">
            <w:pPr>
              <w:widowControl/>
              <w:spacing w:before="100" w:beforeAutospacing="1" w:after="100" w:afterAutospacing="1"/>
              <w:jc w:val="center"/>
              <w:rPr>
                <w:rFonts w:ascii="宋体" w:hAnsi="宋体"/>
                <w:color w:val="000000" w:themeColor="text1"/>
                <w:sz w:val="24"/>
                <w:highlight w:val="none"/>
                <w14:textFill>
                  <w14:solidFill>
                    <w14:schemeClr w14:val="tx1"/>
                  </w14:solidFill>
                </w14:textFill>
              </w:rPr>
            </w:pPr>
          </w:p>
        </w:tc>
        <w:tc>
          <w:tcPr>
            <w:tcW w:w="2290" w:type="dxa"/>
            <w:tcBorders>
              <w:top w:val="single" w:color="auto" w:sz="4" w:space="0"/>
              <w:left w:val="single" w:color="auto" w:sz="4" w:space="0"/>
              <w:bottom w:val="single" w:color="auto" w:sz="4" w:space="0"/>
              <w:right w:val="single" w:color="auto" w:sz="4" w:space="0"/>
            </w:tcBorders>
            <w:noWrap w:val="0"/>
            <w:vAlign w:val="center"/>
          </w:tcPr>
          <w:p w14:paraId="735AC036">
            <w:pPr>
              <w:widowControl/>
              <w:spacing w:before="100" w:beforeAutospacing="1" w:after="100" w:afterAutospacing="1"/>
              <w:jc w:val="center"/>
              <w:rPr>
                <w:rFonts w:ascii="宋体" w:hAnsi="宋体"/>
                <w:color w:val="000000" w:themeColor="text1"/>
                <w:sz w:val="24"/>
                <w:highlight w:val="none"/>
                <w14:textFill>
                  <w14:solidFill>
                    <w14:schemeClr w14:val="tx1"/>
                  </w14:solidFill>
                </w14:textFill>
              </w:rPr>
            </w:pPr>
          </w:p>
        </w:tc>
      </w:tr>
      <w:tr w14:paraId="0AE247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noWrap w:val="0"/>
            <w:vAlign w:val="center"/>
          </w:tcPr>
          <w:p w14:paraId="03E3D1D2">
            <w:pPr>
              <w:jc w:val="center"/>
              <w:rPr>
                <w:rFonts w:ascii="宋体" w:hAnsi="宋体" w:cs="Courier New"/>
                <w:color w:val="000000" w:themeColor="text1"/>
                <w:sz w:val="24"/>
                <w:highlight w:val="none"/>
                <w14:textFill>
                  <w14:solidFill>
                    <w14:schemeClr w14:val="tx1"/>
                  </w14:solidFill>
                </w14:textFill>
              </w:rPr>
            </w:pPr>
            <w:r>
              <w:rPr>
                <w:rFonts w:hint="eastAsia" w:ascii="宋体" w:hAnsi="宋体" w:cs="Courier New"/>
                <w:color w:val="000000" w:themeColor="text1"/>
                <w:sz w:val="24"/>
                <w:highlight w:val="none"/>
                <w14:textFill>
                  <w14:solidFill>
                    <w14:schemeClr w14:val="tx1"/>
                  </w14:solidFill>
                </w14:textFill>
              </w:rPr>
              <w:t>2</w:t>
            </w:r>
          </w:p>
        </w:tc>
        <w:tc>
          <w:tcPr>
            <w:tcW w:w="2721" w:type="dxa"/>
            <w:tcBorders>
              <w:top w:val="single" w:color="auto" w:sz="4" w:space="0"/>
              <w:left w:val="single" w:color="auto" w:sz="4" w:space="0"/>
              <w:bottom w:val="single" w:color="auto" w:sz="4" w:space="0"/>
              <w:right w:val="single" w:color="auto" w:sz="4" w:space="0"/>
            </w:tcBorders>
            <w:noWrap w:val="0"/>
            <w:vAlign w:val="center"/>
          </w:tcPr>
          <w:p w14:paraId="4DE0F195">
            <w:pPr>
              <w:widowControl/>
              <w:jc w:val="center"/>
              <w:rPr>
                <w:rFonts w:ascii="宋体" w:hAnsi="宋体" w:cs="Courier New"/>
                <w:color w:val="000000" w:themeColor="text1"/>
                <w:sz w:val="24"/>
                <w:highlight w:val="none"/>
                <w14:textFill>
                  <w14:solidFill>
                    <w14:schemeClr w14:val="tx1"/>
                  </w14:solidFill>
                </w14:textFill>
              </w:rPr>
            </w:pPr>
            <w:r>
              <w:rPr>
                <w:rFonts w:hint="eastAsia" w:ascii="宋体" w:hAnsi="宋体" w:cs="Courier New"/>
                <w:color w:val="000000" w:themeColor="text1"/>
                <w:sz w:val="24"/>
                <w:highlight w:val="none"/>
                <w14:textFill>
                  <w14:solidFill>
                    <w14:schemeClr w14:val="tx1"/>
                  </w14:solidFill>
                </w14:textFill>
              </w:rPr>
              <w:t>其他人员</w:t>
            </w:r>
          </w:p>
        </w:tc>
        <w:tc>
          <w:tcPr>
            <w:tcW w:w="1757" w:type="dxa"/>
            <w:tcBorders>
              <w:top w:val="single" w:color="auto" w:sz="4" w:space="0"/>
              <w:left w:val="single" w:color="auto" w:sz="4" w:space="0"/>
              <w:bottom w:val="single" w:color="auto" w:sz="4" w:space="0"/>
              <w:right w:val="single" w:color="auto" w:sz="4" w:space="0"/>
            </w:tcBorders>
            <w:noWrap w:val="0"/>
            <w:vAlign w:val="center"/>
          </w:tcPr>
          <w:p w14:paraId="4CE75F38">
            <w:pPr>
              <w:widowControl/>
              <w:spacing w:before="100" w:beforeAutospacing="1" w:after="100" w:afterAutospacing="1"/>
              <w:jc w:val="center"/>
              <w:rPr>
                <w:rFonts w:ascii="宋体" w:hAnsi="宋体"/>
                <w:color w:val="000000" w:themeColor="text1"/>
                <w:sz w:val="24"/>
                <w:highlight w:val="none"/>
                <w14:textFill>
                  <w14:solidFill>
                    <w14:schemeClr w14:val="tx1"/>
                  </w14:solidFill>
                </w14:textFill>
              </w:rPr>
            </w:pPr>
          </w:p>
        </w:tc>
        <w:tc>
          <w:tcPr>
            <w:tcW w:w="2290" w:type="dxa"/>
            <w:tcBorders>
              <w:top w:val="single" w:color="auto" w:sz="4" w:space="0"/>
              <w:left w:val="single" w:color="auto" w:sz="4" w:space="0"/>
              <w:bottom w:val="single" w:color="auto" w:sz="4" w:space="0"/>
              <w:right w:val="single" w:color="auto" w:sz="4" w:space="0"/>
            </w:tcBorders>
            <w:noWrap w:val="0"/>
            <w:vAlign w:val="center"/>
          </w:tcPr>
          <w:p w14:paraId="364E3E83">
            <w:pPr>
              <w:widowControl/>
              <w:spacing w:before="100" w:beforeAutospacing="1" w:after="100" w:afterAutospacing="1"/>
              <w:jc w:val="center"/>
              <w:rPr>
                <w:rFonts w:ascii="宋体" w:hAnsi="宋体"/>
                <w:color w:val="000000" w:themeColor="text1"/>
                <w:sz w:val="24"/>
                <w:highlight w:val="none"/>
                <w14:textFill>
                  <w14:solidFill>
                    <w14:schemeClr w14:val="tx1"/>
                  </w14:solidFill>
                </w14:textFill>
              </w:rPr>
            </w:pPr>
          </w:p>
        </w:tc>
      </w:tr>
      <w:tr w14:paraId="3432BB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noWrap w:val="0"/>
            <w:vAlign w:val="center"/>
          </w:tcPr>
          <w:p w14:paraId="4089E821">
            <w:pPr>
              <w:jc w:val="center"/>
              <w:rPr>
                <w:rFonts w:ascii="宋体" w:hAnsi="宋体" w:cs="Courier New"/>
                <w:color w:val="000000" w:themeColor="text1"/>
                <w:sz w:val="24"/>
                <w:highlight w:val="none"/>
                <w14:textFill>
                  <w14:solidFill>
                    <w14:schemeClr w14:val="tx1"/>
                  </w14:solidFill>
                </w14:textFill>
              </w:rPr>
            </w:pPr>
            <w:r>
              <w:rPr>
                <w:rFonts w:ascii="宋体" w:hAnsi="宋体" w:cs="Courier New"/>
                <w:color w:val="000000" w:themeColor="text1"/>
                <w:sz w:val="24"/>
                <w:szCs w:val="18"/>
                <w:highlight w:val="none"/>
                <w14:textFill>
                  <w14:solidFill>
                    <w14:schemeClr w14:val="tx1"/>
                  </w14:solidFill>
                </w14:textFill>
              </w:rPr>
              <w:t>…</w:t>
            </w:r>
          </w:p>
        </w:tc>
        <w:tc>
          <w:tcPr>
            <w:tcW w:w="2721" w:type="dxa"/>
            <w:tcBorders>
              <w:top w:val="single" w:color="auto" w:sz="4" w:space="0"/>
              <w:left w:val="single" w:color="auto" w:sz="4" w:space="0"/>
              <w:bottom w:val="single" w:color="auto" w:sz="4" w:space="0"/>
              <w:right w:val="single" w:color="auto" w:sz="4" w:space="0"/>
            </w:tcBorders>
            <w:noWrap w:val="0"/>
            <w:vAlign w:val="center"/>
          </w:tcPr>
          <w:p w14:paraId="5BBDFBE7">
            <w:pPr>
              <w:widowControl/>
              <w:jc w:val="center"/>
              <w:rPr>
                <w:rFonts w:ascii="宋体" w:hAnsi="宋体" w:cs="Courier New"/>
                <w:color w:val="000000" w:themeColor="text1"/>
                <w:sz w:val="24"/>
                <w:highlight w:val="none"/>
                <w14:textFill>
                  <w14:solidFill>
                    <w14:schemeClr w14:val="tx1"/>
                  </w14:solidFill>
                </w14:textFill>
              </w:rPr>
            </w:pPr>
            <w:r>
              <w:rPr>
                <w:rFonts w:ascii="宋体" w:hAnsi="宋体" w:cs="Courier New"/>
                <w:color w:val="000000" w:themeColor="text1"/>
                <w:sz w:val="24"/>
                <w:highlight w:val="none"/>
                <w14:textFill>
                  <w14:solidFill>
                    <w14:schemeClr w14:val="tx1"/>
                  </w14:solidFill>
                </w14:textFill>
              </w:rPr>
              <w:t>…</w:t>
            </w:r>
          </w:p>
        </w:tc>
        <w:tc>
          <w:tcPr>
            <w:tcW w:w="1757" w:type="dxa"/>
            <w:tcBorders>
              <w:top w:val="single" w:color="auto" w:sz="4" w:space="0"/>
              <w:left w:val="single" w:color="auto" w:sz="4" w:space="0"/>
              <w:bottom w:val="single" w:color="auto" w:sz="4" w:space="0"/>
              <w:right w:val="single" w:color="auto" w:sz="4" w:space="0"/>
            </w:tcBorders>
            <w:noWrap w:val="0"/>
            <w:vAlign w:val="center"/>
          </w:tcPr>
          <w:p w14:paraId="44A72963">
            <w:pPr>
              <w:widowControl/>
              <w:spacing w:before="100" w:beforeAutospacing="1" w:after="100" w:afterAutospacing="1"/>
              <w:jc w:val="center"/>
              <w:rPr>
                <w:rFonts w:ascii="宋体" w:hAnsi="宋体"/>
                <w:color w:val="000000" w:themeColor="text1"/>
                <w:sz w:val="24"/>
                <w:highlight w:val="none"/>
                <w14:textFill>
                  <w14:solidFill>
                    <w14:schemeClr w14:val="tx1"/>
                  </w14:solidFill>
                </w14:textFill>
              </w:rPr>
            </w:pPr>
          </w:p>
        </w:tc>
        <w:tc>
          <w:tcPr>
            <w:tcW w:w="2290" w:type="dxa"/>
            <w:tcBorders>
              <w:top w:val="single" w:color="auto" w:sz="4" w:space="0"/>
              <w:left w:val="single" w:color="auto" w:sz="4" w:space="0"/>
              <w:bottom w:val="single" w:color="auto" w:sz="4" w:space="0"/>
              <w:right w:val="single" w:color="auto" w:sz="4" w:space="0"/>
            </w:tcBorders>
            <w:noWrap w:val="0"/>
            <w:vAlign w:val="center"/>
          </w:tcPr>
          <w:p w14:paraId="7A272ADC">
            <w:pPr>
              <w:widowControl/>
              <w:spacing w:before="100" w:beforeAutospacing="1" w:after="100" w:afterAutospacing="1"/>
              <w:jc w:val="center"/>
              <w:rPr>
                <w:rFonts w:ascii="宋体" w:hAnsi="宋体"/>
                <w:color w:val="000000" w:themeColor="text1"/>
                <w:sz w:val="24"/>
                <w:highlight w:val="none"/>
                <w14:textFill>
                  <w14:solidFill>
                    <w14:schemeClr w14:val="tx1"/>
                  </w14:solidFill>
                </w14:textFill>
              </w:rPr>
            </w:pPr>
          </w:p>
        </w:tc>
      </w:tr>
      <w:tr w14:paraId="7AD93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noWrap w:val="0"/>
            <w:vAlign w:val="center"/>
          </w:tcPr>
          <w:p w14:paraId="6D3AC0EE">
            <w:pPr>
              <w:jc w:val="center"/>
              <w:rPr>
                <w:rFonts w:ascii="宋体" w:hAnsi="宋体" w:cs="Courier New"/>
                <w:color w:val="000000" w:themeColor="text1"/>
                <w:sz w:val="24"/>
                <w:highlight w:val="none"/>
                <w14:textFill>
                  <w14:solidFill>
                    <w14:schemeClr w14:val="tx1"/>
                  </w14:solidFill>
                </w14:textFill>
              </w:rPr>
            </w:pPr>
          </w:p>
        </w:tc>
        <w:tc>
          <w:tcPr>
            <w:tcW w:w="2721" w:type="dxa"/>
            <w:tcBorders>
              <w:top w:val="single" w:color="auto" w:sz="4" w:space="0"/>
              <w:left w:val="single" w:color="auto" w:sz="4" w:space="0"/>
              <w:bottom w:val="single" w:color="auto" w:sz="4" w:space="0"/>
              <w:right w:val="single" w:color="auto" w:sz="4" w:space="0"/>
            </w:tcBorders>
            <w:noWrap w:val="0"/>
            <w:vAlign w:val="center"/>
          </w:tcPr>
          <w:p w14:paraId="1FA334A1">
            <w:pPr>
              <w:widowControl/>
              <w:jc w:val="center"/>
              <w:rPr>
                <w:rFonts w:ascii="宋体" w:hAnsi="宋体" w:cs="Courier New"/>
                <w:color w:val="000000" w:themeColor="text1"/>
                <w:sz w:val="24"/>
                <w:highlight w:val="none"/>
                <w14:textFill>
                  <w14:solidFill>
                    <w14:schemeClr w14:val="tx1"/>
                  </w14:solidFill>
                </w14:textFill>
              </w:rPr>
            </w:pPr>
          </w:p>
        </w:tc>
        <w:tc>
          <w:tcPr>
            <w:tcW w:w="1757" w:type="dxa"/>
            <w:tcBorders>
              <w:top w:val="single" w:color="auto" w:sz="4" w:space="0"/>
              <w:left w:val="single" w:color="auto" w:sz="4" w:space="0"/>
              <w:bottom w:val="single" w:color="auto" w:sz="4" w:space="0"/>
              <w:right w:val="single" w:color="auto" w:sz="4" w:space="0"/>
            </w:tcBorders>
            <w:noWrap w:val="0"/>
            <w:vAlign w:val="center"/>
          </w:tcPr>
          <w:p w14:paraId="23558614">
            <w:pPr>
              <w:widowControl/>
              <w:spacing w:before="100" w:beforeAutospacing="1" w:after="100" w:afterAutospacing="1"/>
              <w:jc w:val="center"/>
              <w:rPr>
                <w:rFonts w:ascii="宋体" w:hAnsi="宋体"/>
                <w:color w:val="000000" w:themeColor="text1"/>
                <w:sz w:val="24"/>
                <w:highlight w:val="none"/>
                <w14:textFill>
                  <w14:solidFill>
                    <w14:schemeClr w14:val="tx1"/>
                  </w14:solidFill>
                </w14:textFill>
              </w:rPr>
            </w:pPr>
          </w:p>
        </w:tc>
        <w:tc>
          <w:tcPr>
            <w:tcW w:w="2290" w:type="dxa"/>
            <w:tcBorders>
              <w:top w:val="single" w:color="auto" w:sz="4" w:space="0"/>
              <w:left w:val="single" w:color="auto" w:sz="4" w:space="0"/>
              <w:bottom w:val="single" w:color="auto" w:sz="4" w:space="0"/>
              <w:right w:val="single" w:color="auto" w:sz="4" w:space="0"/>
            </w:tcBorders>
            <w:noWrap w:val="0"/>
            <w:vAlign w:val="center"/>
          </w:tcPr>
          <w:p w14:paraId="65528EB3">
            <w:pPr>
              <w:widowControl/>
              <w:spacing w:before="100" w:beforeAutospacing="1" w:after="100" w:afterAutospacing="1"/>
              <w:jc w:val="center"/>
              <w:rPr>
                <w:rFonts w:ascii="宋体" w:hAnsi="宋体"/>
                <w:color w:val="000000" w:themeColor="text1"/>
                <w:sz w:val="24"/>
                <w:highlight w:val="none"/>
                <w14:textFill>
                  <w14:solidFill>
                    <w14:schemeClr w14:val="tx1"/>
                  </w14:solidFill>
                </w14:textFill>
              </w:rPr>
            </w:pPr>
          </w:p>
        </w:tc>
      </w:tr>
    </w:tbl>
    <w:p w14:paraId="4DA44BEA">
      <w:pPr>
        <w:widowControl/>
        <w:spacing w:line="500" w:lineRule="exact"/>
        <w:jc w:val="left"/>
        <w:rPr>
          <w:rFonts w:ascii="宋体" w:hAnsi="宋体"/>
          <w:color w:val="000000" w:themeColor="text1"/>
          <w:sz w:val="24"/>
          <w:highlight w:val="none"/>
          <w14:textFill>
            <w14:solidFill>
              <w14:schemeClr w14:val="tx1"/>
            </w14:solidFill>
          </w14:textFill>
        </w:rPr>
      </w:pPr>
    </w:p>
    <w:p w14:paraId="304408B1">
      <w:pPr>
        <w:widowControl/>
        <w:spacing w:line="5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注：投标人可以根据需要自行拓展本表。</w:t>
      </w:r>
    </w:p>
    <w:p w14:paraId="70D2E1C1">
      <w:pPr>
        <w:spacing w:line="360" w:lineRule="auto"/>
        <w:rPr>
          <w:rFonts w:ascii="宋体" w:hAnsi="宋体"/>
          <w:color w:val="000000" w:themeColor="text1"/>
          <w:szCs w:val="20"/>
          <w:highlight w:val="none"/>
          <w14:textFill>
            <w14:solidFill>
              <w14:schemeClr w14:val="tx1"/>
            </w14:solidFill>
          </w14:textFill>
        </w:rPr>
      </w:pPr>
    </w:p>
    <w:p w14:paraId="213AE2EC">
      <w:pPr>
        <w:widowControl/>
        <w:spacing w:line="5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投标方：（单位盖章）</w:t>
      </w:r>
    </w:p>
    <w:p w14:paraId="505AF942">
      <w:pPr>
        <w:widowControl/>
        <w:spacing w:line="5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法定代表人或授权委托人：（签字或盖章）</w:t>
      </w:r>
    </w:p>
    <w:p w14:paraId="34F0C632">
      <w:pPr>
        <w:widowControl/>
        <w:spacing w:line="5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日期：</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年</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月</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w:t>
      </w:r>
    </w:p>
    <w:p w14:paraId="0FA7E58B">
      <w:pPr>
        <w:widowControl/>
        <w:spacing w:line="500" w:lineRule="exact"/>
        <w:jc w:val="left"/>
        <w:rPr>
          <w:rFonts w:ascii="宋体" w:hAnsi="宋体"/>
          <w:color w:val="000000" w:themeColor="text1"/>
          <w:sz w:val="24"/>
          <w:highlight w:val="none"/>
          <w14:textFill>
            <w14:solidFill>
              <w14:schemeClr w14:val="tx1"/>
            </w14:solidFill>
          </w14:textFill>
        </w:rPr>
      </w:pPr>
    </w:p>
    <w:p w14:paraId="55049745">
      <w:pPr>
        <w:pStyle w:val="282"/>
        <w:ind w:firstLine="420"/>
        <w:rPr>
          <w:rFonts w:eastAsiaTheme="minorEastAsia"/>
          <w:color w:val="000000" w:themeColor="text1"/>
          <w:highlight w:val="none"/>
          <w14:textFill>
            <w14:solidFill>
              <w14:schemeClr w14:val="tx1"/>
            </w14:solidFill>
          </w14:textFill>
        </w:rPr>
      </w:pPr>
    </w:p>
    <w:p w14:paraId="214ED888">
      <w:pPr>
        <w:rPr>
          <w:color w:val="000000" w:themeColor="text1"/>
          <w:highlight w:val="none"/>
          <w14:textFill>
            <w14:solidFill>
              <w14:schemeClr w14:val="tx1"/>
            </w14:solidFill>
          </w14:textFill>
        </w:rPr>
      </w:pPr>
    </w:p>
    <w:p w14:paraId="7AC7D60C">
      <w:pPr>
        <w:widowControl/>
        <w:jc w:val="left"/>
        <w:rPr>
          <w:rFonts w:ascii="宋体" w:eastAsiaTheme="minorEastAsia"/>
          <w:color w:val="000000" w:themeColor="text1"/>
          <w:szCs w:val="20"/>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br w:type="page" w:clear="all"/>
      </w:r>
    </w:p>
    <w:p w14:paraId="7A2BBB51">
      <w:pPr>
        <w:pStyle w:val="45"/>
        <w:spacing w:before="0" w:beforeAutospacing="0" w:after="0" w:afterAutospacing="0"/>
        <w:rPr>
          <w:color w:val="000000" w:themeColor="text1"/>
          <w:sz w:val="36"/>
          <w:szCs w:val="36"/>
          <w:highlight w:val="none"/>
          <w14:textFill>
            <w14:solidFill>
              <w14:schemeClr w14:val="tx1"/>
            </w14:solidFill>
          </w14:textFill>
        </w:rPr>
      </w:pPr>
      <w:r>
        <w:rPr>
          <w:rFonts w:hint="eastAsia"/>
          <w:color w:val="000000" w:themeColor="text1"/>
          <w:sz w:val="36"/>
          <w:szCs w:val="36"/>
          <w:highlight w:val="none"/>
          <w14:textFill>
            <w14:solidFill>
              <w14:schemeClr w14:val="tx1"/>
            </w14:solidFill>
          </w14:textFill>
        </w:rPr>
        <w:t>十八、招标文件中规定要求提供的其他证明材料和投标人认为需要提供的其他材料</w:t>
      </w:r>
    </w:p>
    <w:p w14:paraId="469C86FD">
      <w:pPr>
        <w:rPr>
          <w:color w:val="000000" w:themeColor="text1"/>
          <w:highlight w:val="none"/>
          <w14:textFill>
            <w14:solidFill>
              <w14:schemeClr w14:val="tx1"/>
            </w14:solidFill>
          </w14:textFill>
        </w:rPr>
      </w:pPr>
    </w:p>
    <w:p w14:paraId="33596A0F">
      <w:pPr>
        <w:pStyle w:val="282"/>
        <w:ind w:firstLine="420"/>
        <w:rPr>
          <w:rFonts w:eastAsiaTheme="minorEastAsia"/>
          <w:color w:val="000000" w:themeColor="text1"/>
          <w:highlight w:val="none"/>
          <w14:textFill>
            <w14:solidFill>
              <w14:schemeClr w14:val="tx1"/>
            </w14:solidFill>
          </w14:textFill>
        </w:rPr>
      </w:pPr>
    </w:p>
    <w:p w14:paraId="2EFA7DE4">
      <w:pPr>
        <w:rPr>
          <w:color w:val="000000" w:themeColor="text1"/>
          <w:highlight w:val="none"/>
          <w14:textFill>
            <w14:solidFill>
              <w14:schemeClr w14:val="tx1"/>
            </w14:solidFill>
          </w14:textFill>
        </w:rPr>
      </w:pPr>
    </w:p>
    <w:p w14:paraId="6E673F7E">
      <w:pPr>
        <w:pStyle w:val="45"/>
        <w:spacing w:beforeAutospacing="0" w:afterAutospacing="0"/>
        <w:jc w:val="center"/>
        <w:rPr>
          <w:color w:val="000000" w:themeColor="text1"/>
          <w:highlight w:val="none"/>
          <w14:textFill>
            <w14:solidFill>
              <w14:schemeClr w14:val="tx1"/>
            </w14:solidFill>
          </w14:textFill>
        </w:rPr>
      </w:pPr>
    </w:p>
    <w:p w14:paraId="568038F0">
      <w:pPr>
        <w:widowControl/>
        <w:jc w:val="left"/>
        <w:rPr>
          <w:rFonts w:ascii="宋体" w:hAnsi="宋体"/>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br w:type="page" w:clear="all"/>
      </w:r>
    </w:p>
    <w:p w14:paraId="6E8F4CC9">
      <w:pPr>
        <w:pStyle w:val="45"/>
        <w:spacing w:beforeAutospacing="0" w:afterAutospacing="0"/>
        <w:jc w:val="center"/>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质疑函范本</w:t>
      </w:r>
    </w:p>
    <w:p w14:paraId="130F009F">
      <w:pPr>
        <w:pStyle w:val="45"/>
        <w:spacing w:before="290" w:beforeAutospacing="0" w:afterAutospacing="0" w:line="360" w:lineRule="auto"/>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一、质疑供应商基本信息</w:t>
      </w:r>
    </w:p>
    <w:p w14:paraId="0E437795">
      <w:pPr>
        <w:pStyle w:val="45"/>
        <w:spacing w:beforeAutospacing="0" w:afterAutospacing="0" w:line="360" w:lineRule="auto"/>
        <w:jc w:val="both"/>
        <w:rPr>
          <w:rFonts w:hint="default" w:eastAsia="宋体"/>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质疑供应商：</w:t>
      </w:r>
      <w:r>
        <w:rPr>
          <w:rFonts w:hint="eastAsia"/>
          <w:color w:val="000000" w:themeColor="text1"/>
          <w:highlight w:val="none"/>
          <w:u w:val="single"/>
          <w:lang w:val="en-US" w:eastAsia="zh-CN"/>
          <w14:textFill>
            <w14:solidFill>
              <w14:schemeClr w14:val="tx1"/>
            </w14:solidFill>
          </w14:textFill>
        </w:rPr>
        <w:t xml:space="preserve">                                                      </w:t>
      </w:r>
    </w:p>
    <w:p w14:paraId="4BBA0BD5">
      <w:pPr>
        <w:pStyle w:val="45"/>
        <w:spacing w:beforeAutospacing="0" w:afterAutospacing="0" w:line="360" w:lineRule="auto"/>
        <w:jc w:val="both"/>
        <w:rPr>
          <w:rFonts w:hint="default" w:eastAsia="宋体"/>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地址：</w:t>
      </w:r>
      <w:r>
        <w:rPr>
          <w:rFonts w:hint="eastAsia"/>
          <w:color w:val="000000" w:themeColor="text1"/>
          <w:highlight w:val="none"/>
          <w:u w:val="single"/>
          <w:lang w:val="en-US" w:eastAsia="zh-CN"/>
          <w14:textFill>
            <w14:solidFill>
              <w14:schemeClr w14:val="tx1"/>
            </w14:solidFill>
          </w14:textFill>
        </w:rPr>
        <w:t xml:space="preserve">                                                            </w:t>
      </w:r>
    </w:p>
    <w:p w14:paraId="0188510D">
      <w:pPr>
        <w:pStyle w:val="45"/>
        <w:spacing w:beforeAutospacing="0" w:afterAutospacing="0" w:line="360" w:lineRule="auto"/>
        <w:jc w:val="both"/>
        <w:rPr>
          <w:rFonts w:hint="default" w:eastAsia="宋体"/>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邮编：</w:t>
      </w:r>
      <w:r>
        <w:rPr>
          <w:rFonts w:hint="eastAsia"/>
          <w:color w:val="000000" w:themeColor="text1"/>
          <w:highlight w:val="none"/>
          <w:u w:val="single"/>
          <w:lang w:val="en-US" w:eastAsia="zh-CN"/>
          <w14:textFill>
            <w14:solidFill>
              <w14:schemeClr w14:val="tx1"/>
            </w14:solidFill>
          </w14:textFill>
        </w:rPr>
        <w:t xml:space="preserve">                                                            </w:t>
      </w:r>
    </w:p>
    <w:p w14:paraId="1FA7A83C">
      <w:pPr>
        <w:pStyle w:val="45"/>
        <w:spacing w:beforeAutospacing="0" w:afterAutospacing="0" w:line="360" w:lineRule="auto"/>
        <w:jc w:val="both"/>
        <w:rPr>
          <w:rFonts w:hint="default" w:eastAsia="宋体"/>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联系人：</w:t>
      </w:r>
      <w:r>
        <w:rPr>
          <w:rFonts w:hint="eastAsia"/>
          <w:color w:val="000000" w:themeColor="text1"/>
          <w:highlight w:val="none"/>
          <w:u w:val="single"/>
          <w:lang w:val="en-US" w:eastAsia="zh-CN"/>
          <w14:textFill>
            <w14:solidFill>
              <w14:schemeClr w14:val="tx1"/>
            </w14:solidFill>
          </w14:textFill>
        </w:rPr>
        <w:t xml:space="preserve">                                                          </w:t>
      </w:r>
    </w:p>
    <w:p w14:paraId="268D8381">
      <w:pPr>
        <w:pStyle w:val="45"/>
        <w:spacing w:beforeAutospacing="0" w:afterAutospacing="0" w:line="360" w:lineRule="auto"/>
        <w:jc w:val="both"/>
        <w:rPr>
          <w:rFonts w:hint="default" w:eastAsia="宋体"/>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联系电话：</w:t>
      </w:r>
      <w:r>
        <w:rPr>
          <w:rFonts w:hint="eastAsia"/>
          <w:color w:val="000000" w:themeColor="text1"/>
          <w:highlight w:val="none"/>
          <w:u w:val="single"/>
          <w:lang w:val="en-US" w:eastAsia="zh-CN"/>
          <w14:textFill>
            <w14:solidFill>
              <w14:schemeClr w14:val="tx1"/>
            </w14:solidFill>
          </w14:textFill>
        </w:rPr>
        <w:t xml:space="preserve">                                                        </w:t>
      </w:r>
    </w:p>
    <w:p w14:paraId="696E0C05">
      <w:pPr>
        <w:pStyle w:val="45"/>
        <w:spacing w:beforeAutospacing="0" w:afterAutospacing="0" w:line="360" w:lineRule="auto"/>
        <w:jc w:val="both"/>
        <w:rPr>
          <w:rFonts w:hint="default" w:eastAsia="宋体"/>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授权代表：</w:t>
      </w:r>
      <w:r>
        <w:rPr>
          <w:rFonts w:hint="eastAsia"/>
          <w:color w:val="000000" w:themeColor="text1"/>
          <w:highlight w:val="none"/>
          <w:u w:val="single"/>
          <w:lang w:val="en-US" w:eastAsia="zh-CN"/>
          <w14:textFill>
            <w14:solidFill>
              <w14:schemeClr w14:val="tx1"/>
            </w14:solidFill>
          </w14:textFill>
        </w:rPr>
        <w:t xml:space="preserve">                                                        </w:t>
      </w:r>
    </w:p>
    <w:p w14:paraId="7280B03D">
      <w:pPr>
        <w:pStyle w:val="45"/>
        <w:spacing w:beforeAutospacing="0" w:afterAutospacing="0" w:line="360" w:lineRule="auto"/>
        <w:jc w:val="both"/>
        <w:rPr>
          <w:rFonts w:hint="default" w:eastAsia="宋体"/>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联系电话：</w:t>
      </w:r>
      <w:r>
        <w:rPr>
          <w:rFonts w:hint="eastAsia"/>
          <w:color w:val="000000" w:themeColor="text1"/>
          <w:highlight w:val="none"/>
          <w:u w:val="single"/>
          <w:lang w:val="en-US" w:eastAsia="zh-CN"/>
          <w14:textFill>
            <w14:solidFill>
              <w14:schemeClr w14:val="tx1"/>
            </w14:solidFill>
          </w14:textFill>
        </w:rPr>
        <w:t xml:space="preserve">                                                        </w:t>
      </w:r>
    </w:p>
    <w:p w14:paraId="4A3B4701">
      <w:pPr>
        <w:pStyle w:val="45"/>
        <w:spacing w:beforeAutospacing="0" w:afterAutospacing="0" w:line="360" w:lineRule="auto"/>
        <w:jc w:val="both"/>
        <w:rPr>
          <w:rFonts w:hint="default" w:eastAsia="宋体"/>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地址：</w:t>
      </w:r>
      <w:r>
        <w:rPr>
          <w:rFonts w:hint="eastAsia"/>
          <w:color w:val="000000" w:themeColor="text1"/>
          <w:highlight w:val="none"/>
          <w:u w:val="single"/>
          <w:lang w:val="en-US" w:eastAsia="zh-CN"/>
          <w14:textFill>
            <w14:solidFill>
              <w14:schemeClr w14:val="tx1"/>
            </w14:solidFill>
          </w14:textFill>
        </w:rPr>
        <w:t xml:space="preserve">                                                            </w:t>
      </w:r>
    </w:p>
    <w:p w14:paraId="4EF585F8">
      <w:pPr>
        <w:pStyle w:val="45"/>
        <w:spacing w:beforeAutospacing="0" w:afterAutospacing="0" w:line="360" w:lineRule="auto"/>
        <w:jc w:val="both"/>
        <w:rPr>
          <w:rFonts w:hint="default" w:eastAsia="宋体"/>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邮编：</w:t>
      </w:r>
      <w:r>
        <w:rPr>
          <w:rFonts w:hint="eastAsia"/>
          <w:color w:val="000000" w:themeColor="text1"/>
          <w:highlight w:val="none"/>
          <w:u w:val="single"/>
          <w:lang w:val="en-US" w:eastAsia="zh-CN"/>
          <w14:textFill>
            <w14:solidFill>
              <w14:schemeClr w14:val="tx1"/>
            </w14:solidFill>
          </w14:textFill>
        </w:rPr>
        <w:t xml:space="preserve">                                                            </w:t>
      </w:r>
    </w:p>
    <w:p w14:paraId="11D72121">
      <w:pPr>
        <w:pStyle w:val="45"/>
        <w:spacing w:beforeAutospacing="0" w:afterAutospacing="0" w:line="360" w:lineRule="auto"/>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二、质疑项目基本情况</w:t>
      </w:r>
    </w:p>
    <w:p w14:paraId="45CF033B">
      <w:pPr>
        <w:pStyle w:val="45"/>
        <w:spacing w:beforeAutospacing="0" w:afterAutospacing="0" w:line="360" w:lineRule="auto"/>
        <w:jc w:val="both"/>
        <w:rPr>
          <w:rFonts w:hint="default" w:eastAsia="宋体"/>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质疑项目的名称：</w:t>
      </w:r>
      <w:r>
        <w:rPr>
          <w:rFonts w:hint="eastAsia"/>
          <w:color w:val="000000" w:themeColor="text1"/>
          <w:highlight w:val="none"/>
          <w:u w:val="single"/>
          <w:lang w:val="en-US" w:eastAsia="zh-CN"/>
          <w14:textFill>
            <w14:solidFill>
              <w14:schemeClr w14:val="tx1"/>
            </w14:solidFill>
          </w14:textFill>
        </w:rPr>
        <w:t xml:space="preserve">                                                   </w:t>
      </w:r>
    </w:p>
    <w:p w14:paraId="502FB4CA">
      <w:pPr>
        <w:pStyle w:val="45"/>
        <w:spacing w:beforeAutospacing="0" w:afterAutospacing="0" w:line="360" w:lineRule="auto"/>
        <w:jc w:val="both"/>
        <w:rPr>
          <w:rFonts w:hint="default" w:eastAsia="宋体"/>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质疑项目的编号：</w:t>
      </w:r>
      <w:r>
        <w:rPr>
          <w:rFonts w:hint="eastAsia"/>
          <w:color w:val="000000" w:themeColor="text1"/>
          <w:highlight w:val="none"/>
          <w:u w:val="single"/>
          <w:lang w:val="en-US" w:eastAsia="zh-CN"/>
          <w14:textFill>
            <w14:solidFill>
              <w14:schemeClr w14:val="tx1"/>
            </w14:solidFill>
          </w14:textFill>
        </w:rPr>
        <w:t xml:space="preserve">                                                   </w:t>
      </w:r>
    </w:p>
    <w:p w14:paraId="290D7264">
      <w:pPr>
        <w:pStyle w:val="45"/>
        <w:spacing w:beforeAutospacing="0" w:afterAutospacing="0" w:line="360" w:lineRule="auto"/>
        <w:jc w:val="both"/>
        <w:rPr>
          <w:rFonts w:hint="default" w:eastAsia="宋体"/>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包号：</w:t>
      </w:r>
      <w:r>
        <w:rPr>
          <w:rFonts w:hint="eastAsia"/>
          <w:color w:val="000000" w:themeColor="text1"/>
          <w:highlight w:val="none"/>
          <w:u w:val="single"/>
          <w:lang w:val="en-US" w:eastAsia="zh-CN"/>
          <w14:textFill>
            <w14:solidFill>
              <w14:schemeClr w14:val="tx1"/>
            </w14:solidFill>
          </w14:textFill>
        </w:rPr>
        <w:t xml:space="preserve">                                                             </w:t>
      </w:r>
    </w:p>
    <w:p w14:paraId="1982262E">
      <w:pPr>
        <w:pStyle w:val="45"/>
        <w:spacing w:beforeAutospacing="0" w:afterAutospacing="0" w:line="360" w:lineRule="auto"/>
        <w:jc w:val="both"/>
        <w:rPr>
          <w:rFonts w:hint="default" w:eastAsia="宋体"/>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采购人名称：</w:t>
      </w:r>
      <w:r>
        <w:rPr>
          <w:rFonts w:hint="eastAsia"/>
          <w:color w:val="000000" w:themeColor="text1"/>
          <w:highlight w:val="none"/>
          <w:u w:val="single"/>
          <w:lang w:val="en-US" w:eastAsia="zh-CN"/>
          <w14:textFill>
            <w14:solidFill>
              <w14:schemeClr w14:val="tx1"/>
            </w14:solidFill>
          </w14:textFill>
        </w:rPr>
        <w:t xml:space="preserve">                                                       </w:t>
      </w:r>
    </w:p>
    <w:p w14:paraId="48FF3BC1">
      <w:pPr>
        <w:pStyle w:val="45"/>
        <w:spacing w:beforeAutospacing="0" w:afterAutospacing="0" w:line="360" w:lineRule="auto"/>
        <w:jc w:val="both"/>
        <w:rPr>
          <w:rFonts w:hint="default" w:eastAsia="宋体"/>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采购文件获取日期：</w:t>
      </w:r>
      <w:r>
        <w:rPr>
          <w:rFonts w:hint="eastAsia"/>
          <w:color w:val="000000" w:themeColor="text1"/>
          <w:highlight w:val="none"/>
          <w:u w:val="single"/>
          <w:lang w:val="en-US" w:eastAsia="zh-CN"/>
          <w14:textFill>
            <w14:solidFill>
              <w14:schemeClr w14:val="tx1"/>
            </w14:solidFill>
          </w14:textFill>
        </w:rPr>
        <w:t xml:space="preserve">                                                 </w:t>
      </w:r>
    </w:p>
    <w:p w14:paraId="23809F5B">
      <w:pPr>
        <w:pStyle w:val="45"/>
        <w:spacing w:beforeAutospacing="0" w:afterAutospacing="0" w:line="360" w:lineRule="auto"/>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三、质疑事项具体内容</w:t>
      </w:r>
    </w:p>
    <w:p w14:paraId="32EC3D20">
      <w:pPr>
        <w:pStyle w:val="45"/>
        <w:spacing w:beforeAutospacing="0" w:afterAutospacing="0" w:line="360" w:lineRule="auto"/>
        <w:jc w:val="both"/>
        <w:rPr>
          <w:rFonts w:hint="default" w:eastAsia="宋体"/>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质疑事项1：</w:t>
      </w:r>
      <w:r>
        <w:rPr>
          <w:rFonts w:hint="eastAsia"/>
          <w:color w:val="000000" w:themeColor="text1"/>
          <w:highlight w:val="none"/>
          <w:u w:val="single"/>
          <w:lang w:val="en-US" w:eastAsia="zh-CN"/>
          <w14:textFill>
            <w14:solidFill>
              <w14:schemeClr w14:val="tx1"/>
            </w14:solidFill>
          </w14:textFill>
        </w:rPr>
        <w:t xml:space="preserve">                                                        </w:t>
      </w:r>
    </w:p>
    <w:p w14:paraId="4DEA52B7">
      <w:pPr>
        <w:pStyle w:val="45"/>
        <w:spacing w:beforeAutospacing="0" w:afterAutospacing="0" w:line="360" w:lineRule="auto"/>
        <w:jc w:val="both"/>
        <w:rPr>
          <w:rFonts w:hint="default" w:eastAsia="宋体"/>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事实依据：</w:t>
      </w:r>
      <w:r>
        <w:rPr>
          <w:rFonts w:hint="eastAsia"/>
          <w:color w:val="000000" w:themeColor="text1"/>
          <w:highlight w:val="none"/>
          <w:u w:val="single"/>
          <w:lang w:val="en-US" w:eastAsia="zh-CN"/>
          <w14:textFill>
            <w14:solidFill>
              <w14:schemeClr w14:val="tx1"/>
            </w14:solidFill>
          </w14:textFill>
        </w:rPr>
        <w:t xml:space="preserve">                                                          </w:t>
      </w:r>
    </w:p>
    <w:p w14:paraId="717ADE1B">
      <w:pPr>
        <w:pStyle w:val="45"/>
        <w:spacing w:beforeAutospacing="0" w:afterAutospacing="0" w:line="360" w:lineRule="auto"/>
        <w:jc w:val="both"/>
        <w:rPr>
          <w:rFonts w:hint="default" w:eastAsia="宋体"/>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法律依据：</w:t>
      </w:r>
      <w:r>
        <w:rPr>
          <w:rFonts w:hint="eastAsia"/>
          <w:color w:val="000000" w:themeColor="text1"/>
          <w:highlight w:val="none"/>
          <w:u w:val="single"/>
          <w:lang w:val="en-US" w:eastAsia="zh-CN"/>
          <w14:textFill>
            <w14:solidFill>
              <w14:schemeClr w14:val="tx1"/>
            </w14:solidFill>
          </w14:textFill>
        </w:rPr>
        <w:t xml:space="preserve">                                                          </w:t>
      </w:r>
    </w:p>
    <w:p w14:paraId="62427BE4">
      <w:pPr>
        <w:pStyle w:val="45"/>
        <w:spacing w:beforeAutospacing="0" w:afterAutospacing="0" w:line="360" w:lineRule="auto"/>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质疑事项2</w:t>
      </w:r>
    </w:p>
    <w:p w14:paraId="51397FFA">
      <w:pPr>
        <w:pStyle w:val="45"/>
        <w:spacing w:beforeAutospacing="0" w:afterAutospacing="0" w:line="360" w:lineRule="auto"/>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p w14:paraId="0DAAA7EC">
      <w:pPr>
        <w:pStyle w:val="45"/>
        <w:spacing w:beforeAutospacing="0" w:afterAutospacing="0" w:line="360" w:lineRule="auto"/>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四、与质疑事项相关的质疑请求</w:t>
      </w:r>
    </w:p>
    <w:p w14:paraId="1A71301D">
      <w:pPr>
        <w:pStyle w:val="45"/>
        <w:spacing w:beforeAutospacing="0" w:afterAutospacing="0" w:line="360" w:lineRule="auto"/>
        <w:jc w:val="both"/>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请求：</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p>
    <w:p w14:paraId="2E93975F">
      <w:pPr>
        <w:pStyle w:val="45"/>
        <w:spacing w:beforeAutospacing="0" w:afterAutospacing="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签字(签章)：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公章：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日期： </w:t>
      </w:r>
    </w:p>
    <w:p w14:paraId="29505A50">
      <w:pPr>
        <w:pStyle w:val="45"/>
        <w:spacing w:beforeAutospacing="0" w:afterAutospacing="0" w:line="0" w:lineRule="atLeast"/>
        <w:jc w:val="both"/>
        <w:rPr>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质疑函制作说明：</w:t>
      </w:r>
    </w:p>
    <w:p w14:paraId="21C9FD42">
      <w:pPr>
        <w:pStyle w:val="45"/>
        <w:spacing w:beforeAutospacing="0" w:afterAutospacing="0" w:line="0" w:lineRule="atLeas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1.供应商提出质疑时，应提交质疑函和必要的证明材料。</w:t>
      </w:r>
    </w:p>
    <w:p w14:paraId="1322F8CC">
      <w:pPr>
        <w:pStyle w:val="45"/>
        <w:spacing w:beforeAutospacing="0" w:afterAutospacing="0" w:line="0" w:lineRule="atLeas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AE5C3E9">
      <w:pPr>
        <w:pStyle w:val="45"/>
        <w:spacing w:beforeAutospacing="0" w:afterAutospacing="0" w:line="0" w:lineRule="atLeas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3.质疑供应商若对项目的某一分包进行质疑，质疑函中应列明具体分包号。</w:t>
      </w:r>
    </w:p>
    <w:p w14:paraId="32FD0A7A">
      <w:pPr>
        <w:pStyle w:val="45"/>
        <w:spacing w:beforeAutospacing="0" w:afterAutospacing="0" w:line="0" w:lineRule="atLeas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4.质疑函的质疑事项应具体、明确，并有必要的事实依据和法律依据。</w:t>
      </w:r>
    </w:p>
    <w:p w14:paraId="6015B272">
      <w:pPr>
        <w:pStyle w:val="45"/>
        <w:spacing w:beforeAutospacing="0" w:afterAutospacing="0" w:line="0" w:lineRule="atLeas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5.质疑函的质疑请求应与质疑事项相关。</w:t>
      </w:r>
    </w:p>
    <w:p w14:paraId="4798E71F">
      <w:pPr>
        <w:pStyle w:val="45"/>
        <w:spacing w:beforeAutospacing="0" w:afterAutospacing="0" w:line="0" w:lineRule="atLeas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620A8036">
      <w:pPr>
        <w:pStyle w:val="45"/>
        <w:spacing w:beforeAutospacing="0" w:afterAutospacing="0"/>
        <w:rPr>
          <w:color w:val="000000" w:themeColor="text1"/>
          <w:highlight w:val="none"/>
          <w14:textFill>
            <w14:solidFill>
              <w14:schemeClr w14:val="tx1"/>
            </w14:solidFill>
          </w14:textFill>
        </w:rPr>
      </w:pPr>
    </w:p>
    <w:p w14:paraId="5427B1B6">
      <w:pPr>
        <w:widowControl/>
        <w:spacing w:line="500" w:lineRule="exact"/>
        <w:rPr>
          <w:color w:val="000000" w:themeColor="text1"/>
          <w:highlight w:val="none"/>
          <w14:textFill>
            <w14:solidFill>
              <w14:schemeClr w14:val="tx1"/>
            </w14:solidFill>
          </w14:textFill>
        </w:rPr>
      </w:pPr>
    </w:p>
    <w:sectPr>
      <w:footerReference r:id="rId7" w:type="default"/>
      <w:pgSz w:w="11906" w:h="16838"/>
      <w:pgMar w:top="1015" w:right="1196" w:bottom="868" w:left="1259" w:header="851" w:footer="907" w:gutter="0"/>
      <w:pgBorders>
        <w:top w:val="none" w:sz="0" w:space="0"/>
        <w:left w:val="none" w:sz="0" w:space="0"/>
        <w:bottom w:val="none" w:sz="0" w:space="0"/>
        <w:right w:val="none" w:sz="0" w:space="0"/>
      </w:pgBorders>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方正黑体_GBK">
    <w:panose1 w:val="0201060001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楷体_GBK">
    <w:panose1 w:val="02000000000000000000"/>
    <w:charset w:val="86"/>
    <w:family w:val="auto"/>
    <w:pitch w:val="default"/>
    <w:sig w:usb0="800002BF" w:usb1="38CF7CFA" w:usb2="00000016" w:usb3="00000000" w:csb0="00040000" w:csb1="0000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3000509000000000000"/>
    <w:charset w:val="86"/>
    <w:family w:val="auto"/>
    <w:pitch w:val="default"/>
    <w:sig w:usb0="00000000" w:usb1="00000000" w:usb2="00000000" w:usb3="00000000" w:csb0="00040000" w:csb1="00000000"/>
  </w:font>
  <w:font w:name="MingLiU">
    <w:altName w:val="PMingLiU-ExtB"/>
    <w:panose1 w:val="02020509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姚体">
    <w:altName w:val="宋体"/>
    <w:panose1 w:val="02010601030101010101"/>
    <w:charset w:val="86"/>
    <w:family w:val="auto"/>
    <w:pitch w:val="default"/>
    <w:sig w:usb0="00000000" w:usb1="00000000" w:usb2="00000000" w:usb3="00000000" w:csb0="00040000" w:csb1="00000000"/>
  </w:font>
  <w:font w:name="Book Antiqua">
    <w:altName w:val="Segoe Print"/>
    <w:panose1 w:val="02040602050305030304"/>
    <w:charset w:val="00"/>
    <w:family w:val="auto"/>
    <w:pitch w:val="default"/>
    <w:sig w:usb0="00000000" w:usb1="00000000" w:usb2="00000000" w:usb3="00000000" w:csb0="2000009F" w:csb1="DFD70000"/>
  </w:font>
  <w:font w:name="方正仿宋_GBK">
    <w:altName w:val="微软雅黑"/>
    <w:panose1 w:val="03000509000000000000"/>
    <w:charset w:val="86"/>
    <w:family w:val="auto"/>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Segoe UI">
    <w:panose1 w:val="020B0502040204020203"/>
    <w:charset w:val="00"/>
    <w:family w:val="auto"/>
    <w:pitch w:val="default"/>
    <w:sig w:usb0="E4002EFF" w:usb1="C000E47F" w:usb2="00000009" w:usb3="00000000" w:csb0="200001FF" w:csb1="00000000"/>
  </w:font>
  <w:font w:name="KSOFE4500885">
    <w:panose1 w:val="02010609060101010101"/>
    <w:charset w:val="86"/>
    <w:family w:val="auto"/>
    <w:pitch w:val="default"/>
    <w:sig w:usb0="00000001"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33406">
    <w:pPr>
      <w:pStyle w:val="31"/>
    </w:pPr>
  </w:p>
  <w:p w14:paraId="030E6D26">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AFB42">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1EE72">
    <w:pPr>
      <w:pStyle w:val="31"/>
    </w:pPr>
  </w:p>
  <w:p w14:paraId="71FEB069">
    <w:pPr>
      <w:pStyle w:val="3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01B84F">
                          <w:pPr>
                            <w:pStyle w:val="3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NeDsNwIAAGQEAAAOAAAAAAAAAAEAIAAAAB8BAABkcnMvZTJvRG9jLnht&#10;bFBLBQYAAAAABgAGAFkBAADIBQAAAAA=&#10;">
              <v:fill on="f" focussize="0,0"/>
              <v:stroke on="f" weight="0.5pt"/>
              <v:imagedata o:title=""/>
              <o:lock v:ext="edit" aspectratio="f"/>
              <v:textbox inset="0mm,0mm,0mm,0mm" style="mso-fit-shape-to-text:t;">
                <w:txbxContent>
                  <w:p w14:paraId="0A01B84F">
                    <w:pPr>
                      <w:pStyle w:val="3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E98E0">
    <w:pPr>
      <w:pStyle w:val="3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095549">
                          <w:pPr>
                            <w:pStyle w:val="31"/>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JKZj/NwIAAGQEAAAOAAAAAAAAAAEAIAAAAB8BAABkcnMvZTJvRG9jLnht&#10;bFBLBQYAAAAABgAGAFkBAADIBQAAAAA=&#10;">
              <v:fill on="f" focussize="0,0"/>
              <v:stroke on="f" weight="0.5pt"/>
              <v:imagedata o:title=""/>
              <o:lock v:ext="edit" aspectratio="f"/>
              <v:textbox inset="0mm,0mm,0mm,0mm" style="mso-fit-shape-to-text:t;">
                <w:txbxContent>
                  <w:p w14:paraId="4E095549">
                    <w:pPr>
                      <w:pStyle w:val="31"/>
                    </w:pPr>
                    <w:r>
                      <w:fldChar w:fldCharType="begin"/>
                    </w:r>
                    <w:r>
                      <w:instrText xml:space="preserve"> PAGE  \* MERGEFORMAT </w:instrText>
                    </w:r>
                    <w:r>
                      <w:fldChar w:fldCharType="separate"/>
                    </w:r>
                    <w:r>
                      <w:t>30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92627">
    <w:pPr>
      <w:pStyle w:val="3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372B20"/>
    <w:multiLevelType w:val="singleLevel"/>
    <w:tmpl w:val="C5372B20"/>
    <w:lvl w:ilvl="0" w:tentative="0">
      <w:start w:val="5"/>
      <w:numFmt w:val="decimal"/>
      <w:suff w:val="nothing"/>
      <w:lvlText w:val="（%1）"/>
      <w:lvlJc w:val="left"/>
    </w:lvl>
  </w:abstractNum>
  <w:abstractNum w:abstractNumId="1">
    <w:nsid w:val="6327C68F"/>
    <w:multiLevelType w:val="singleLevel"/>
    <w:tmpl w:val="6327C68F"/>
    <w:lvl w:ilvl="0" w:tentative="0">
      <w:start w:val="1"/>
      <w:numFmt w:val="decimal"/>
      <w:lvlText w:val="%1."/>
      <w:lvlJc w:val="left"/>
      <w:pPr>
        <w:tabs>
          <w:tab w:val="left" w:pos="312"/>
        </w:tabs>
      </w:pPr>
      <w:rPr>
        <w:rFonts w:hint="default" w:ascii="宋体" w:hAnsi="宋体" w:eastAsia="宋体" w:cs="宋体"/>
      </w:rPr>
    </w:lvl>
  </w:abstractNum>
  <w:abstractNum w:abstractNumId="2">
    <w:nsid w:val="67760DB7"/>
    <w:multiLevelType w:val="singleLevel"/>
    <w:tmpl w:val="67760DB7"/>
    <w:lvl w:ilvl="0" w:tentative="0">
      <w:start w:val="2"/>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doNotDisplayPageBoundaries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FE5971"/>
    <w:rsid w:val="025B2DC4"/>
    <w:rsid w:val="032D4760"/>
    <w:rsid w:val="03863E70"/>
    <w:rsid w:val="03887BE8"/>
    <w:rsid w:val="03D80B70"/>
    <w:rsid w:val="03E2379C"/>
    <w:rsid w:val="04575F38"/>
    <w:rsid w:val="04C64E6C"/>
    <w:rsid w:val="04CE1F73"/>
    <w:rsid w:val="04DD5D12"/>
    <w:rsid w:val="04F56942"/>
    <w:rsid w:val="050634BB"/>
    <w:rsid w:val="057743B8"/>
    <w:rsid w:val="061B4D44"/>
    <w:rsid w:val="06604E4C"/>
    <w:rsid w:val="07723089"/>
    <w:rsid w:val="07E74A05"/>
    <w:rsid w:val="080D4B60"/>
    <w:rsid w:val="08762705"/>
    <w:rsid w:val="090441B5"/>
    <w:rsid w:val="095E1B17"/>
    <w:rsid w:val="0AF3003D"/>
    <w:rsid w:val="0B187AA4"/>
    <w:rsid w:val="0CA535B9"/>
    <w:rsid w:val="0CA830A9"/>
    <w:rsid w:val="0CBD6B55"/>
    <w:rsid w:val="0D200E92"/>
    <w:rsid w:val="0DBE4670"/>
    <w:rsid w:val="0DD34156"/>
    <w:rsid w:val="0DF04D08"/>
    <w:rsid w:val="0E2B0BA2"/>
    <w:rsid w:val="0EEA1757"/>
    <w:rsid w:val="1025513D"/>
    <w:rsid w:val="10C55FD8"/>
    <w:rsid w:val="11A958FA"/>
    <w:rsid w:val="11FA6155"/>
    <w:rsid w:val="13960100"/>
    <w:rsid w:val="143771ED"/>
    <w:rsid w:val="155362A8"/>
    <w:rsid w:val="160C6457"/>
    <w:rsid w:val="16663DB9"/>
    <w:rsid w:val="173B5246"/>
    <w:rsid w:val="17683B61"/>
    <w:rsid w:val="17D3547E"/>
    <w:rsid w:val="181B5077"/>
    <w:rsid w:val="18BD7EDC"/>
    <w:rsid w:val="18ED07C2"/>
    <w:rsid w:val="19726F19"/>
    <w:rsid w:val="19742C91"/>
    <w:rsid w:val="19B17A41"/>
    <w:rsid w:val="1A3B730B"/>
    <w:rsid w:val="1A587EBD"/>
    <w:rsid w:val="1A930EF5"/>
    <w:rsid w:val="1AC27A2C"/>
    <w:rsid w:val="1B3A3A66"/>
    <w:rsid w:val="1B4D19EC"/>
    <w:rsid w:val="1BD25A4D"/>
    <w:rsid w:val="1C2269D4"/>
    <w:rsid w:val="1C961170"/>
    <w:rsid w:val="1D1207F7"/>
    <w:rsid w:val="1D4B1F5B"/>
    <w:rsid w:val="1EC53D6E"/>
    <w:rsid w:val="1FB02549"/>
    <w:rsid w:val="20713A86"/>
    <w:rsid w:val="210112AE"/>
    <w:rsid w:val="211F1734"/>
    <w:rsid w:val="22047209"/>
    <w:rsid w:val="223C1E72"/>
    <w:rsid w:val="226513C9"/>
    <w:rsid w:val="22833F45"/>
    <w:rsid w:val="23007343"/>
    <w:rsid w:val="230706D2"/>
    <w:rsid w:val="23BD5235"/>
    <w:rsid w:val="249D12EE"/>
    <w:rsid w:val="24FD1D8D"/>
    <w:rsid w:val="27960276"/>
    <w:rsid w:val="27D52B4D"/>
    <w:rsid w:val="27DC497F"/>
    <w:rsid w:val="28292E99"/>
    <w:rsid w:val="28F45255"/>
    <w:rsid w:val="2A475858"/>
    <w:rsid w:val="2BDF21EC"/>
    <w:rsid w:val="2DB17BB8"/>
    <w:rsid w:val="2E053A60"/>
    <w:rsid w:val="2E0979F4"/>
    <w:rsid w:val="2F061DA7"/>
    <w:rsid w:val="2F195A15"/>
    <w:rsid w:val="2F9B28CE"/>
    <w:rsid w:val="2FD656B4"/>
    <w:rsid w:val="2FEC137B"/>
    <w:rsid w:val="313F54DB"/>
    <w:rsid w:val="31905D36"/>
    <w:rsid w:val="339B7340"/>
    <w:rsid w:val="33BC1065"/>
    <w:rsid w:val="33F16F60"/>
    <w:rsid w:val="34346E4D"/>
    <w:rsid w:val="34C12DD7"/>
    <w:rsid w:val="34C91C8B"/>
    <w:rsid w:val="34E24AFB"/>
    <w:rsid w:val="350D71C0"/>
    <w:rsid w:val="377D6D5D"/>
    <w:rsid w:val="37D22C05"/>
    <w:rsid w:val="37E172EC"/>
    <w:rsid w:val="381E5E4A"/>
    <w:rsid w:val="38345B42"/>
    <w:rsid w:val="38482EC7"/>
    <w:rsid w:val="385775AE"/>
    <w:rsid w:val="394C69E7"/>
    <w:rsid w:val="39AE76A2"/>
    <w:rsid w:val="39D2513E"/>
    <w:rsid w:val="3A4431BE"/>
    <w:rsid w:val="3B5E2A01"/>
    <w:rsid w:val="3BBD3BCC"/>
    <w:rsid w:val="3BDF3B42"/>
    <w:rsid w:val="3C9963E7"/>
    <w:rsid w:val="3CFD4BC8"/>
    <w:rsid w:val="3E047890"/>
    <w:rsid w:val="3E5C591E"/>
    <w:rsid w:val="3E907376"/>
    <w:rsid w:val="3EF23B8C"/>
    <w:rsid w:val="4037219F"/>
    <w:rsid w:val="403F1053"/>
    <w:rsid w:val="407927B7"/>
    <w:rsid w:val="40F57374"/>
    <w:rsid w:val="40F57964"/>
    <w:rsid w:val="41874A60"/>
    <w:rsid w:val="42C6780A"/>
    <w:rsid w:val="43D9531B"/>
    <w:rsid w:val="44703ED1"/>
    <w:rsid w:val="456E5F2A"/>
    <w:rsid w:val="45DB35CC"/>
    <w:rsid w:val="466F1F67"/>
    <w:rsid w:val="47484C91"/>
    <w:rsid w:val="478E44F5"/>
    <w:rsid w:val="47A53E92"/>
    <w:rsid w:val="48084421"/>
    <w:rsid w:val="484F3DFE"/>
    <w:rsid w:val="48B00D40"/>
    <w:rsid w:val="49373210"/>
    <w:rsid w:val="4A8F2BD7"/>
    <w:rsid w:val="4B307F16"/>
    <w:rsid w:val="4B5F07FC"/>
    <w:rsid w:val="4C327CBE"/>
    <w:rsid w:val="4D662315"/>
    <w:rsid w:val="4F1B712F"/>
    <w:rsid w:val="50593A6B"/>
    <w:rsid w:val="508B5BEF"/>
    <w:rsid w:val="51EE12B8"/>
    <w:rsid w:val="520B6FE7"/>
    <w:rsid w:val="52FC2DD4"/>
    <w:rsid w:val="536C7F5A"/>
    <w:rsid w:val="54324CFF"/>
    <w:rsid w:val="546B1FBF"/>
    <w:rsid w:val="548968E9"/>
    <w:rsid w:val="565C42B5"/>
    <w:rsid w:val="57462870"/>
    <w:rsid w:val="57F16C7F"/>
    <w:rsid w:val="5AB02E22"/>
    <w:rsid w:val="5B9E711E"/>
    <w:rsid w:val="5C4A4BB0"/>
    <w:rsid w:val="5CD34BA6"/>
    <w:rsid w:val="5CF54B1C"/>
    <w:rsid w:val="5D011713"/>
    <w:rsid w:val="5DCF35BF"/>
    <w:rsid w:val="5DF563A6"/>
    <w:rsid w:val="5F70492E"/>
    <w:rsid w:val="60790A4A"/>
    <w:rsid w:val="60B13450"/>
    <w:rsid w:val="60F63558"/>
    <w:rsid w:val="615F4C5A"/>
    <w:rsid w:val="617F354E"/>
    <w:rsid w:val="61BA27D8"/>
    <w:rsid w:val="635307EE"/>
    <w:rsid w:val="63827325"/>
    <w:rsid w:val="643B19AE"/>
    <w:rsid w:val="655A40B6"/>
    <w:rsid w:val="65B8347B"/>
    <w:rsid w:val="65E16585"/>
    <w:rsid w:val="662446C4"/>
    <w:rsid w:val="68106CAE"/>
    <w:rsid w:val="683055A2"/>
    <w:rsid w:val="691C1682"/>
    <w:rsid w:val="6A130CD7"/>
    <w:rsid w:val="6A1A3E14"/>
    <w:rsid w:val="6A505A87"/>
    <w:rsid w:val="6ACD0E86"/>
    <w:rsid w:val="6B3E3B32"/>
    <w:rsid w:val="6CD15F69"/>
    <w:rsid w:val="6D4A0EB4"/>
    <w:rsid w:val="6DA17B4D"/>
    <w:rsid w:val="6E8126B3"/>
    <w:rsid w:val="6EE90259"/>
    <w:rsid w:val="6F094457"/>
    <w:rsid w:val="719C5A56"/>
    <w:rsid w:val="71DB20DB"/>
    <w:rsid w:val="726245AA"/>
    <w:rsid w:val="73814F04"/>
    <w:rsid w:val="73AD5CF9"/>
    <w:rsid w:val="74564160"/>
    <w:rsid w:val="759C7DD3"/>
    <w:rsid w:val="75A31161"/>
    <w:rsid w:val="77CB499F"/>
    <w:rsid w:val="77D53A70"/>
    <w:rsid w:val="79425135"/>
    <w:rsid w:val="79A25BD4"/>
    <w:rsid w:val="79E63D12"/>
    <w:rsid w:val="7A0643B5"/>
    <w:rsid w:val="7A5E7D4D"/>
    <w:rsid w:val="7AFD57B8"/>
    <w:rsid w:val="7B486307"/>
    <w:rsid w:val="7BE129E3"/>
    <w:rsid w:val="7C3C2310"/>
    <w:rsid w:val="7CF93D5D"/>
    <w:rsid w:val="7D9A5540"/>
    <w:rsid w:val="7DDF11A4"/>
    <w:rsid w:val="7E035387"/>
    <w:rsid w:val="7EB06CF1"/>
    <w:rsid w:val="7ED95B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4"/>
      <w:lang w:val="en-US" w:eastAsia="zh-CN" w:bidi="ar-SA"/>
    </w:rPr>
  </w:style>
  <w:style w:type="paragraph" w:styleId="5">
    <w:name w:val="heading 1"/>
    <w:basedOn w:val="1"/>
    <w:next w:val="1"/>
    <w:link w:val="264"/>
    <w:qFormat/>
    <w:uiPriority w:val="0"/>
    <w:pPr>
      <w:keepNext/>
      <w:outlineLvl w:val="0"/>
    </w:pPr>
    <w:rPr>
      <w:rFonts w:ascii="楷体_GB2312" w:eastAsia="楷体_GB2312"/>
      <w:sz w:val="28"/>
      <w:szCs w:val="20"/>
    </w:rPr>
  </w:style>
  <w:style w:type="paragraph" w:styleId="6">
    <w:name w:val="heading 2"/>
    <w:basedOn w:val="1"/>
    <w:next w:val="1"/>
    <w:link w:val="265"/>
    <w:qFormat/>
    <w:uiPriority w:val="0"/>
    <w:pPr>
      <w:keepNext/>
      <w:keepLines/>
      <w:spacing w:before="260" w:after="260" w:line="416" w:lineRule="auto"/>
      <w:jc w:val="center"/>
      <w:outlineLvl w:val="1"/>
    </w:pPr>
    <w:rPr>
      <w:rFonts w:ascii="Arial" w:hAnsi="Arial" w:eastAsia="幼圆"/>
      <w:b/>
      <w:sz w:val="44"/>
      <w:szCs w:val="20"/>
    </w:rPr>
  </w:style>
  <w:style w:type="paragraph" w:styleId="7">
    <w:name w:val="heading 3"/>
    <w:basedOn w:val="8"/>
    <w:next w:val="1"/>
    <w:qFormat/>
    <w:uiPriority w:val="0"/>
    <w:pPr>
      <w:keepNext/>
      <w:keepLines/>
      <w:spacing w:before="260" w:after="260" w:line="416" w:lineRule="auto"/>
      <w:outlineLvl w:val="2"/>
    </w:pPr>
    <w:rPr>
      <w:b/>
      <w:sz w:val="32"/>
      <w:szCs w:val="20"/>
    </w:rPr>
  </w:style>
  <w:style w:type="paragraph" w:styleId="9">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10">
    <w:name w:val="heading 5"/>
    <w:basedOn w:val="1"/>
    <w:next w:val="1"/>
    <w:qFormat/>
    <w:uiPriority w:val="0"/>
    <w:pPr>
      <w:keepNext/>
      <w:outlineLvl w:val="4"/>
    </w:pPr>
    <w:rPr>
      <w:rFonts w:ascii="宋体" w:hAnsi="宋体"/>
      <w:b/>
      <w:bCs/>
    </w:rPr>
  </w:style>
  <w:style w:type="paragraph" w:styleId="11">
    <w:name w:val="heading 6"/>
    <w:basedOn w:val="1"/>
    <w:next w:val="1"/>
    <w:link w:val="78"/>
    <w:unhideWhenUsed/>
    <w:qFormat/>
    <w:uiPriority w:val="9"/>
    <w:pPr>
      <w:keepNext/>
      <w:keepLines/>
      <w:spacing w:before="320" w:after="200"/>
      <w:outlineLvl w:val="5"/>
    </w:pPr>
    <w:rPr>
      <w:rFonts w:ascii="Arial" w:hAnsi="Arial" w:eastAsia="Arial" w:cs="Arial"/>
      <w:b/>
      <w:bCs/>
      <w:sz w:val="22"/>
      <w:szCs w:val="22"/>
    </w:rPr>
  </w:style>
  <w:style w:type="paragraph" w:styleId="12">
    <w:name w:val="heading 7"/>
    <w:basedOn w:val="1"/>
    <w:next w:val="1"/>
    <w:link w:val="79"/>
    <w:unhideWhenUsed/>
    <w:qFormat/>
    <w:uiPriority w:val="9"/>
    <w:pPr>
      <w:keepNext/>
      <w:keepLines/>
      <w:spacing w:before="320" w:after="200"/>
      <w:outlineLvl w:val="6"/>
    </w:pPr>
    <w:rPr>
      <w:rFonts w:ascii="Arial" w:hAnsi="Arial" w:eastAsia="Arial" w:cs="Arial"/>
      <w:b/>
      <w:bCs/>
      <w:i/>
      <w:iCs/>
      <w:sz w:val="22"/>
      <w:szCs w:val="22"/>
    </w:rPr>
  </w:style>
  <w:style w:type="paragraph" w:styleId="13">
    <w:name w:val="heading 8"/>
    <w:basedOn w:val="1"/>
    <w:next w:val="1"/>
    <w:link w:val="80"/>
    <w:unhideWhenUsed/>
    <w:qFormat/>
    <w:uiPriority w:val="9"/>
    <w:pPr>
      <w:keepNext/>
      <w:keepLines/>
      <w:spacing w:before="320" w:after="200"/>
      <w:outlineLvl w:val="7"/>
    </w:pPr>
    <w:rPr>
      <w:rFonts w:ascii="Arial" w:hAnsi="Arial" w:eastAsia="Arial" w:cs="Arial"/>
      <w:i/>
      <w:iCs/>
      <w:sz w:val="22"/>
      <w:szCs w:val="22"/>
    </w:rPr>
  </w:style>
  <w:style w:type="paragraph" w:styleId="14">
    <w:name w:val="heading 9"/>
    <w:basedOn w:val="1"/>
    <w:next w:val="1"/>
    <w:link w:val="81"/>
    <w:unhideWhenUsed/>
    <w:qFormat/>
    <w:uiPriority w:val="9"/>
    <w:pPr>
      <w:keepNext/>
      <w:keepLines/>
      <w:spacing w:before="320" w:after="200"/>
      <w:outlineLvl w:val="8"/>
    </w:pPr>
    <w:rPr>
      <w:rFonts w:ascii="Arial" w:hAnsi="Arial" w:eastAsia="Arial" w:cs="Arial"/>
      <w:i/>
      <w:iCs/>
      <w:szCs w:val="21"/>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line="360" w:lineRule="auto"/>
      <w:ind w:firstLine="420"/>
    </w:pPr>
    <w:rPr>
      <w:rFonts w:ascii="宋体" w:hAnsi="宋体" w:eastAsia="宋体"/>
      <w:sz w:val="21"/>
    </w:rPr>
  </w:style>
  <w:style w:type="paragraph" w:styleId="3">
    <w:name w:val="Body Text Indent"/>
    <w:basedOn w:val="1"/>
    <w:next w:val="4"/>
    <w:qFormat/>
    <w:uiPriority w:val="0"/>
    <w:pPr>
      <w:ind w:firstLine="645"/>
    </w:pPr>
    <w:rPr>
      <w:rFonts w:ascii="楷体_GB2312" w:eastAsia="楷体_GB2312"/>
      <w:sz w:val="32"/>
      <w:szCs w:val="20"/>
    </w:rPr>
  </w:style>
  <w:style w:type="paragraph" w:styleId="4">
    <w:name w:val="envelope return"/>
    <w:basedOn w:val="1"/>
    <w:qFormat/>
    <w:uiPriority w:val="0"/>
    <w:rPr>
      <w:rFonts w:ascii="Arial" w:hAnsi="Arial"/>
    </w:rPr>
  </w:style>
  <w:style w:type="paragraph" w:styleId="8">
    <w:name w:val="No Spacing"/>
    <w:qFormat/>
    <w:uiPriority w:val="1"/>
    <w:rPr>
      <w:rFonts w:hint="default" w:ascii="Times New Roman" w:hAnsi="Times New Roman" w:eastAsia="宋体" w:cs="Times New Roman"/>
      <w:lang w:val="en-US" w:eastAsia="zh-CN" w:bidi="ar-SA"/>
    </w:rPr>
  </w:style>
  <w:style w:type="paragraph" w:styleId="15">
    <w:name w:val="toc 7"/>
    <w:basedOn w:val="1"/>
    <w:next w:val="1"/>
    <w:semiHidden/>
    <w:qFormat/>
    <w:uiPriority w:val="0"/>
    <w:pPr>
      <w:ind w:left="2520"/>
    </w:pPr>
  </w:style>
  <w:style w:type="paragraph" w:styleId="16">
    <w:name w:val="Normal Indent"/>
    <w:basedOn w:val="1"/>
    <w:link w:val="266"/>
    <w:qFormat/>
    <w:uiPriority w:val="0"/>
    <w:pPr>
      <w:ind w:firstLine="420"/>
    </w:pPr>
    <w:rPr>
      <w:szCs w:val="20"/>
    </w:r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Document Map"/>
    <w:basedOn w:val="1"/>
    <w:semiHidden/>
    <w:qFormat/>
    <w:uiPriority w:val="0"/>
    <w:pPr>
      <w:shd w:val="clear" w:color="auto" w:fill="000080"/>
    </w:pPr>
  </w:style>
  <w:style w:type="paragraph" w:styleId="19">
    <w:name w:val="annotation text"/>
    <w:basedOn w:val="1"/>
    <w:link w:val="267"/>
    <w:qFormat/>
    <w:uiPriority w:val="99"/>
    <w:pPr>
      <w:jc w:val="left"/>
    </w:pPr>
  </w:style>
  <w:style w:type="paragraph" w:styleId="20">
    <w:name w:val="Body Text 3"/>
    <w:basedOn w:val="1"/>
    <w:qFormat/>
    <w:uiPriority w:val="0"/>
    <w:rPr>
      <w:rFonts w:ascii="仿宋_GB2312" w:hAnsi="Arial" w:eastAsia="仿宋_GB2312"/>
      <w:sz w:val="32"/>
      <w:szCs w:val="20"/>
    </w:rPr>
  </w:style>
  <w:style w:type="paragraph" w:styleId="21">
    <w:name w:val="Body Text"/>
    <w:basedOn w:val="1"/>
    <w:link w:val="268"/>
    <w:qFormat/>
    <w:uiPriority w:val="0"/>
    <w:rPr>
      <w:rFonts w:ascii="楷体_GB2312" w:hAnsi="Arial" w:eastAsia="楷体_GB2312"/>
      <w:sz w:val="28"/>
      <w:szCs w:val="20"/>
    </w:rPr>
  </w:style>
  <w:style w:type="paragraph" w:styleId="22">
    <w:name w:val="Block Text"/>
    <w:basedOn w:val="1"/>
    <w:unhideWhenUsed/>
    <w:qFormat/>
    <w:uiPriority w:val="99"/>
    <w:pPr>
      <w:spacing w:after="120"/>
      <w:ind w:left="1440" w:right="1440"/>
    </w:pPr>
  </w:style>
  <w:style w:type="paragraph" w:styleId="23">
    <w:name w:val="toc 5"/>
    <w:basedOn w:val="1"/>
    <w:next w:val="1"/>
    <w:semiHidden/>
    <w:qFormat/>
    <w:uiPriority w:val="0"/>
    <w:pPr>
      <w:ind w:left="1680"/>
    </w:pPr>
  </w:style>
  <w:style w:type="paragraph" w:styleId="24">
    <w:name w:val="toc 3"/>
    <w:basedOn w:val="1"/>
    <w:next w:val="1"/>
    <w:semiHidden/>
    <w:qFormat/>
    <w:uiPriority w:val="0"/>
    <w:pPr>
      <w:tabs>
        <w:tab w:val="right" w:leader="dot" w:pos="9440"/>
      </w:tabs>
      <w:spacing w:line="240" w:lineRule="exact"/>
      <w:ind w:left="539"/>
      <w:jc w:val="left"/>
    </w:pPr>
    <w:rPr>
      <w:rFonts w:ascii="黑体" w:hAnsi="宋体" w:eastAsia="黑体"/>
      <w:bCs/>
      <w:iCs/>
      <w:sz w:val="18"/>
      <w:szCs w:val="32"/>
    </w:rPr>
  </w:style>
  <w:style w:type="paragraph" w:styleId="25">
    <w:name w:val="Plain Text"/>
    <w:basedOn w:val="1"/>
    <w:link w:val="258"/>
    <w:qFormat/>
    <w:uiPriority w:val="0"/>
    <w:rPr>
      <w:rFonts w:ascii="宋体" w:hAnsi="Courier New"/>
      <w:szCs w:val="20"/>
    </w:rPr>
  </w:style>
  <w:style w:type="paragraph" w:styleId="26">
    <w:name w:val="toc 8"/>
    <w:basedOn w:val="1"/>
    <w:next w:val="1"/>
    <w:semiHidden/>
    <w:qFormat/>
    <w:uiPriority w:val="0"/>
    <w:pPr>
      <w:ind w:left="2940"/>
    </w:pPr>
  </w:style>
  <w:style w:type="paragraph" w:styleId="27">
    <w:name w:val="Date"/>
    <w:basedOn w:val="1"/>
    <w:next w:val="1"/>
    <w:link w:val="269"/>
    <w:qFormat/>
    <w:uiPriority w:val="0"/>
    <w:rPr>
      <w:sz w:val="24"/>
      <w:szCs w:val="20"/>
    </w:rPr>
  </w:style>
  <w:style w:type="paragraph" w:styleId="28">
    <w:name w:val="Body Text Indent 2"/>
    <w:basedOn w:val="1"/>
    <w:qFormat/>
    <w:uiPriority w:val="0"/>
    <w:pPr>
      <w:ind w:firstLine="560"/>
    </w:pPr>
    <w:rPr>
      <w:rFonts w:ascii="宋体" w:hAnsi="宋体"/>
      <w:sz w:val="28"/>
    </w:rPr>
  </w:style>
  <w:style w:type="paragraph" w:styleId="29">
    <w:name w:val="endnote text"/>
    <w:basedOn w:val="1"/>
    <w:link w:val="217"/>
    <w:semiHidden/>
    <w:unhideWhenUsed/>
    <w:qFormat/>
    <w:uiPriority w:val="99"/>
    <w:rPr>
      <w:sz w:val="20"/>
    </w:rPr>
  </w:style>
  <w:style w:type="paragraph" w:styleId="30">
    <w:name w:val="Balloon Text"/>
    <w:basedOn w:val="1"/>
    <w:semiHidden/>
    <w:qFormat/>
    <w:uiPriority w:val="0"/>
    <w:rPr>
      <w:sz w:val="18"/>
      <w:szCs w:val="18"/>
    </w:rPr>
  </w:style>
  <w:style w:type="paragraph" w:styleId="31">
    <w:name w:val="footer"/>
    <w:basedOn w:val="1"/>
    <w:qFormat/>
    <w:uiPriority w:val="0"/>
    <w:pPr>
      <w:tabs>
        <w:tab w:val="center" w:pos="4153"/>
        <w:tab w:val="right" w:pos="8306"/>
      </w:tabs>
      <w:jc w:val="left"/>
    </w:pPr>
    <w:rPr>
      <w:sz w:val="18"/>
      <w:szCs w:val="20"/>
    </w:rPr>
  </w:style>
  <w:style w:type="paragraph" w:styleId="32">
    <w:name w:val="header"/>
    <w:basedOn w:val="1"/>
    <w:link w:val="270"/>
    <w:qFormat/>
    <w:uiPriority w:val="99"/>
    <w:pPr>
      <w:pBdr>
        <w:bottom w:val="single" w:color="auto" w:sz="6" w:space="1"/>
      </w:pBdr>
      <w:tabs>
        <w:tab w:val="center" w:pos="4153"/>
        <w:tab w:val="right" w:pos="8306"/>
      </w:tabs>
      <w:jc w:val="center"/>
    </w:pPr>
    <w:rPr>
      <w:sz w:val="18"/>
      <w:szCs w:val="18"/>
    </w:rPr>
  </w:style>
  <w:style w:type="paragraph" w:styleId="33">
    <w:name w:val="toc 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styleId="34">
    <w:name w:val="toc 4"/>
    <w:basedOn w:val="1"/>
    <w:next w:val="1"/>
    <w:semiHidden/>
    <w:qFormat/>
    <w:uiPriority w:val="0"/>
    <w:pPr>
      <w:ind w:left="1260"/>
    </w:pPr>
  </w:style>
  <w:style w:type="paragraph" w:styleId="35">
    <w:name w:val="Subtitle"/>
    <w:basedOn w:val="1"/>
    <w:next w:val="1"/>
    <w:link w:val="83"/>
    <w:qFormat/>
    <w:uiPriority w:val="11"/>
    <w:pPr>
      <w:spacing w:before="200" w:after="200"/>
    </w:pPr>
    <w:rPr>
      <w:sz w:val="24"/>
    </w:rPr>
  </w:style>
  <w:style w:type="paragraph" w:styleId="36">
    <w:name w:val="footnote text"/>
    <w:basedOn w:val="1"/>
    <w:link w:val="216"/>
    <w:semiHidden/>
    <w:unhideWhenUsed/>
    <w:qFormat/>
    <w:uiPriority w:val="99"/>
    <w:pPr>
      <w:spacing w:after="40"/>
    </w:pPr>
    <w:rPr>
      <w:sz w:val="18"/>
    </w:rPr>
  </w:style>
  <w:style w:type="paragraph" w:styleId="37">
    <w:name w:val="toc 6"/>
    <w:basedOn w:val="1"/>
    <w:next w:val="1"/>
    <w:semiHidden/>
    <w:qFormat/>
    <w:uiPriority w:val="0"/>
    <w:pPr>
      <w:ind w:left="2100"/>
    </w:pPr>
  </w:style>
  <w:style w:type="paragraph" w:styleId="38">
    <w:name w:val="Body Text Indent 3"/>
    <w:basedOn w:val="1"/>
    <w:qFormat/>
    <w:uiPriority w:val="0"/>
    <w:pPr>
      <w:ind w:firstLine="523"/>
    </w:pPr>
    <w:rPr>
      <w:rFonts w:ascii="仿宋_GB2312" w:hAnsi="宋体" w:eastAsia="仿宋_GB2312"/>
      <w:sz w:val="24"/>
    </w:rPr>
  </w:style>
  <w:style w:type="paragraph" w:styleId="39">
    <w:name w:val="table of figures"/>
    <w:basedOn w:val="1"/>
    <w:next w:val="1"/>
    <w:unhideWhenUsed/>
    <w:qFormat/>
    <w:uiPriority w:val="99"/>
  </w:style>
  <w:style w:type="paragraph" w:styleId="40">
    <w:name w:val="toc 2"/>
    <w:basedOn w:val="1"/>
    <w:next w:val="1"/>
    <w:semiHidden/>
    <w:qFormat/>
    <w:uiPriority w:val="0"/>
    <w:pPr>
      <w:tabs>
        <w:tab w:val="right" w:leader="dot" w:pos="9440"/>
      </w:tabs>
      <w:spacing w:line="260" w:lineRule="exact"/>
      <w:jc w:val="left"/>
    </w:pPr>
    <w:rPr>
      <w:rFonts w:ascii="黑体" w:eastAsia="黑体"/>
      <w:b/>
      <w:bCs/>
      <w:smallCaps/>
      <w:sz w:val="18"/>
      <w:szCs w:val="44"/>
    </w:rPr>
  </w:style>
  <w:style w:type="paragraph" w:styleId="41">
    <w:name w:val="toc 9"/>
    <w:basedOn w:val="1"/>
    <w:next w:val="1"/>
    <w:semiHidden/>
    <w:qFormat/>
    <w:uiPriority w:val="0"/>
    <w:pPr>
      <w:ind w:left="3360"/>
    </w:pPr>
  </w:style>
  <w:style w:type="paragraph" w:styleId="42">
    <w:name w:val="Body Text 2"/>
    <w:basedOn w:val="1"/>
    <w:qFormat/>
    <w:uiPriority w:val="0"/>
    <w:pPr>
      <w:jc w:val="center"/>
    </w:pPr>
    <w:rPr>
      <w:rFonts w:ascii="仿宋_GB2312" w:eastAsia="仿宋_GB2312"/>
      <w:sz w:val="44"/>
    </w:rPr>
  </w:style>
  <w:style w:type="paragraph" w:styleId="43">
    <w:name w:val="List Continue 2"/>
    <w:next w:val="1"/>
    <w:qFormat/>
    <w:uiPriority w:val="0"/>
    <w:pPr>
      <w:widowControl w:val="0"/>
      <w:spacing w:after="120"/>
      <w:ind w:left="840"/>
      <w:jc w:val="both"/>
    </w:pPr>
    <w:rPr>
      <w:rFonts w:hint="default" w:ascii="Times New Roman" w:hAnsi="Times New Roman" w:eastAsia="宋体" w:cs="Times New Roman"/>
      <w:sz w:val="24"/>
      <w:lang w:val="en-US" w:eastAsia="zh-CN" w:bidi="ar-SA"/>
    </w:rPr>
  </w:style>
  <w:style w:type="paragraph" w:styleId="44">
    <w:name w:val="HTML Preformatted"/>
    <w:basedOn w:val="1"/>
    <w:link w:val="27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styleId="45">
    <w:name w:val="Normal (Web)"/>
    <w:basedOn w:val="1"/>
    <w:link w:val="255"/>
    <w:unhideWhenUsed/>
    <w:qFormat/>
    <w:uiPriority w:val="99"/>
    <w:pPr>
      <w:widowControl/>
      <w:spacing w:before="100" w:beforeAutospacing="1" w:after="100" w:afterAutospacing="1"/>
      <w:jc w:val="left"/>
    </w:pPr>
    <w:rPr>
      <w:rFonts w:ascii="宋体" w:hAnsi="宋体"/>
      <w:sz w:val="24"/>
    </w:rPr>
  </w:style>
  <w:style w:type="paragraph" w:styleId="46">
    <w:name w:val="index 1"/>
    <w:basedOn w:val="1"/>
    <w:next w:val="1"/>
    <w:semiHidden/>
    <w:qFormat/>
    <w:uiPriority w:val="0"/>
    <w:rPr>
      <w:rFonts w:ascii="宋体" w:hAnsi="宋体"/>
      <w:szCs w:val="18"/>
    </w:rPr>
  </w:style>
  <w:style w:type="paragraph" w:styleId="47">
    <w:name w:val="Title"/>
    <w:basedOn w:val="1"/>
    <w:next w:val="1"/>
    <w:link w:val="272"/>
    <w:qFormat/>
    <w:uiPriority w:val="0"/>
    <w:pPr>
      <w:spacing w:before="240" w:after="60"/>
      <w:jc w:val="center"/>
      <w:outlineLvl w:val="0"/>
    </w:pPr>
    <w:rPr>
      <w:rFonts w:ascii="Cambria" w:hAnsi="Cambria"/>
      <w:b/>
      <w:bCs/>
      <w:sz w:val="32"/>
      <w:szCs w:val="32"/>
    </w:rPr>
  </w:style>
  <w:style w:type="paragraph" w:styleId="48">
    <w:name w:val="annotation subject"/>
    <w:basedOn w:val="19"/>
    <w:next w:val="19"/>
    <w:link w:val="256"/>
    <w:qFormat/>
    <w:uiPriority w:val="0"/>
    <w:rPr>
      <w:b/>
      <w:bCs/>
    </w:rPr>
  </w:style>
  <w:style w:type="paragraph" w:styleId="49">
    <w:name w:val="Body Text First Indent"/>
    <w:basedOn w:val="21"/>
    <w:next w:val="37"/>
    <w:qFormat/>
    <w:uiPriority w:val="99"/>
    <w:pPr>
      <w:spacing w:line="360" w:lineRule="auto"/>
      <w:ind w:firstLine="200"/>
    </w:pPr>
    <w:rPr>
      <w:rFonts w:ascii="仿宋_GB2312" w:eastAsia="仿宋_GB2312"/>
      <w:sz w:val="30"/>
      <w:szCs w:val="30"/>
    </w:rPr>
  </w:style>
  <w:style w:type="table" w:styleId="51">
    <w:name w:val="Table Grid"/>
    <w:basedOn w:val="5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3">
    <w:name w:val="Strong"/>
    <w:qFormat/>
    <w:uiPriority w:val="0"/>
    <w:rPr>
      <w:b/>
      <w:bCs/>
    </w:rPr>
  </w:style>
  <w:style w:type="character" w:styleId="54">
    <w:name w:val="endnote reference"/>
    <w:basedOn w:val="52"/>
    <w:semiHidden/>
    <w:unhideWhenUsed/>
    <w:qFormat/>
    <w:uiPriority w:val="99"/>
    <w:rPr>
      <w:vertAlign w:val="superscript"/>
    </w:rPr>
  </w:style>
  <w:style w:type="character" w:styleId="55">
    <w:name w:val="page number"/>
    <w:qFormat/>
    <w:uiPriority w:val="0"/>
  </w:style>
  <w:style w:type="character" w:styleId="56">
    <w:name w:val="FollowedHyperlink"/>
    <w:qFormat/>
    <w:uiPriority w:val="0"/>
    <w:rPr>
      <w:color w:val="800080"/>
      <w:u w:val="single"/>
    </w:rPr>
  </w:style>
  <w:style w:type="character" w:styleId="57">
    <w:name w:val="Emphasis"/>
    <w:qFormat/>
    <w:uiPriority w:val="0"/>
    <w:rPr>
      <w:i/>
    </w:rPr>
  </w:style>
  <w:style w:type="character" w:styleId="58">
    <w:name w:val="Hyperlink"/>
    <w:qFormat/>
    <w:uiPriority w:val="0"/>
    <w:rPr>
      <w:color w:val="0000FF"/>
      <w:u w:val="single"/>
    </w:rPr>
  </w:style>
  <w:style w:type="character" w:styleId="59">
    <w:name w:val="annotation reference"/>
    <w:qFormat/>
    <w:uiPriority w:val="99"/>
    <w:rPr>
      <w:sz w:val="21"/>
      <w:szCs w:val="21"/>
    </w:rPr>
  </w:style>
  <w:style w:type="character" w:styleId="60">
    <w:name w:val="footnote reference"/>
    <w:basedOn w:val="52"/>
    <w:unhideWhenUsed/>
    <w:qFormat/>
    <w:uiPriority w:val="99"/>
    <w:rPr>
      <w:vertAlign w:val="superscript"/>
    </w:rPr>
  </w:style>
  <w:style w:type="paragraph" w:customStyle="1" w:styleId="61">
    <w:name w:val="Default"/>
    <w:qFormat/>
    <w:uiPriority w:val="99"/>
    <w:pPr>
      <w:widowControl w:val="0"/>
    </w:pPr>
    <w:rPr>
      <w:rFonts w:hint="default" w:ascii="Calibri" w:hAnsi="Calibri" w:eastAsia="宋体" w:cs="Times New Roman"/>
      <w:color w:val="000000"/>
      <w:sz w:val="24"/>
      <w:szCs w:val="24"/>
      <w:lang w:val="en-US" w:eastAsia="zh-CN" w:bidi="ar-SA"/>
    </w:rPr>
  </w:style>
  <w:style w:type="character" w:customStyle="1" w:styleId="62">
    <w:name w:val="Heading 6 Char"/>
    <w:basedOn w:val="52"/>
    <w:qFormat/>
    <w:uiPriority w:val="9"/>
    <w:rPr>
      <w:rFonts w:ascii="Arial" w:hAnsi="Arial" w:eastAsia="Arial" w:cs="Arial"/>
      <w:b/>
      <w:bCs/>
      <w:sz w:val="22"/>
      <w:szCs w:val="22"/>
    </w:rPr>
  </w:style>
  <w:style w:type="character" w:customStyle="1" w:styleId="63">
    <w:name w:val="Heading 7 Char"/>
    <w:basedOn w:val="52"/>
    <w:qFormat/>
    <w:uiPriority w:val="9"/>
    <w:rPr>
      <w:rFonts w:ascii="Arial" w:hAnsi="Arial" w:eastAsia="Arial" w:cs="Arial"/>
      <w:b/>
      <w:bCs/>
      <w:i/>
      <w:iCs/>
      <w:sz w:val="22"/>
      <w:szCs w:val="22"/>
    </w:rPr>
  </w:style>
  <w:style w:type="character" w:customStyle="1" w:styleId="64">
    <w:name w:val="Heading 8 Char"/>
    <w:basedOn w:val="52"/>
    <w:qFormat/>
    <w:uiPriority w:val="9"/>
    <w:rPr>
      <w:rFonts w:ascii="Arial" w:hAnsi="Arial" w:eastAsia="Arial" w:cs="Arial"/>
      <w:i/>
      <w:iCs/>
      <w:sz w:val="22"/>
      <w:szCs w:val="22"/>
    </w:rPr>
  </w:style>
  <w:style w:type="character" w:customStyle="1" w:styleId="65">
    <w:name w:val="Heading 9 Char"/>
    <w:basedOn w:val="52"/>
    <w:qFormat/>
    <w:uiPriority w:val="9"/>
    <w:rPr>
      <w:rFonts w:ascii="Arial" w:hAnsi="Arial" w:eastAsia="Arial" w:cs="Arial"/>
      <w:i/>
      <w:iCs/>
      <w:sz w:val="21"/>
      <w:szCs w:val="21"/>
    </w:rPr>
  </w:style>
  <w:style w:type="character" w:customStyle="1" w:styleId="66">
    <w:name w:val="Subtitle Char"/>
    <w:basedOn w:val="52"/>
    <w:qFormat/>
    <w:uiPriority w:val="11"/>
    <w:rPr>
      <w:sz w:val="24"/>
      <w:szCs w:val="24"/>
    </w:rPr>
  </w:style>
  <w:style w:type="character" w:customStyle="1" w:styleId="67">
    <w:name w:val="Quote Char"/>
    <w:qFormat/>
    <w:uiPriority w:val="29"/>
    <w:rPr>
      <w:i/>
    </w:rPr>
  </w:style>
  <w:style w:type="character" w:customStyle="1" w:styleId="68">
    <w:name w:val="Intense Quote Char"/>
    <w:qFormat/>
    <w:uiPriority w:val="30"/>
    <w:rPr>
      <w:i/>
    </w:rPr>
  </w:style>
  <w:style w:type="character" w:customStyle="1" w:styleId="69">
    <w:name w:val="Footnote Text Char"/>
    <w:qFormat/>
    <w:uiPriority w:val="99"/>
    <w:rPr>
      <w:sz w:val="18"/>
    </w:rPr>
  </w:style>
  <w:style w:type="character" w:customStyle="1" w:styleId="70">
    <w:name w:val="Endnote Text Char"/>
    <w:qFormat/>
    <w:uiPriority w:val="99"/>
    <w:rPr>
      <w:sz w:val="20"/>
    </w:rPr>
  </w:style>
  <w:style w:type="paragraph" w:customStyle="1" w:styleId="71">
    <w:name w:val="TOC Heading"/>
    <w:unhideWhenUsed/>
    <w:qFormat/>
    <w:uiPriority w:val="39"/>
    <w:rPr>
      <w:rFonts w:hint="default" w:ascii="Times New Roman" w:hAnsi="Times New Roman" w:eastAsia="宋体" w:cs="Times New Roman"/>
    </w:rPr>
  </w:style>
  <w:style w:type="paragraph" w:customStyle="1" w:styleId="72">
    <w:name w:val="标题 21"/>
    <w:basedOn w:val="1"/>
    <w:next w:val="1"/>
    <w:qFormat/>
    <w:uiPriority w:val="9"/>
    <w:pPr>
      <w:keepNext/>
      <w:keepLines/>
      <w:spacing w:before="260" w:after="260" w:line="416" w:lineRule="auto"/>
      <w:outlineLvl w:val="1"/>
    </w:pPr>
    <w:rPr>
      <w:rFonts w:ascii="Arial" w:hAnsi="Arial" w:eastAsia="黑体"/>
      <w:b/>
      <w:bCs/>
      <w:sz w:val="32"/>
      <w:szCs w:val="32"/>
    </w:rPr>
  </w:style>
  <w:style w:type="character" w:customStyle="1" w:styleId="73">
    <w:name w:val="Heading 1 Char"/>
    <w:basedOn w:val="52"/>
    <w:qFormat/>
    <w:uiPriority w:val="9"/>
    <w:rPr>
      <w:rFonts w:ascii="Arial" w:hAnsi="Arial" w:eastAsia="Arial" w:cs="Arial"/>
      <w:sz w:val="40"/>
      <w:szCs w:val="40"/>
    </w:rPr>
  </w:style>
  <w:style w:type="character" w:customStyle="1" w:styleId="74">
    <w:name w:val="Heading 2 Char"/>
    <w:basedOn w:val="52"/>
    <w:qFormat/>
    <w:uiPriority w:val="9"/>
    <w:rPr>
      <w:rFonts w:ascii="Arial" w:hAnsi="Arial" w:eastAsia="Arial" w:cs="Arial"/>
      <w:sz w:val="34"/>
    </w:rPr>
  </w:style>
  <w:style w:type="character" w:customStyle="1" w:styleId="75">
    <w:name w:val="Heading 3 Char"/>
    <w:basedOn w:val="52"/>
    <w:qFormat/>
    <w:uiPriority w:val="9"/>
    <w:rPr>
      <w:rFonts w:ascii="Arial" w:hAnsi="Arial" w:eastAsia="Arial" w:cs="Arial"/>
      <w:sz w:val="30"/>
      <w:szCs w:val="30"/>
    </w:rPr>
  </w:style>
  <w:style w:type="character" w:customStyle="1" w:styleId="76">
    <w:name w:val="Heading 4 Char"/>
    <w:basedOn w:val="52"/>
    <w:qFormat/>
    <w:uiPriority w:val="9"/>
    <w:rPr>
      <w:rFonts w:ascii="Arial" w:hAnsi="Arial" w:eastAsia="Arial" w:cs="Arial"/>
      <w:b/>
      <w:bCs/>
      <w:sz w:val="26"/>
      <w:szCs w:val="26"/>
    </w:rPr>
  </w:style>
  <w:style w:type="character" w:customStyle="1" w:styleId="77">
    <w:name w:val="Heading 5 Char"/>
    <w:basedOn w:val="52"/>
    <w:qFormat/>
    <w:uiPriority w:val="9"/>
    <w:rPr>
      <w:rFonts w:ascii="Arial" w:hAnsi="Arial" w:eastAsia="Arial" w:cs="Arial"/>
      <w:b/>
      <w:bCs/>
      <w:sz w:val="24"/>
      <w:szCs w:val="24"/>
    </w:rPr>
  </w:style>
  <w:style w:type="character" w:customStyle="1" w:styleId="78">
    <w:name w:val="标题 6 Char"/>
    <w:basedOn w:val="52"/>
    <w:link w:val="11"/>
    <w:qFormat/>
    <w:uiPriority w:val="9"/>
    <w:rPr>
      <w:rFonts w:ascii="Arial" w:hAnsi="Arial" w:eastAsia="Arial" w:cs="Arial"/>
      <w:b/>
      <w:bCs/>
      <w:sz w:val="22"/>
      <w:szCs w:val="22"/>
    </w:rPr>
  </w:style>
  <w:style w:type="character" w:customStyle="1" w:styleId="79">
    <w:name w:val="标题 7 Char"/>
    <w:basedOn w:val="52"/>
    <w:link w:val="12"/>
    <w:qFormat/>
    <w:uiPriority w:val="9"/>
    <w:rPr>
      <w:rFonts w:ascii="Arial" w:hAnsi="Arial" w:eastAsia="Arial" w:cs="Arial"/>
      <w:b/>
      <w:bCs/>
      <w:i/>
      <w:iCs/>
      <w:sz w:val="22"/>
      <w:szCs w:val="22"/>
    </w:rPr>
  </w:style>
  <w:style w:type="character" w:customStyle="1" w:styleId="80">
    <w:name w:val="标题 8 Char"/>
    <w:basedOn w:val="52"/>
    <w:link w:val="13"/>
    <w:qFormat/>
    <w:uiPriority w:val="9"/>
    <w:rPr>
      <w:rFonts w:ascii="Arial" w:hAnsi="Arial" w:eastAsia="Arial" w:cs="Arial"/>
      <w:i/>
      <w:iCs/>
      <w:sz w:val="22"/>
      <w:szCs w:val="22"/>
    </w:rPr>
  </w:style>
  <w:style w:type="character" w:customStyle="1" w:styleId="81">
    <w:name w:val="标题 9 Char"/>
    <w:basedOn w:val="52"/>
    <w:link w:val="14"/>
    <w:qFormat/>
    <w:uiPriority w:val="9"/>
    <w:rPr>
      <w:rFonts w:ascii="Arial" w:hAnsi="Arial" w:eastAsia="Arial" w:cs="Arial"/>
      <w:i/>
      <w:iCs/>
      <w:sz w:val="21"/>
      <w:szCs w:val="21"/>
    </w:rPr>
  </w:style>
  <w:style w:type="character" w:customStyle="1" w:styleId="82">
    <w:name w:val="Title Char"/>
    <w:basedOn w:val="52"/>
    <w:qFormat/>
    <w:uiPriority w:val="10"/>
    <w:rPr>
      <w:sz w:val="48"/>
      <w:szCs w:val="48"/>
    </w:rPr>
  </w:style>
  <w:style w:type="character" w:customStyle="1" w:styleId="83">
    <w:name w:val="副标题 Char"/>
    <w:basedOn w:val="52"/>
    <w:link w:val="35"/>
    <w:qFormat/>
    <w:uiPriority w:val="11"/>
    <w:rPr>
      <w:sz w:val="24"/>
      <w:szCs w:val="24"/>
    </w:rPr>
  </w:style>
  <w:style w:type="paragraph" w:styleId="84">
    <w:name w:val="Quote"/>
    <w:basedOn w:val="1"/>
    <w:next w:val="1"/>
    <w:link w:val="85"/>
    <w:qFormat/>
    <w:uiPriority w:val="29"/>
    <w:pPr>
      <w:ind w:left="720" w:right="720"/>
    </w:pPr>
    <w:rPr>
      <w:i/>
    </w:rPr>
  </w:style>
  <w:style w:type="character" w:customStyle="1" w:styleId="85">
    <w:name w:val="引用 Char"/>
    <w:link w:val="84"/>
    <w:qFormat/>
    <w:uiPriority w:val="29"/>
    <w:rPr>
      <w:i/>
    </w:rPr>
  </w:style>
  <w:style w:type="paragraph" w:styleId="86">
    <w:name w:val="Intense Quote"/>
    <w:basedOn w:val="1"/>
    <w:next w:val="1"/>
    <w:link w:val="8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7">
    <w:name w:val="明显引用 Char"/>
    <w:link w:val="86"/>
    <w:qFormat/>
    <w:uiPriority w:val="30"/>
    <w:rPr>
      <w:i/>
    </w:rPr>
  </w:style>
  <w:style w:type="character" w:customStyle="1" w:styleId="88">
    <w:name w:val="Header Char"/>
    <w:basedOn w:val="52"/>
    <w:qFormat/>
    <w:uiPriority w:val="99"/>
  </w:style>
  <w:style w:type="character" w:customStyle="1" w:styleId="89">
    <w:name w:val="Footer Char"/>
    <w:basedOn w:val="52"/>
    <w:qFormat/>
    <w:uiPriority w:val="99"/>
  </w:style>
  <w:style w:type="character" w:customStyle="1" w:styleId="90">
    <w:name w:val="Caption Char"/>
    <w:qFormat/>
    <w:uiPriority w:val="99"/>
  </w:style>
  <w:style w:type="table" w:customStyle="1" w:styleId="91">
    <w:name w:val="Table Grid Light"/>
    <w:basedOn w:val="5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2">
    <w:name w:val="Plain Table 1"/>
    <w:basedOn w:val="5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3">
    <w:name w:val="Plain Table 2"/>
    <w:basedOn w:val="5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4">
    <w:name w:val="Plain Table 3"/>
    <w:basedOn w:val="50"/>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Plain Table 4"/>
    <w:basedOn w:val="50"/>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Plain Table 5"/>
    <w:basedOn w:val="50"/>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Grid Table 1 Light"/>
    <w:basedOn w:val="5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8">
    <w:name w:val="Grid Table 1 Light - Accent 1"/>
    <w:basedOn w:val="50"/>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9">
    <w:name w:val="Grid Table 1 Light - Accent 2"/>
    <w:basedOn w:val="50"/>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0">
    <w:name w:val="Grid Table 1 Light - Accent 3"/>
    <w:basedOn w:val="50"/>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1">
    <w:name w:val="Grid Table 1 Light - Accent 4"/>
    <w:basedOn w:val="50"/>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2">
    <w:name w:val="Grid Table 1 Light - Accent 5"/>
    <w:basedOn w:val="50"/>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3">
    <w:name w:val="Grid Table 1 Light - Accent 6"/>
    <w:basedOn w:val="50"/>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4">
    <w:name w:val="Grid Table 2"/>
    <w:basedOn w:val="5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2 - Accent 1"/>
    <w:basedOn w:val="50"/>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6">
    <w:name w:val="Grid Table 2 - Accent 2"/>
    <w:basedOn w:val="50"/>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2 - Accent 3"/>
    <w:basedOn w:val="50"/>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2 - Accent 4"/>
    <w:basedOn w:val="50"/>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2 - Accent 5"/>
    <w:basedOn w:val="50"/>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2 - Accent 6"/>
    <w:basedOn w:val="50"/>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Grid Table 3"/>
    <w:basedOn w:val="5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3 - Accent 1"/>
    <w:basedOn w:val="50"/>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3">
    <w:name w:val="Grid Table 3 - Accent 2"/>
    <w:basedOn w:val="50"/>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4">
    <w:name w:val="Grid Table 3 - Accent 3"/>
    <w:basedOn w:val="50"/>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5">
    <w:name w:val="Grid Table 3 - Accent 4"/>
    <w:basedOn w:val="50"/>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6">
    <w:name w:val="Grid Table 3 - Accent 5"/>
    <w:basedOn w:val="50"/>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7">
    <w:name w:val="Grid Table 3 - Accent 6"/>
    <w:basedOn w:val="50"/>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8">
    <w:name w:val="Grid Table 4"/>
    <w:basedOn w:val="5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4 - Accent 1"/>
    <w:basedOn w:val="50"/>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0">
    <w:name w:val="Grid Table 4 - Accent 2"/>
    <w:basedOn w:val="50"/>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4 - Accent 3"/>
    <w:basedOn w:val="50"/>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4 - Accent 4"/>
    <w:basedOn w:val="50"/>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4 - Accent 5"/>
    <w:basedOn w:val="50"/>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4 - Accent 6"/>
    <w:basedOn w:val="50"/>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Grid Table 5 Dark"/>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6">
    <w:name w:val="Grid Table 5 Dark- Accent 1"/>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7">
    <w:name w:val="Grid Table 5 Dark - Accent 2"/>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8">
    <w:name w:val="Grid Table 5 Dark - Accent 3"/>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9">
    <w:name w:val="Grid Table 5 Dark- Accent 4"/>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0">
    <w:name w:val="Grid Table 5 Dark - Accent 5"/>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1">
    <w:name w:val="Grid Table 5 Dark - Accent 6"/>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2">
    <w:name w:val="Grid Table 6 Colorful"/>
    <w:basedOn w:val="5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3">
    <w:name w:val="Grid Table 6 Colorful - Accent 1"/>
    <w:basedOn w:val="50"/>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4">
    <w:name w:val="Grid Table 6 Colorful - Accent 2"/>
    <w:basedOn w:val="50"/>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5">
    <w:name w:val="Grid Table 6 Colorful - Accent 3"/>
    <w:basedOn w:val="50"/>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6">
    <w:name w:val="Grid Table 6 Colorful - Accent 4"/>
    <w:basedOn w:val="50"/>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7">
    <w:name w:val="Grid Table 6 Colorful - Accent 5"/>
    <w:basedOn w:val="50"/>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8">
    <w:name w:val="Grid Table 6 Colorful - Accent 6"/>
    <w:basedOn w:val="50"/>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9">
    <w:name w:val="Grid Table 7 Colorful"/>
    <w:basedOn w:val="5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0">
    <w:name w:val="Grid Table 7 Colorful - Accent 1"/>
    <w:basedOn w:val="50"/>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1">
    <w:name w:val="Grid Table 7 Colorful - Accent 2"/>
    <w:basedOn w:val="50"/>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2">
    <w:name w:val="Grid Table 7 Colorful - Accent 3"/>
    <w:basedOn w:val="50"/>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3">
    <w:name w:val="Grid Table 7 Colorful - Accent 4"/>
    <w:basedOn w:val="50"/>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4">
    <w:name w:val="Grid Table 7 Colorful - Accent 5"/>
    <w:basedOn w:val="50"/>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5">
    <w:name w:val="Grid Table 7 Colorful - Accent 6"/>
    <w:basedOn w:val="50"/>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6">
    <w:name w:val="List Table 1 Light"/>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7">
    <w:name w:val="List Table 1 Light - Accent 1"/>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8">
    <w:name w:val="List Table 1 Light - Accent 2"/>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9">
    <w:name w:val="List Table 1 Light - Accent 3"/>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0">
    <w:name w:val="List Table 1 Light - Accent 4"/>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1">
    <w:name w:val="List Table 1 Light - Accent 5"/>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2">
    <w:name w:val="List Table 1 Light - Accent 6"/>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3">
    <w:name w:val="List Table 2"/>
    <w:basedOn w:val="5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2 - Accent 1"/>
    <w:basedOn w:val="50"/>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5">
    <w:name w:val="List Table 2 - Accent 2"/>
    <w:basedOn w:val="50"/>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6">
    <w:name w:val="List Table 2 - Accent 3"/>
    <w:basedOn w:val="50"/>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7">
    <w:name w:val="List Table 2 - Accent 4"/>
    <w:basedOn w:val="50"/>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8">
    <w:name w:val="List Table 2 - Accent 5"/>
    <w:basedOn w:val="50"/>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9">
    <w:name w:val="List Table 2 - Accent 6"/>
    <w:basedOn w:val="50"/>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0">
    <w:name w:val="List Table 3"/>
    <w:basedOn w:val="5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1">
    <w:name w:val="List Table 3 - Accent 1"/>
    <w:basedOn w:val="50"/>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2">
    <w:name w:val="List Table 3 - Accent 2"/>
    <w:basedOn w:val="50"/>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3">
    <w:name w:val="List Table 3 - Accent 3"/>
    <w:basedOn w:val="50"/>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4">
    <w:name w:val="List Table 3 - Accent 4"/>
    <w:basedOn w:val="50"/>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5">
    <w:name w:val="List Table 3 - Accent 5"/>
    <w:basedOn w:val="50"/>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6">
    <w:name w:val="List Table 3 - Accent 6"/>
    <w:basedOn w:val="50"/>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7">
    <w:name w:val="List Table 4"/>
    <w:basedOn w:val="5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8">
    <w:name w:val="List Table 4 - Accent 1"/>
    <w:basedOn w:val="50"/>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9">
    <w:name w:val="List Table 4 - Accent 2"/>
    <w:basedOn w:val="50"/>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0">
    <w:name w:val="List Table 4 - Accent 3"/>
    <w:basedOn w:val="50"/>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1">
    <w:name w:val="List Table 4 - Accent 4"/>
    <w:basedOn w:val="50"/>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2">
    <w:name w:val="List Table 4 - Accent 5"/>
    <w:basedOn w:val="50"/>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3">
    <w:name w:val="List Table 4 - Accent 6"/>
    <w:basedOn w:val="50"/>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4">
    <w:name w:val="List Table 5 Dark"/>
    <w:basedOn w:val="5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5">
    <w:name w:val="List Table 5 Dark - Accent 1"/>
    <w:basedOn w:val="50"/>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6">
    <w:name w:val="List Table 5 Dark - Accent 2"/>
    <w:basedOn w:val="50"/>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7">
    <w:name w:val="List Table 5 Dark - Accent 3"/>
    <w:basedOn w:val="50"/>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8">
    <w:name w:val="List Table 5 Dark - Accent 4"/>
    <w:basedOn w:val="50"/>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9">
    <w:name w:val="List Table 5 Dark - Accent 5"/>
    <w:basedOn w:val="50"/>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0">
    <w:name w:val="List Table 5 Dark - Accent 6"/>
    <w:basedOn w:val="50"/>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1">
    <w:name w:val="List Table 6 Colorful"/>
    <w:basedOn w:val="50"/>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2">
    <w:name w:val="List Table 6 Colorful - Accent 1"/>
    <w:basedOn w:val="50"/>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3">
    <w:name w:val="List Table 6 Colorful - Accent 2"/>
    <w:basedOn w:val="50"/>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4">
    <w:name w:val="List Table 6 Colorful - Accent 3"/>
    <w:basedOn w:val="50"/>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5">
    <w:name w:val="List Table 6 Colorful - Accent 4"/>
    <w:basedOn w:val="50"/>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6">
    <w:name w:val="List Table 6 Colorful - Accent 5"/>
    <w:basedOn w:val="50"/>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7">
    <w:name w:val="List Table 6 Colorful - Accent 6"/>
    <w:basedOn w:val="50"/>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8">
    <w:name w:val="List Table 7 Colorful"/>
    <w:basedOn w:val="50"/>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9">
    <w:name w:val="List Table 7 Colorful - Accent 1"/>
    <w:basedOn w:val="50"/>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0">
    <w:name w:val="List Table 7 Colorful - Accent 2"/>
    <w:basedOn w:val="50"/>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1">
    <w:name w:val="List Table 7 Colorful - Accent 3"/>
    <w:basedOn w:val="50"/>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2">
    <w:name w:val="List Table 7 Colorful - Accent 4"/>
    <w:basedOn w:val="50"/>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3">
    <w:name w:val="List Table 7 Colorful - Accent 5"/>
    <w:basedOn w:val="50"/>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4">
    <w:name w:val="List Table 7 Colorful - Accent 6"/>
    <w:basedOn w:val="50"/>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5">
    <w:name w:val="Lined - Accent"/>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6">
    <w:name w:val="Lined - Accent 1"/>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7">
    <w:name w:val="Lined - Accent 2"/>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8">
    <w:name w:val="Lined - Accent 3"/>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9">
    <w:name w:val="Lined - Accent 4"/>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0">
    <w:name w:val="Lined - Accent 5"/>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1">
    <w:name w:val="Lined - Accent 6"/>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2">
    <w:name w:val="Bordered &amp; Lined - Accent"/>
    <w:basedOn w:val="5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3">
    <w:name w:val="Bordered &amp; Lined - Accent 1"/>
    <w:basedOn w:val="50"/>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4">
    <w:name w:val="Bordered &amp; Lined - Accent 2"/>
    <w:basedOn w:val="50"/>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5">
    <w:name w:val="Bordered &amp; Lined - Accent 3"/>
    <w:basedOn w:val="50"/>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6">
    <w:name w:val="Bordered &amp; Lined - Accent 4"/>
    <w:basedOn w:val="50"/>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7">
    <w:name w:val="Bordered &amp; Lined - Accent 5"/>
    <w:basedOn w:val="50"/>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8">
    <w:name w:val="Bordered &amp; Lined - Accent 6"/>
    <w:basedOn w:val="50"/>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9">
    <w:name w:val="Bordered"/>
    <w:basedOn w:val="5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0">
    <w:name w:val="Bordered - Accent 1"/>
    <w:basedOn w:val="50"/>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1">
    <w:name w:val="Bordered - Accent 2"/>
    <w:basedOn w:val="50"/>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2">
    <w:name w:val="Bordered - Accent 3"/>
    <w:basedOn w:val="50"/>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3">
    <w:name w:val="Bordered - Accent 4"/>
    <w:basedOn w:val="50"/>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4">
    <w:name w:val="Bordered - Accent 5"/>
    <w:basedOn w:val="50"/>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5">
    <w:name w:val="Bordered - Accent 6"/>
    <w:basedOn w:val="50"/>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6">
    <w:name w:val="脚注文本 Char"/>
    <w:link w:val="36"/>
    <w:qFormat/>
    <w:uiPriority w:val="99"/>
    <w:rPr>
      <w:sz w:val="18"/>
    </w:rPr>
  </w:style>
  <w:style w:type="character" w:customStyle="1" w:styleId="217">
    <w:name w:val="尾注文本 Char"/>
    <w:link w:val="29"/>
    <w:qFormat/>
    <w:uiPriority w:val="99"/>
    <w:rPr>
      <w:sz w:val="20"/>
    </w:rPr>
  </w:style>
  <w:style w:type="paragraph" w:customStyle="1" w:styleId="218">
    <w:name w:val="TOC 标题1"/>
    <w:unhideWhenUsed/>
    <w:qFormat/>
    <w:uiPriority w:val="39"/>
    <w:rPr>
      <w:rFonts w:hint="default" w:ascii="Times New Roman" w:hAnsi="Times New Roman" w:eastAsia="宋体" w:cs="Times New Roman"/>
      <w:lang w:val="en-US" w:eastAsia="zh-CN" w:bidi="ar-SA"/>
    </w:rPr>
  </w:style>
  <w:style w:type="paragraph" w:customStyle="1" w:styleId="219">
    <w:name w:val="正文首行缩进 21"/>
    <w:basedOn w:val="220"/>
    <w:next w:val="222"/>
    <w:unhideWhenUsed/>
    <w:qFormat/>
    <w:uiPriority w:val="99"/>
    <w:pPr>
      <w:ind w:firstLine="420"/>
    </w:pPr>
  </w:style>
  <w:style w:type="paragraph" w:customStyle="1" w:styleId="220">
    <w:name w:val="正文文本缩进1"/>
    <w:basedOn w:val="1"/>
    <w:next w:val="221"/>
    <w:unhideWhenUsed/>
    <w:qFormat/>
    <w:uiPriority w:val="0"/>
    <w:pPr>
      <w:spacing w:after="120"/>
      <w:ind w:left="420"/>
    </w:pPr>
    <w:rPr>
      <w:rFonts w:ascii="Times New Roman" w:hAnsi="Times New Roman"/>
      <w:sz w:val="20"/>
    </w:rPr>
  </w:style>
  <w:style w:type="paragraph" w:customStyle="1" w:styleId="221">
    <w:name w:val="寄信人地址1"/>
    <w:basedOn w:val="1"/>
    <w:qFormat/>
    <w:uiPriority w:val="0"/>
    <w:rPr>
      <w:rFonts w:ascii="Arial" w:hAnsi="Arial"/>
    </w:rPr>
  </w:style>
  <w:style w:type="paragraph" w:customStyle="1" w:styleId="222">
    <w:name w:val="正文缩进1"/>
    <w:basedOn w:val="1"/>
    <w:qFormat/>
    <w:uiPriority w:val="0"/>
    <w:pPr>
      <w:ind w:firstLine="420"/>
    </w:pPr>
    <w:rPr>
      <w:rFonts w:ascii="Times New Roman" w:hAnsi="Times New Roman"/>
      <w:sz w:val="20"/>
      <w:szCs w:val="20"/>
    </w:rPr>
  </w:style>
  <w:style w:type="paragraph" w:customStyle="1" w:styleId="223">
    <w:name w:val="Coms Alinea"/>
    <w:qFormat/>
    <w:uiPriority w:val="0"/>
    <w:pPr>
      <w:widowControl w:val="0"/>
    </w:pPr>
    <w:rPr>
      <w:rFonts w:hint="default" w:ascii="Arial" w:hAnsi="Arial" w:eastAsia="宋体" w:cs="Arial"/>
      <w:lang w:val="en-US" w:eastAsia="zh-CN" w:bidi="ar-SA"/>
    </w:rPr>
  </w:style>
  <w:style w:type="paragraph" w:customStyle="1" w:styleId="224">
    <w:name w:val="表格"/>
    <w:basedOn w:val="1"/>
    <w:qFormat/>
    <w:uiPriority w:val="0"/>
    <w:rPr>
      <w:rFonts w:ascii="华文细黑" w:hAnsi="华文细黑" w:eastAsia="华文细黑"/>
    </w:rPr>
  </w:style>
  <w:style w:type="paragraph" w:customStyle="1" w:styleId="225">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26">
    <w:name w:val="正文 1.1.1"/>
    <w:basedOn w:val="1"/>
    <w:next w:val="1"/>
    <w:qFormat/>
    <w:uiPriority w:val="0"/>
    <w:pPr>
      <w:tabs>
        <w:tab w:val="left" w:pos="851"/>
      </w:tabs>
      <w:spacing w:line="360" w:lineRule="auto"/>
      <w:outlineLvl w:val="2"/>
    </w:pPr>
    <w:rPr>
      <w:rFonts w:ascii="宋体" w:hAnsi="宋体"/>
      <w:color w:val="000000"/>
      <w:sz w:val="28"/>
      <w:szCs w:val="21"/>
    </w:rPr>
  </w:style>
  <w:style w:type="paragraph" w:customStyle="1" w:styleId="227">
    <w:name w:val="列出段落1"/>
    <w:basedOn w:val="1"/>
    <w:link w:val="273"/>
    <w:qFormat/>
    <w:uiPriority w:val="0"/>
    <w:pPr>
      <w:widowControl/>
      <w:ind w:left="720"/>
      <w:contextualSpacing/>
      <w:jc w:val="left"/>
    </w:pPr>
    <w:rPr>
      <w:sz w:val="24"/>
      <w:lang w:eastAsia="en-US" w:bidi="en-US"/>
    </w:rPr>
  </w:style>
  <w:style w:type="paragraph" w:customStyle="1" w:styleId="228">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29">
    <w:name w:val="_Style 57"/>
    <w:semiHidden/>
    <w:qFormat/>
    <w:uiPriority w:val="99"/>
    <w:rPr>
      <w:rFonts w:hint="default" w:ascii="Calibri" w:hAnsi="Calibri" w:eastAsia="宋体" w:cs="Times New Roman"/>
      <w:sz w:val="21"/>
      <w:szCs w:val="24"/>
      <w:lang w:val="en-US" w:eastAsia="zh-CN" w:bidi="ar-SA"/>
    </w:rPr>
  </w:style>
  <w:style w:type="paragraph" w:customStyle="1" w:styleId="230">
    <w:name w:val="标题3"/>
    <w:basedOn w:val="1"/>
    <w:next w:val="1"/>
    <w:qFormat/>
    <w:uiPriority w:val="0"/>
    <w:rPr>
      <w:rFonts w:eastAsia="方正黑体_GBK"/>
    </w:rPr>
  </w:style>
  <w:style w:type="paragraph" w:customStyle="1" w:styleId="231">
    <w:name w:val="列出段落_0"/>
    <w:basedOn w:val="225"/>
    <w:qFormat/>
    <w:uiPriority w:val="0"/>
    <w:pPr>
      <w:ind w:firstLine="420"/>
    </w:pPr>
  </w:style>
  <w:style w:type="paragraph" w:customStyle="1" w:styleId="232">
    <w:name w:val="Table Text"/>
    <w:qFormat/>
    <w:uiPriority w:val="0"/>
    <w:pPr>
      <w:spacing w:after="80"/>
      <w:jc w:val="center"/>
    </w:pPr>
    <w:rPr>
      <w:rFonts w:hint="default" w:ascii="仿宋_GB2312" w:hAnsi="宋体" w:eastAsia="仿宋_GB2312" w:cs="Times New Roman"/>
      <w:sz w:val="24"/>
      <w:lang w:val="en-US" w:eastAsia="zh-CN" w:bidi="ar-SA"/>
    </w:rPr>
  </w:style>
  <w:style w:type="paragraph" w:customStyle="1" w:styleId="233">
    <w:name w:val="正文空2格  1."/>
    <w:basedOn w:val="1"/>
    <w:qFormat/>
    <w:uiPriority w:val="0"/>
    <w:pPr>
      <w:spacing w:line="360" w:lineRule="auto"/>
      <w:ind w:firstLine="480"/>
    </w:pPr>
    <w:rPr>
      <w:rFonts w:ascii="宋体" w:eastAsia="仿宋" w:cs="宋体"/>
      <w:sz w:val="28"/>
      <w:szCs w:val="20"/>
    </w:rPr>
  </w:style>
  <w:style w:type="paragraph" w:customStyle="1" w:styleId="234">
    <w:name w:val="标题2"/>
    <w:basedOn w:val="1"/>
    <w:next w:val="1"/>
    <w:qFormat/>
    <w:uiPriority w:val="0"/>
    <w:pPr>
      <w:jc w:val="center"/>
    </w:pPr>
    <w:rPr>
      <w:rFonts w:eastAsia="方正楷体_GBK"/>
    </w:rPr>
  </w:style>
  <w:style w:type="paragraph" w:customStyle="1" w:styleId="235">
    <w:name w:val="标书正文格式"/>
    <w:qFormat/>
    <w:uiPriority w:val="0"/>
    <w:pPr>
      <w:spacing w:line="360" w:lineRule="auto"/>
      <w:ind w:firstLine="200"/>
    </w:pPr>
    <w:rPr>
      <w:rFonts w:hint="default" w:ascii="Calibri" w:hAnsi="Calibri" w:eastAsia="楷体_GB2312" w:cs="Times New Roman"/>
      <w:sz w:val="24"/>
      <w:szCs w:val="24"/>
      <w:lang w:val="en-US" w:eastAsia="zh-CN" w:bidi="ar-SA"/>
    </w:rPr>
  </w:style>
  <w:style w:type="paragraph" w:customStyle="1" w:styleId="236">
    <w:name w:val="附录1"/>
    <w:qFormat/>
    <w:uiPriority w:val="0"/>
    <w:pPr>
      <w:tabs>
        <w:tab w:val="left" w:pos="907"/>
      </w:tabs>
      <w:spacing w:before="240" w:line="600" w:lineRule="atLeast"/>
      <w:ind w:left="907" w:hanging="907"/>
    </w:pPr>
    <w:rPr>
      <w:rFonts w:hint="default" w:ascii="Calibri" w:hAnsi="Calibri" w:eastAsia="宋体" w:cs="Times New Roman"/>
      <w:b/>
      <w:i/>
      <w:sz w:val="28"/>
      <w:lang w:val="en-US" w:eastAsia="zh-CN" w:bidi="ar-SA"/>
    </w:rPr>
  </w:style>
  <w:style w:type="paragraph" w:customStyle="1" w:styleId="237">
    <w:name w:val="正文 第一章"/>
    <w:basedOn w:val="1"/>
    <w:next w:val="238"/>
    <w:qFormat/>
    <w:uiPriority w:val="0"/>
    <w:pPr>
      <w:pageBreakBefore/>
      <w:spacing w:before="240" w:after="240" w:line="480" w:lineRule="auto"/>
      <w:ind w:left="9351" w:hanging="420"/>
      <w:jc w:val="center"/>
      <w:outlineLvl w:val="0"/>
    </w:pPr>
    <w:rPr>
      <w:rFonts w:ascii="黑体" w:hAnsi="宋体" w:eastAsia="黑体"/>
      <w:sz w:val="36"/>
      <w:szCs w:val="21"/>
    </w:rPr>
  </w:style>
  <w:style w:type="paragraph" w:customStyle="1" w:styleId="238">
    <w:name w:val="正文 1.1"/>
    <w:basedOn w:val="1"/>
    <w:next w:val="226"/>
    <w:qFormat/>
    <w:uiPriority w:val="0"/>
    <w:pPr>
      <w:tabs>
        <w:tab w:val="left" w:pos="851"/>
      </w:tabs>
      <w:spacing w:line="360" w:lineRule="auto"/>
      <w:ind w:left="980" w:hanging="980"/>
      <w:outlineLvl w:val="1"/>
    </w:pPr>
    <w:rPr>
      <w:rFonts w:ascii="仿宋" w:hAnsi="仿宋" w:eastAsia="仿宋"/>
      <w:b/>
      <w:sz w:val="28"/>
      <w:szCs w:val="21"/>
    </w:rPr>
  </w:style>
  <w:style w:type="paragraph" w:customStyle="1" w:styleId="239">
    <w:name w:val="_Style 64"/>
    <w:unhideWhenUsed/>
    <w:qFormat/>
    <w:uiPriority w:val="99"/>
    <w:rPr>
      <w:rFonts w:hint="default" w:ascii="Calibri" w:hAnsi="Calibri" w:eastAsia="宋体" w:cs="Times New Roman"/>
      <w:sz w:val="21"/>
      <w:szCs w:val="24"/>
      <w:lang w:val="en-US" w:eastAsia="zh-CN" w:bidi="ar-SA"/>
    </w:rPr>
  </w:style>
  <w:style w:type="paragraph" w:customStyle="1" w:styleId="240">
    <w:name w:val="Char Char Char Char1 Char Char"/>
    <w:basedOn w:val="1"/>
    <w:qFormat/>
    <w:uiPriority w:val="0"/>
    <w:pPr>
      <w:tabs>
        <w:tab w:val="left" w:pos="360"/>
      </w:tabs>
    </w:pPr>
    <w:rPr>
      <w:sz w:val="24"/>
    </w:rPr>
  </w:style>
  <w:style w:type="paragraph" w:customStyle="1" w:styleId="241">
    <w:name w:val="BioQuote Tekst"/>
    <w:basedOn w:val="1"/>
    <w:qFormat/>
    <w:uiPriority w:val="0"/>
    <w:pPr>
      <w:ind w:right="-1"/>
    </w:pPr>
    <w:rPr>
      <w:rFonts w:ascii="Arial" w:hAnsi="Arial"/>
      <w:sz w:val="22"/>
      <w:szCs w:val="20"/>
      <w:lang w:eastAsia="en-US"/>
    </w:rPr>
  </w:style>
  <w:style w:type="paragraph" w:customStyle="1" w:styleId="242">
    <w:name w:val="Char Char Char Char1 Char Char Char"/>
    <w:basedOn w:val="18"/>
    <w:qFormat/>
    <w:uiPriority w:val="0"/>
    <w:pPr>
      <w:spacing w:line="360" w:lineRule="auto"/>
    </w:pPr>
    <w:rPr>
      <w:rFonts w:ascii="Tahoma" w:hAnsi="Tahoma"/>
      <w:sz w:val="24"/>
    </w:rPr>
  </w:style>
  <w:style w:type="paragraph" w:customStyle="1" w:styleId="243">
    <w:name w:val="普通正文"/>
    <w:basedOn w:val="1"/>
    <w:qFormat/>
    <w:uiPriority w:val="0"/>
    <w:pPr>
      <w:spacing w:before="120" w:after="120" w:line="360" w:lineRule="auto"/>
      <w:ind w:firstLine="480"/>
      <w:jc w:val="left"/>
    </w:pPr>
    <w:rPr>
      <w:rFonts w:ascii="Arial" w:hAnsi="Arial"/>
      <w:sz w:val="24"/>
    </w:rPr>
  </w:style>
  <w:style w:type="paragraph" w:customStyle="1" w:styleId="244">
    <w:name w:val="Char"/>
    <w:basedOn w:val="1"/>
    <w:qFormat/>
    <w:uiPriority w:val="0"/>
    <w:rPr>
      <w:rFonts w:ascii="Tahoma" w:hAnsi="Tahoma"/>
      <w:sz w:val="24"/>
      <w:szCs w:val="20"/>
    </w:rPr>
  </w:style>
  <w:style w:type="paragraph" w:customStyle="1" w:styleId="245">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246">
    <w:name w:val="Body text|1"/>
    <w:basedOn w:val="1"/>
    <w:qFormat/>
    <w:uiPriority w:val="0"/>
    <w:pPr>
      <w:spacing w:line="346" w:lineRule="auto"/>
    </w:pPr>
    <w:rPr>
      <w:rFonts w:ascii="MingLiU" w:hAnsi="MingLiU" w:eastAsia="MingLiU" w:cs="MingLiU"/>
      <w:sz w:val="15"/>
      <w:szCs w:val="15"/>
      <w:lang w:val="zh-TW" w:eastAsia="zh-TW" w:bidi="zh-TW"/>
    </w:rPr>
  </w:style>
  <w:style w:type="paragraph" w:customStyle="1" w:styleId="247">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248">
    <w:name w:val="列出段落2"/>
    <w:basedOn w:val="1"/>
    <w:qFormat/>
    <w:uiPriority w:val="0"/>
    <w:pPr>
      <w:ind w:firstLine="420"/>
    </w:pPr>
    <w:rPr>
      <w:szCs w:val="22"/>
    </w:rPr>
  </w:style>
  <w:style w:type="paragraph" w:customStyle="1" w:styleId="249">
    <w:name w:val="Char Char Char Char"/>
    <w:basedOn w:val="18"/>
    <w:qFormat/>
    <w:uiPriority w:val="0"/>
    <w:pPr>
      <w:spacing w:line="360" w:lineRule="auto"/>
    </w:pPr>
    <w:rPr>
      <w:rFonts w:ascii="Tahoma" w:hAnsi="Tahoma"/>
      <w:sz w:val="24"/>
    </w:rPr>
  </w:style>
  <w:style w:type="paragraph" w:customStyle="1" w:styleId="250">
    <w:name w:val="默认段落字体 Para Char Char Char Char Char Char Char Char Char1 Char Char Char Char Char Char Char"/>
    <w:basedOn w:val="18"/>
    <w:qFormat/>
    <w:uiPriority w:val="0"/>
    <w:rPr>
      <w:rFonts w:ascii="Tahoma" w:hAnsi="Tahoma"/>
      <w:sz w:val="24"/>
    </w:rPr>
  </w:style>
  <w:style w:type="paragraph" w:customStyle="1" w:styleId="251">
    <w:name w:val="Char1"/>
    <w:basedOn w:val="1"/>
    <w:qFormat/>
    <w:uiPriority w:val="0"/>
    <w:pPr>
      <w:tabs>
        <w:tab w:val="left" w:pos="360"/>
      </w:tabs>
    </w:pPr>
    <w:rPr>
      <w:sz w:val="24"/>
    </w:rPr>
  </w:style>
  <w:style w:type="paragraph" w:styleId="252">
    <w:name w:val="List Paragraph"/>
    <w:basedOn w:val="1"/>
    <w:qFormat/>
    <w:uiPriority w:val="34"/>
    <w:pPr>
      <w:ind w:firstLine="420"/>
    </w:pPr>
    <w:rPr>
      <w:szCs w:val="22"/>
    </w:rPr>
  </w:style>
  <w:style w:type="paragraph" w:customStyle="1" w:styleId="253">
    <w:name w:val="第四级"/>
    <w:basedOn w:val="1"/>
    <w:next w:val="1"/>
    <w:qFormat/>
    <w:uiPriority w:val="0"/>
    <w:pPr>
      <w:tabs>
        <w:tab w:val="left" w:pos="1134"/>
      </w:tabs>
      <w:spacing w:line="360" w:lineRule="auto"/>
    </w:pPr>
    <w:rPr>
      <w:rFonts w:ascii="宋体" w:hAnsi="宋体" w:eastAsia="仿宋"/>
      <w:sz w:val="28"/>
      <w:szCs w:val="21"/>
    </w:rPr>
  </w:style>
  <w:style w:type="character" w:customStyle="1" w:styleId="254">
    <w:name w:val="NormalCharacter"/>
    <w:qFormat/>
    <w:uiPriority w:val="0"/>
    <w:rPr>
      <w:sz w:val="21"/>
      <w:szCs w:val="24"/>
      <w:lang w:val="en-US" w:eastAsia="zh-CN" w:bidi="ar-SA"/>
    </w:rPr>
  </w:style>
  <w:style w:type="character" w:customStyle="1" w:styleId="255">
    <w:name w:val="普通(网站) Char"/>
    <w:link w:val="45"/>
    <w:qFormat/>
    <w:uiPriority w:val="0"/>
    <w:rPr>
      <w:rFonts w:ascii="宋体" w:hAnsi="宋体" w:cs="宋体"/>
      <w:sz w:val="24"/>
      <w:szCs w:val="24"/>
    </w:rPr>
  </w:style>
  <w:style w:type="character" w:customStyle="1" w:styleId="256">
    <w:name w:val="批注主题 Char"/>
    <w:link w:val="48"/>
    <w:qFormat/>
    <w:uiPriority w:val="0"/>
    <w:rPr>
      <w:b/>
      <w:bCs/>
      <w:sz w:val="21"/>
      <w:szCs w:val="24"/>
    </w:rPr>
  </w:style>
  <w:style w:type="character" w:customStyle="1" w:styleId="257">
    <w:name w:val="apple-converted-space"/>
    <w:basedOn w:val="52"/>
    <w:qFormat/>
    <w:uiPriority w:val="0"/>
  </w:style>
  <w:style w:type="character" w:customStyle="1" w:styleId="258">
    <w:name w:val="纯文本 Char"/>
    <w:link w:val="25"/>
    <w:qFormat/>
    <w:uiPriority w:val="99"/>
    <w:rPr>
      <w:rFonts w:ascii="宋体" w:hAnsi="Courier New"/>
      <w:sz w:val="21"/>
    </w:rPr>
  </w:style>
  <w:style w:type="character" w:customStyle="1" w:styleId="259">
    <w:name w:val="标题2 Char"/>
    <w:qFormat/>
    <w:uiPriority w:val="0"/>
    <w:rPr>
      <w:rFonts w:ascii="方正楷体_GBK" w:hAnsi="Book Antiqua" w:eastAsia="方正楷体_GBK"/>
      <w:sz w:val="32"/>
      <w:lang w:val="en-US" w:eastAsia="zh-CN" w:bidi="ar-SA"/>
    </w:rPr>
  </w:style>
  <w:style w:type="character" w:customStyle="1" w:styleId="260">
    <w:name w:val="font01"/>
    <w:qFormat/>
    <w:uiPriority w:val="0"/>
    <w:rPr>
      <w:rFonts w:hint="default" w:ascii="Times New Roman" w:hAnsi="Times New Roman" w:eastAsia="宋体" w:cs="Times New Roman"/>
      <w:color w:val="000000"/>
      <w:sz w:val="22"/>
      <w:szCs w:val="22"/>
      <w:u w:val="none"/>
    </w:rPr>
  </w:style>
  <w:style w:type="character" w:customStyle="1" w:styleId="261">
    <w:name w:val="fc01294d3e-4153-482a-aea1-4b54892b7913-0"/>
    <w:qFormat/>
    <w:uiPriority w:val="0"/>
    <w:rPr>
      <w:rFonts w:ascii="Tahoma" w:hAnsi="Tahoma" w:eastAsia="Tahoma"/>
      <w:sz w:val="24"/>
      <w:szCs w:val="24"/>
      <w:shd w:val="clear" w:color="auto" w:fill="auto"/>
    </w:rPr>
  </w:style>
  <w:style w:type="character" w:customStyle="1" w:styleId="262">
    <w:name w:val="font81"/>
    <w:qFormat/>
    <w:uiPriority w:val="0"/>
    <w:rPr>
      <w:rFonts w:hint="default" w:ascii="方正仿宋_GBK" w:hAnsi="方正仿宋_GBK" w:eastAsia="方正仿宋_GBK" w:cs="方正仿宋_GBK"/>
      <w:color w:val="000000"/>
      <w:sz w:val="16"/>
      <w:szCs w:val="16"/>
      <w:u w:val="none"/>
    </w:rPr>
  </w:style>
  <w:style w:type="character" w:customStyle="1" w:styleId="263">
    <w:name w:val="font31"/>
    <w:qFormat/>
    <w:uiPriority w:val="0"/>
    <w:rPr>
      <w:rFonts w:ascii="方正仿宋_GBK" w:hAnsi="方正仿宋_GBK" w:eastAsia="方正仿宋_GBK" w:cs="方正仿宋_GBK"/>
      <w:color w:val="000000"/>
      <w:sz w:val="22"/>
      <w:szCs w:val="22"/>
      <w:u w:val="none"/>
    </w:rPr>
  </w:style>
  <w:style w:type="character" w:customStyle="1" w:styleId="264">
    <w:name w:val="标题 1 Char"/>
    <w:link w:val="5"/>
    <w:qFormat/>
    <w:uiPriority w:val="0"/>
    <w:rPr>
      <w:rFonts w:ascii="楷体_GB2312" w:eastAsia="楷体_GB2312"/>
      <w:sz w:val="28"/>
      <w:lang w:val="en-US" w:eastAsia="zh-CN" w:bidi="ar-SA"/>
    </w:rPr>
  </w:style>
  <w:style w:type="character" w:customStyle="1" w:styleId="265">
    <w:name w:val="标题 2 Char"/>
    <w:link w:val="6"/>
    <w:qFormat/>
    <w:uiPriority w:val="0"/>
    <w:rPr>
      <w:rFonts w:ascii="Arial" w:hAnsi="Arial" w:eastAsia="幼圆"/>
      <w:b/>
      <w:sz w:val="44"/>
    </w:rPr>
  </w:style>
  <w:style w:type="character" w:customStyle="1" w:styleId="266">
    <w:name w:val="正文缩进 Char"/>
    <w:link w:val="16"/>
    <w:qFormat/>
    <w:uiPriority w:val="0"/>
    <w:rPr>
      <w:rFonts w:eastAsia="宋体"/>
      <w:sz w:val="21"/>
      <w:lang w:val="en-US" w:eastAsia="zh-CN" w:bidi="ar-SA"/>
    </w:rPr>
  </w:style>
  <w:style w:type="character" w:customStyle="1" w:styleId="267">
    <w:name w:val="批注文字 Char"/>
    <w:link w:val="19"/>
    <w:qFormat/>
    <w:uiPriority w:val="99"/>
    <w:rPr>
      <w:sz w:val="21"/>
      <w:szCs w:val="24"/>
    </w:rPr>
  </w:style>
  <w:style w:type="character" w:customStyle="1" w:styleId="268">
    <w:name w:val="正文文本 Char"/>
    <w:link w:val="21"/>
    <w:qFormat/>
    <w:uiPriority w:val="0"/>
    <w:rPr>
      <w:rFonts w:ascii="楷体_GB2312" w:hAnsi="Arial" w:eastAsia="楷体_GB2312"/>
      <w:sz w:val="28"/>
    </w:rPr>
  </w:style>
  <w:style w:type="character" w:customStyle="1" w:styleId="269">
    <w:name w:val="日期 Char"/>
    <w:link w:val="27"/>
    <w:qFormat/>
    <w:uiPriority w:val="0"/>
    <w:rPr>
      <w:sz w:val="24"/>
    </w:rPr>
  </w:style>
  <w:style w:type="character" w:customStyle="1" w:styleId="270">
    <w:name w:val="页眉 Char"/>
    <w:link w:val="32"/>
    <w:qFormat/>
    <w:uiPriority w:val="99"/>
    <w:rPr>
      <w:sz w:val="18"/>
      <w:szCs w:val="18"/>
    </w:rPr>
  </w:style>
  <w:style w:type="character" w:customStyle="1" w:styleId="271">
    <w:name w:val="HTML 预设格式 Char"/>
    <w:link w:val="44"/>
    <w:qFormat/>
    <w:uiPriority w:val="0"/>
    <w:rPr>
      <w:rFonts w:ascii="黑体" w:hAnsi="Courier New" w:eastAsia="黑体" w:cs="Courier New"/>
    </w:rPr>
  </w:style>
  <w:style w:type="character" w:customStyle="1" w:styleId="272">
    <w:name w:val="标题 Char"/>
    <w:link w:val="47"/>
    <w:qFormat/>
    <w:uiPriority w:val="0"/>
    <w:rPr>
      <w:rFonts w:ascii="Cambria" w:hAnsi="Cambria" w:cs="Times New Roman"/>
      <w:b/>
      <w:bCs/>
      <w:sz w:val="32"/>
      <w:szCs w:val="32"/>
    </w:rPr>
  </w:style>
  <w:style w:type="character" w:customStyle="1" w:styleId="273">
    <w:name w:val="列出段落 Char"/>
    <w:link w:val="227"/>
    <w:qFormat/>
    <w:uiPriority w:val="0"/>
    <w:rPr>
      <w:rFonts w:ascii="Calibri" w:hAnsi="Calibri"/>
      <w:sz w:val="24"/>
      <w:szCs w:val="24"/>
      <w:lang w:eastAsia="en-US" w:bidi="en-US"/>
    </w:rPr>
  </w:style>
  <w:style w:type="character" w:customStyle="1" w:styleId="274">
    <w:name w:val="font71"/>
    <w:qFormat/>
    <w:uiPriority w:val="0"/>
    <w:rPr>
      <w:rFonts w:hint="eastAsia" w:ascii="宋体" w:hAnsi="宋体" w:eastAsia="宋体" w:cs="宋体"/>
      <w:color w:val="000000"/>
      <w:sz w:val="21"/>
      <w:szCs w:val="21"/>
      <w:u w:val="none"/>
    </w:rPr>
  </w:style>
  <w:style w:type="character" w:customStyle="1" w:styleId="275">
    <w:name w:val="jj1"/>
    <w:qFormat/>
    <w:uiPriority w:val="0"/>
    <w:rPr>
      <w:sz w:val="20"/>
      <w:szCs w:val="20"/>
      <w:u w:val="none"/>
    </w:rPr>
  </w:style>
  <w:style w:type="paragraph" w:customStyle="1" w:styleId="276">
    <w:name w:val="首行缩进"/>
    <w:basedOn w:val="1"/>
    <w:qFormat/>
    <w:uiPriority w:val="0"/>
    <w:pPr>
      <w:spacing w:line="360" w:lineRule="auto"/>
      <w:ind w:firstLine="480"/>
    </w:pPr>
    <w:rPr>
      <w:rFonts w:ascii="宋体" w:hAnsi="宋体" w:cs="宋体"/>
      <w:sz w:val="24"/>
    </w:rPr>
  </w:style>
  <w:style w:type="paragraph" w:customStyle="1" w:styleId="277">
    <w:name w:val="正文1"/>
    <w:basedOn w:val="1"/>
    <w:qFormat/>
    <w:uiPriority w:val="0"/>
    <w:pPr>
      <w:widowControl/>
      <w:spacing w:line="440" w:lineRule="exact"/>
      <w:ind w:right="-167"/>
    </w:pPr>
    <w:rPr>
      <w:rFonts w:ascii="Times New Roman" w:hAnsi="Times New Roman"/>
      <w:b/>
    </w:rPr>
  </w:style>
  <w:style w:type="paragraph" w:customStyle="1" w:styleId="278">
    <w:name w:val="样式 首行缩进:  2 字符3"/>
    <w:qFormat/>
    <w:uiPriority w:val="0"/>
    <w:pPr>
      <w:widowControl w:val="0"/>
      <w:spacing w:line="360" w:lineRule="auto"/>
      <w:ind w:firstLine="480"/>
      <w:jc w:val="both"/>
    </w:pPr>
    <w:rPr>
      <w:rFonts w:hint="default" w:ascii="宋体" w:hAnsi="Times New Roman" w:eastAsia="宋体" w:cs="宋体"/>
      <w:sz w:val="24"/>
      <w:szCs w:val="24"/>
      <w:lang w:val="en-US" w:eastAsia="zh-CN" w:bidi="ar-SA"/>
    </w:rPr>
  </w:style>
  <w:style w:type="paragraph" w:customStyle="1" w:styleId="279">
    <w:name w:val="列出段落3"/>
    <w:basedOn w:val="1"/>
    <w:qFormat/>
    <w:uiPriority w:val="0"/>
    <w:pPr>
      <w:ind w:firstLine="420"/>
    </w:pPr>
    <w:rPr>
      <w:szCs w:val="20"/>
    </w:rPr>
  </w:style>
  <w:style w:type="paragraph" w:customStyle="1" w:styleId="280">
    <w:name w:val="4"/>
    <w:basedOn w:val="1"/>
    <w:next w:val="38"/>
    <w:qFormat/>
    <w:uiPriority w:val="0"/>
    <w:pPr>
      <w:spacing w:line="360" w:lineRule="auto"/>
      <w:ind w:firstLine="420"/>
    </w:pPr>
    <w:rPr>
      <w:color w:val="FF0000"/>
      <w:sz w:val="24"/>
    </w:rPr>
  </w:style>
  <w:style w:type="paragraph" w:customStyle="1" w:styleId="281">
    <w:name w:val="Fließtext"/>
    <w:basedOn w:val="1"/>
    <w:qFormat/>
    <w:uiPriority w:val="0"/>
    <w:rPr>
      <w:szCs w:val="20"/>
    </w:rPr>
  </w:style>
  <w:style w:type="paragraph" w:customStyle="1" w:styleId="282">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83">
    <w:name w:val="Normal_0_1"/>
    <w:qFormat/>
    <w:uiPriority w:val="0"/>
    <w:rPr>
      <w:rFonts w:hint="default" w:ascii="Times New Roman" w:hAnsi="Times New Roman" w:eastAsia="宋体" w:cs="Times New Roman"/>
      <w:sz w:val="24"/>
      <w:szCs w:val="24"/>
      <w:lang w:val="en-US" w:eastAsia="zh-CN" w:bidi="ar-SA"/>
    </w:rPr>
  </w:style>
  <w:style w:type="paragraph" w:customStyle="1" w:styleId="284">
    <w:name w:val="正文首行缩进1"/>
    <w:basedOn w:val="1"/>
    <w:next w:val="285"/>
    <w:qFormat/>
    <w:uiPriority w:val="99"/>
    <w:pPr>
      <w:spacing w:line="360" w:lineRule="auto"/>
      <w:ind w:firstLine="200"/>
    </w:pPr>
    <w:rPr>
      <w:rFonts w:ascii="仿宋_GB2312" w:eastAsia="仿宋_GB2312"/>
      <w:sz w:val="30"/>
      <w:szCs w:val="30"/>
    </w:rPr>
  </w:style>
  <w:style w:type="paragraph" w:customStyle="1" w:styleId="285">
    <w:name w:val="目录 61"/>
    <w:basedOn w:val="1"/>
    <w:next w:val="1"/>
    <w:semiHidden/>
    <w:qFormat/>
    <w:uiPriority w:val="0"/>
    <w:pPr>
      <w:ind w:left="2100"/>
    </w:pPr>
  </w:style>
  <w:style w:type="paragraph" w:customStyle="1" w:styleId="286">
    <w:name w:val="_Style 7"/>
    <w:basedOn w:val="1"/>
    <w:next w:val="252"/>
    <w:qFormat/>
    <w:uiPriority w:val="34"/>
    <w:pPr>
      <w:ind w:firstLine="420"/>
    </w:pPr>
  </w:style>
  <w:style w:type="paragraph" w:customStyle="1" w:styleId="287">
    <w:name w:val="Table Paragraph"/>
    <w:basedOn w:val="1"/>
    <w:qFormat/>
    <w:uiPriority w:val="1"/>
    <w:rPr>
      <w:rFonts w:ascii="宋体" w:hAnsi="宋体" w:cs="宋体"/>
      <w:lang w:val="zh-CN" w:bidi="zh-CN"/>
    </w:rPr>
  </w:style>
  <w:style w:type="character" w:customStyle="1" w:styleId="288">
    <w:name w:val="NormalCharacter1"/>
    <w:semiHidden/>
    <w:qFormat/>
    <w:uiPriority w:val="0"/>
    <w:rPr>
      <w:rFonts w:hint="default" w:ascii="Calibri" w:hAnsi="Calibri"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59</Pages>
  <Words>4129</Words>
  <Characters>4508</Characters>
  <TotalTime>11</TotalTime>
  <ScaleCrop>false</ScaleCrop>
  <LinksUpToDate>false</LinksUpToDate>
  <CharactersWithSpaces>4616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2024-10-28T08:53:00Z</dcterms:created>
  <dc:creator>cgzx</dc:creator>
  <cp:lastModifiedBy>严萌。</cp:lastModifiedBy>
  <cp:lastPrinted>2026-07-21T02:15:00Z</cp:lastPrinted>
  <dcterms:modified xsi:type="dcterms:W3CDTF">2026-09-18T02:38:39Z</dcterms:modified>
  <dc:title>总  目  录</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99F8BE46FE2F4D6BA1C207735B4878C8_13</vt:lpwstr>
  </property>
  <property fmtid="{D5CDD505-2E9C-101B-9397-08002B2CF9AE}" pid="4" name="KSOTemplateDocerSaveRecord">
    <vt:lpwstr>eyJoZGlkIjoiYjAxMDBlYmFlYjU1MDNkMWJlYTA4YjlkYzY4YmM0NTciLCJ1c2VySWQiOiI2NTA3NzMxOTIifQ==</vt:lpwstr>
  </property>
</Properties>
</file>