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hint="eastAsia" w:ascii="宋体" w:hAnsi="宋体" w:cs="宋体"/>
          <w:b/>
          <w:sz w:val="72"/>
        </w:rPr>
        <w:t xml:space="preserve">江苏省政府采购</w:t>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ascii="宋体" w:hAnsi="宋体" w:cs="宋体"/>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Style w:val="951"/>
          <w:rFonts w:hint="eastAsia" w:ascii="宋体" w:hAnsi="宋体" w:cs="宋体"/>
          <w:sz w:val="72"/>
          <w:szCs w:val="72"/>
          <w:lang w:val="zh-CN"/>
        </w:rPr>
        <w:t xml:space="preserve">招标文件</w:t>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采购编号：</w:t>
      </w:r>
      <w:r>
        <w:rPr>
          <w:rFonts w:hint="eastAsia" w:ascii="宋体" w:hAnsi="宋体" w:cs="宋体"/>
          <w:sz w:val="30"/>
          <w:szCs w:val="30"/>
          <w:lang w:val="zh-CN"/>
        </w:rPr>
        <w:t xml:space="preserve">JSZC-320000-CJZB-G2026-0119</w:t>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项目名称：</w:t>
      </w:r>
      <w:r>
        <w:rPr>
          <w:rFonts w:hint="eastAsia" w:ascii="宋体" w:hAnsi="宋体" w:cs="宋体"/>
          <w:sz w:val="30"/>
          <w:szCs w:val="30"/>
          <w:lang w:val="zh-CN"/>
        </w:rPr>
        <w:t xml:space="preserve">流式细胞仪</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 购 人：</w:t>
      </w:r>
      <w:r>
        <w:rPr>
          <w:rFonts w:hint="eastAsia" w:ascii="宋体" w:hAnsi="宋体" w:cs="宋体"/>
          <w:sz w:val="30"/>
          <w:szCs w:val="30"/>
          <w:lang w:val="zh-CN"/>
        </w:rPr>
        <w:t xml:space="preserve">苏州大学附属第一医院</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602"/>
        <w:jc w:val="center"/>
        <w:spacing w:beforeAutospacing="0" w:afterAutospacing="0" w:line="360" w:lineRule="auto"/>
        <w:widowControl/>
        <w:rPr>
          <w:rStyle w:val="95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二○二六年十月</w:t>
      </w:r>
      <w:bookmarkEnd w:id="2"/>
      <w:r/>
      <w:r/>
    </w:p>
    <w:p>
      <w:pPr>
        <w:pStyle w:val="941"/>
        <w:ind w:firstLine="640"/>
        <w:jc w:val="center"/>
        <w:pageBreakBefore/>
        <w:spacing w:line="360" w:lineRule="auto"/>
        <w:tabs>
          <w:tab w:val="right" w:pos="8302" w:leader="dot"/>
        </w:tabs>
        <w:rPr>
          <w:rStyle w:val="951"/>
          <w:rFonts w:ascii="宋体" w:hAnsi="宋体" w:cs="宋体"/>
          <w:bCs/>
          <w:sz w:val="32"/>
          <w:szCs w:val="32"/>
        </w:rPr>
      </w:pPr>
      <w:r>
        <w:rPr>
          <w:rStyle w:val="951"/>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JSZC-320000-CJZB-G2026-0119号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流式细胞仪</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5"/>
                <w:rFonts w:ascii="宋体" w:hAnsi="宋体" w:cs="宋体"/>
                <w:bCs w:val="0"/>
                <w:spacing w:val="0"/>
                <w:sz w:val="21"/>
                <w:szCs w:val="21"/>
              </w:rPr>
            </w:pPr>
            <w:r>
              <w:rPr>
                <w:rStyle w:val="995"/>
                <w:rFonts w:ascii="Wingdings" w:hAnsi="Wingdings" w:eastAsia="Wingdings" w:cs="Wingdings"/>
                <w:bCs w:val="0"/>
                <w:spacing w:val="0"/>
                <w:sz w:val="21"/>
                <w:szCs w:val="21"/>
              </w:rPr>
              <w:t xml:space="preserve">þ</w:t>
            </w:r>
            <w:r>
              <w:rPr>
                <w:rStyle w:val="995"/>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地址：苏州市姑苏区平海路899号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     电　话：0512-67972901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2026年11月13日9：30（北京时间）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2026年11月13日9：30（北京时间）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2026年11月13日9：30（北京时间）</w:t>
            </w:r>
            <w:r/>
          </w:p>
          <w:p>
            <w:pPr>
              <w:jc w:val="left"/>
              <w:spacing w:line="312" w:lineRule="auto"/>
              <w:rPr>
                <w:rFonts w:ascii="宋体" w:hAnsi="宋体" w:cs="宋体"/>
              </w:rPr>
            </w:pPr>
            <w:r>
              <w:rPr>
                <w:rFonts w:hint="eastAsia" w:ascii="宋体" w:hAnsi="宋体" w:cs="宋体"/>
                <w:szCs w:val="21"/>
              </w:rPr>
              <w:t xml:space="preserve">苏州市干将西路399号银海大厦302A室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本项目在编制预算时已综合考虑采购代理服务费，根据代理协议约定，本项目采购代理服务费由中标单位支付，请各供应商在投标报价中综合考虑。中标单位在领取中标通知书时向招标代理机构一次性支付。</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预算金额100万元以下部分，费率为该部分预算金额的1.5%；</w:t>
            </w:r>
            <w:r/>
          </w:p>
          <w:p>
            <w:pPr>
              <w:spacing w:line="360" w:lineRule="auto"/>
              <w:rPr>
                <w:rFonts w:ascii="宋体" w:hAnsi="宋体" w:cs="宋体"/>
              </w:rPr>
            </w:pPr>
            <w:r>
              <w:rPr>
                <w:rFonts w:hint="eastAsia" w:ascii="宋体" w:hAnsi="宋体" w:cs="宋体"/>
              </w:rPr>
              <w:t xml:space="preserve">预算金额100万元（含）－500万元部分，费率为该部分预算金额的1.1%；</w:t>
            </w:r>
            <w:r/>
          </w:p>
          <w:p>
            <w:pPr>
              <w:spacing w:line="360" w:lineRule="auto"/>
              <w:rPr>
                <w:rFonts w:ascii="宋体" w:hAnsi="宋体" w:cs="宋体"/>
              </w:rPr>
            </w:pPr>
            <w:r>
              <w:rPr>
                <w:rFonts w:hint="eastAsia" w:ascii="宋体" w:hAnsi="宋体" w:cs="宋体"/>
              </w:rPr>
              <w:t xml:space="preserve">预算金额500万元（含）-1000万元部分，费率为该部分预算金额的0.8%；</w:t>
            </w:r>
            <w:r/>
          </w:p>
          <w:p>
            <w:pPr>
              <w:spacing w:line="360" w:lineRule="auto"/>
              <w:rPr>
                <w:rFonts w:ascii="宋体" w:hAnsi="宋体" w:cs="宋体"/>
              </w:rPr>
            </w:pPr>
            <w:r>
              <w:rPr>
                <w:rFonts w:hint="eastAsia" w:ascii="宋体" w:hAnsi="宋体" w:cs="宋体"/>
              </w:rPr>
              <w:t xml:space="preserve">预算金额1000万元（含）-5000万元部分，费率为该部分预算金额的0.5%；</w:t>
            </w:r>
            <w:r/>
          </w:p>
          <w:p>
            <w:pPr>
              <w:spacing w:line="360" w:lineRule="auto"/>
              <w:rPr>
                <w:rFonts w:ascii="宋体" w:hAnsi="宋体" w:cs="宋体"/>
              </w:rPr>
            </w:pPr>
            <w:r>
              <w:rPr>
                <w:rFonts w:hint="eastAsia" w:ascii="宋体" w:hAnsi="宋体" w:cs="宋体"/>
              </w:rPr>
              <w:t xml:space="preserve">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70%进行计算收取。如按上述方法计算的金额低于人民币3000元整的，则本项目代理服务费按人民币3000元整计收。根据代理协议约定，本项目中标服务费为壹万零肆拾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招标书</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流式细胞仪</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2026年11月13日9点30分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35393621"/>
      <w:r/>
      <w:bookmarkStart w:id="6" w:name="_Toc35393790"/>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1.项目编号：JSZC-320000-CJZB-G2026-0119</w:t>
      </w:r>
      <w:r/>
    </w:p>
    <w:p>
      <w:pPr>
        <w:ind w:firstLine="420"/>
        <w:spacing w:line="360" w:lineRule="auto"/>
        <w:rPr>
          <w:rFonts w:ascii="宋体" w:hAnsi="宋体" w:cs="宋体"/>
          <w:szCs w:val="21"/>
        </w:rPr>
      </w:pPr>
      <w:r>
        <w:rPr>
          <w:rFonts w:hint="eastAsia" w:ascii="宋体" w:hAnsi="宋体" w:cs="宋体"/>
          <w:szCs w:val="21"/>
        </w:rPr>
        <w:t xml:space="preserve">2.项目名称：流式细胞仪</w:t>
      </w:r>
      <w:bookmarkEnd w:id="8"/>
      <w:r/>
      <w:r/>
    </w:p>
    <w:p>
      <w:pPr>
        <w:ind w:firstLine="420"/>
        <w:spacing w:line="360" w:lineRule="auto"/>
        <w:rPr>
          <w:rFonts w:ascii="宋体" w:hAnsi="宋体" w:cs="宋体"/>
          <w:szCs w:val="21"/>
        </w:rPr>
      </w:pPr>
      <w:r>
        <w:rPr>
          <w:rFonts w:hint="eastAsia" w:ascii="宋体" w:hAnsi="宋体" w:cs="宋体"/>
          <w:szCs w:val="21"/>
        </w:rPr>
        <w:t xml:space="preserve">3.预算金额：人民币壹佰贰拾万元整（¥：1200000.00）</w:t>
      </w:r>
      <w:r/>
    </w:p>
    <w:p>
      <w:pPr>
        <w:ind w:firstLine="630"/>
        <w:spacing w:line="360" w:lineRule="auto"/>
        <w:rPr>
          <w:rFonts w:ascii="宋体" w:hAnsi="宋体" w:cs="宋体"/>
          <w:szCs w:val="21"/>
        </w:rPr>
      </w:pPr>
      <w:r>
        <w:rPr>
          <w:rFonts w:hint="eastAsia" w:ascii="宋体" w:hAnsi="宋体" w:cs="宋体"/>
          <w:szCs w:val="21"/>
        </w:rPr>
        <w:t xml:space="preserve">最高限价：人民币壹佰贰拾万元整（¥：1200000.00）</w:t>
      </w:r>
      <w:r/>
    </w:p>
    <w:p>
      <w:pPr>
        <w:ind w:firstLine="420"/>
        <w:spacing w:line="360" w:lineRule="auto"/>
        <w:rPr>
          <w:rFonts w:ascii="宋体" w:hAnsi="宋体" w:cs="宋体"/>
          <w:szCs w:val="21"/>
        </w:rPr>
      </w:pPr>
      <w:r>
        <w:rPr>
          <w:rFonts w:hint="eastAsia" w:ascii="宋体" w:hAnsi="宋体" w:cs="宋体"/>
          <w:szCs w:val="21"/>
        </w:rPr>
        <w:t xml:space="preserve">4.采购需求：流式细胞仪 1套，不接受进口产品投标。</w:t>
      </w:r>
      <w:r/>
    </w:p>
    <w:p>
      <w:pPr>
        <w:ind w:firstLine="420"/>
        <w:spacing w:line="360" w:lineRule="auto"/>
        <w:rPr>
          <w:rFonts w:ascii="宋体" w:hAnsi="宋体" w:cs="宋体"/>
          <w:szCs w:val="21"/>
        </w:rPr>
      </w:pPr>
      <w:r/>
      <w:bookmarkStart w:id="9" w:name="_Toc28359003"/>
      <w:r/>
      <w:bookmarkStart w:id="10" w:name="_Toc35393622"/>
      <w:r/>
      <w:bookmarkStart w:id="11" w:name="_Toc28359080"/>
      <w:r/>
      <w:bookmarkStart w:id="12" w:name="_Toc35393791"/>
      <w:r>
        <w:rPr>
          <w:rFonts w:hint="eastAsia" w:ascii="宋体" w:hAnsi="宋体" w:cs="宋体"/>
          <w:szCs w:val="21"/>
        </w:rPr>
        <w:t xml:space="preserve">5.合同履行期限：合同签订后60天内安装调试完毕，整机原厂免费质保期为验收合格之日起不低于3年。</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w:t>
      </w:r>
      <w:r>
        <w:rPr>
          <w:rFonts w:hint="eastAsia" w:ascii="宋体" w:hAnsi="宋体" w:cs="宋体"/>
          <w:szCs w:val="21"/>
        </w:rPr>
        <w:t xml:space="preserve">无。</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793"/>
      <w:r/>
      <w:bookmarkStart w:id="20" w:name="_Toc35393624"/>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6"/>
        <w:spacing w:line="360" w:lineRule="auto"/>
        <w:rPr>
          <w:rFonts w:ascii="宋体" w:hAnsi="宋体" w:eastAsia="宋体" w:cs="宋体"/>
          <w:sz w:val="21"/>
          <w:szCs w:val="21"/>
        </w:rPr>
      </w:pPr>
      <w:r/>
      <w:bookmarkStart w:id="21" w:name="_Toc35393625"/>
      <w:r/>
      <w:bookmarkStart w:id="22" w:name="_Toc35393794"/>
      <w:r/>
      <w:bookmarkStart w:id="23" w:name="_Toc28359084"/>
      <w:r/>
      <w:bookmarkStart w:id="24" w:name="_Toc28359007"/>
      <w:r>
        <w:rPr>
          <w:rFonts w:hint="eastAsia" w:ascii="宋体" w:hAnsi="宋体" w:eastAsia="宋体" w:cs="宋体"/>
          <w:sz w:val="21"/>
          <w:szCs w:val="21"/>
        </w:rPr>
        <w:t xml:space="preserve">1.提交投标文件截止时间：2026年11月13日9：30（北京时间）； </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2.开标时间：2026年11月13日9：30（北京时间）；</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2.本公告有关信息将同时在江苏省政府采购网上发布，敬请留意！</w:t>
      </w:r>
      <w:r/>
    </w:p>
    <w:p>
      <w:pPr>
        <w:ind w:firstLine="422"/>
        <w:spacing w:line="360" w:lineRule="auto"/>
        <w:rPr>
          <w:rFonts w:ascii="宋体" w:hAnsi="宋体" w:cs="宋体"/>
          <w:b/>
          <w:szCs w:val="21"/>
        </w:rPr>
      </w:pPr>
      <w:r/>
      <w:bookmarkStart w:id="27" w:name="_Toc35393627"/>
      <w:r/>
      <w:bookmarkStart w:id="28" w:name="_Toc28359085"/>
      <w:r/>
      <w:bookmarkStart w:id="29" w:name="_Toc28359008"/>
      <w:r/>
      <w:bookmarkStart w:id="30" w:name="_Toc35393796"/>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35393786"/>
      <w:r/>
      <w:bookmarkStart w:id="33" w:name="_Toc28358998"/>
      <w:r/>
      <w:bookmarkStart w:id="34" w:name="_Toc35393617"/>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址：苏州市姑苏区平海路899号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话：0512-67972901</w:t>
      </w:r>
      <w:r/>
    </w:p>
    <w:p>
      <w:pPr>
        <w:ind w:firstLine="420"/>
        <w:jc w:val="left"/>
        <w:spacing w:line="360" w:lineRule="auto"/>
        <w:widowControl/>
        <w:rPr>
          <w:rFonts w:ascii="宋体" w:hAnsi="宋体" w:cs="宋体"/>
          <w:szCs w:val="21"/>
        </w:rPr>
      </w:pPr>
      <w:r/>
      <w:bookmarkStart w:id="35" w:name="_Toc35393619"/>
      <w:r/>
      <w:bookmarkStart w:id="36" w:name="_Toc28359077"/>
      <w:r/>
      <w:bookmarkStart w:id="37" w:name="_Toc35393788"/>
      <w:r/>
      <w:bookmarkStart w:id="38" w:name="_Toc28359000"/>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3"/>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第二章 招标书</w:t>
      </w:r>
      <w:r/>
    </w:p>
    <w:p>
      <w:pPr>
        <w:ind w:firstLine="420"/>
        <w:spacing w:line="360" w:lineRule="auto"/>
        <w:rPr>
          <w:rFonts w:ascii="宋体" w:hAnsi="宋体" w:cs="宋体"/>
          <w:lang w:val="zh-CN"/>
        </w:rPr>
      </w:pPr>
      <w:r/>
      <w:bookmarkStart w:id="40"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流式细胞仪</w:t>
      </w:r>
      <w:r>
        <w:rPr>
          <w:rFonts w:hint="eastAsia" w:ascii="宋体" w:hAnsi="宋体" w:cs="宋体"/>
          <w:szCs w:val="21"/>
          <w:lang w:val="zh-CN"/>
        </w:rPr>
        <w:t xml:space="preserve">的政府采购进行国内公开招标。</w:t>
      </w:r>
      <w:r/>
    </w:p>
    <w:p>
      <w:pPr>
        <w:pStyle w:val="919"/>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JSZC-320000-CJZB-G2026-0119号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流式细胞仪</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预算金额：人民币壹佰贰拾万元整（¥：1200000.00）</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最高限价：人民币壹佰贰拾万元整（¥：1200000.00）</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120"/>
        <w:gridCol w:w="2442"/>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流式细胞仪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2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4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对于样品细胞或生物颗粒进行多参数定量分析。可以测量细胞大小、数量浓度，以及细胞表面和细胞内蛋白抗原、细胞因子、细胞内DNA、RNA含量等；对群体细胞在单细胞水平进行分析，在短时间内检测分析大量细胞，并收集、储存和处理数据。</w:t>
      </w:r>
      <w:r/>
    </w:p>
    <w:p>
      <w:pPr>
        <w:ind w:firstLine="420"/>
        <w:spacing w:line="360" w:lineRule="auto"/>
        <w:rPr>
          <w:rFonts w:ascii="宋体" w:hAnsi="宋体" w:cs="宋体"/>
          <w:szCs w:val="21"/>
        </w:rPr>
      </w:pPr>
      <w:r>
        <w:rPr>
          <w:rFonts w:hint="eastAsia" w:ascii="宋体" w:hAnsi="宋体" w:cs="宋体"/>
          <w:szCs w:val="21"/>
        </w:rPr>
        <w:t xml:space="preserve">（二）参数要求：</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★1.仪器检测范围：配405nm、488nm、561nm、638nm激光器，荧光通道至少可以实现4激光同时检测13色。同时包含前向角散射光检测通道和侧向角散射光检测通道。具有扩展为4激光50色以上光谱检测升级空间。</w:t>
      </w:r>
      <w:r/>
    </w:p>
    <w:p>
      <w:pPr>
        <w:ind w:firstLine="420"/>
        <w:spacing w:line="360" w:lineRule="auto"/>
        <w:rPr>
          <w:rFonts w:ascii="宋体" w:hAnsi="宋体" w:cs="宋体"/>
          <w:szCs w:val="21"/>
        </w:rPr>
      </w:pPr>
      <w:r>
        <w:rPr>
          <w:rFonts w:hint="eastAsia" w:ascii="宋体" w:hAnsi="宋体" w:cs="宋体"/>
          <w:szCs w:val="21"/>
        </w:rPr>
        <w:t xml:space="preserve">2.激光功率范围包含50-80mW。</w:t>
      </w:r>
      <w:r/>
    </w:p>
    <w:p>
      <w:pPr>
        <w:ind w:firstLine="420"/>
        <w:spacing w:line="360" w:lineRule="auto"/>
        <w:rPr>
          <w:rFonts w:ascii="宋体" w:hAnsi="宋体" w:cs="宋体"/>
          <w:szCs w:val="21"/>
        </w:rPr>
      </w:pPr>
      <w:r>
        <w:rPr>
          <w:rFonts w:hint="eastAsia" w:ascii="宋体" w:hAnsi="宋体" w:cs="宋体"/>
          <w:szCs w:val="21"/>
        </w:rPr>
        <w:t xml:space="preserve">3.全自动光路校准功能，无需人工调节，仪器全自动完成光路校准；滤光片不少于13片，可以自由拔插，用户可以根据自己的实验需求选择使用相应的滤光片，使得仪器的实际检测范围大于实际配置。</w:t>
      </w:r>
      <w:r/>
    </w:p>
    <w:p>
      <w:pPr>
        <w:ind w:firstLine="420"/>
        <w:spacing w:line="360" w:lineRule="auto"/>
        <w:rPr>
          <w:rFonts w:ascii="宋体" w:hAnsi="宋体" w:cs="宋体"/>
          <w:szCs w:val="21"/>
        </w:rPr>
      </w:pPr>
      <w:r>
        <w:rPr>
          <w:rFonts w:hint="eastAsia" w:ascii="宋体" w:hAnsi="宋体" w:cs="宋体"/>
          <w:szCs w:val="21"/>
        </w:rPr>
        <w:t xml:space="preserve">4.具有硅雪崩光电二极管阵列 FAPD 检测器；具有高纯度带通滤光片。</w:t>
      </w:r>
      <w:r/>
    </w:p>
    <w:p>
      <w:pPr>
        <w:ind w:firstLine="420"/>
        <w:spacing w:line="360" w:lineRule="auto"/>
        <w:rPr>
          <w:rFonts w:ascii="宋体" w:hAnsi="宋体" w:cs="宋体"/>
          <w:szCs w:val="21"/>
        </w:rPr>
      </w:pPr>
      <w:r>
        <w:rPr>
          <w:rFonts w:hint="eastAsia" w:ascii="宋体" w:hAnsi="宋体" w:cs="宋体"/>
          <w:szCs w:val="21"/>
        </w:rPr>
        <w:t xml:space="preserve">5.全通道电压可调和智能补偿 ：设备所有通道均支持增益电压自定义调节；具备智能自动补偿功能：通道增益电压改变时，无需重新使用单阳性样本调节补偿，仪器自动完成调节。（投标文件须提供对应功能软件操作界面实拍佐证照片）</w:t>
      </w:r>
      <w:r/>
    </w:p>
    <w:p>
      <w:pPr>
        <w:ind w:firstLine="420"/>
        <w:spacing w:line="360" w:lineRule="auto"/>
        <w:rPr>
          <w:rFonts w:ascii="宋体" w:hAnsi="宋体" w:cs="宋体"/>
          <w:szCs w:val="21"/>
        </w:rPr>
      </w:pPr>
      <w:r>
        <w:rPr>
          <w:rFonts w:hint="eastAsia" w:ascii="宋体" w:hAnsi="宋体" w:cs="宋体"/>
          <w:szCs w:val="21"/>
        </w:rPr>
        <w:t xml:space="preserve">6.细胞分析速度：≥30000细胞/秒。</w:t>
      </w:r>
      <w:r/>
    </w:p>
    <w:p>
      <w:pPr>
        <w:ind w:firstLine="420"/>
        <w:spacing w:line="360" w:lineRule="auto"/>
        <w:rPr>
          <w:rFonts w:ascii="宋体" w:hAnsi="宋体" w:cs="宋体"/>
          <w:szCs w:val="21"/>
        </w:rPr>
      </w:pPr>
      <w:r>
        <w:rPr>
          <w:rFonts w:hint="eastAsia" w:ascii="宋体" w:hAnsi="宋体" w:cs="宋体"/>
          <w:szCs w:val="21"/>
        </w:rPr>
        <w:t xml:space="preserve">7.荧光分辨率：CV≤3%（G0/G1期最高峰）。</w:t>
      </w:r>
      <w:r/>
    </w:p>
    <w:p>
      <w:pPr>
        <w:ind w:firstLine="420"/>
        <w:spacing w:line="360" w:lineRule="auto"/>
        <w:rPr>
          <w:rFonts w:ascii="宋体" w:hAnsi="宋体" w:cs="宋体"/>
          <w:szCs w:val="21"/>
        </w:rPr>
      </w:pPr>
      <w:r>
        <w:rPr>
          <w:rFonts w:hint="eastAsia" w:ascii="宋体" w:hAnsi="宋体" w:cs="宋体"/>
          <w:szCs w:val="21"/>
        </w:rPr>
        <w:t xml:space="preserve">8.信号处理精度：不小于24比特100万道原始信息量。</w:t>
      </w:r>
      <w:r/>
    </w:p>
    <w:p>
      <w:pPr>
        <w:ind w:firstLine="420"/>
        <w:spacing w:line="360" w:lineRule="auto"/>
        <w:rPr>
          <w:rFonts w:ascii="宋体" w:hAnsi="宋体" w:cs="宋体"/>
          <w:szCs w:val="21"/>
        </w:rPr>
      </w:pPr>
      <w:r>
        <w:rPr>
          <w:rFonts w:hint="eastAsia" w:ascii="宋体" w:hAnsi="宋体" w:cs="宋体"/>
          <w:szCs w:val="21"/>
        </w:rPr>
        <w:t xml:space="preserve">▲9.光信号收集系统：镜头NA≥1.25，提高荧光灵敏度。</w:t>
      </w:r>
      <w:r/>
    </w:p>
    <w:p>
      <w:pPr>
        <w:ind w:firstLine="420"/>
        <w:spacing w:line="360" w:lineRule="auto"/>
        <w:rPr>
          <w:rFonts w:ascii="宋体" w:hAnsi="宋体" w:cs="宋体"/>
          <w:szCs w:val="21"/>
        </w:rPr>
      </w:pPr>
      <w:r>
        <w:rPr>
          <w:rFonts w:hint="eastAsia" w:ascii="宋体" w:hAnsi="宋体" w:cs="宋体"/>
          <w:szCs w:val="21"/>
        </w:rPr>
        <w:t xml:space="preserve">▲10.数字化信号动态检测范围 ：实际有效动态检测量程≥ 7 个对数阈（7-decade dynamic range），可同时将≥6 个对数阈区间内超高强度荧光信号、低微弱荧光信号且可呈现在单张分析图中。（投标文件须提供设备上机实测数据图谱实拍佐证照片）</w:t>
      </w:r>
      <w:r/>
    </w:p>
    <w:p>
      <w:pPr>
        <w:ind w:firstLine="420"/>
        <w:spacing w:line="360" w:lineRule="auto"/>
        <w:rPr>
          <w:rFonts w:ascii="宋体" w:hAnsi="宋体" w:cs="宋体"/>
          <w:szCs w:val="21"/>
        </w:rPr>
      </w:pPr>
      <w:r>
        <w:rPr>
          <w:rFonts w:hint="eastAsia" w:ascii="宋体" w:hAnsi="宋体" w:cs="宋体"/>
          <w:szCs w:val="21"/>
        </w:rPr>
        <w:t xml:space="preserve">▲11.侧向散射光分辨率：≤60nm。</w:t>
      </w:r>
      <w:r/>
    </w:p>
    <w:p>
      <w:pPr>
        <w:ind w:firstLine="420"/>
        <w:spacing w:line="360" w:lineRule="auto"/>
        <w:rPr>
          <w:rFonts w:ascii="宋体" w:hAnsi="宋体" w:cs="宋体"/>
          <w:szCs w:val="21"/>
        </w:rPr>
      </w:pPr>
      <w:r>
        <w:rPr>
          <w:rFonts w:hint="eastAsia" w:ascii="宋体" w:hAnsi="宋体" w:cs="宋体"/>
          <w:szCs w:val="21"/>
        </w:rPr>
        <w:t xml:space="preserve">12.采用蠕动泵驱动的连续的上样方式，支持免专用微球绝对计数功能，原厂配套操控软件内置样本流速校准功能。（投标文件须提供设备进样结构及软件计数功能实拍照片）具备灵活的上样模式，可兼容1.5ml、2ml、5ml等多规格试管上样。</w:t>
      </w:r>
      <w:r/>
    </w:p>
    <w:p>
      <w:pPr>
        <w:ind w:firstLine="420"/>
        <w:spacing w:line="360" w:lineRule="auto"/>
        <w:rPr>
          <w:rFonts w:ascii="宋体" w:hAnsi="宋体" w:cs="宋体"/>
          <w:szCs w:val="21"/>
        </w:rPr>
      </w:pPr>
      <w:r>
        <w:rPr>
          <w:rFonts w:hint="eastAsia" w:ascii="宋体" w:hAnsi="宋体" w:cs="宋体"/>
          <w:szCs w:val="21"/>
        </w:rPr>
        <w:t xml:space="preserve">13.样本流速具有低速、中速、高速、自定义等调节模式，流速范围包含10ul/min—240 ul/min。</w:t>
      </w:r>
      <w:r/>
    </w:p>
    <w:p>
      <w:pPr>
        <w:ind w:firstLine="420"/>
        <w:spacing w:line="360" w:lineRule="auto"/>
        <w:rPr>
          <w:rFonts w:ascii="宋体" w:hAnsi="宋体" w:cs="宋体"/>
          <w:szCs w:val="21"/>
        </w:rPr>
      </w:pPr>
      <w:r>
        <w:rPr>
          <w:rFonts w:hint="eastAsia" w:ascii="宋体" w:hAnsi="宋体" w:cs="宋体"/>
          <w:szCs w:val="21"/>
        </w:rPr>
        <w:t xml:space="preserve">14.整机配套全部荧光检测通道均可适配对应梯度荧光染料8个特征峰值同步分辨，峰谷区间背景 Count 数值为零，无峰值重叠。</w:t>
      </w:r>
      <w:r/>
    </w:p>
    <w:p>
      <w:pPr>
        <w:ind w:firstLine="420"/>
        <w:spacing w:line="360" w:lineRule="auto"/>
        <w:rPr>
          <w:rFonts w:ascii="宋体" w:hAnsi="宋体" w:cs="宋体"/>
          <w:szCs w:val="21"/>
        </w:rPr>
      </w:pPr>
      <w:r>
        <w:rPr>
          <w:rFonts w:hint="eastAsia" w:ascii="宋体" w:hAnsi="宋体" w:cs="宋体"/>
          <w:szCs w:val="21"/>
        </w:rPr>
        <w:t xml:space="preserve">▲15.具有离线补偿功能；并且当增益值（电压）改变时，智能补偿库可重新计算并实时自动调节，确定正确的补偿矩阵。（投标文件须提供软件实操界面佐证）</w:t>
      </w:r>
      <w:r/>
    </w:p>
    <w:p>
      <w:pPr>
        <w:ind w:firstLine="420"/>
        <w:spacing w:line="360" w:lineRule="auto"/>
        <w:rPr>
          <w:rFonts w:ascii="宋体" w:hAnsi="宋体" w:cs="宋体"/>
          <w:szCs w:val="21"/>
        </w:rPr>
      </w:pPr>
      <w:r>
        <w:rPr>
          <w:rFonts w:hint="eastAsia" w:ascii="宋体" w:hAnsi="宋体" w:cs="宋体"/>
          <w:szCs w:val="21"/>
        </w:rPr>
        <w:t xml:space="preserve">16.具备符合21CFR part11 的审计追踪软件。</w:t>
      </w:r>
      <w:r/>
    </w:p>
    <w:p>
      <w:pPr>
        <w:ind w:firstLine="420"/>
        <w:spacing w:line="360" w:lineRule="auto"/>
        <w:rPr>
          <w:rFonts w:ascii="宋体" w:hAnsi="宋体" w:cs="宋体"/>
          <w:szCs w:val="21"/>
        </w:rPr>
      </w:pPr>
      <w:r>
        <w:rPr>
          <w:rFonts w:hint="eastAsia" w:ascii="宋体" w:hAnsi="宋体" w:cs="宋体"/>
          <w:szCs w:val="21"/>
        </w:rPr>
        <w:t xml:space="preserve">▲17.荧光检测灵敏度：FITC≤9 MESF，PE≤5 MESF。</w:t>
      </w:r>
      <w:r/>
    </w:p>
    <w:p>
      <w:pPr>
        <w:ind w:firstLine="420"/>
        <w:spacing w:line="360" w:lineRule="auto"/>
        <w:rPr>
          <w:rFonts w:ascii="宋体" w:hAnsi="宋体" w:cs="宋体"/>
          <w:szCs w:val="21"/>
        </w:rPr>
      </w:pPr>
      <w:r>
        <w:rPr>
          <w:rFonts w:hint="eastAsia" w:ascii="宋体" w:hAnsi="宋体" w:cs="宋体"/>
          <w:szCs w:val="21"/>
        </w:rPr>
        <w:t xml:space="preserve">18.软件系统：设备具有中文软件，可实现离线补偿功能，并且可实现多台机器安装。</w:t>
      </w:r>
      <w:r/>
    </w:p>
    <w:p>
      <w:pPr>
        <w:ind w:firstLine="420"/>
        <w:spacing w:line="360" w:lineRule="auto"/>
        <w:rPr>
          <w:rFonts w:ascii="宋体" w:hAnsi="宋体" w:cs="宋体"/>
          <w:szCs w:val="21"/>
        </w:rPr>
      </w:pPr>
      <w:r>
        <w:rPr>
          <w:rFonts w:hint="eastAsia" w:ascii="宋体" w:hAnsi="宋体" w:cs="宋体"/>
          <w:szCs w:val="21"/>
        </w:rPr>
        <w:t xml:space="preserve">▲19.同品牌软件具有支持如ViSNE、FlowSOM、SPADE和CITRUS等高阶数据分析功能，高效解析多色流式细胞数据。</w:t>
      </w:r>
      <w:r/>
    </w:p>
    <w:p>
      <w:pPr>
        <w:ind w:firstLine="420"/>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（三）配置清单（必须满足，投标时配置清单中列明）</w:t>
      </w:r>
      <w:r/>
    </w:p>
    <w:p>
      <w:pPr>
        <w:ind w:firstLine="420"/>
        <w:spacing w:line="360" w:lineRule="auto"/>
        <w:rPr>
          <w:rFonts w:ascii="宋体" w:hAnsi="宋体" w:cs="宋体"/>
          <w:szCs w:val="21"/>
        </w:rPr>
      </w:pPr>
      <w:r>
        <w:rPr>
          <w:rFonts w:hint="eastAsia" w:ascii="宋体" w:hAnsi="宋体" w:cs="宋体"/>
          <w:szCs w:val="21"/>
        </w:rPr>
        <w:t xml:space="preserve">1.流式细胞分析系统主机一套</w:t>
      </w:r>
      <w:r/>
    </w:p>
    <w:p>
      <w:pPr>
        <w:ind w:firstLine="420"/>
        <w:spacing w:line="360" w:lineRule="auto"/>
        <w:rPr>
          <w:rFonts w:ascii="宋体" w:hAnsi="宋体" w:cs="宋体"/>
          <w:szCs w:val="21"/>
        </w:rPr>
      </w:pPr>
      <w:r>
        <w:rPr>
          <w:rFonts w:hint="eastAsia" w:ascii="宋体" w:hAnsi="宋体" w:cs="宋体"/>
          <w:szCs w:val="21"/>
        </w:rPr>
        <w:t xml:space="preserve">2.电脑工作站一套</w:t>
      </w:r>
      <w:r/>
    </w:p>
    <w:p>
      <w:pPr>
        <w:ind w:firstLine="420"/>
        <w:spacing w:line="360" w:lineRule="auto"/>
        <w:rPr>
          <w:rFonts w:ascii="宋体" w:hAnsi="宋体" w:cs="宋体"/>
          <w:szCs w:val="21"/>
        </w:rPr>
      </w:pPr>
      <w:r>
        <w:rPr>
          <w:rFonts w:hint="eastAsia" w:ascii="宋体" w:hAnsi="宋体" w:cs="宋体"/>
          <w:szCs w:val="21"/>
        </w:rPr>
        <w:t xml:space="preserve">3.装机试剂一套（质控微球、清洗液、鞘液）</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szCs w:val="21"/>
        </w:rPr>
        <w:t xml:space="preserve">本招标文件技术要求中，所有标注★、▲的技术参数，投标人均须CMA第三方检测报告、制造商公开发行的产品说明书、产品彩页样本任意一项材料作为有效佐证依据</w:t>
      </w:r>
      <w:r>
        <w:rPr>
          <w:rFonts w:hint="eastAsia" w:ascii="宋体" w:hAnsi="宋体" w:cs="宋体"/>
          <w:szCs w:val="21"/>
        </w:rPr>
        <w:t xml:space="preserve">（招标文件另有说明除外）</w:t>
      </w:r>
      <w:r>
        <w:rPr>
          <w:rFonts w:ascii="宋体" w:hAnsi="宋体" w:cs="宋体"/>
          <w:szCs w:val="21"/>
        </w:rPr>
        <w:t xml:space="preserve">，无有效佐证材料的视为该项参数未响应。其中，</w:t>
      </w:r>
      <w:r>
        <w:rPr>
          <w:rStyle w:val="951"/>
          <w:rFonts w:ascii="宋体" w:hAnsi="宋体" w:cs="宋体"/>
          <w:szCs w:val="21"/>
        </w:rPr>
        <w:t xml:space="preserve">标注★的技术参数为实质性满足项</w:t>
      </w:r>
      <w:r>
        <w:rPr>
          <w:rFonts w:ascii="宋体" w:hAnsi="宋体" w:cs="宋体"/>
          <w:szCs w:val="21"/>
        </w:rPr>
        <w:t xml:space="preserve">，投标人须全部完整满足，不得存在任何负偏离，若任意一条★项技术参数不满足或无有效佐证材料，均视为投标人未实质性响应招标文件，其投标作无效投标处理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六、设备质量要求：</w:t>
      </w:r>
      <w:r/>
    </w:p>
    <w:p>
      <w:pPr>
        <w:ind w:firstLine="420"/>
        <w:spacing w:line="360" w:lineRule="auto"/>
        <w:rPr>
          <w:rFonts w:ascii="宋体" w:hAnsi="宋体" w:cs="宋体"/>
          <w:szCs w:val="21"/>
        </w:rPr>
      </w:pPr>
      <w:r>
        <w:rPr>
          <w:rFonts w:hint="eastAsia" w:ascii="宋体" w:hAnsi="宋体" w:cs="宋体"/>
          <w:szCs w:val="21"/>
        </w:rPr>
        <w:t xml:space="preserve">1.所有产品各项技术应当符合国家（强制性）标准及各项规范要求；国家没有相应标准、规范</w:t>
      </w:r>
      <w:r>
        <w:rPr>
          <w:rFonts w:hint="eastAsia" w:ascii="宋体" w:hAnsi="宋体" w:cs="宋体"/>
          <w:szCs w:val="21"/>
        </w:rPr>
        <w:t xml:space="preserve">的，可使用行业标准、规定；非标准设备按招标约定的技术要求和规范。 </w:t>
      </w:r>
      <w:r/>
    </w:p>
    <w:p>
      <w:pPr>
        <w:ind w:firstLine="420"/>
        <w:spacing w:line="360" w:lineRule="auto"/>
        <w:rPr>
          <w:rFonts w:ascii="宋体" w:hAnsi="宋体" w:cs="宋体"/>
          <w:szCs w:val="21"/>
        </w:rPr>
      </w:pPr>
      <w:r>
        <w:rPr>
          <w:rFonts w:hint="eastAsia" w:ascii="宋体" w:hAnsi="宋体" w:cs="宋体"/>
          <w:szCs w:val="21"/>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3.所有设备、附（配）件应具备该类产品的功能要求，无瑕疵和缺陷，质量为合格产品，同时有明确的生产厂商或制造厂商。 </w:t>
      </w:r>
      <w:r/>
    </w:p>
    <w:p>
      <w:pPr>
        <w:ind w:firstLine="420"/>
        <w:spacing w:line="360" w:lineRule="auto"/>
        <w:rPr>
          <w:rFonts w:ascii="宋体" w:hAnsi="宋体" w:cs="宋体"/>
          <w:szCs w:val="21"/>
        </w:rPr>
      </w:pPr>
      <w:r>
        <w:rPr>
          <w:rFonts w:hint="eastAsia" w:ascii="宋体" w:hAnsi="宋体" w:cs="宋体"/>
          <w:szCs w:val="21"/>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七、售后服务要求：</w:t>
      </w:r>
      <w:r/>
    </w:p>
    <w:p>
      <w:pPr>
        <w:ind w:firstLine="420"/>
        <w:spacing w:line="360" w:lineRule="auto"/>
        <w:rPr>
          <w:rFonts w:ascii="宋体" w:hAnsi="宋体" w:cs="宋体"/>
          <w:szCs w:val="21"/>
        </w:rPr>
      </w:pPr>
      <w:r>
        <w:rPr>
          <w:rFonts w:hint="eastAsia" w:ascii="宋体" w:hAnsi="宋体" w:cs="宋体"/>
          <w:szCs w:val="21"/>
        </w:rPr>
        <w:t xml:space="preserve">1.中标方应配备专门的项目团队人员，保证货物的运输、交付、安装、调试等定时定期进行。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中标方提供整机原厂免费维保≥3年，质保期自采购单位验收合格之日起计算；合同期间若发生退回、维修或设备替换等情形，质保期自发生之日起，至标的物恢复正常使用之日止，停止计算。质保期内免费提供保养服务（维修保养要求每年维护保养≥2次），质保期后中标单位提供终身维修和维护服务，且只收取配件费用，不收取人工费及其他费用。  </w:t>
      </w:r>
      <w:r/>
    </w:p>
    <w:p>
      <w:pPr>
        <w:ind w:firstLine="420"/>
        <w:spacing w:line="360" w:lineRule="auto"/>
        <w:rPr>
          <w:rFonts w:ascii="宋体" w:hAnsi="宋体" w:cs="宋体"/>
          <w:szCs w:val="21"/>
        </w:rPr>
      </w:pPr>
      <w:r>
        <w:rPr>
          <w:rFonts w:hint="eastAsia" w:ascii="宋体" w:hAnsi="宋体" w:cs="宋体"/>
          <w:szCs w:val="21"/>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ind w:firstLine="420"/>
        <w:spacing w:line="360" w:lineRule="auto"/>
        <w:rPr>
          <w:rFonts w:ascii="宋体" w:hAnsi="宋体" w:cs="宋体"/>
          <w:szCs w:val="21"/>
        </w:rPr>
      </w:pPr>
      <w:r>
        <w:rPr>
          <w:rFonts w:hint="eastAsia" w:ascii="宋体" w:hAnsi="宋体" w:cs="宋体"/>
          <w:szCs w:val="21"/>
        </w:rPr>
        <w:t xml:space="preserve">4.提供专业的技术培训(操作、维修),保证采购单位操作人员正常使用设备的各项功能。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ascii="宋体" w:hAnsi="宋体" w:cs="宋体"/>
          <w:szCs w:val="21"/>
        </w:rPr>
      </w:pPr>
      <w:r>
        <w:rPr>
          <w:rFonts w:hint="eastAsia" w:ascii="宋体" w:hAnsi="宋体" w:cs="宋体"/>
          <w:szCs w:val="21"/>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9.中标单位须提供软件版本终身免费升级服务(在不涉及硬件情况下)。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12.机器在使用中，因机器质量问题或技术参数突变(非人为)而引起安全事故，责任由中标方负责，并赔偿由此引起的一切费用。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投标总报价一次报定，包括产品供货、辅助材料、备品备件、运输、仓储、发货、送货、安装、医院平台各系统（如HIS系统、LIS系统等）的接口费用、调试、人工、机械、装卸、培训、保险、运费、采购代理服务费、各种税费、劳保、专利技术及维保等完成本次项目所需的一切费用。 </w:t>
      </w:r>
      <w:r/>
    </w:p>
    <w:p>
      <w:pPr>
        <w:ind w:firstLine="420"/>
        <w:spacing w:line="360" w:lineRule="auto"/>
        <w:rPr>
          <w:rFonts w:ascii="宋体" w:hAnsi="宋体" w:cs="宋体"/>
          <w:szCs w:val="21"/>
        </w:rPr>
      </w:pPr>
      <w:r>
        <w:rPr>
          <w:rFonts w:hint="eastAsia" w:ascii="宋体" w:hAnsi="宋体" w:cs="宋体"/>
          <w:szCs w:val="21"/>
        </w:rPr>
        <w:t xml:space="preserve">5、交货期限：合同签订后60天内所有产品安装调试完毕并交付使用（具体按照采购单位要求）。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7、验收要求：</w:t>
      </w:r>
      <w:r/>
    </w:p>
    <w:p>
      <w:pPr>
        <w:ind w:firstLine="420"/>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w:t>
      </w:r>
      <w:r>
        <w:rPr>
          <w:rFonts w:hint="eastAsia" w:ascii="宋体" w:hAnsi="宋体" w:cs="宋体"/>
          <w:szCs w:val="21"/>
        </w:rPr>
        <w:t xml:space="preserve">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7.4设备验收时应提供以下文件的纸质版+电子版文件：</w:t>
      </w:r>
      <w:r/>
    </w:p>
    <w:p>
      <w:pPr>
        <w:ind w:firstLine="420"/>
        <w:spacing w:line="360" w:lineRule="auto"/>
        <w:rPr>
          <w:rFonts w:ascii="宋体" w:hAnsi="宋体" w:cs="宋体"/>
          <w:szCs w:val="21"/>
        </w:rPr>
      </w:pPr>
      <w:r>
        <w:rPr>
          <w:rFonts w:hint="eastAsia" w:ascii="宋体" w:hAnsi="宋体" w:cs="宋体"/>
          <w:szCs w:val="21"/>
        </w:rPr>
        <w:t xml:space="preserve">（1）中文说明书（纸质版+电子版）</w:t>
      </w:r>
      <w:r/>
    </w:p>
    <w:p>
      <w:pPr>
        <w:ind w:firstLine="420"/>
        <w:spacing w:line="360" w:lineRule="auto"/>
        <w:rPr>
          <w:rFonts w:ascii="宋体" w:hAnsi="宋体" w:cs="宋体"/>
          <w:szCs w:val="21"/>
        </w:rPr>
      </w:pPr>
      <w:r>
        <w:rPr>
          <w:rFonts w:hint="eastAsia" w:ascii="宋体" w:hAnsi="宋体" w:cs="宋体"/>
          <w:szCs w:val="21"/>
        </w:rPr>
        <w:t xml:space="preserve">（2）简易操作说明（卡片/塑封文件+电子版）</w:t>
      </w:r>
      <w:r/>
    </w:p>
    <w:p>
      <w:pPr>
        <w:ind w:firstLine="420"/>
        <w:spacing w:line="360" w:lineRule="auto"/>
        <w:rPr>
          <w:rFonts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小型企业和微型企业的投标报价扣除10%后参与评审。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w:t>
      </w:r>
      <w:r>
        <w:rPr>
          <w:rFonts w:hint="eastAsia" w:ascii="宋体" w:hAnsi="宋体" w:cs="宋体"/>
        </w:rPr>
        <w:t xml:space="preserve">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w:t>
      </w:r>
      <w:r>
        <w:rPr>
          <w:rFonts w:hint="eastAsia" w:ascii="宋体" w:hAnsi="宋体" w:cs="宋体"/>
        </w:rPr>
        <w:t xml:space="preserve">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第三章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6"/>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6"/>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6"/>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9.2勘察现场（本项目无需勘察现场）：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12.4.2其他</w:t>
      </w:r>
      <w:r>
        <w:rPr>
          <w:rFonts w:hint="eastAsia" w:ascii="宋体" w:hAnsi="宋体" w:cs="宋体"/>
        </w:rPr>
        <w:t xml:space="preserve">有关资格性证明的文件（如有）；</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12.5.5</w:t>
      </w:r>
      <w:r>
        <w:rPr>
          <w:rFonts w:hint="eastAsia" w:ascii="宋体" w:hAnsi="宋体" w:cs="宋体"/>
          <w:szCs w:val="21"/>
          <w:lang w:val="zh-CN"/>
        </w:rPr>
        <w:t xml:space="preserve">投标（响应）保证承诺书；</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12.5.6其他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12.6.3《设备配置清单表》、《质保期满后备品备件、易损件报价表》、《投标货物和服务数量、品牌型号、性能、交货期说明表》、《人员配备情况表》、《售后服务承诺书》；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6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w:t>
      </w:r>
      <w:r>
        <w:rPr>
          <w:rFonts w:hint="eastAsia" w:ascii="宋体" w:hAnsi="宋体" w:cs="宋体"/>
          <w:szCs w:val="21"/>
          <w:lang w:val="zh-CN"/>
        </w:rPr>
        <w:t xml:space="preserve">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6"/>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1"/>
        <w:ind w:firstLine="420"/>
        <w:spacing w:line="360" w:lineRule="auto"/>
        <w:rPr>
          <w:rFonts w:ascii="宋体" w:hAnsi="宋体" w:cs="宋体"/>
          <w:szCs w:val="21"/>
        </w:rPr>
      </w:pPr>
      <w:r>
        <w:rPr>
          <w:rFonts w:hint="eastAsia" w:ascii="宋体" w:hAnsi="宋体" w:cs="宋体"/>
          <w:szCs w:val="21"/>
        </w:rPr>
        <w:t xml:space="preserve">21.3资格审查</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w:t>
      </w:r>
      <w:r>
        <w:rPr>
          <w:rFonts w:hint="eastAsia" w:ascii="宋体" w:hAnsi="宋体"/>
        </w:rPr>
        <w:t xml:space="preserve">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6"/>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第四章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6"/>
        <w:spacing w:line="360" w:lineRule="auto"/>
        <w:rPr>
          <w:rFonts w:ascii="宋体" w:hAnsi="宋体" w:eastAsia="宋体" w:cs="宋体"/>
          <w:sz w:val="21"/>
        </w:rPr>
      </w:pPr>
      <w:r>
        <w:rPr>
          <w:rFonts w:ascii="宋体" w:hAnsi="宋体" w:eastAsia="宋体" w:cs="宋体"/>
          <w:sz w:val="21"/>
        </w:rPr>
      </w:r>
      <w:r/>
    </w:p>
    <w:p>
      <w:pPr>
        <w:pStyle w:val="92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100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5"/>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5"/>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5"/>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5"/>
        <w:ind w:firstLine="420"/>
        <w:spacing w:line="360" w:lineRule="auto"/>
        <w:rPr>
          <w:rFonts w:hAnsi="宋体" w:eastAsia="宋体" w:cs="宋体"/>
          <w:sz w:val="21"/>
        </w:rPr>
      </w:pPr>
      <w:r>
        <w:rPr>
          <w:rFonts w:hint="eastAsia" w:hAnsi="宋体" w:eastAsia="宋体" w:cs="宋体"/>
          <w:sz w:val="21"/>
        </w:rPr>
        <w:t xml:space="preserve">10.综合说明：</w:t>
      </w:r>
      <w:r/>
    </w:p>
    <w:p>
      <w:pPr>
        <w:pStyle w:val="100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5"/>
        <w:ind w:firstLine="420"/>
        <w:spacing w:line="360" w:lineRule="auto"/>
        <w:rPr>
          <w:rFonts w:hAnsi="宋体" w:eastAsia="宋体" w:cs="宋体"/>
          <w:sz w:val="21"/>
        </w:rPr>
      </w:pPr>
      <w:r>
        <w:rPr>
          <w:rFonts w:hint="eastAsia" w:hAnsi="宋体" w:eastAsia="宋体" w:cs="宋体"/>
          <w:sz w:val="21"/>
        </w:rPr>
        <w:t xml:space="preserve">（4）其它说明。</w:t>
      </w:r>
      <w:r/>
    </w:p>
    <w:p>
      <w:pPr>
        <w:pStyle w:val="100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5"/>
        <w:ind w:firstLine="420"/>
        <w:spacing w:line="360" w:lineRule="auto"/>
        <w:rPr>
          <w:rFonts w:hAnsi="宋体" w:eastAsia="宋体" w:cs="宋体"/>
          <w:sz w:val="21"/>
        </w:rPr>
      </w:pPr>
      <w:r>
        <w:rPr>
          <w:rFonts w:hint="eastAsia" w:hAnsi="宋体" w:eastAsia="宋体" w:cs="宋体"/>
          <w:sz w:val="21"/>
        </w:rPr>
        <w:t xml:space="preserve">邮箱地址：</w:t>
      </w:r>
      <w:r/>
    </w:p>
    <w:p>
      <w:pPr>
        <w:pStyle w:val="100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3"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2"/>
        <w:ind w:firstLine="420"/>
        <w:spacing w:line="360" w:lineRule="auto"/>
        <w:rPr>
          <w:rFonts w:hAnsi="宋体" w:eastAsia="宋体"/>
          <w:sz w:val="21"/>
        </w:rPr>
      </w:pPr>
      <w:r>
        <w:rPr>
          <w:rFonts w:hAnsi="宋体" w:eastAsia="宋体"/>
          <w:sz w:val="21"/>
        </w:rPr>
      </w:r>
      <w:r/>
    </w:p>
    <w:p>
      <w:pPr>
        <w:pStyle w:val="1002"/>
        <w:ind w:firstLine="420"/>
        <w:spacing w:line="360" w:lineRule="auto"/>
        <w:rPr>
          <w:rFonts w:hAnsi="宋体" w:eastAsia="宋体"/>
          <w:sz w:val="21"/>
        </w:rPr>
      </w:pPr>
      <w:r>
        <w:rPr>
          <w:rFonts w:hint="eastAsia" w:hAnsi="宋体" w:eastAsia="宋体"/>
          <w:sz w:val="21"/>
        </w:rPr>
        <w:t xml:space="preserve">投标单位（签章）：</w:t>
      </w:r>
      <w:r/>
    </w:p>
    <w:p>
      <w:pPr>
        <w:pStyle w:val="100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4" w:name="_Toc532444344"/>
      <w:r/>
      <w:bookmarkStart w:id="45" w:name="_Toc532452113"/>
      <w:r/>
      <w:bookmarkStart w:id="46" w:name="_Toc518926909"/>
      <w:r/>
      <w:bookmarkStart w:id="47" w:name="_Toc532444506"/>
      <w:r/>
      <w:bookmarkStart w:id="48" w:name="_Toc7888"/>
      <w:r/>
      <w:bookmarkStart w:id="49"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附件8：</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6"/>
        <w:ind w:firstLine="422"/>
        <w:jc w:val="center"/>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6"/>
        <w:ind w:firstLine="422"/>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附件17、中小企业声明函等</w:t>
      </w:r>
      <w:r/>
    </w:p>
    <w:p>
      <w:pPr>
        <w:ind w:firstLine="2741"/>
        <w:rPr>
          <w:rFonts w:ascii="宋体" w:hAnsi="宋体" w:cs="宋体"/>
          <w:b/>
          <w:szCs w:val="21"/>
        </w:rPr>
      </w:pPr>
      <w:r>
        <w:rPr>
          <w:rFonts w:hint="eastAsia" w:ascii="宋体" w:hAnsi="宋体" w:cs="宋体"/>
          <w:b/>
          <w:szCs w:val="21"/>
        </w:rPr>
        <w:t xml:space="preserve">（1）</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3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2" w:name="_Toc532444352"/>
      <w:r/>
      <w:bookmarkStart w:id="53" w:name="_Toc532452121"/>
      <w:r/>
      <w:bookmarkStart w:id="54" w:name="_Toc532444514"/>
      <w:r/>
      <w:bookmarkStart w:id="55" w:name="_Toc2583149"/>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2"/>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关于符合本国产品标准的声明函（招标编号：JSZC-320000-CJZB-G2026-0119号）</w:t>
      </w:r>
      <w:r/>
    </w:p>
    <w:p>
      <w:pPr>
        <w:pStyle w:val="947"/>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7"/>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7"/>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7"/>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553720</wp:posOffset>
                </wp:positionH>
                <wp:positionV relativeFrom="paragraph">
                  <wp:posOffset>730885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3.6pt;mso-position-horizontal:absolute;mso-position-vertical-relative:text;margin-top:5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5220970</wp:posOffset>
                </wp:positionH>
                <wp:positionV relativeFrom="paragraph">
                  <wp:posOffset>475615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411.1pt;mso-position-horizontal:absolute;mso-position-vertical-relative:text;margin-top:37.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3423285</wp:posOffset>
                </wp:positionH>
                <wp:positionV relativeFrom="paragraph">
                  <wp:posOffset>445135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69.6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2547620</wp:posOffset>
                </wp:positionH>
                <wp:positionV relativeFrom="paragraph">
                  <wp:posOffset>433705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200.6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1428750</wp:posOffset>
                </wp:positionH>
                <wp:positionV relativeFrom="paragraph">
                  <wp:posOffset>427355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12.5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4304665</wp:posOffset>
                </wp:positionH>
                <wp:positionV relativeFrom="paragraph">
                  <wp:posOffset>141605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38.9pt;mso-position-horizontal:absolute;mso-position-vertical-relative:text;margin-top:11.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3"/>
          <w:rFonts w:hint="eastAsia" w:ascii="宋体" w:hAnsi="宋体" w:cs="宋体"/>
          <w:i w:val="0"/>
          <w:sz w:val="21"/>
          <w:szCs w:val="21"/>
          <w:u w:val="single"/>
          <w:shd w:val="clear" w:color="auto" w:fill="ffffff"/>
        </w:rPr>
        <w:t xml:space="preserve">（产品名称1）</w:t>
      </w:r>
      <w:r>
        <w:rPr>
          <w:rStyle w:val="95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Style w:val="95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Style w:val="95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Style w:val="95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Style w:val="95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297815</wp:posOffset>
                </wp:positionH>
                <wp:positionV relativeFrom="paragraph">
                  <wp:posOffset>741680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4pt;mso-position-horizontal:absolute;mso-position-vertical-relative:text;margin-top:58.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4929505</wp:posOffset>
                </wp:positionH>
                <wp:positionV relativeFrom="paragraph">
                  <wp:posOffset>426720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88.1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3065780</wp:posOffset>
                </wp:positionH>
                <wp:positionV relativeFrom="paragraph">
                  <wp:posOffset>438785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41.4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2220595</wp:posOffset>
                </wp:positionH>
                <wp:positionV relativeFrom="paragraph">
                  <wp:posOffset>433070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4.8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1190625</wp:posOffset>
                </wp:positionH>
                <wp:positionV relativeFrom="paragraph">
                  <wp:posOffset>408940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93.8pt;mso-position-horizontal:absolute;mso-position-vertical-relative:text;margin-top:32.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4156075</wp:posOffset>
                </wp:positionH>
                <wp:positionV relativeFrom="paragraph">
                  <wp:posOffset>80645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327.2pt;mso-position-horizontal:absolute;mso-position-vertical-relative:text;margin-top:6.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7"/>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7"/>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7"/>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7"/>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2"/>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int="eastAsia" w:hAnsi="宋体" w:eastAsia="宋体"/>
          <w:b/>
          <w:bCs/>
          <w:sz w:val="21"/>
          <w:szCs w:val="24"/>
        </w:rPr>
        <w:t xml:space="preserve">附件19：</w:t>
      </w:r>
      <w:r>
        <w:rPr>
          <w:rFonts w:hint="eastAsia" w:hAnsi="宋体" w:eastAsia="宋体"/>
          <w:b/>
          <w:bCs/>
          <w:sz w:val="21"/>
          <w:szCs w:val="24"/>
          <w:lang w:val="zh-CN"/>
        </w:rPr>
        <w:t xml:space="preserve">政府采购合同信用融资政策告知函（本附件无需签章放置投标文件中）</w:t>
      </w:r>
      <w:r/>
    </w:p>
    <w:p>
      <w:pPr>
        <w:pStyle w:val="1002"/>
        <w:ind w:firstLine="420"/>
        <w:rPr>
          <w:rFonts w:hAnsi="宋体" w:eastAsia="宋体"/>
          <w:sz w:val="21"/>
          <w:szCs w:val="24"/>
          <w:lang w:val="zh-CN"/>
        </w:rPr>
      </w:pPr>
      <w:r>
        <w:rPr>
          <w:rFonts w:hAnsi="宋体" w:eastAsia="宋体"/>
          <w:sz w:val="21"/>
          <w:szCs w:val="24"/>
          <w:lang w:val="zh-CN"/>
        </w:rPr>
      </w:r>
      <w:r/>
    </w:p>
    <w:p>
      <w:pPr>
        <w:pStyle w:val="1002"/>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889377"/>
      <w:r/>
      <w:bookmarkStart w:id="58" w:name="_Toc1364211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1.合同文件适用法律</w:t>
      </w:r>
      <w:r/>
    </w:p>
    <w:p>
      <w:pPr>
        <w:ind w:firstLine="425"/>
        <w:spacing w:line="360" w:lineRule="auto"/>
        <w:rPr>
          <w:rFonts w:ascii="宋体" w:hAnsi="宋体" w:cs="宋体"/>
        </w:rPr>
      </w:pPr>
      <w:r>
        <w:rPr>
          <w:rFonts w:hint="eastAsia" w:ascii="宋体" w:hAnsi="宋体" w:cs="宋体"/>
        </w:rPr>
        <w:t xml:space="preserve">1.1  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2.合同文件组成和解释顺序</w:t>
      </w:r>
      <w:r/>
    </w:p>
    <w:p>
      <w:pPr>
        <w:ind w:firstLine="425"/>
        <w:spacing w:line="360" w:lineRule="auto"/>
        <w:rPr>
          <w:rFonts w:ascii="宋体" w:hAnsi="宋体" w:cs="宋体"/>
        </w:rPr>
      </w:pPr>
      <w:r>
        <w:rPr>
          <w:rFonts w:hint="eastAsia" w:ascii="宋体" w:hAnsi="宋体" w:cs="宋体"/>
        </w:rPr>
        <w:t xml:space="preserve">2.1  合同文件的组成和解释顺序如下：</w:t>
      </w:r>
      <w:r/>
    </w:p>
    <w:p>
      <w:pPr>
        <w:ind w:firstLine="425"/>
        <w:spacing w:line="360" w:lineRule="auto"/>
        <w:rPr>
          <w:rFonts w:ascii="宋体" w:hAnsi="宋体" w:cs="宋体"/>
        </w:rPr>
      </w:pPr>
      <w:r>
        <w:rPr>
          <w:rFonts w:hint="eastAsia" w:ascii="宋体" w:hAnsi="宋体" w:cs="宋体"/>
        </w:rPr>
        <w:t xml:space="preserve">2.1.1 合同特殊性条款</w:t>
      </w:r>
      <w:r/>
    </w:p>
    <w:p>
      <w:pPr>
        <w:ind w:firstLine="425"/>
        <w:spacing w:line="360" w:lineRule="auto"/>
        <w:rPr>
          <w:rFonts w:ascii="宋体" w:hAnsi="宋体" w:cs="宋体"/>
        </w:rPr>
      </w:pPr>
      <w:r>
        <w:rPr>
          <w:rFonts w:hint="eastAsia" w:ascii="宋体" w:hAnsi="宋体" w:cs="宋体"/>
        </w:rPr>
        <w:t xml:space="preserve">2.1.2 合同一般性条款</w:t>
      </w:r>
      <w:r/>
    </w:p>
    <w:p>
      <w:pPr>
        <w:ind w:firstLine="425"/>
        <w:spacing w:line="360" w:lineRule="auto"/>
        <w:rPr>
          <w:rFonts w:ascii="宋体" w:hAnsi="宋体" w:cs="宋体"/>
        </w:rPr>
      </w:pPr>
      <w:r>
        <w:rPr>
          <w:rFonts w:hint="eastAsia" w:ascii="宋体" w:hAnsi="宋体" w:cs="宋体"/>
        </w:rPr>
        <w:t xml:space="preserve">2.1.3 洽商、变更等明确双方权利义务的纪要、协议</w:t>
      </w:r>
      <w:r/>
    </w:p>
    <w:p>
      <w:pPr>
        <w:ind w:firstLine="425"/>
        <w:spacing w:line="360" w:lineRule="auto"/>
        <w:rPr>
          <w:rFonts w:ascii="宋体" w:hAnsi="宋体" w:cs="宋体"/>
        </w:rPr>
      </w:pPr>
      <w:r>
        <w:rPr>
          <w:rFonts w:hint="eastAsia" w:ascii="宋体" w:hAnsi="宋体" w:cs="宋体"/>
        </w:rPr>
        <w:t xml:space="preserve">2.1.4 中标通知书、投标书和招标文件</w:t>
      </w:r>
      <w:r/>
    </w:p>
    <w:p>
      <w:pPr>
        <w:ind w:firstLine="425"/>
        <w:spacing w:line="360" w:lineRule="auto"/>
        <w:rPr>
          <w:rFonts w:ascii="宋体" w:hAnsi="宋体" w:cs="宋体"/>
        </w:rPr>
      </w:pPr>
      <w:r>
        <w:rPr>
          <w:rFonts w:hint="eastAsia" w:ascii="宋体" w:hAnsi="宋体" w:cs="宋体"/>
        </w:rPr>
        <w:t xml:space="preserve">2.1.5 有关图纸</w:t>
      </w:r>
      <w:r/>
    </w:p>
    <w:p>
      <w:pPr>
        <w:ind w:firstLine="425"/>
        <w:spacing w:line="360" w:lineRule="auto"/>
        <w:rPr>
          <w:rFonts w:ascii="宋体" w:hAnsi="宋体" w:cs="宋体"/>
        </w:rPr>
      </w:pPr>
      <w:r>
        <w:rPr>
          <w:rFonts w:hint="eastAsia" w:ascii="宋体" w:hAnsi="宋体" w:cs="宋体"/>
        </w:rPr>
        <w:t xml:space="preserve">2.1.6 标准、规范和其它有关技术资料、技术要求</w:t>
      </w:r>
      <w:r/>
    </w:p>
    <w:p>
      <w:pPr>
        <w:ind w:firstLine="425"/>
        <w:spacing w:line="360" w:lineRule="auto"/>
        <w:rPr>
          <w:rFonts w:ascii="宋体" w:hAnsi="宋体" w:cs="宋体"/>
        </w:rPr>
      </w:pPr>
      <w:r>
        <w:rPr>
          <w:rFonts w:hint="eastAsia" w:ascii="宋体" w:hAnsi="宋体" w:cs="宋体"/>
        </w:rPr>
        <w:t xml:space="preserve">2.2 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3.合同文件使用文字</w:t>
      </w:r>
      <w:r/>
    </w:p>
    <w:p>
      <w:pPr>
        <w:pStyle w:val="926"/>
        <w:spacing w:line="360" w:lineRule="auto"/>
        <w:rPr>
          <w:rFonts w:ascii="宋体" w:hAnsi="宋体" w:eastAsia="宋体" w:cs="宋体"/>
          <w:sz w:val="21"/>
        </w:rPr>
      </w:pPr>
      <w:r>
        <w:rPr>
          <w:rFonts w:hint="eastAsia" w:ascii="宋体" w:hAnsi="宋体" w:eastAsia="宋体" w:cs="宋体"/>
          <w:sz w:val="21"/>
        </w:rPr>
        <w:t xml:space="preserve">3.1  合同文件使用中文书写、解释和说明</w:t>
      </w:r>
      <w:r/>
    </w:p>
    <w:p>
      <w:pPr>
        <w:pStyle w:val="926"/>
        <w:spacing w:line="360" w:lineRule="auto"/>
        <w:rPr>
          <w:rFonts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4.完整物权</w:t>
      </w:r>
      <w:r/>
    </w:p>
    <w:p>
      <w:pPr>
        <w:spacing w:line="360" w:lineRule="auto"/>
        <w:rPr>
          <w:rFonts w:ascii="宋体" w:hAnsi="宋体" w:cs="宋体"/>
        </w:rPr>
      </w:pPr>
      <w:r>
        <w:rPr>
          <w:rFonts w:hint="eastAsia" w:ascii="宋体" w:hAnsi="宋体" w:cs="宋体"/>
        </w:rPr>
        <w:tab/>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5.质量保证</w:t>
      </w:r>
      <w:r/>
    </w:p>
    <w:p>
      <w:pPr>
        <w:pStyle w:val="926"/>
        <w:spacing w:line="360" w:lineRule="auto"/>
        <w:rPr>
          <w:rFonts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26"/>
        <w:spacing w:line="360" w:lineRule="auto"/>
        <w:rPr>
          <w:rFonts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要求的材料等，甲方有权根据本合同第(六)条“违约责任”向乙方主张各 项权利。</w:t>
      </w:r>
      <w:r/>
    </w:p>
    <w:p>
      <w:pPr>
        <w:pStyle w:val="926"/>
        <w:spacing w:line="360" w:lineRule="auto"/>
        <w:rPr>
          <w:rFonts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26"/>
        <w:spacing w:line="360" w:lineRule="auto"/>
        <w:rPr>
          <w:rFonts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ascii="宋体" w:hAnsi="宋体" w:cs="宋体"/>
          <w:b/>
        </w:rPr>
      </w:pPr>
      <w:r>
        <w:rPr>
          <w:rFonts w:hint="eastAsia" w:ascii="宋体" w:hAnsi="宋体" w:cs="宋体"/>
          <w:b/>
        </w:rPr>
        <w:t xml:space="preserve">6.包装</w:t>
      </w:r>
      <w:r/>
    </w:p>
    <w:p>
      <w:pPr>
        <w:pStyle w:val="926"/>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p>
    <w:p>
      <w:pPr>
        <w:pStyle w:val="926"/>
        <w:spacing w:line="360" w:lineRule="auto"/>
        <w:rPr>
          <w:rFonts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26"/>
        <w:spacing w:line="360" w:lineRule="auto"/>
        <w:rPr>
          <w:rFonts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26"/>
        <w:spacing w:line="360" w:lineRule="auto"/>
        <w:rPr>
          <w:rFonts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26"/>
        <w:spacing w:line="360" w:lineRule="auto"/>
        <w:rPr>
          <w:rFonts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26"/>
        <w:spacing w:line="360" w:lineRule="auto"/>
        <w:rPr>
          <w:rFonts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26"/>
        <w:spacing w:line="360" w:lineRule="auto"/>
        <w:rPr>
          <w:rFonts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8.标的物的交付</w:t>
      </w:r>
      <w:r/>
    </w:p>
    <w:p>
      <w:pPr>
        <w:pStyle w:val="926"/>
        <w:spacing w:line="360" w:lineRule="auto"/>
        <w:rPr>
          <w:rFonts w:ascii="宋体" w:hAnsi="宋体" w:eastAsia="宋体" w:cs="宋体"/>
          <w:sz w:val="21"/>
        </w:rPr>
      </w:pPr>
      <w:r>
        <w:rPr>
          <w:rFonts w:hint="eastAsia" w:ascii="宋体" w:hAnsi="宋体" w:eastAsia="宋体" w:cs="宋体"/>
          <w:sz w:val="21"/>
        </w:rPr>
        <w:t xml:space="preserve">8.1  标的物的所有权自标的物交付时转移。</w:t>
      </w:r>
      <w:r/>
    </w:p>
    <w:p>
      <w:pPr>
        <w:pStyle w:val="926"/>
        <w:spacing w:line="360" w:lineRule="auto"/>
        <w:rPr>
          <w:rFonts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26"/>
        <w:spacing w:line="360" w:lineRule="auto"/>
        <w:rPr>
          <w:rFonts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9.检验和验收</w:t>
      </w:r>
      <w:r/>
    </w:p>
    <w:p>
      <w:pPr>
        <w:pStyle w:val="926"/>
        <w:spacing w:line="360" w:lineRule="auto"/>
        <w:rPr>
          <w:rFonts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26"/>
        <w:spacing w:line="360" w:lineRule="auto"/>
        <w:rPr>
          <w:rFonts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w:t>
      </w:r>
      <w:r>
        <w:rPr>
          <w:rFonts w:hint="eastAsia" w:ascii="宋体" w:hAnsi="宋体" w:eastAsia="宋体" w:cs="宋体"/>
          <w:sz w:val="21"/>
        </w:rPr>
        <w:t xml:space="preserve">向乙方出具验收合格证明。若验收证明不合格，甲方有权根据合同约定向乙方主张权 利。该验收证明作为最终付款所需文件的组成部分。</w:t>
      </w:r>
      <w:r/>
    </w:p>
    <w:p>
      <w:pPr>
        <w:pStyle w:val="926"/>
        <w:spacing w:line="360" w:lineRule="auto"/>
        <w:rPr>
          <w:rFonts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26"/>
        <w:spacing w:line="360" w:lineRule="auto"/>
        <w:rPr>
          <w:rFonts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26"/>
        <w:spacing w:line="360" w:lineRule="auto"/>
        <w:rPr>
          <w:rFonts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26"/>
        <w:spacing w:line="360" w:lineRule="auto"/>
        <w:rPr>
          <w:rFonts w:ascii="宋体" w:hAnsi="宋体" w:eastAsia="宋体" w:cs="宋体"/>
          <w:sz w:val="21"/>
        </w:rPr>
      </w:pPr>
      <w:r>
        <w:rPr>
          <w:rFonts w:hint="eastAsia" w:ascii="宋体" w:hAnsi="宋体" w:eastAsia="宋体" w:cs="宋体"/>
          <w:sz w:val="21"/>
        </w:rPr>
        <w:t xml:space="preserve">（1）货物装箱清单</w:t>
      </w:r>
      <w:r/>
    </w:p>
    <w:p>
      <w:pPr>
        <w:pStyle w:val="926"/>
        <w:spacing w:line="360" w:lineRule="auto"/>
        <w:rPr>
          <w:rFonts w:ascii="宋体" w:hAnsi="宋体" w:eastAsia="宋体" w:cs="宋体"/>
          <w:sz w:val="21"/>
        </w:rPr>
      </w:pPr>
      <w:r>
        <w:rPr>
          <w:rFonts w:hint="eastAsia" w:ascii="宋体" w:hAnsi="宋体" w:eastAsia="宋体" w:cs="宋体"/>
          <w:sz w:val="21"/>
        </w:rPr>
        <w:t xml:space="preserve">（2）合格证(国产设备必须提供)</w:t>
      </w:r>
      <w:r/>
    </w:p>
    <w:p>
      <w:pPr>
        <w:pStyle w:val="926"/>
        <w:spacing w:line="360" w:lineRule="auto"/>
        <w:rPr>
          <w:rFonts w:ascii="宋体" w:hAnsi="宋体" w:eastAsia="宋体" w:cs="宋体"/>
          <w:sz w:val="21"/>
        </w:rPr>
      </w:pPr>
      <w:r>
        <w:rPr>
          <w:rFonts w:hint="eastAsia" w:ascii="宋体" w:hAnsi="宋体" w:eastAsia="宋体" w:cs="宋体"/>
          <w:sz w:val="21"/>
        </w:rPr>
        <w:t xml:space="preserve">（3）中英文技术资料</w:t>
      </w:r>
      <w:r/>
    </w:p>
    <w:p>
      <w:pPr>
        <w:pStyle w:val="926"/>
        <w:spacing w:line="360" w:lineRule="auto"/>
        <w:rPr>
          <w:rFonts w:ascii="宋体" w:hAnsi="宋体" w:eastAsia="宋体" w:cs="宋体"/>
          <w:sz w:val="21"/>
        </w:rPr>
      </w:pPr>
      <w:r>
        <w:rPr>
          <w:rFonts w:hint="eastAsia" w:ascii="宋体" w:hAnsi="宋体" w:eastAsia="宋体" w:cs="宋体"/>
          <w:sz w:val="21"/>
        </w:rPr>
        <w:t xml:space="preserve">（4）使用维修保养中文说明书  </w:t>
      </w:r>
      <w:r/>
    </w:p>
    <w:p>
      <w:pPr>
        <w:pStyle w:val="926"/>
        <w:spacing w:line="360" w:lineRule="auto"/>
        <w:rPr>
          <w:rFonts w:ascii="宋体" w:hAnsi="宋体" w:eastAsia="宋体" w:cs="宋体"/>
          <w:sz w:val="21"/>
        </w:rPr>
      </w:pPr>
      <w:r>
        <w:rPr>
          <w:rFonts w:hint="eastAsia" w:ascii="宋体" w:hAnsi="宋体" w:eastAsia="宋体" w:cs="宋体"/>
          <w:sz w:val="21"/>
        </w:rPr>
        <w:t xml:space="preserve">（5）其它必备材料和必备工具等 </w:t>
      </w:r>
      <w:r/>
    </w:p>
    <w:p>
      <w:pPr>
        <w:pStyle w:val="926"/>
        <w:spacing w:line="360" w:lineRule="auto"/>
        <w:rPr>
          <w:rFonts w:ascii="宋体" w:hAnsi="宋体" w:eastAsia="宋体" w:cs="宋体"/>
          <w:sz w:val="21"/>
        </w:rPr>
      </w:pPr>
      <w:r>
        <w:rPr>
          <w:rFonts w:hint="eastAsia" w:ascii="宋体" w:hAnsi="宋体" w:eastAsia="宋体" w:cs="宋体"/>
          <w:sz w:val="21"/>
        </w:rPr>
        <w:t xml:space="preserve">（6）保修单等其它必须材料。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10.对标的物提出异议的时间和办法 </w:t>
      </w:r>
      <w:r/>
    </w:p>
    <w:p>
      <w:pPr>
        <w:pStyle w:val="926"/>
        <w:spacing w:line="360" w:lineRule="auto"/>
        <w:rPr>
          <w:rFonts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26"/>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26"/>
        <w:spacing w:line="360" w:lineRule="auto"/>
        <w:rPr>
          <w:rFonts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26"/>
        <w:spacing w:line="360" w:lineRule="auto"/>
        <w:rPr>
          <w:rFonts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11.合同价款和支付</w:t>
      </w:r>
      <w:r/>
    </w:p>
    <w:p>
      <w:pPr>
        <w:pStyle w:val="926"/>
        <w:spacing w:line="360" w:lineRule="auto"/>
        <w:rPr>
          <w:rFonts w:ascii="宋体" w:hAnsi="宋体" w:eastAsia="宋体" w:cs="宋体"/>
          <w:sz w:val="21"/>
        </w:rPr>
      </w:pPr>
      <w:r>
        <w:rPr>
          <w:rFonts w:hint="eastAsia" w:ascii="宋体" w:hAnsi="宋体" w:eastAsia="宋体" w:cs="宋体"/>
          <w:sz w:val="21"/>
        </w:rPr>
        <w:t xml:space="preserve">11.1 本合同的结算货币为人民币，单位元。</w:t>
      </w:r>
      <w:r/>
    </w:p>
    <w:p>
      <w:pPr>
        <w:pStyle w:val="926"/>
        <w:spacing w:line="360" w:lineRule="auto"/>
        <w:rPr>
          <w:rFonts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26"/>
        <w:spacing w:line="360" w:lineRule="auto"/>
        <w:rPr>
          <w:rFonts w:ascii="宋体" w:hAnsi="宋体" w:eastAsia="宋体" w:cs="宋体"/>
          <w:sz w:val="21"/>
        </w:rPr>
      </w:pPr>
      <w:r>
        <w:rPr>
          <w:rFonts w:hint="eastAsia" w:ascii="宋体" w:hAnsi="宋体" w:eastAsia="宋体" w:cs="宋体"/>
          <w:sz w:val="21"/>
        </w:rPr>
        <w:t xml:space="preserve">11.2.1 合格的发票。</w:t>
      </w:r>
      <w:r/>
    </w:p>
    <w:p>
      <w:pPr>
        <w:pStyle w:val="926"/>
        <w:spacing w:line="360" w:lineRule="auto"/>
        <w:rPr>
          <w:rFonts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26"/>
        <w:spacing w:line="360" w:lineRule="auto"/>
        <w:rPr>
          <w:rFonts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26"/>
        <w:spacing w:line="360" w:lineRule="auto"/>
        <w:rPr>
          <w:rFonts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ascii="宋体" w:hAnsi="宋体" w:cs="宋体"/>
          <w:b/>
        </w:rPr>
      </w:pPr>
      <w:r>
        <w:rPr>
          <w:rFonts w:hint="eastAsia" w:ascii="宋体" w:hAnsi="宋体" w:cs="宋体"/>
          <w:b/>
        </w:rPr>
        <w:t xml:space="preserve">13.甲方违约责任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ascii="宋体" w:hAnsi="宋体" w:cs="宋体"/>
          <w:b/>
        </w:rPr>
      </w:pPr>
      <w:r>
        <w:rPr>
          <w:rFonts w:hint="eastAsia" w:ascii="宋体" w:hAnsi="宋体" w:cs="宋体"/>
          <w:b/>
        </w:rPr>
        <w:t xml:space="preserve">15.不可抗力</w:t>
      </w:r>
      <w:r/>
    </w:p>
    <w:p>
      <w:pPr>
        <w:pStyle w:val="926"/>
        <w:spacing w:line="360" w:lineRule="auto"/>
        <w:rPr>
          <w:rFonts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26"/>
        <w:spacing w:line="360" w:lineRule="auto"/>
        <w:rPr>
          <w:rFonts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16.索赔</w:t>
      </w:r>
      <w:r/>
    </w:p>
    <w:p>
      <w:pPr>
        <w:pStyle w:val="926"/>
        <w:spacing w:line="360" w:lineRule="auto"/>
        <w:rPr>
          <w:rFonts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26"/>
        <w:spacing w:line="360" w:lineRule="auto"/>
        <w:rPr>
          <w:rFonts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26"/>
        <w:spacing w:line="360" w:lineRule="auto"/>
        <w:rPr>
          <w:rFonts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6"/>
        <w:spacing w:line="360" w:lineRule="auto"/>
        <w:rPr>
          <w:rFonts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26"/>
        <w:spacing w:line="360" w:lineRule="auto"/>
        <w:rPr>
          <w:rFonts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17.履约保证金：无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18.1 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ascii="宋体" w:hAnsi="宋体" w:cs="宋体"/>
          <w:b/>
        </w:rPr>
      </w:pPr>
      <w:r>
        <w:rPr>
          <w:rFonts w:hint="eastAsia" w:ascii="宋体" w:hAnsi="宋体" w:cs="宋体"/>
          <w:b/>
        </w:rPr>
        <w:t xml:space="preserve">19.合同的转让</w:t>
      </w:r>
      <w:r/>
    </w:p>
    <w:p>
      <w:pPr>
        <w:spacing w:line="360" w:lineRule="auto"/>
        <w:rPr>
          <w:rFonts w:ascii="宋体" w:hAnsi="宋体" w:cs="宋体"/>
        </w:rPr>
      </w:pPr>
      <w:r>
        <w:rPr>
          <w:rFonts w:hint="eastAsia" w:ascii="宋体" w:hAnsi="宋体" w:cs="宋体"/>
        </w:rPr>
        <w:t xml:space="preserve">     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21.争议解决</w:t>
      </w:r>
      <w:r/>
    </w:p>
    <w:p>
      <w:pPr>
        <w:pStyle w:val="926"/>
        <w:spacing w:line="360" w:lineRule="auto"/>
        <w:rPr>
          <w:rFonts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23.未尽事宜</w:t>
      </w:r>
      <w:r/>
    </w:p>
    <w:p>
      <w:pPr>
        <w:pStyle w:val="932"/>
        <w:rPr>
          <w:rFonts w:ascii="宋体" w:hAnsi="宋体"/>
          <w:b/>
          <w:bCs/>
          <w:sz w:val="21"/>
          <w:szCs w:val="21"/>
        </w:rPr>
      </w:pPr>
      <w:r>
        <w:rPr>
          <w:rFonts w:hint="eastAsia" w:ascii="宋体" w:hAnsi="宋体" w:cs="宋体"/>
          <w:sz w:val="21"/>
        </w:rPr>
        <w:t xml:space="preserve">本合同未尽事宜应按《中华人民共和国民法典》、《中华人民共和国产品质量法》、《中华人民共和国政府采</w:t>
      </w:r>
      <w:r>
        <w:rPr>
          <w:rFonts w:hint="eastAsia" w:ascii="宋体" w:hAnsi="宋体" w:cs="宋体"/>
          <w:sz w:val="21"/>
          <w:szCs w:val="21"/>
        </w:rPr>
        <w:t xml:space="preserve">购法》及其他有关政府采购的法律法规之规定解释。</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60"/>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5"/>
        <w:ind w:firstLine="502"/>
        <w:spacing w:line="360" w:lineRule="auto"/>
        <w:rPr>
          <w:rFonts w:cs="宋体"/>
          <w:sz w:val="21"/>
        </w:rPr>
      </w:pPr>
      <w:r>
        <w:rPr>
          <w:rFonts w:hint="eastAsia" w:cs="宋体"/>
          <w:sz w:val="21"/>
        </w:rPr>
        <w:t xml:space="preserve">①招投标文件及中标通知书；</w:t>
      </w:r>
      <w:r/>
    </w:p>
    <w:p>
      <w:pPr>
        <w:pStyle w:val="935"/>
        <w:ind w:firstLine="502"/>
        <w:spacing w:line="360" w:lineRule="auto"/>
        <w:rPr>
          <w:rFonts w:cs="宋体"/>
          <w:sz w:val="21"/>
        </w:rPr>
      </w:pPr>
      <w:r>
        <w:rPr>
          <w:rFonts w:hint="eastAsia" w:cs="宋体"/>
          <w:sz w:val="21"/>
        </w:rPr>
        <w:t xml:space="preserve">②产品清单；</w:t>
      </w:r>
      <w:r/>
    </w:p>
    <w:p>
      <w:pPr>
        <w:pStyle w:val="935"/>
        <w:ind w:firstLine="502"/>
        <w:spacing w:line="360" w:lineRule="auto"/>
        <w:rPr>
          <w:rFonts w:cs="宋体"/>
          <w:sz w:val="21"/>
        </w:rPr>
      </w:pPr>
      <w:r>
        <w:rPr>
          <w:rFonts w:hint="eastAsia" w:cs="宋体"/>
          <w:sz w:val="21"/>
        </w:rPr>
        <w:t xml:space="preserve">③合同其他附件。</w:t>
      </w:r>
      <w:r/>
    </w:p>
    <w:p>
      <w:pPr>
        <w:pStyle w:val="935"/>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、调试、人工、机械、装卸、培训、保险、运费、采购代理服务费、各种税费、劳保、专利技术及维保等完成本次项目所需的一切费用。 </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B、甲方签收后的送货回单</w:t>
      </w:r>
      <w:r/>
    </w:p>
    <w:p>
      <w:pPr>
        <w:ind w:firstLine="420"/>
        <w:spacing w:line="360" w:lineRule="auto"/>
        <w:rPr>
          <w:rFonts w:ascii="宋体" w:hAnsi="宋体" w:cs="宋体"/>
        </w:rPr>
      </w:pPr>
      <w:r>
        <w:rPr>
          <w:rFonts w:hint="eastAsia" w:ascii="宋体" w:hAnsi="宋体" w:cs="宋体"/>
        </w:rPr>
        <w:t xml:space="preserve">C、由甲乙双方签章的《政府采购合同履行验收报告》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1.交货时间：合同签订后60日内送货到位并完成安装调试。</w:t>
      </w:r>
      <w:r/>
    </w:p>
    <w:p>
      <w:pPr>
        <w:ind w:left="99" w:firstLine="420"/>
        <w:spacing w:line="360" w:lineRule="auto"/>
        <w:rPr>
          <w:rFonts w:ascii="宋体" w:hAnsi="宋体" w:cs="宋体"/>
        </w:rPr>
      </w:pPr>
      <w:r>
        <w:rPr>
          <w:rFonts w:hint="eastAsia" w:ascii="宋体" w:hAnsi="宋体" w:cs="宋体"/>
        </w:rPr>
        <w:t xml:space="preserve">2.交货地点：甲方指定地点。</w:t>
      </w:r>
      <w:r/>
    </w:p>
    <w:p>
      <w:pPr>
        <w:ind w:left="99" w:firstLine="420"/>
        <w:spacing w:line="360" w:lineRule="auto"/>
        <w:rPr>
          <w:rFonts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6"/>
        <w:spacing w:line="360" w:lineRule="auto"/>
        <w:rPr>
          <w:rFonts w:ascii="宋体" w:hAnsi="宋体" w:eastAsia="宋体" w:cs="宋体"/>
          <w:sz w:val="21"/>
        </w:rPr>
      </w:pPr>
      <w:r>
        <w:rPr>
          <w:rFonts w:hint="eastAsia" w:ascii="宋体" w:hAnsi="宋体" w:eastAsia="宋体" w:cs="宋体"/>
          <w:sz w:val="21"/>
        </w:rPr>
        <w:t xml:space="preserve">1.甲方违约责任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26"/>
        <w:spacing w:line="360" w:lineRule="auto"/>
        <w:rPr>
          <w:rFonts w:ascii="宋体" w:hAnsi="宋体" w:eastAsia="宋体" w:cs="宋体"/>
          <w:sz w:val="21"/>
        </w:rPr>
      </w:pPr>
      <w:r>
        <w:rPr>
          <w:rFonts w:hint="eastAsia" w:ascii="宋体" w:hAnsi="宋体" w:eastAsia="宋体" w:cs="宋体"/>
          <w:sz w:val="21"/>
        </w:rPr>
        <w:t xml:space="preserve">1.合同的解除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1.1有下列情形之一，合同一方可以解除合同：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1.3本合同当事人联系信息以国家企业信用信息公示系统等查询备注地址为准，适用于双方往来联系、书面文件送达及争议解决时法律文书(含裁判文书)送达。</w:t>
      </w:r>
      <w:r/>
    </w:p>
    <w:p>
      <w:pPr>
        <w:pStyle w:val="926"/>
        <w:spacing w:line="360" w:lineRule="auto"/>
        <w:rPr>
          <w:rFonts w:ascii="宋体" w:hAnsi="宋体" w:eastAsia="宋体" w:cs="宋体"/>
          <w:sz w:val="21"/>
        </w:rPr>
      </w:pPr>
      <w:r>
        <w:rPr>
          <w:rFonts w:hint="eastAsia" w:ascii="宋体" w:hAnsi="宋体" w:eastAsia="宋体" w:cs="宋体"/>
          <w:sz w:val="21"/>
        </w:rPr>
        <w:t xml:space="preserve">2.合同的转让</w:t>
      </w:r>
      <w:r/>
    </w:p>
    <w:p>
      <w:pPr>
        <w:pStyle w:val="926"/>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   年   月    日                             签约日期：   年   月    日</w:t>
      </w:r>
      <w:r/>
    </w:p>
    <w:p>
      <w:pPr>
        <w:pStyle w:val="939"/>
        <w:ind w:firstLine="522"/>
        <w:spacing w:line="360" w:lineRule="auto"/>
      </w:pPr>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1"/>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ascii="宋体" w:hAnsi="宋体" w:cs="宋体"/>
        </w:rPr>
        <w:t xml:space="preserve">应）文件一并提交相关书面说明及必要的证明材料的，在评审现场可不再重复提交。</w:t>
      </w:r>
      <w:r/>
    </w:p>
    <w:p>
      <w:pPr>
        <w:ind w:firstLine="420"/>
        <w:spacing w:line="360" w:lineRule="auto"/>
        <w:rPr>
          <w:rFonts w:ascii="宋体" w:hAnsi="宋体"/>
          <w:b/>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39</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39</w:t>
      </w:r>
      <w:r>
        <w:rPr>
          <w:rFonts w:hint="eastAsia" w:ascii="宋体" w:hAnsi="宋体" w:cs="宋体"/>
          <w:szCs w:val="21"/>
          <w:lang w:val="zh-CN"/>
        </w:rPr>
        <w:t xml:space="preserve">分；标 “▲”</w:t>
      </w:r>
      <w:r>
        <w:rPr>
          <w:rFonts w:hint="eastAsia" w:ascii="宋体" w:hAnsi="宋体" w:cs="宋体"/>
          <w:szCs w:val="21"/>
        </w:rPr>
        <w:t xml:space="preserve">为</w:t>
      </w:r>
      <w:r>
        <w:rPr>
          <w:rFonts w:hint="eastAsia" w:ascii="宋体" w:hAnsi="宋体" w:cs="宋体"/>
          <w:szCs w:val="21"/>
          <w:lang w:val="zh-CN"/>
        </w:rPr>
        <w:t xml:space="preserve">重要技术条款，出现一项负偏离扣</w:t>
      </w:r>
      <w:r>
        <w:rPr>
          <w:rFonts w:hint="eastAsia" w:ascii="宋体" w:hAnsi="宋体" w:cs="宋体"/>
          <w:szCs w:val="21"/>
        </w:rPr>
        <w:t xml:space="preserve">3.5</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1.5</w:t>
      </w:r>
      <w:r>
        <w:rPr>
          <w:rFonts w:hint="eastAsia" w:ascii="宋体" w:hAnsi="宋体" w:cs="宋体"/>
          <w:szCs w:val="21"/>
          <w:lang w:val="zh-CN"/>
        </w:rPr>
        <w:t xml:space="preserve">分，本项分值扣至 0 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注：本招标文件技术要求中，所有标注▲的技术参数，投标人均须提供CMA第三方检测报告、制造商公开发行的产品说明书、产品彩页样本任意一项材料作为有效佐证依据（</w:t>
      </w:r>
      <w:r>
        <w:rPr>
          <w:rFonts w:hint="eastAsia" w:ascii="宋体" w:hAnsi="宋体" w:cs="宋体"/>
          <w:szCs w:val="21"/>
        </w:rPr>
        <w:t xml:space="preserve">招标文件另有说明除外</w:t>
      </w:r>
      <w:r>
        <w:rPr>
          <w:rFonts w:hint="eastAsia" w:ascii="宋体" w:hAnsi="宋体" w:cs="宋体"/>
          <w:szCs w:val="21"/>
          <w:lang w:val="zh-CN"/>
        </w:rPr>
        <w:t xml:space="preserve">），无有效佐证材料的视为该项参数未响应。投标人未提供佐证资料，或所提供佐证资料不足以有效证明投标产品满足该参数要求的，评标委员会应当认定该项为负偏离并予以扣分。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28分）</w:t>
      </w:r>
      <w:r/>
    </w:p>
    <w:p>
      <w:pPr>
        <w:ind w:firstLine="420"/>
        <w:spacing w:line="360" w:lineRule="auto"/>
        <w:rPr>
          <w:rFonts w:ascii="宋体" w:hAnsi="宋体"/>
          <w:szCs w:val="21"/>
        </w:rPr>
      </w:pPr>
      <w:r>
        <w:rPr>
          <w:rFonts w:hint="eastAsia" w:ascii="宋体" w:hAnsi="宋体"/>
          <w:szCs w:val="21"/>
        </w:rPr>
        <w:t xml:space="preserve">1、针对本项目的项目实施方案（包括项目团队情况及岗位分工职责、货源组织、交货期工序安排、产品质量控制等）（最高为5分）：项目实施方案内容完整不漏项、有针对性说明、切实可行、能保证项目质量的得5分；方案各项内容阐述片面有缺漏项、针对性说明简单、可行性一般、基本能保证项目质量的得3分；方案各项内容粗略缺漏、缺针对性说明、不能保证项目质量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3、投标单位质保期满后维保收费及内容情况（最高为4分）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针对本项目的应急和重大故障解决方案（包括应急和重大故障预防措施，以及出现问题的响应时间、补救措施等）（最高为5分）：方案考虑详实具体全面周到、应对措施科学合理可行的得5分；方案考虑不够详细合理性可行性一般的得3分；方案考虑不够全面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5、针对本项目使用方人员的技术培训方案（最高为4分）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b/>
          <w:bCs/>
          <w:szCs w:val="21"/>
        </w:rPr>
      </w:pPr>
      <w:r>
        <w:rPr>
          <w:rFonts w:hint="eastAsia"/>
          <w:b/>
          <w:bCs/>
          <w:szCs w:val="21"/>
        </w:rPr>
        <w:t xml:space="preserve">（四）类似产品业绩情况（最高为</w:t>
      </w:r>
      <w:r>
        <w:rPr>
          <w:rFonts w:hint="eastAsia"/>
          <w:b/>
          <w:bCs/>
          <w:szCs w:val="21"/>
        </w:rPr>
        <w:t xml:space="preserve">3</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3年1月1日（以合同签订日期为准）至今，所投品牌同类型产品销售业绩情况，每提供一份业绩合同得1分,最高3分。</w:t>
      </w:r>
      <w:r>
        <w:rPr>
          <w:rFonts w:hint="eastAsia" w:ascii="宋体" w:hAnsi="宋体"/>
          <w:b/>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标号：JSZC-320000-CJZB-G2026-0119号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3"/>
    <w:link w:val="918"/>
    <w:uiPriority w:val="9"/>
    <w:rPr>
      <w:rFonts w:ascii="Arial" w:hAnsi="Arial" w:eastAsia="Arial" w:cs="Arial"/>
      <w:sz w:val="40"/>
      <w:szCs w:val="40"/>
    </w:rPr>
  </w:style>
  <w:style w:type="character" w:styleId="755">
    <w:name w:val="Heading 2 Char"/>
    <w:basedOn w:val="923"/>
    <w:link w:val="919"/>
    <w:uiPriority w:val="9"/>
    <w:rPr>
      <w:rFonts w:ascii="Arial" w:hAnsi="Arial" w:eastAsia="Arial" w:cs="Arial"/>
      <w:sz w:val="34"/>
    </w:rPr>
  </w:style>
  <w:style w:type="character" w:styleId="756">
    <w:name w:val="Heading 3 Char"/>
    <w:basedOn w:val="923"/>
    <w:link w:val="920"/>
    <w:uiPriority w:val="9"/>
    <w:rPr>
      <w:rFonts w:ascii="Arial" w:hAnsi="Arial" w:eastAsia="Arial" w:cs="Arial"/>
      <w:sz w:val="30"/>
      <w:szCs w:val="30"/>
    </w:rPr>
  </w:style>
  <w:style w:type="paragraph" w:styleId="757">
    <w:name w:val="Heading 4"/>
    <w:basedOn w:val="917"/>
    <w:next w:val="917"/>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3"/>
    <w:link w:val="757"/>
    <w:uiPriority w:val="9"/>
    <w:rPr>
      <w:rFonts w:ascii="Arial" w:hAnsi="Arial" w:eastAsia="Arial" w:cs="Arial"/>
      <w:b/>
      <w:bCs/>
      <w:sz w:val="26"/>
      <w:szCs w:val="26"/>
    </w:rPr>
  </w:style>
  <w:style w:type="character" w:styleId="759">
    <w:name w:val="Heading 5 Char"/>
    <w:basedOn w:val="923"/>
    <w:link w:val="921"/>
    <w:uiPriority w:val="9"/>
    <w:rPr>
      <w:rFonts w:ascii="Arial" w:hAnsi="Arial" w:eastAsia="Arial" w:cs="Arial"/>
      <w:b/>
      <w:bCs/>
      <w:sz w:val="24"/>
      <w:szCs w:val="24"/>
    </w:rPr>
  </w:style>
  <w:style w:type="character" w:styleId="760">
    <w:name w:val="Heading 6 Char"/>
    <w:basedOn w:val="923"/>
    <w:link w:val="922"/>
    <w:uiPriority w:val="9"/>
    <w:rPr>
      <w:rFonts w:ascii="Arial" w:hAnsi="Arial" w:eastAsia="Arial" w:cs="Arial"/>
      <w:b/>
      <w:bCs/>
      <w:sz w:val="22"/>
      <w:szCs w:val="22"/>
    </w:rPr>
  </w:style>
  <w:style w:type="paragraph" w:styleId="761">
    <w:name w:val="Heading 7"/>
    <w:basedOn w:val="917"/>
    <w:next w:val="91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3"/>
    <w:link w:val="761"/>
    <w:uiPriority w:val="9"/>
    <w:rPr>
      <w:rFonts w:ascii="Arial" w:hAnsi="Arial" w:eastAsia="Arial" w:cs="Arial"/>
      <w:b/>
      <w:bCs/>
      <w:i/>
      <w:iCs/>
      <w:sz w:val="22"/>
      <w:szCs w:val="22"/>
    </w:rPr>
  </w:style>
  <w:style w:type="paragraph" w:styleId="763">
    <w:name w:val="Heading 8"/>
    <w:basedOn w:val="917"/>
    <w:next w:val="91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3"/>
    <w:link w:val="763"/>
    <w:uiPriority w:val="9"/>
    <w:rPr>
      <w:rFonts w:ascii="Arial" w:hAnsi="Arial" w:eastAsia="Arial" w:cs="Arial"/>
      <w:i/>
      <w:iCs/>
      <w:sz w:val="22"/>
      <w:szCs w:val="22"/>
    </w:rPr>
  </w:style>
  <w:style w:type="paragraph" w:styleId="765">
    <w:name w:val="Heading 9"/>
    <w:basedOn w:val="917"/>
    <w:next w:val="91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3"/>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7"/>
    <w:next w:val="917"/>
    <w:link w:val="769"/>
    <w:uiPriority w:val="10"/>
    <w:qFormat/>
    <w:pPr>
      <w:contextualSpacing/>
      <w:spacing w:before="300" w:after="200"/>
    </w:pPr>
    <w:rPr>
      <w:sz w:val="48"/>
      <w:szCs w:val="48"/>
    </w:rPr>
  </w:style>
  <w:style w:type="character" w:styleId="769">
    <w:name w:val="Title Char"/>
    <w:basedOn w:val="923"/>
    <w:link w:val="768"/>
    <w:uiPriority w:val="10"/>
    <w:rPr>
      <w:sz w:val="48"/>
      <w:szCs w:val="48"/>
    </w:rPr>
  </w:style>
  <w:style w:type="character" w:styleId="770">
    <w:name w:val="Subtitle Char"/>
    <w:basedOn w:val="923"/>
    <w:link w:val="943"/>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40"/>
    <w:uiPriority w:val="99"/>
  </w:style>
  <w:style w:type="character" w:styleId="776">
    <w:name w:val="Footer Char"/>
    <w:basedOn w:val="923"/>
    <w:link w:val="938"/>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3"/>
    <w:basedOn w:val="917"/>
    <w:next w:val="917"/>
    <w:uiPriority w:val="39"/>
    <w:unhideWhenUsed/>
    <w:pPr>
      <w:ind w:left="567"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rPr>
      <w:sz w:val="21"/>
      <w:szCs w:val="24"/>
    </w:rPr>
  </w:style>
  <w:style w:type="paragraph" w:styleId="918">
    <w:name w:val="Heading 1"/>
    <w:basedOn w:val="917"/>
    <w:next w:val="917"/>
    <w:link w:val="963"/>
    <w:qFormat/>
    <w:pPr>
      <w:keepLines/>
      <w:keepNext/>
      <w:spacing w:before="340" w:after="330" w:line="578" w:lineRule="auto"/>
      <w:outlineLvl w:val="0"/>
    </w:pPr>
    <w:rPr>
      <w:b/>
      <w:bCs/>
      <w:sz w:val="44"/>
      <w:szCs w:val="44"/>
    </w:rPr>
  </w:style>
  <w:style w:type="paragraph" w:styleId="919">
    <w:name w:val="Heading 2"/>
    <w:basedOn w:val="917"/>
    <w:next w:val="917"/>
    <w:link w:val="964"/>
    <w:qFormat/>
    <w:pPr>
      <w:numPr>
        <w:ilvl w:val="1"/>
        <w:numId w:val="1"/>
      </w:numPr>
      <w:spacing w:before="156" w:after="156" w:line="360" w:lineRule="auto"/>
      <w:outlineLvl w:val="1"/>
    </w:pPr>
    <w:rPr>
      <w:rFonts w:ascii="Cambria" w:hAnsi="Cambria"/>
      <w:b/>
      <w:bCs/>
      <w:sz w:val="32"/>
      <w:szCs w:val="32"/>
    </w:rPr>
  </w:style>
  <w:style w:type="paragraph" w:styleId="920">
    <w:name w:val="Heading 3"/>
    <w:basedOn w:val="917"/>
    <w:next w:val="926"/>
    <w:link w:val="966"/>
    <w:qFormat/>
    <w:pPr>
      <w:keepLines/>
      <w:keepNext/>
      <w:spacing w:before="260" w:after="260" w:line="416" w:lineRule="auto"/>
      <w:outlineLvl w:val="2"/>
    </w:pPr>
    <w:rPr>
      <w:b/>
      <w:sz w:val="32"/>
      <w:szCs w:val="20"/>
    </w:rPr>
  </w:style>
  <w:style w:type="paragraph" w:styleId="921">
    <w:name w:val="Heading 5"/>
    <w:basedOn w:val="917"/>
    <w:next w:val="917"/>
    <w:link w:val="967"/>
    <w:qFormat/>
    <w:pPr>
      <w:jc w:val="left"/>
      <w:keepLines/>
      <w:keepNext/>
      <w:spacing w:before="280" w:after="290" w:line="376" w:lineRule="auto"/>
      <w:widowControl/>
      <w:outlineLvl w:val="4"/>
    </w:pPr>
    <w:rPr>
      <w:b/>
      <w:bCs/>
      <w:sz w:val="28"/>
      <w:szCs w:val="28"/>
    </w:rPr>
  </w:style>
  <w:style w:type="paragraph" w:styleId="922">
    <w:name w:val="Heading 6"/>
    <w:basedOn w:val="917"/>
    <w:next w:val="917"/>
    <w:link w:val="968"/>
    <w:uiPriority w:val="9"/>
    <w:qFormat/>
    <w:pPr>
      <w:numPr>
        <w:ilvl w:val="5"/>
        <w:numId w:val="1"/>
      </w:numPr>
      <w:keepLines/>
      <w:keepNext/>
      <w:spacing w:before="120" w:after="64" w:line="300" w:lineRule="auto"/>
      <w:outlineLvl w:val="5"/>
    </w:pPr>
    <w:rPr>
      <w:rFonts w:ascii="Arial" w:hAnsi="Arial"/>
      <w:bCs/>
      <w:sz w:val="24"/>
    </w:rPr>
  </w:style>
  <w:style w:type="character" w:styleId="923" w:default="1">
    <w:name w:val="Default Paragraph Font"/>
    <w:uiPriority w:val="1"/>
    <w:semiHidden/>
    <w:unhideWhenUsed/>
  </w:style>
  <w:style w:type="table" w:styleId="924" w:default="1">
    <w:name w:val="Normal Table"/>
    <w:uiPriority w:val="99"/>
    <w:semiHidden/>
    <w:unhideWhenUsed/>
    <w:qFormat/>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Normal Indent"/>
    <w:basedOn w:val="917"/>
    <w:link w:val="965"/>
    <w:qFormat/>
    <w:pPr>
      <w:ind w:firstLine="420"/>
    </w:pPr>
    <w:rPr>
      <w:rFonts w:eastAsia="楷体_GB2312"/>
      <w:sz w:val="24"/>
      <w:szCs w:val="20"/>
    </w:rPr>
  </w:style>
  <w:style w:type="paragraph" w:styleId="927">
    <w:name w:val="table of authorities"/>
    <w:basedOn w:val="917"/>
    <w:next w:val="917"/>
    <w:uiPriority w:val="99"/>
    <w:unhideWhenUsed/>
    <w:qFormat/>
    <w:pPr>
      <w:ind w:left="420"/>
    </w:pPr>
  </w:style>
  <w:style w:type="paragraph" w:styleId="928">
    <w:name w:val="Document Map"/>
    <w:basedOn w:val="917"/>
    <w:next w:val="929"/>
    <w:qFormat/>
    <w:rPr>
      <w:rFonts w:ascii="宋体"/>
      <w:sz w:val="18"/>
      <w:szCs w:val="18"/>
    </w:rPr>
  </w:style>
  <w:style w:type="paragraph" w:styleId="929">
    <w:name w:val="annotation subject"/>
    <w:basedOn w:val="930"/>
    <w:next w:val="917"/>
    <w:link w:val="978"/>
    <w:qFormat/>
  </w:style>
  <w:style w:type="paragraph" w:styleId="930">
    <w:name w:val="annotation text"/>
    <w:basedOn w:val="917"/>
    <w:link w:val="969"/>
    <w:qFormat/>
    <w:pPr>
      <w:jc w:val="left"/>
    </w:pPr>
  </w:style>
  <w:style w:type="paragraph" w:styleId="931">
    <w:name w:val="Body Text"/>
    <w:basedOn w:val="917"/>
    <w:next w:val="917"/>
    <w:link w:val="970"/>
    <w:uiPriority w:val="99"/>
    <w:unhideWhenUsed/>
    <w:qFormat/>
    <w:pPr>
      <w:spacing w:after="120"/>
    </w:pPr>
    <w:rPr>
      <w:sz w:val="20"/>
    </w:rPr>
  </w:style>
  <w:style w:type="paragraph" w:styleId="932">
    <w:name w:val="Body Text Indent"/>
    <w:basedOn w:val="917"/>
    <w:link w:val="962"/>
    <w:qFormat/>
    <w:pPr>
      <w:ind w:firstLine="425"/>
      <w:spacing w:line="360" w:lineRule="auto"/>
    </w:pPr>
    <w:rPr>
      <w:sz w:val="24"/>
    </w:rPr>
  </w:style>
  <w:style w:type="paragraph" w:styleId="933">
    <w:name w:val="Block Text"/>
    <w:basedOn w:val="918"/>
    <w:next w:val="917"/>
    <w:qFormat/>
    <w:pPr>
      <w:ind w:left="630" w:right="-609" w:firstLine="420"/>
      <w:spacing w:line="360" w:lineRule="auto"/>
    </w:pPr>
    <w:rPr>
      <w:rFonts w:hint="eastAsia" w:ascii="仿宋_GB2312" w:eastAsia="仿宋_GB2312"/>
      <w:szCs w:val="20"/>
    </w:rPr>
  </w:style>
  <w:style w:type="paragraph" w:styleId="934">
    <w:name w:val="Plain Text"/>
    <w:basedOn w:val="917"/>
    <w:link w:val="971"/>
    <w:qFormat/>
    <w:rPr>
      <w:rFonts w:ascii="宋体" w:hAnsi="Courier New" w:eastAsia="楷体_GB2312"/>
      <w:sz w:val="26"/>
    </w:rPr>
  </w:style>
  <w:style w:type="paragraph" w:styleId="935">
    <w:name w:val="Date"/>
    <w:basedOn w:val="917"/>
    <w:next w:val="917"/>
    <w:link w:val="972"/>
    <w:qFormat/>
    <w:rPr>
      <w:b/>
      <w:bCs/>
      <w:spacing w:val="20"/>
      <w:sz w:val="20"/>
    </w:rPr>
  </w:style>
  <w:style w:type="paragraph" w:styleId="936">
    <w:name w:val="Body Text Indent 2"/>
    <w:basedOn w:val="917"/>
    <w:qFormat/>
    <w:pPr>
      <w:ind w:firstLine="540"/>
      <w:spacing w:line="360" w:lineRule="auto"/>
    </w:pPr>
    <w:rPr>
      <w:rFonts w:ascii="宋体" w:hAnsi="宋体"/>
      <w:sz w:val="24"/>
    </w:rPr>
  </w:style>
  <w:style w:type="paragraph" w:styleId="937">
    <w:name w:val="Balloon Text"/>
    <w:basedOn w:val="917"/>
    <w:link w:val="973"/>
    <w:qFormat/>
    <w:rPr>
      <w:sz w:val="18"/>
      <w:szCs w:val="18"/>
    </w:rPr>
  </w:style>
  <w:style w:type="paragraph" w:styleId="938">
    <w:name w:val="Footer"/>
    <w:basedOn w:val="917"/>
    <w:link w:val="974"/>
    <w:uiPriority w:val="99"/>
    <w:qFormat/>
    <w:pPr>
      <w:jc w:val="left"/>
      <w:tabs>
        <w:tab w:val="center" w:pos="4153" w:leader="none"/>
        <w:tab w:val="right" w:pos="8306" w:leader="none"/>
      </w:tabs>
    </w:pPr>
    <w:rPr>
      <w:sz w:val="18"/>
      <w:szCs w:val="18"/>
    </w:rPr>
  </w:style>
  <w:style w:type="paragraph" w:styleId="939">
    <w:name w:val="envelope return"/>
    <w:basedOn w:val="917"/>
    <w:qFormat/>
    <w:rPr>
      <w:rFonts w:ascii="Arial" w:hAnsi="Arial" w:eastAsia="楷体_GB2312"/>
      <w:sz w:val="26"/>
    </w:rPr>
  </w:style>
  <w:style w:type="paragraph" w:styleId="940">
    <w:name w:val="Header"/>
    <w:basedOn w:val="917"/>
    <w:link w:val="975"/>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7"/>
    <w:next w:val="917"/>
    <w:qFormat/>
    <w:pPr>
      <w:jc w:val="left"/>
    </w:pPr>
    <w:rPr>
      <w:rFonts w:eastAsia="楷体_GB2312"/>
      <w:sz w:val="24"/>
      <w:szCs w:val="20"/>
    </w:rPr>
  </w:style>
  <w:style w:type="paragraph" w:styleId="942">
    <w:name w:val="toc 4"/>
    <w:basedOn w:val="917"/>
    <w:next w:val="917"/>
    <w:qFormat/>
    <w:pPr>
      <w:ind w:left="1260"/>
    </w:pPr>
  </w:style>
  <w:style w:type="paragraph" w:styleId="943">
    <w:name w:val="Subtitle"/>
    <w:basedOn w:val="917"/>
    <w:next w:val="917"/>
    <w:link w:val="976"/>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8"/>
    <w:next w:val="933"/>
    <w:qFormat/>
    <w:pPr>
      <w:ind w:firstLine="3584"/>
      <w:spacing w:before="0" w:after="0" w:line="360" w:lineRule="auto"/>
    </w:pPr>
  </w:style>
  <w:style w:type="paragraph" w:styleId="945">
    <w:name w:val="Body Text Indent 3"/>
    <w:basedOn w:val="917"/>
    <w:link w:val="977"/>
    <w:qFormat/>
    <w:pPr>
      <w:ind w:firstLine="480"/>
      <w:jc w:val="left"/>
      <w:spacing w:line="440" w:lineRule="atLeast"/>
    </w:pPr>
    <w:rPr>
      <w:sz w:val="24"/>
    </w:rPr>
  </w:style>
  <w:style w:type="paragraph" w:styleId="946">
    <w:name w:val="toc 2"/>
    <w:basedOn w:val="917"/>
    <w:next w:val="917"/>
    <w:uiPriority w:val="39"/>
    <w:unhideWhenUsed/>
    <w:qFormat/>
    <w:pPr>
      <w:ind w:left="420"/>
    </w:pPr>
    <w:rPr>
      <w:sz w:val="28"/>
    </w:rPr>
  </w:style>
  <w:style w:type="paragraph" w:styleId="947">
    <w:name w:val="Normal (Web)"/>
    <w:basedOn w:val="917"/>
    <w:uiPriority w:val="99"/>
    <w:qFormat/>
    <w:pPr>
      <w:jc w:val="left"/>
      <w:spacing w:beforeAutospacing="1" w:afterAutospacing="1"/>
    </w:pPr>
    <w:rPr>
      <w:sz w:val="24"/>
    </w:rPr>
  </w:style>
  <w:style w:type="paragraph" w:styleId="948">
    <w:name w:val="Body Text First Indent"/>
    <w:basedOn w:val="931"/>
    <w:next w:val="917"/>
    <w:qFormat/>
    <w:pPr>
      <w:ind w:firstLine="420"/>
    </w:pPr>
  </w:style>
  <w:style w:type="paragraph" w:styleId="949">
    <w:name w:val="Body Text First Indent 2"/>
    <w:basedOn w:val="932"/>
    <w:qFormat/>
    <w:pPr>
      <w:ind w:left="420" w:firstLine="210"/>
      <w:spacing w:after="120" w:line="240" w:lineRule="auto"/>
    </w:pPr>
    <w:rPr>
      <w:rFonts w:eastAsia="仿宋_GB2312"/>
      <w:sz w:val="30"/>
    </w:rPr>
  </w:style>
  <w:style w:type="table" w:styleId="950">
    <w:name w:val="Table Grid"/>
    <w:basedOn w:val="9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qFormat/>
    <w:rPr>
      <w:rFonts w:ascii="Calibri" w:hAnsi="Calibri" w:eastAsia="宋体" w:cs="Times New Roman"/>
      <w:b/>
    </w:rPr>
  </w:style>
  <w:style w:type="character" w:styleId="952">
    <w:name w:val="FollowedHyperlink"/>
    <w:qFormat/>
    <w:rPr>
      <w:color w:val="337ab7"/>
      <w:u w:val="none"/>
    </w:rPr>
  </w:style>
  <w:style w:type="character" w:styleId="953">
    <w:name w:val="Emphasis"/>
    <w:qFormat/>
    <w:rPr>
      <w:i/>
    </w:rPr>
  </w:style>
  <w:style w:type="character" w:styleId="954">
    <w:name w:val="HTML Definition"/>
    <w:qFormat/>
    <w:rPr>
      <w:i/>
    </w:rPr>
  </w:style>
  <w:style w:type="character" w:styleId="955">
    <w:name w:val="Hyperlink"/>
    <w:qFormat/>
    <w:rPr>
      <w:color w:val="337ab7"/>
      <w:u w:val="none"/>
    </w:rPr>
  </w:style>
  <w:style w:type="character" w:styleId="956">
    <w:name w:val="HTML Code"/>
    <w:qFormat/>
    <w:rPr>
      <w:rFonts w:hint="default" w:ascii="Consolas" w:hAnsi="Consolas" w:eastAsia="Consolas" w:cs="Consolas"/>
      <w:color w:val="c7254e"/>
      <w:sz w:val="21"/>
      <w:szCs w:val="21"/>
      <w:shd w:val="clear" w:color="auto" w:fill="f9f2f4"/>
    </w:rPr>
  </w:style>
  <w:style w:type="character" w:styleId="957">
    <w:name w:val="annotation reference"/>
    <w:qFormat/>
    <w:rPr>
      <w:rFonts w:ascii="Calibri" w:hAnsi="Calibri" w:eastAsia="宋体" w:cs="Times New Roman"/>
      <w:sz w:val="21"/>
      <w:szCs w:val="21"/>
    </w:rPr>
  </w:style>
  <w:style w:type="character" w:styleId="958">
    <w:name w:val="HTML Keyboard"/>
    <w:qFormat/>
    <w:rPr>
      <w:rFonts w:ascii="Consolas" w:hAnsi="Consolas" w:eastAsia="Consolas" w:cs="Consolas"/>
      <w:color w:val="ffffff"/>
      <w:sz w:val="21"/>
      <w:szCs w:val="21"/>
      <w:shd w:val="clear" w:color="auto" w:fill="333333"/>
    </w:rPr>
  </w:style>
  <w:style w:type="character" w:styleId="959">
    <w:name w:val="HTML Sample"/>
    <w:qFormat/>
    <w:rPr>
      <w:rFonts w:hint="default" w:ascii="Consolas" w:hAnsi="Consolas" w:eastAsia="Consolas" w:cs="Consolas"/>
      <w:sz w:val="21"/>
      <w:szCs w:val="21"/>
    </w:rPr>
  </w:style>
  <w:style w:type="paragraph" w:styleId="960" w:customStyle="1">
    <w:name w:val="段"/>
    <w:next w:val="917"/>
    <w:qFormat/>
    <w:pPr>
      <w:ind w:firstLine="420"/>
      <w:jc w:val="both"/>
      <w:tabs>
        <w:tab w:val="center" w:pos="4201" w:leader="none"/>
        <w:tab w:val="right" w:pos="9298" w:leader="dot"/>
      </w:tabs>
    </w:pPr>
    <w:rPr>
      <w:rFonts w:ascii="宋体" w:eastAsia="Times New Roman"/>
    </w:rPr>
  </w:style>
  <w:style w:type="paragraph" w:styleId="961" w:customStyle="1">
    <w:name w:val="首行缩进"/>
    <w:basedOn w:val="917"/>
    <w:uiPriority w:val="99"/>
    <w:qFormat/>
    <w:pPr>
      <w:ind w:firstLine="480"/>
    </w:pPr>
    <w:rPr>
      <w:szCs w:val="20"/>
      <w:lang w:val="zh-CN"/>
    </w:rPr>
  </w:style>
  <w:style w:type="character" w:styleId="962" w:customStyle="1">
    <w:name w:val="正文文本缩进 Char"/>
    <w:basedOn w:val="923"/>
    <w:link w:val="932"/>
    <w:qFormat/>
    <w:rPr>
      <w:rFonts w:ascii="Times New Roman" w:hAnsi="Times New Roman" w:eastAsia="宋体" w:cs="Times New Roman"/>
      <w:sz w:val="24"/>
      <w:szCs w:val="24"/>
    </w:rPr>
  </w:style>
  <w:style w:type="character" w:styleId="963" w:customStyle="1">
    <w:name w:val="标题 1 Char"/>
    <w:basedOn w:val="923"/>
    <w:link w:val="918"/>
    <w:qFormat/>
    <w:rPr>
      <w:rFonts w:ascii="Times New Roman" w:hAnsi="Times New Roman" w:eastAsia="宋体" w:cs="Times New Roman"/>
      <w:b/>
      <w:bCs/>
      <w:sz w:val="44"/>
      <w:szCs w:val="44"/>
    </w:rPr>
  </w:style>
  <w:style w:type="character" w:styleId="964" w:customStyle="1">
    <w:name w:val="标题 2 Char"/>
    <w:basedOn w:val="923"/>
    <w:link w:val="919"/>
    <w:qFormat/>
    <w:rPr>
      <w:rFonts w:ascii="Cambria" w:hAnsi="Cambria" w:eastAsia="宋体" w:cs="Times New Roman"/>
      <w:b/>
      <w:bCs/>
      <w:sz w:val="32"/>
      <w:szCs w:val="32"/>
    </w:rPr>
  </w:style>
  <w:style w:type="character" w:styleId="965" w:customStyle="1">
    <w:name w:val="正文缩进 Char"/>
    <w:link w:val="926"/>
    <w:qFormat/>
    <w:rPr>
      <w:rFonts w:ascii="Times New Roman" w:hAnsi="Times New Roman" w:eastAsia="楷体_GB2312" w:cs="Times New Roman"/>
      <w:sz w:val="24"/>
      <w:szCs w:val="20"/>
    </w:rPr>
  </w:style>
  <w:style w:type="character" w:styleId="966" w:customStyle="1">
    <w:name w:val="标题 3 Char"/>
    <w:basedOn w:val="923"/>
    <w:link w:val="920"/>
    <w:qFormat/>
    <w:rPr>
      <w:rFonts w:ascii="Times New Roman" w:hAnsi="Times New Roman" w:eastAsia="宋体" w:cs="Times New Roman"/>
      <w:b/>
      <w:sz w:val="32"/>
      <w:szCs w:val="20"/>
    </w:rPr>
  </w:style>
  <w:style w:type="character" w:styleId="967" w:customStyle="1">
    <w:name w:val="标题 5 Char"/>
    <w:basedOn w:val="923"/>
    <w:link w:val="921"/>
    <w:qFormat/>
    <w:rPr>
      <w:rFonts w:ascii="Times New Roman" w:hAnsi="Times New Roman" w:eastAsia="宋体" w:cs="Times New Roman"/>
      <w:b/>
      <w:bCs/>
      <w:sz w:val="28"/>
      <w:szCs w:val="28"/>
    </w:rPr>
  </w:style>
  <w:style w:type="character" w:styleId="968" w:customStyle="1">
    <w:name w:val="标题 6 Char"/>
    <w:basedOn w:val="923"/>
    <w:link w:val="922"/>
    <w:uiPriority w:val="9"/>
    <w:qFormat/>
    <w:rPr>
      <w:rFonts w:ascii="Arial" w:hAnsi="Arial" w:eastAsia="宋体" w:cs="Times New Roman"/>
      <w:bCs/>
      <w:sz w:val="24"/>
      <w:szCs w:val="24"/>
    </w:rPr>
  </w:style>
  <w:style w:type="character" w:styleId="969" w:customStyle="1">
    <w:name w:val="批注文字 Char"/>
    <w:basedOn w:val="923"/>
    <w:link w:val="930"/>
    <w:qFormat/>
    <w:rPr>
      <w:rFonts w:ascii="Times New Roman" w:hAnsi="Times New Roman" w:eastAsia="宋体" w:cs="Times New Roman"/>
      <w:szCs w:val="24"/>
    </w:rPr>
  </w:style>
  <w:style w:type="character" w:styleId="970" w:customStyle="1">
    <w:name w:val="正文文本 Char1"/>
    <w:basedOn w:val="923"/>
    <w:link w:val="931"/>
    <w:uiPriority w:val="99"/>
    <w:qFormat/>
    <w:rPr>
      <w:rFonts w:ascii="Times New Roman" w:hAnsi="Times New Roman" w:eastAsia="宋体" w:cs="Times New Roman"/>
      <w:sz w:val="20"/>
      <w:szCs w:val="24"/>
    </w:rPr>
  </w:style>
  <w:style w:type="character" w:styleId="971" w:customStyle="1">
    <w:name w:val="纯文本 Char1"/>
    <w:basedOn w:val="923"/>
    <w:link w:val="934"/>
    <w:qFormat/>
    <w:rPr>
      <w:rFonts w:ascii="宋体" w:hAnsi="Courier New" w:eastAsia="楷体_GB2312" w:cs="Times New Roman"/>
      <w:sz w:val="26"/>
      <w:szCs w:val="24"/>
    </w:rPr>
  </w:style>
  <w:style w:type="character" w:styleId="972" w:customStyle="1">
    <w:name w:val="日期 Char"/>
    <w:basedOn w:val="923"/>
    <w:link w:val="935"/>
    <w:qFormat/>
    <w:rPr>
      <w:rFonts w:ascii="Times New Roman" w:hAnsi="Times New Roman" w:eastAsia="宋体" w:cs="Times New Roman"/>
      <w:b/>
      <w:bCs/>
      <w:spacing w:val="20"/>
      <w:sz w:val="20"/>
      <w:szCs w:val="24"/>
    </w:rPr>
  </w:style>
  <w:style w:type="character" w:styleId="973" w:customStyle="1">
    <w:name w:val="批注框文本 Char"/>
    <w:basedOn w:val="923"/>
    <w:link w:val="937"/>
    <w:qFormat/>
    <w:rPr>
      <w:rFonts w:ascii="Times New Roman" w:hAnsi="Times New Roman" w:eastAsia="宋体" w:cs="Times New Roman"/>
      <w:sz w:val="18"/>
      <w:szCs w:val="18"/>
    </w:rPr>
  </w:style>
  <w:style w:type="character" w:styleId="974" w:customStyle="1">
    <w:name w:val="页脚 Char"/>
    <w:basedOn w:val="923"/>
    <w:link w:val="938"/>
    <w:uiPriority w:val="99"/>
    <w:qFormat/>
    <w:rPr>
      <w:rFonts w:ascii="Times New Roman" w:hAnsi="Times New Roman" w:eastAsia="宋体" w:cs="Times New Roman"/>
      <w:sz w:val="18"/>
      <w:szCs w:val="18"/>
    </w:rPr>
  </w:style>
  <w:style w:type="character" w:styleId="975" w:customStyle="1">
    <w:name w:val="页眉 Char"/>
    <w:basedOn w:val="923"/>
    <w:link w:val="940"/>
    <w:qFormat/>
    <w:rPr>
      <w:rFonts w:ascii="Times New Roman" w:hAnsi="Times New Roman" w:eastAsia="宋体" w:cs="Times New Roman"/>
      <w:sz w:val="18"/>
      <w:szCs w:val="18"/>
    </w:rPr>
  </w:style>
  <w:style w:type="character" w:styleId="976" w:customStyle="1">
    <w:name w:val="副标题 Char"/>
    <w:basedOn w:val="923"/>
    <w:link w:val="943"/>
    <w:qFormat/>
    <w:rPr>
      <w:rFonts w:ascii="宋体" w:hAnsi="Courier New" w:eastAsia="楷体_GB2312" w:cs="Times New Roman"/>
      <w:sz w:val="26"/>
      <w:szCs w:val="20"/>
    </w:rPr>
  </w:style>
  <w:style w:type="character" w:styleId="977" w:customStyle="1">
    <w:name w:val="正文文本缩进 3 Char"/>
    <w:basedOn w:val="923"/>
    <w:link w:val="945"/>
    <w:qFormat/>
    <w:rPr>
      <w:rFonts w:ascii="Times New Roman" w:hAnsi="Times New Roman" w:eastAsia="宋体" w:cs="Times New Roman"/>
      <w:sz w:val="24"/>
      <w:szCs w:val="24"/>
    </w:rPr>
  </w:style>
  <w:style w:type="character" w:styleId="978" w:customStyle="1">
    <w:name w:val="批注主题 Char"/>
    <w:basedOn w:val="969"/>
    <w:link w:val="929"/>
    <w:qFormat/>
    <w:rPr>
      <w:rFonts w:ascii="Times New Roman" w:hAnsi="Times New Roman" w:eastAsia="宋体" w:cs="Times New Roman"/>
      <w:b/>
      <w:bCs/>
      <w:szCs w:val="24"/>
    </w:rPr>
  </w:style>
  <w:style w:type="character" w:styleId="979" w:customStyle="1">
    <w:name w:val="hover14"/>
    <w:qFormat/>
    <w:rPr>
      <w:shd w:val="clear" w:color="auto" w:fill="eeeeee"/>
    </w:rPr>
  </w:style>
  <w:style w:type="character" w:styleId="980" w:customStyle="1">
    <w:name w:val="hour_pm"/>
    <w:qFormat/>
  </w:style>
  <w:style w:type="character" w:styleId="981" w:customStyle="1">
    <w:name w:val="first-child"/>
    <w:qFormat/>
  </w:style>
  <w:style w:type="character" w:styleId="982" w:customStyle="1">
    <w:name w:val="正文文本 Char"/>
    <w:uiPriority w:val="99"/>
    <w:qFormat/>
    <w:rPr>
      <w:rFonts w:ascii="Calibri" w:hAnsi="Calibri" w:eastAsia="宋体" w:cs="Times New Roman"/>
      <w:szCs w:val="24"/>
    </w:rPr>
  </w:style>
  <w:style w:type="character" w:styleId="983" w:customStyle="1">
    <w:name w:val="font81"/>
    <w:qFormat/>
    <w:rPr>
      <w:rFonts w:hint="eastAsia" w:ascii="宋体" w:hAnsi="宋体" w:eastAsia="宋体" w:cs="宋体"/>
      <w:b/>
      <w:color w:val="000000"/>
      <w:sz w:val="22"/>
      <w:szCs w:val="22"/>
      <w:u w:val="none"/>
    </w:rPr>
  </w:style>
  <w:style w:type="character" w:styleId="984" w:customStyle="1">
    <w:name w:val="日期 Char1"/>
    <w:qFormat/>
    <w:rPr>
      <w:rFonts w:ascii="Calibri" w:hAnsi="Calibri" w:eastAsia="宋体" w:cs="Times New Roman"/>
      <w:szCs w:val="24"/>
    </w:rPr>
  </w:style>
  <w:style w:type="character" w:styleId="985" w:customStyle="1">
    <w:name w:val="hover13"/>
    <w:qFormat/>
    <w:rPr>
      <w:shd w:val="clear" w:color="auto" w:fill="eeeeee"/>
    </w:rPr>
  </w:style>
  <w:style w:type="character" w:styleId="986" w:customStyle="1">
    <w:name w:val="font71"/>
    <w:qFormat/>
    <w:rPr>
      <w:rFonts w:hint="eastAsia" w:ascii="宋体" w:hAnsi="宋体" w:eastAsia="宋体" w:cs="宋体"/>
      <w:b/>
      <w:color w:val="000000"/>
      <w:sz w:val="22"/>
      <w:szCs w:val="22"/>
      <w:u w:val="none"/>
      <w:vertAlign w:val="superscript"/>
    </w:rPr>
  </w:style>
  <w:style w:type="character" w:styleId="987" w:customStyle="1">
    <w:name w:val="纯文本 Char"/>
    <w:qFormat/>
    <w:rPr>
      <w:rFonts w:ascii="宋体" w:hAnsi="Courier New" w:eastAsia="宋体" w:cs="Courier New"/>
      <w:szCs w:val="21"/>
    </w:rPr>
  </w:style>
  <w:style w:type="character" w:styleId="988" w:customStyle="1">
    <w:name w:val="select2-selection__rendered"/>
    <w:qFormat/>
    <w:rPr>
      <w:sz w:val="18"/>
      <w:szCs w:val="18"/>
    </w:rPr>
  </w:style>
  <w:style w:type="character" w:styleId="989" w:customStyle="1">
    <w:name w:val="first-child1"/>
    <w:qFormat/>
  </w:style>
  <w:style w:type="character" w:styleId="990" w:customStyle="1">
    <w:name w:val="old"/>
    <w:qFormat/>
    <w:rPr>
      <w:color w:val="999999"/>
    </w:rPr>
  </w:style>
  <w:style w:type="character" w:styleId="991" w:customStyle="1">
    <w:name w:val="time"/>
    <w:qFormat/>
    <w:rPr>
      <w:rFonts w:ascii="Arial" w:hAnsi="Arial" w:cs="Arial"/>
    </w:rPr>
  </w:style>
  <w:style w:type="character" w:styleId="992" w:customStyle="1">
    <w:name w:val="Plain Text Char"/>
    <w:link w:val="993"/>
    <w:qFormat/>
    <w:rPr>
      <w:rFonts w:ascii="宋体" w:hAnsi="Courier New" w:eastAsia="楷体_GB2312" w:cs="Times New Roman"/>
      <w:sz w:val="26"/>
    </w:rPr>
  </w:style>
  <w:style w:type="paragraph" w:styleId="993" w:customStyle="1">
    <w:name w:val="纯文本3"/>
    <w:basedOn w:val="917"/>
    <w:link w:val="992"/>
    <w:qFormat/>
    <w:rPr>
      <w:rFonts w:ascii="宋体" w:hAnsi="Courier New" w:eastAsia="楷体_GB2312"/>
      <w:sz w:val="26"/>
      <w:szCs w:val="22"/>
    </w:rPr>
  </w:style>
  <w:style w:type="character" w:styleId="994" w:customStyle="1">
    <w:name w:val="hour_am"/>
    <w:qFormat/>
  </w:style>
  <w:style w:type="character" w:styleId="995" w:customStyle="1">
    <w:name w:val="NormalCharacter"/>
    <w:semiHidden/>
    <w:qFormat/>
    <w:rPr>
      <w:rFonts w:ascii="Times New Roman" w:hAnsi="Times New Roman" w:eastAsia="宋体" w:cs="Times New Roman"/>
    </w:rPr>
  </w:style>
  <w:style w:type="paragraph" w:styleId="996" w:customStyle="1">
    <w:name w:val="纯文本2"/>
    <w:basedOn w:val="917"/>
    <w:qFormat/>
    <w:rPr>
      <w:rFonts w:ascii="宋体" w:hAnsi="Courier New"/>
    </w:rPr>
  </w:style>
  <w:style w:type="paragraph" w:styleId="997" w:customStyle="1">
    <w:name w:val="文本正文"/>
    <w:basedOn w:val="917"/>
    <w:qFormat/>
    <w:pPr>
      <w:ind w:firstLine="560"/>
      <w:jc w:val="left"/>
      <w:spacing w:line="360" w:lineRule="auto"/>
    </w:pPr>
    <w:rPr>
      <w:sz w:val="28"/>
      <w:szCs w:val="28"/>
    </w:rPr>
  </w:style>
  <w:style w:type="paragraph" w:styleId="998" w:customStyle="1">
    <w:name w:val="Plain Text1"/>
    <w:basedOn w:val="917"/>
    <w:qFormat/>
    <w:pPr>
      <w:jc w:val="left"/>
      <w:widowControl/>
    </w:pPr>
    <w:rPr>
      <w:rFonts w:ascii="宋体" w:hAnsi="Courier New" w:eastAsia="楷体_GB2312"/>
      <w:sz w:val="26"/>
      <w:szCs w:val="20"/>
    </w:rPr>
  </w:style>
  <w:style w:type="paragraph" w:styleId="999" w:customStyle="1">
    <w:name w:val="纯文本4"/>
    <w:basedOn w:val="917"/>
    <w:qFormat/>
    <w:rPr>
      <w:rFonts w:ascii="宋体" w:hAnsi="Courier New" w:eastAsia="楷体_GB2312"/>
      <w:sz w:val="26"/>
      <w:szCs w:val="20"/>
    </w:rPr>
  </w:style>
  <w:style w:type="paragraph" w:styleId="1000" w:customStyle="1">
    <w:name w:val="Default"/>
    <w:qFormat/>
    <w:pPr>
      <w:widowControl w:val="off"/>
    </w:pPr>
    <w:rPr>
      <w:rFonts w:ascii="宋体"/>
      <w:color w:val="000000"/>
      <w:sz w:val="24"/>
      <w:szCs w:val="24"/>
    </w:rPr>
  </w:style>
  <w:style w:type="paragraph" w:styleId="1001">
    <w:name w:val="List Paragraph"/>
    <w:basedOn w:val="917"/>
    <w:uiPriority w:val="99"/>
    <w:qFormat/>
    <w:pPr>
      <w:ind w:firstLine="420"/>
    </w:pPr>
  </w:style>
  <w:style w:type="paragraph" w:styleId="1002" w:customStyle="1">
    <w:name w:val="纯文本1"/>
    <w:basedOn w:val="917"/>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7"/>
    <w:qFormat/>
    <w:rPr>
      <w:rFonts w:ascii="宋体" w:hAnsi="Courier New" w:eastAsia="楷体_GB2312"/>
      <w:sz w:val="26"/>
      <w:szCs w:val="20"/>
    </w:rPr>
  </w:style>
  <w:style w:type="paragraph" w:styleId="1005" w:customStyle="1">
    <w:name w:val="纯文本6"/>
    <w:basedOn w:val="917"/>
    <w:qFormat/>
    <w:rPr>
      <w:rFonts w:ascii="宋体" w:hAnsi="Courier New" w:eastAsia="楷体_GB2312"/>
      <w:sz w:val="26"/>
      <w:szCs w:val="20"/>
    </w:rPr>
  </w:style>
  <w:style w:type="character" w:styleId="1006" w:customStyle="1">
    <w:name w:val="font21"/>
    <w:basedOn w:val="923"/>
    <w:qFormat/>
    <w:rPr>
      <w:rFonts w:hint="eastAsia" w:ascii="宋体" w:hAnsi="宋体" w:eastAsia="宋体" w:cs="宋体"/>
      <w:color w:val="000000"/>
      <w:sz w:val="22"/>
      <w:szCs w:val="22"/>
      <w:u w:val="none"/>
    </w:rPr>
  </w:style>
  <w:style w:type="paragraph" w:styleId="1007" w:customStyle="1">
    <w:name w:val="正文1"/>
    <w:basedOn w:val="917"/>
    <w:qFormat/>
    <w:rPr>
      <w:rFonts w:ascii="宋体" w:hAnsi="宋体" w:cs="宋体"/>
      <w:sz w:val="24"/>
      <w:szCs w:val="20"/>
      <w:lang w:eastAsia="en-US"/>
    </w:rPr>
  </w:style>
  <w:style w:type="paragraph" w:styleId="1008" w:customStyle="1">
    <w:name w:val="Table Paragraph"/>
    <w:basedOn w:val="917"/>
    <w:uiPriority w:val="1"/>
    <w:qFormat/>
    <w:rPr>
      <w:rFonts w:ascii="宋体" w:hAnsi="宋体" w:cs="宋体"/>
      <w:lang w:val="zh-CN" w:bidi="zh-CN"/>
    </w:rPr>
  </w:style>
  <w:style w:type="paragraph" w:styleId="1009" w:customStyle="1">
    <w:name w:val="Andy_3级"/>
    <w:basedOn w:val="917"/>
    <w:qFormat/>
    <w:pPr>
      <w:ind w:firstLine="510"/>
      <w:spacing w:line="360" w:lineRule="auto"/>
    </w:pPr>
    <w:rPr>
      <w:rFonts w:ascii="Calibri" w:hAnsi="Calibri"/>
      <w:sz w:val="24"/>
    </w:rPr>
  </w:style>
  <w:style w:type="character" w:styleId="1010" w:customStyle="1">
    <w:name w:val="font51"/>
    <w:basedOn w:val="923"/>
    <w:qFormat/>
    <w:rPr>
      <w:rFonts w:hint="eastAsia" w:ascii="宋体" w:hAnsi="宋体" w:eastAsia="宋体" w:cs="宋体"/>
      <w:color w:val="000000"/>
      <w:sz w:val="22"/>
      <w:szCs w:val="22"/>
      <w:u w:val="none"/>
    </w:rPr>
  </w:style>
  <w:style w:type="character" w:styleId="1011" w:customStyle="1">
    <w:name w:val="font31"/>
    <w:basedOn w:val="923"/>
    <w:qFormat/>
    <w:rPr>
      <w:rFonts w:hint="default" w:ascii="Times New Roman" w:hAnsi="Times New Roman" w:cs="Times New Roman"/>
      <w:color w:val="000000"/>
      <w:sz w:val="22"/>
      <w:szCs w:val="22"/>
      <w:u w:val="none"/>
    </w:rPr>
  </w:style>
  <w:style w:type="character" w:styleId="1012" w:customStyle="1">
    <w:name w:val="font11"/>
    <w:basedOn w:val="923"/>
    <w:qFormat/>
    <w:rPr>
      <w:rFonts w:hint="eastAsia" w:ascii="宋体" w:hAnsi="宋体" w:eastAsia="宋体" w:cs="宋体"/>
      <w:color w:val="000000"/>
      <w:sz w:val="22"/>
      <w:szCs w:val="22"/>
      <w:u w:val="none"/>
    </w:rPr>
  </w:style>
  <w:style w:type="paragraph" w:styleId="1013" w:customStyle="1">
    <w:name w:val="文档结构图1"/>
    <w:basedOn w:val="917"/>
    <w:uiPriority w:val="99"/>
    <w:qFormat/>
    <w:pPr>
      <w:shd w:val="clear" w:color="auto" w:fill="000080"/>
    </w:pPr>
  </w:style>
  <w:style w:type="paragraph" w:styleId="1014" w:customStyle="1">
    <w:name w:val="纯文本7"/>
    <w:basedOn w:val="917"/>
    <w:qFormat/>
    <w:rPr>
      <w:rFonts w:ascii="宋体" w:hAnsi="Courier New" w:eastAsia="楷体_GB2312"/>
      <w:sz w:val="26"/>
      <w:szCs w:val="20"/>
    </w:rPr>
  </w:style>
  <w:style w:type="paragraph" w:styleId="1015" w:customStyle="1">
    <w:name w:val="表"/>
    <w:basedOn w:val="917"/>
    <w:qFormat/>
    <w:pPr>
      <w:jc w:val="center"/>
    </w:pPr>
    <w:rPr>
      <w:rFonts w:ascii="Calibri" w:hAnsi="Calibri"/>
      <w:sz w:val="22"/>
    </w:rPr>
  </w:style>
  <w:style w:type="paragraph" w:styleId="1016" w:customStyle="1">
    <w:name w:val="列表段落1"/>
    <w:basedOn w:val="917"/>
    <w:uiPriority w:val="34"/>
    <w:qFormat/>
    <w:pPr>
      <w:ind w:firstLine="420"/>
    </w:pPr>
    <w:rPr>
      <w:rFonts w:ascii="等线" w:hAnsi="等线" w:eastAsia="等线"/>
    </w:rPr>
  </w:style>
  <w:style w:type="paragraph" w:styleId="1017" w:customStyle="1">
    <w:name w:val="List Paragraph1"/>
    <w:basedOn w:val="917"/>
    <w:qFormat/>
    <w:pPr>
      <w:ind w:firstLine="420"/>
    </w:pPr>
  </w:style>
  <w:style w:type="paragraph" w:styleId="1018" w:customStyle="1">
    <w:name w:val="Table Text"/>
    <w:basedOn w:val="917"/>
    <w:semiHidden/>
    <w:qFormat/>
    <w:rPr>
      <w:rFonts w:ascii="宋体" w:hAnsi="宋体" w:cs="宋体"/>
      <w:szCs w:val="21"/>
      <w:lang w:eastAsia="en-US"/>
    </w:rPr>
  </w:style>
  <w:style w:type="table" w:styleId="1019"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5"/>
    <customShpInfo spid="_x0000_s2054"/>
    <customShpInfo spid="_x0000_s2053"/>
    <customShpInfo spid="_x0000_s2052"/>
    <customShpInfo spid="_x0000_s2051"/>
    <customShpInfo spid="_x0000_s2050"/>
    <customShpInfo spid="_x0000_s2061"/>
    <customShpInfo spid="_x0000_s2060"/>
    <customShpInfo spid="_x0000_s2059"/>
    <customShpInfo spid="_x0000_s2058"/>
    <customShpInfo spid="_x0000_s2057"/>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35</cp:revision>
  <dcterms:created xsi:type="dcterms:W3CDTF">2024-05-06T08:40:00Z</dcterms:created>
  <dcterms:modified xsi:type="dcterms:W3CDTF">2026-10-23T01:30:20Z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