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847491">
      <w:pPr>
        <w:pStyle w:val="30"/>
        <w:spacing w:before="120" w:beforeAutospacing="0" w:after="120" w:afterAutospacing="0" w:line="360" w:lineRule="auto"/>
        <w:rPr>
          <w:color w:val="auto"/>
          <w:highlight w:val="none"/>
        </w:rPr>
      </w:pPr>
      <w:r>
        <w:rPr>
          <w:color w:val="auto"/>
          <w:highlight w:val="none"/>
        </w:rPr>
        <w:t> </w:t>
      </w:r>
    </w:p>
    <w:p w14:paraId="4A6ED62A">
      <w:pPr>
        <w:pStyle w:val="30"/>
        <w:spacing w:before="120" w:beforeAutospacing="0" w:after="120" w:afterAutospacing="0" w:line="360" w:lineRule="auto"/>
        <w:jc w:val="center"/>
        <w:rPr>
          <w:rFonts w:ascii="Arial" w:hAnsi="Arial" w:cs="Arial"/>
          <w:b/>
          <w:color w:val="auto"/>
          <w:sz w:val="84"/>
          <w:szCs w:val="84"/>
          <w:highlight w:val="none"/>
        </w:rPr>
      </w:pPr>
    </w:p>
    <w:p w14:paraId="6C6F3599">
      <w:pPr>
        <w:pStyle w:val="30"/>
        <w:spacing w:before="120" w:beforeAutospacing="0" w:after="120" w:afterAutospacing="0" w:line="360" w:lineRule="auto"/>
        <w:jc w:val="center"/>
        <w:rPr>
          <w:color w:val="auto"/>
          <w:highlight w:val="none"/>
        </w:rPr>
      </w:pPr>
      <w:r>
        <w:rPr>
          <w:rFonts w:ascii="Arial" w:hAnsi="Arial" w:cs="Arial"/>
          <w:b/>
          <w:color w:val="auto"/>
          <w:sz w:val="84"/>
          <w:szCs w:val="84"/>
          <w:highlight w:val="none"/>
        </w:rPr>
        <w:t>竞争性谈判文件</w:t>
      </w:r>
    </w:p>
    <w:p w14:paraId="272D1864">
      <w:pPr>
        <w:pStyle w:val="30"/>
        <w:spacing w:before="120" w:beforeAutospacing="0" w:after="120" w:afterAutospacing="0" w:line="360" w:lineRule="auto"/>
        <w:ind w:firstLine="0"/>
        <w:rPr>
          <w:rFonts w:hint="default" w:eastAsiaTheme="minorEastAsia"/>
          <w:color w:val="auto"/>
          <w:highlight w:val="yellow"/>
          <w:lang w:val="en-US" w:eastAsia="zh-CN"/>
        </w:rPr>
      </w:pPr>
      <w:r>
        <w:rPr>
          <w:rFonts w:ascii="Arial" w:hAnsi="Arial" w:cs="Arial"/>
          <w:b/>
          <w:color w:val="auto"/>
          <w:sz w:val="32"/>
          <w:szCs w:val="32"/>
          <w:highlight w:val="none"/>
        </w:rPr>
        <w:t xml:space="preserve">    项目名称</w:t>
      </w:r>
      <w:r>
        <w:rPr>
          <w:rFonts w:hint="eastAsia" w:ascii="Arial" w:hAnsi="Arial" w:cs="Arial"/>
          <w:b/>
          <w:color w:val="auto"/>
          <w:sz w:val="32"/>
          <w:szCs w:val="32"/>
          <w:highlight w:val="none"/>
          <w:lang w:eastAsia="zh-CN"/>
        </w:rPr>
        <w:t>：</w:t>
      </w:r>
      <w:r>
        <w:rPr>
          <w:rFonts w:hint="eastAsia" w:ascii="Arial" w:hAnsi="Arial" w:cs="Arial"/>
          <w:b/>
          <w:color w:val="auto"/>
          <w:sz w:val="32"/>
          <w:szCs w:val="32"/>
          <w:highlight w:val="none"/>
          <w:lang w:val="en-US" w:eastAsia="zh-CN"/>
        </w:rPr>
        <w:t>渔政执法船采购燃油项目</w:t>
      </w:r>
    </w:p>
    <w:p w14:paraId="2AA7632C">
      <w:pPr>
        <w:pStyle w:val="30"/>
        <w:spacing w:before="120" w:beforeAutospacing="0" w:after="120" w:afterAutospacing="0" w:line="360" w:lineRule="auto"/>
        <w:ind w:firstLine="0"/>
        <w:rPr>
          <w:color w:val="auto"/>
          <w:highlight w:val="none"/>
        </w:rPr>
      </w:pPr>
      <w:r>
        <w:rPr>
          <w:rFonts w:ascii="Arial" w:hAnsi="Arial" w:cs="Arial"/>
          <w:b/>
          <w:color w:val="auto"/>
          <w:sz w:val="32"/>
          <w:szCs w:val="32"/>
          <w:highlight w:val="none"/>
        </w:rPr>
        <w:t xml:space="preserve">    项目编号：JSZC-320921-QHGS-T2026-0003          </w:t>
      </w:r>
    </w:p>
    <w:p w14:paraId="751F30BB">
      <w:pPr>
        <w:pStyle w:val="30"/>
        <w:spacing w:before="120" w:beforeAutospacing="0" w:after="120" w:afterAutospacing="0" w:line="360" w:lineRule="auto"/>
        <w:ind w:firstLine="2249"/>
        <w:rPr>
          <w:color w:val="auto"/>
          <w:highlight w:val="none"/>
        </w:rPr>
      </w:pPr>
      <w:r>
        <w:rPr>
          <w:rFonts w:ascii="Times New Roman" w:hAnsi="Times New Roman"/>
          <w:b/>
          <w:color w:val="auto"/>
          <w:sz w:val="30"/>
          <w:szCs w:val="30"/>
          <w:highlight w:val="none"/>
        </w:rPr>
        <w:t xml:space="preserve">     </w:t>
      </w:r>
    </w:p>
    <w:p w14:paraId="1D696262">
      <w:pPr>
        <w:pStyle w:val="30"/>
        <w:spacing w:beforeAutospacing="0" w:afterAutospacing="0" w:line="360" w:lineRule="auto"/>
        <w:rPr>
          <w:color w:val="auto"/>
          <w:highlight w:val="none"/>
        </w:rPr>
      </w:pPr>
      <w:r>
        <w:rPr>
          <w:color w:val="auto"/>
          <w:highlight w:val="none"/>
        </w:rPr>
        <w:t> </w:t>
      </w:r>
    </w:p>
    <w:p w14:paraId="34589383">
      <w:pPr>
        <w:pStyle w:val="30"/>
        <w:spacing w:beforeAutospacing="0" w:afterAutospacing="0" w:line="360" w:lineRule="auto"/>
        <w:rPr>
          <w:color w:val="auto"/>
          <w:highlight w:val="none"/>
        </w:rPr>
      </w:pPr>
      <w:r>
        <w:rPr>
          <w:color w:val="auto"/>
          <w:highlight w:val="none"/>
        </w:rPr>
        <w:t> </w:t>
      </w:r>
    </w:p>
    <w:p w14:paraId="723DF767">
      <w:pPr>
        <w:pStyle w:val="30"/>
        <w:spacing w:beforeAutospacing="0" w:afterAutospacing="0" w:line="360" w:lineRule="auto"/>
        <w:rPr>
          <w:color w:val="auto"/>
          <w:highlight w:val="none"/>
        </w:rPr>
      </w:pPr>
      <w:r>
        <w:rPr>
          <w:color w:val="auto"/>
          <w:highlight w:val="none"/>
        </w:rPr>
        <w:t> </w:t>
      </w:r>
    </w:p>
    <w:p w14:paraId="2971BE76">
      <w:pPr>
        <w:pStyle w:val="30"/>
        <w:spacing w:beforeAutospacing="0" w:afterAutospacing="0" w:line="360" w:lineRule="auto"/>
        <w:rPr>
          <w:color w:val="auto"/>
          <w:highlight w:val="none"/>
        </w:rPr>
      </w:pPr>
      <w:r>
        <w:rPr>
          <w:color w:val="auto"/>
          <w:highlight w:val="none"/>
        </w:rPr>
        <w:t> </w:t>
      </w:r>
    </w:p>
    <w:p w14:paraId="0EECD297">
      <w:pPr>
        <w:pStyle w:val="30"/>
        <w:spacing w:beforeAutospacing="0" w:afterAutospacing="0" w:line="360" w:lineRule="auto"/>
        <w:rPr>
          <w:color w:val="auto"/>
          <w:highlight w:val="none"/>
        </w:rPr>
      </w:pPr>
      <w:r>
        <w:rPr>
          <w:color w:val="auto"/>
          <w:highlight w:val="none"/>
        </w:rPr>
        <w:t> </w:t>
      </w:r>
    </w:p>
    <w:p w14:paraId="3B304453">
      <w:pPr>
        <w:pStyle w:val="30"/>
        <w:spacing w:beforeAutospacing="0" w:afterAutospacing="0" w:line="360" w:lineRule="auto"/>
        <w:rPr>
          <w:color w:val="auto"/>
          <w:highlight w:val="none"/>
        </w:rPr>
      </w:pPr>
      <w:r>
        <w:rPr>
          <w:color w:val="auto"/>
          <w:highlight w:val="none"/>
        </w:rPr>
        <w:t> </w:t>
      </w:r>
    </w:p>
    <w:p w14:paraId="70B52862">
      <w:pPr>
        <w:pStyle w:val="30"/>
        <w:spacing w:beforeAutospacing="0" w:afterAutospacing="0" w:line="360" w:lineRule="auto"/>
        <w:rPr>
          <w:color w:val="auto"/>
          <w:highlight w:val="none"/>
        </w:rPr>
      </w:pPr>
      <w:r>
        <w:rPr>
          <w:color w:val="auto"/>
          <w:highlight w:val="none"/>
        </w:rPr>
        <w:t> </w:t>
      </w:r>
    </w:p>
    <w:p w14:paraId="0EB3F144">
      <w:pPr>
        <w:pStyle w:val="30"/>
        <w:spacing w:before="120" w:beforeAutospacing="0" w:after="120" w:afterAutospacing="0" w:line="600" w:lineRule="auto"/>
        <w:jc w:val="center"/>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t>采购人：响水县农业综合行政执法大队（盖章）</w:t>
      </w:r>
    </w:p>
    <w:p w14:paraId="4B6DAEEC">
      <w:pPr>
        <w:pStyle w:val="30"/>
        <w:spacing w:before="120" w:beforeAutospacing="0" w:after="120" w:afterAutospacing="0" w:line="600" w:lineRule="auto"/>
        <w:jc w:val="center"/>
        <w:rPr>
          <w:rFonts w:hint="default"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t>代理机构：江苏千禾建设项目管理有限公司（盖章）</w:t>
      </w:r>
    </w:p>
    <w:p w14:paraId="7897EFA3">
      <w:pPr>
        <w:pStyle w:val="30"/>
        <w:spacing w:before="120" w:beforeAutospacing="0" w:after="120" w:afterAutospacing="0" w:line="360" w:lineRule="auto"/>
        <w:jc w:val="center"/>
        <w:rPr>
          <w:color w:val="auto"/>
          <w:highlight w:val="none"/>
        </w:rPr>
      </w:pPr>
      <w:r>
        <w:rPr>
          <w:rFonts w:hint="eastAsia" w:ascii="Arial" w:hAnsi="Arial" w:cs="Arial"/>
          <w:b/>
          <w:color w:val="auto"/>
          <w:sz w:val="32"/>
          <w:szCs w:val="32"/>
          <w:highlight w:val="none"/>
          <w:lang w:val="en-US" w:eastAsia="zh-CN"/>
        </w:rPr>
        <w:t>2026</w:t>
      </w:r>
      <w:r>
        <w:rPr>
          <w:rFonts w:ascii="Arial" w:hAnsi="Arial" w:cs="Arial"/>
          <w:b/>
          <w:color w:val="auto"/>
          <w:sz w:val="32"/>
          <w:szCs w:val="32"/>
          <w:highlight w:val="none"/>
        </w:rPr>
        <w:t>年</w:t>
      </w:r>
      <w:r>
        <w:rPr>
          <w:rFonts w:hint="eastAsia" w:ascii="Arial" w:hAnsi="Arial" w:cs="Arial"/>
          <w:b/>
          <w:color w:val="auto"/>
          <w:sz w:val="32"/>
          <w:szCs w:val="32"/>
          <w:highlight w:val="none"/>
          <w:u w:val="none"/>
          <w:lang w:val="en-US" w:eastAsia="zh-CN"/>
        </w:rPr>
        <w:t>9</w:t>
      </w:r>
      <w:r>
        <w:rPr>
          <w:rFonts w:ascii="Arial" w:hAnsi="Arial" w:cs="Arial"/>
          <w:b/>
          <w:color w:val="auto"/>
          <w:sz w:val="32"/>
          <w:szCs w:val="32"/>
          <w:highlight w:val="none"/>
          <w:u w:val="none"/>
        </w:rPr>
        <w:t>月</w:t>
      </w:r>
    </w:p>
    <w:p w14:paraId="2274719D">
      <w:pPr>
        <w:pStyle w:val="30"/>
        <w:spacing w:before="120" w:beforeAutospacing="0" w:after="120" w:afterAutospacing="0" w:line="360" w:lineRule="auto"/>
        <w:rPr>
          <w:color w:val="auto"/>
          <w:highlight w:val="none"/>
        </w:rPr>
      </w:pPr>
      <w:r>
        <w:rPr>
          <w:rFonts w:ascii="Arial" w:hAnsi="Arial" w:cs="Arial"/>
          <w:color w:val="auto"/>
          <w:highlight w:val="none"/>
        </w:rPr>
        <w:t xml:space="preserve">                        </w:t>
      </w:r>
    </w:p>
    <w:p w14:paraId="15DEDCC9">
      <w:pPr>
        <w:pStyle w:val="30"/>
        <w:spacing w:before="120" w:beforeAutospacing="0" w:after="120" w:afterAutospacing="0" w:line="360" w:lineRule="auto"/>
        <w:jc w:val="center"/>
        <w:rPr>
          <w:color w:val="auto"/>
          <w:highlight w:val="none"/>
        </w:rPr>
      </w:pPr>
      <w:r>
        <w:rPr>
          <w:color w:val="auto"/>
          <w:highlight w:val="none"/>
        </w:rPr>
        <w:t> </w:t>
      </w:r>
    </w:p>
    <w:p w14:paraId="6D6496CD">
      <w:pPr>
        <w:pStyle w:val="30"/>
        <w:spacing w:beforeAutospacing="0" w:afterAutospacing="0" w:line="480" w:lineRule="auto"/>
        <w:jc w:val="center"/>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w:t>
      </w:r>
      <w:bookmarkStart w:id="0" w:name="_Toc120614210"/>
      <w:bookmarkStart w:id="1" w:name="_Toc16938516"/>
      <w:bookmarkStart w:id="2" w:name="_Toc523127445"/>
      <w:bookmarkStart w:id="3" w:name="_Toc513029200"/>
      <w:bookmarkStart w:id="4" w:name="_Toc479757206"/>
      <w:bookmarkStart w:id="5" w:name="_Toc20823272"/>
      <w:r>
        <w:rPr>
          <w:rFonts w:ascii="黑体" w:hAnsi="宋体" w:eastAsia="黑体" w:cs="黑体"/>
          <w:b/>
          <w:color w:val="auto"/>
          <w:sz w:val="44"/>
          <w:szCs w:val="44"/>
          <w:highlight w:val="none"/>
        </w:rPr>
        <w:t>总  目  录</w:t>
      </w:r>
      <w:bookmarkEnd w:id="0"/>
      <w:bookmarkEnd w:id="1"/>
      <w:bookmarkEnd w:id="2"/>
      <w:bookmarkEnd w:id="3"/>
      <w:bookmarkEnd w:id="4"/>
      <w:bookmarkEnd w:id="5"/>
    </w:p>
    <w:p w14:paraId="5ECC9461">
      <w:pPr>
        <w:pStyle w:val="30"/>
        <w:spacing w:beforeAutospacing="0" w:afterAutospacing="0" w:line="480" w:lineRule="auto"/>
        <w:jc w:val="both"/>
        <w:rPr>
          <w:color w:val="auto"/>
          <w:highlight w:val="none"/>
        </w:rPr>
      </w:pPr>
      <w:r>
        <w:rPr>
          <w:color w:val="auto"/>
          <w:highlight w:val="none"/>
        </w:rPr>
        <w:t> </w:t>
      </w:r>
    </w:p>
    <w:p w14:paraId="76940A08">
      <w:pPr>
        <w:pStyle w:val="30"/>
        <w:tabs>
          <w:tab w:val="left" w:pos="1441"/>
        </w:tabs>
        <w:spacing w:beforeAutospacing="0" w:afterAutospacing="0" w:line="480" w:lineRule="auto"/>
        <w:ind w:left="2160" w:hanging="1440"/>
        <w:jc w:val="both"/>
        <w:rPr>
          <w:rFonts w:hint="eastAsia" w:eastAsia="黑体"/>
          <w:color w:val="auto"/>
          <w:highlight w:val="none"/>
          <w:lang w:val="en-US" w:eastAsia="zh-CN"/>
        </w:rPr>
      </w:pPr>
      <w:r>
        <w:rPr>
          <w:rFonts w:hint="eastAsia" w:ascii="黑体" w:hAnsi="宋体" w:eastAsia="黑体" w:cs="黑体"/>
          <w:color w:val="auto"/>
          <w:sz w:val="36"/>
          <w:szCs w:val="36"/>
          <w:highlight w:val="none"/>
          <w:lang w:val="en-US" w:eastAsia="zh-CN"/>
        </w:rPr>
        <w:t>竞争性</w:t>
      </w:r>
      <w:r>
        <w:rPr>
          <w:rFonts w:hint="eastAsia" w:ascii="黑体" w:hAnsi="宋体" w:eastAsia="黑体" w:cs="黑体"/>
          <w:color w:val="auto"/>
          <w:sz w:val="36"/>
          <w:szCs w:val="36"/>
          <w:highlight w:val="none"/>
        </w:rPr>
        <w:t>谈判</w:t>
      </w:r>
      <w:r>
        <w:rPr>
          <w:rFonts w:hint="eastAsia" w:ascii="黑体" w:hAnsi="宋体" w:eastAsia="黑体" w:cs="黑体"/>
          <w:color w:val="auto"/>
          <w:sz w:val="36"/>
          <w:szCs w:val="36"/>
          <w:highlight w:val="none"/>
          <w:lang w:val="en-US" w:eastAsia="zh-CN"/>
        </w:rPr>
        <w:t>公告</w:t>
      </w:r>
      <w:r>
        <w:rPr>
          <w:rFonts w:hint="eastAsia" w:ascii="黑体" w:hAnsi="宋体" w:eastAsia="黑体" w:cs="黑体"/>
          <w:color w:val="auto"/>
          <w:sz w:val="36"/>
          <w:szCs w:val="36"/>
          <w:highlight w:val="none"/>
        </w:rPr>
        <w:t>……………………………</w:t>
      </w:r>
      <w:r>
        <w:rPr>
          <w:rFonts w:hint="eastAsia" w:ascii="黑体" w:hAnsi="宋体" w:eastAsia="黑体" w:cs="黑体"/>
          <w:color w:val="auto"/>
          <w:sz w:val="36"/>
          <w:szCs w:val="36"/>
          <w:highlight w:val="none"/>
          <w:lang w:val="en-US" w:eastAsia="zh-CN"/>
        </w:rPr>
        <w:t xml:space="preserve"> </w:t>
      </w:r>
    </w:p>
    <w:p w14:paraId="645FC171">
      <w:pPr>
        <w:pStyle w:val="30"/>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 xml:space="preserve">供应商须知…………………………………  </w:t>
      </w:r>
    </w:p>
    <w:p w14:paraId="667F5871">
      <w:pPr>
        <w:pStyle w:val="30"/>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合同</w:t>
      </w:r>
      <w:r>
        <w:rPr>
          <w:rFonts w:hint="eastAsia" w:ascii="黑体" w:hAnsi="宋体" w:eastAsia="黑体" w:cs="黑体"/>
          <w:color w:val="auto"/>
          <w:sz w:val="36"/>
          <w:szCs w:val="36"/>
          <w:highlight w:val="none"/>
          <w:lang w:eastAsia="zh-CN"/>
        </w:rPr>
        <w:t>条款</w:t>
      </w:r>
      <w:r>
        <w:rPr>
          <w:rFonts w:hint="eastAsia" w:ascii="黑体" w:hAnsi="宋体" w:eastAsia="黑体" w:cs="黑体"/>
          <w:color w:val="auto"/>
          <w:sz w:val="36"/>
          <w:szCs w:val="36"/>
          <w:highlight w:val="none"/>
        </w:rPr>
        <w:t>……………………………………</w:t>
      </w:r>
    </w:p>
    <w:p w14:paraId="6D024B20">
      <w:pPr>
        <w:pStyle w:val="30"/>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采购需求……………………………………</w:t>
      </w:r>
    </w:p>
    <w:p w14:paraId="48D1FEAA">
      <w:pPr>
        <w:pStyle w:val="30"/>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响应文件格式………………………………</w:t>
      </w:r>
    </w:p>
    <w:p w14:paraId="58864CC8">
      <w:pPr>
        <w:pStyle w:val="30"/>
        <w:spacing w:beforeAutospacing="0" w:afterAutospacing="0"/>
        <w:jc w:val="both"/>
        <w:rPr>
          <w:color w:val="auto"/>
          <w:highlight w:val="none"/>
        </w:rPr>
      </w:pPr>
      <w:r>
        <w:rPr>
          <w:color w:val="auto"/>
          <w:highlight w:val="none"/>
        </w:rPr>
        <w:t> </w:t>
      </w:r>
    </w:p>
    <w:p w14:paraId="6A5E353E">
      <w:pPr>
        <w:pStyle w:val="30"/>
        <w:spacing w:beforeAutospacing="0" w:afterAutospacing="0"/>
        <w:jc w:val="both"/>
        <w:rPr>
          <w:color w:val="auto"/>
          <w:highlight w:val="none"/>
        </w:rPr>
      </w:pPr>
      <w:r>
        <w:rPr>
          <w:color w:val="auto"/>
          <w:highlight w:val="none"/>
        </w:rPr>
        <w:t> </w:t>
      </w:r>
    </w:p>
    <w:p w14:paraId="13B35E6A">
      <w:pPr>
        <w:pStyle w:val="30"/>
        <w:spacing w:beforeAutospacing="0" w:afterAutospacing="0"/>
        <w:jc w:val="both"/>
        <w:rPr>
          <w:color w:val="auto"/>
          <w:highlight w:val="none"/>
        </w:rPr>
      </w:pPr>
      <w:r>
        <w:rPr>
          <w:color w:val="auto"/>
          <w:highlight w:val="none"/>
        </w:rPr>
        <w:t> </w:t>
      </w:r>
    </w:p>
    <w:p w14:paraId="0D785FC0">
      <w:pPr>
        <w:pStyle w:val="30"/>
        <w:spacing w:beforeAutospacing="0" w:afterAutospacing="0"/>
        <w:jc w:val="both"/>
        <w:rPr>
          <w:color w:val="auto"/>
          <w:highlight w:val="none"/>
        </w:rPr>
      </w:pPr>
      <w:r>
        <w:rPr>
          <w:color w:val="auto"/>
          <w:highlight w:val="none"/>
        </w:rPr>
        <w:t> </w:t>
      </w:r>
    </w:p>
    <w:p w14:paraId="4517A00B">
      <w:pPr>
        <w:pStyle w:val="30"/>
        <w:spacing w:beforeAutospacing="0" w:afterAutospacing="0"/>
        <w:jc w:val="both"/>
        <w:rPr>
          <w:color w:val="auto"/>
          <w:highlight w:val="none"/>
        </w:rPr>
      </w:pPr>
      <w:r>
        <w:rPr>
          <w:color w:val="auto"/>
          <w:highlight w:val="none"/>
        </w:rPr>
        <w:t> </w:t>
      </w:r>
    </w:p>
    <w:p w14:paraId="1C843D0A">
      <w:pPr>
        <w:pStyle w:val="30"/>
        <w:spacing w:beforeAutospacing="0" w:afterAutospacing="0"/>
        <w:jc w:val="both"/>
        <w:rPr>
          <w:color w:val="auto"/>
          <w:highlight w:val="none"/>
        </w:rPr>
      </w:pPr>
      <w:r>
        <w:rPr>
          <w:color w:val="auto"/>
          <w:highlight w:val="none"/>
        </w:rPr>
        <w:t> </w:t>
      </w:r>
    </w:p>
    <w:p w14:paraId="2604367F">
      <w:pPr>
        <w:pStyle w:val="30"/>
        <w:spacing w:beforeAutospacing="0" w:afterAutospacing="0"/>
        <w:jc w:val="both"/>
        <w:rPr>
          <w:color w:val="auto"/>
          <w:highlight w:val="none"/>
        </w:rPr>
      </w:pPr>
      <w:r>
        <w:rPr>
          <w:color w:val="auto"/>
          <w:highlight w:val="none"/>
        </w:rPr>
        <w:t> </w:t>
      </w:r>
    </w:p>
    <w:p w14:paraId="05F14362">
      <w:pPr>
        <w:pStyle w:val="30"/>
        <w:spacing w:beforeAutospacing="0" w:afterAutospacing="0"/>
        <w:jc w:val="both"/>
        <w:rPr>
          <w:color w:val="auto"/>
          <w:highlight w:val="none"/>
        </w:rPr>
      </w:pPr>
      <w:r>
        <w:rPr>
          <w:color w:val="auto"/>
          <w:highlight w:val="none"/>
        </w:rPr>
        <w:t> </w:t>
      </w:r>
    </w:p>
    <w:p w14:paraId="28EEEFF0">
      <w:pPr>
        <w:pStyle w:val="30"/>
        <w:spacing w:beforeAutospacing="0" w:afterAutospacing="0"/>
        <w:jc w:val="both"/>
        <w:rPr>
          <w:color w:val="auto"/>
          <w:highlight w:val="none"/>
        </w:rPr>
      </w:pPr>
      <w:r>
        <w:rPr>
          <w:color w:val="auto"/>
          <w:highlight w:val="none"/>
        </w:rPr>
        <w:t> </w:t>
      </w:r>
    </w:p>
    <w:p w14:paraId="1EC98DA5">
      <w:pPr>
        <w:pStyle w:val="30"/>
        <w:spacing w:beforeAutospacing="0" w:afterAutospacing="0"/>
        <w:jc w:val="both"/>
        <w:rPr>
          <w:color w:val="auto"/>
          <w:highlight w:val="none"/>
        </w:rPr>
      </w:pPr>
      <w:r>
        <w:rPr>
          <w:color w:val="auto"/>
          <w:highlight w:val="none"/>
        </w:rPr>
        <w:t> </w:t>
      </w:r>
    </w:p>
    <w:p w14:paraId="1480EAA5">
      <w:pPr>
        <w:pStyle w:val="30"/>
        <w:spacing w:beforeAutospacing="0" w:afterAutospacing="0"/>
        <w:jc w:val="both"/>
        <w:rPr>
          <w:color w:val="auto"/>
          <w:highlight w:val="none"/>
        </w:rPr>
      </w:pPr>
      <w:r>
        <w:rPr>
          <w:color w:val="auto"/>
          <w:highlight w:val="none"/>
        </w:rPr>
        <w:t> </w:t>
      </w:r>
    </w:p>
    <w:p w14:paraId="6F4579BE">
      <w:pPr>
        <w:pStyle w:val="30"/>
        <w:spacing w:beforeAutospacing="0" w:afterAutospacing="0"/>
        <w:jc w:val="both"/>
        <w:rPr>
          <w:color w:val="auto"/>
          <w:highlight w:val="none"/>
        </w:rPr>
      </w:pPr>
      <w:r>
        <w:rPr>
          <w:color w:val="auto"/>
          <w:highlight w:val="none"/>
        </w:rPr>
        <w:t> </w:t>
      </w:r>
    </w:p>
    <w:p w14:paraId="67ED73F9">
      <w:pPr>
        <w:pStyle w:val="30"/>
        <w:spacing w:beforeAutospacing="0" w:afterAutospacing="0"/>
        <w:jc w:val="both"/>
        <w:rPr>
          <w:color w:val="auto"/>
          <w:highlight w:val="none"/>
        </w:rPr>
      </w:pPr>
      <w:r>
        <w:rPr>
          <w:color w:val="auto"/>
          <w:highlight w:val="none"/>
        </w:rPr>
        <w:t> </w:t>
      </w:r>
    </w:p>
    <w:p w14:paraId="26464F54">
      <w:pPr>
        <w:pStyle w:val="30"/>
        <w:spacing w:beforeAutospacing="0" w:afterAutospacing="0"/>
        <w:jc w:val="both"/>
        <w:rPr>
          <w:color w:val="auto"/>
          <w:highlight w:val="none"/>
        </w:rPr>
      </w:pPr>
      <w:r>
        <w:rPr>
          <w:color w:val="auto"/>
          <w:highlight w:val="none"/>
        </w:rPr>
        <w:t> </w:t>
      </w:r>
    </w:p>
    <w:p w14:paraId="2B2E3317">
      <w:pPr>
        <w:pStyle w:val="30"/>
        <w:spacing w:beforeAutospacing="0" w:afterAutospacing="0"/>
        <w:jc w:val="both"/>
        <w:rPr>
          <w:color w:val="auto"/>
          <w:highlight w:val="none"/>
        </w:rPr>
      </w:pPr>
      <w:r>
        <w:rPr>
          <w:color w:val="auto"/>
          <w:highlight w:val="none"/>
        </w:rPr>
        <w:t> </w:t>
      </w:r>
    </w:p>
    <w:p w14:paraId="370AB16C">
      <w:pPr>
        <w:pStyle w:val="30"/>
        <w:spacing w:beforeAutospacing="0" w:afterAutospacing="0"/>
        <w:jc w:val="both"/>
        <w:rPr>
          <w:color w:val="auto"/>
          <w:highlight w:val="none"/>
        </w:rPr>
      </w:pPr>
      <w:r>
        <w:rPr>
          <w:color w:val="auto"/>
          <w:highlight w:val="none"/>
        </w:rPr>
        <w:t> </w:t>
      </w:r>
    </w:p>
    <w:p w14:paraId="78EF3978">
      <w:pPr>
        <w:pStyle w:val="30"/>
        <w:spacing w:beforeAutospacing="0" w:afterAutospacing="0"/>
        <w:jc w:val="both"/>
        <w:rPr>
          <w:color w:val="auto"/>
          <w:highlight w:val="none"/>
        </w:rPr>
      </w:pPr>
      <w:r>
        <w:rPr>
          <w:color w:val="auto"/>
          <w:highlight w:val="none"/>
        </w:rPr>
        <w:t> </w:t>
      </w:r>
    </w:p>
    <w:p w14:paraId="3FF70362">
      <w:pPr>
        <w:pStyle w:val="30"/>
        <w:spacing w:beforeAutospacing="0" w:afterAutospacing="0"/>
        <w:jc w:val="both"/>
        <w:rPr>
          <w:color w:val="auto"/>
          <w:highlight w:val="none"/>
        </w:rPr>
      </w:pPr>
      <w:r>
        <w:rPr>
          <w:color w:val="auto"/>
          <w:highlight w:val="none"/>
        </w:rPr>
        <w:t> </w:t>
      </w:r>
    </w:p>
    <w:p w14:paraId="3AD67CD9">
      <w:pPr>
        <w:pStyle w:val="30"/>
        <w:spacing w:beforeAutospacing="0" w:afterAutospacing="0"/>
        <w:jc w:val="both"/>
        <w:rPr>
          <w:color w:val="auto"/>
          <w:highlight w:val="none"/>
        </w:rPr>
      </w:pPr>
      <w:r>
        <w:rPr>
          <w:color w:val="auto"/>
          <w:highlight w:val="none"/>
        </w:rPr>
        <w:t> </w:t>
      </w:r>
    </w:p>
    <w:p w14:paraId="0B50D689">
      <w:pPr>
        <w:pStyle w:val="30"/>
        <w:spacing w:beforeAutospacing="0" w:afterAutospacing="0"/>
        <w:jc w:val="both"/>
        <w:rPr>
          <w:color w:val="auto"/>
          <w:highlight w:val="none"/>
        </w:rPr>
      </w:pPr>
      <w:r>
        <w:rPr>
          <w:color w:val="auto"/>
          <w:highlight w:val="none"/>
        </w:rPr>
        <w:t> </w:t>
      </w:r>
    </w:p>
    <w:p w14:paraId="3FA75CBC">
      <w:pPr>
        <w:pStyle w:val="30"/>
        <w:spacing w:beforeAutospacing="0" w:afterAutospacing="0"/>
        <w:jc w:val="both"/>
        <w:rPr>
          <w:color w:val="auto"/>
          <w:highlight w:val="none"/>
        </w:rPr>
      </w:pPr>
      <w:r>
        <w:rPr>
          <w:color w:val="auto"/>
          <w:highlight w:val="none"/>
        </w:rPr>
        <w:t> </w:t>
      </w:r>
    </w:p>
    <w:p w14:paraId="2CBAB8D6">
      <w:pPr>
        <w:pStyle w:val="30"/>
        <w:spacing w:beforeAutospacing="0" w:afterAutospacing="0"/>
        <w:jc w:val="both"/>
        <w:rPr>
          <w:color w:val="auto"/>
          <w:highlight w:val="none"/>
        </w:rPr>
      </w:pPr>
      <w:r>
        <w:rPr>
          <w:color w:val="auto"/>
          <w:highlight w:val="none"/>
        </w:rPr>
        <w:t> </w:t>
      </w:r>
    </w:p>
    <w:p w14:paraId="249C4965">
      <w:pPr>
        <w:pStyle w:val="30"/>
        <w:spacing w:beforeAutospacing="0" w:afterAutospacing="0"/>
        <w:jc w:val="both"/>
        <w:rPr>
          <w:color w:val="auto"/>
          <w:highlight w:val="none"/>
        </w:rPr>
      </w:pPr>
      <w:r>
        <w:rPr>
          <w:color w:val="auto"/>
          <w:highlight w:val="none"/>
        </w:rPr>
        <w:t> </w:t>
      </w:r>
    </w:p>
    <w:p w14:paraId="68ACE993">
      <w:pPr>
        <w:pStyle w:val="30"/>
        <w:spacing w:beforeAutospacing="0" w:afterAutospacing="0"/>
        <w:jc w:val="both"/>
        <w:rPr>
          <w:color w:val="auto"/>
          <w:highlight w:val="none"/>
        </w:rPr>
      </w:pPr>
      <w:r>
        <w:rPr>
          <w:color w:val="auto"/>
          <w:highlight w:val="none"/>
        </w:rPr>
        <w:t> </w:t>
      </w:r>
    </w:p>
    <w:p w14:paraId="0A068F5A">
      <w:pPr>
        <w:pStyle w:val="30"/>
        <w:spacing w:beforeAutospacing="0" w:afterAutospacing="0"/>
        <w:jc w:val="both"/>
        <w:rPr>
          <w:color w:val="auto"/>
          <w:highlight w:val="none"/>
        </w:rPr>
      </w:pPr>
      <w:r>
        <w:rPr>
          <w:color w:val="auto"/>
          <w:highlight w:val="none"/>
        </w:rPr>
        <w:t> </w:t>
      </w:r>
    </w:p>
    <w:p w14:paraId="44D54CF4">
      <w:pPr>
        <w:pStyle w:val="30"/>
        <w:keepNext/>
        <w:pageBreakBefore w:val="0"/>
        <w:spacing w:beforeAutospacing="0" w:afterAutospacing="0" w:line="440" w:lineRule="exact"/>
        <w:jc w:val="center"/>
        <w:rPr>
          <w:rFonts w:hint="eastAsia" w:ascii="仿宋" w:hAnsi="仿宋" w:eastAsia="仿宋" w:cs="仿宋"/>
          <w:color w:val="auto"/>
          <w:sz w:val="28"/>
          <w:szCs w:val="28"/>
          <w:highlight w:val="none"/>
          <w:lang w:val="en-US" w:eastAsia="zh-CN"/>
        </w:rPr>
      </w:pPr>
      <w:bookmarkStart w:id="6" w:name="_Toc28359086"/>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竞争性</w:t>
      </w:r>
      <w:r>
        <w:rPr>
          <w:rFonts w:hint="eastAsia" w:ascii="黑体" w:hAnsi="宋体" w:eastAsia="黑体" w:cs="黑体"/>
          <w:color w:val="auto"/>
          <w:sz w:val="44"/>
          <w:szCs w:val="44"/>
          <w:highlight w:val="none"/>
        </w:rPr>
        <w:t>谈判</w:t>
      </w:r>
      <w:r>
        <w:rPr>
          <w:rFonts w:hint="eastAsia" w:ascii="黑体" w:hAnsi="宋体" w:eastAsia="黑体" w:cs="黑体"/>
          <w:color w:val="auto"/>
          <w:sz w:val="44"/>
          <w:szCs w:val="44"/>
          <w:highlight w:val="none"/>
          <w:lang w:val="en-US" w:eastAsia="zh-CN"/>
        </w:rPr>
        <w:t>公告</w:t>
      </w:r>
    </w:p>
    <w:p w14:paraId="587C6C42">
      <w:pPr>
        <w:pStyle w:val="30"/>
        <w:pageBreakBefore w:val="0"/>
        <w:pBdr>
          <w:top w:val="single" w:color="000000" w:sz="4" w:space="0"/>
          <w:left w:val="single" w:color="000000" w:sz="4" w:space="0"/>
          <w:bottom w:val="single" w:color="000000" w:sz="4" w:space="0"/>
          <w:right w:val="single" w:color="000000" w:sz="4" w:space="0"/>
        </w:pBdr>
        <w:spacing w:beforeAutospacing="0" w:afterAutospacing="0" w:line="440" w:lineRule="exact"/>
        <w:ind w:firstLine="48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项目概况</w:t>
      </w:r>
    </w:p>
    <w:p w14:paraId="3ABF6862">
      <w:pPr>
        <w:pStyle w:val="30"/>
        <w:pageBreakBefore w:val="0"/>
        <w:pBdr>
          <w:top w:val="single" w:color="000000" w:sz="4" w:space="0"/>
          <w:left w:val="single" w:color="000000" w:sz="4" w:space="0"/>
          <w:bottom w:val="single" w:color="000000" w:sz="4" w:space="0"/>
          <w:right w:val="single" w:color="000000" w:sz="4" w:space="0"/>
        </w:pBdr>
        <w:spacing w:beforeAutospacing="0" w:afterAutospacing="0" w:line="44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8"/>
          <w:szCs w:val="28"/>
          <w:highlight w:val="none"/>
          <w:u w:val="single"/>
          <w:lang w:val="en-US" w:eastAsia="zh-CN"/>
        </w:rPr>
        <w:t>渔政执法船采购燃油项目</w:t>
      </w:r>
      <w:r>
        <w:rPr>
          <w:rFonts w:hint="eastAsia" w:ascii="宋体" w:hAnsi="宋体" w:eastAsia="宋体" w:cs="宋体"/>
          <w:color w:val="auto"/>
          <w:sz w:val="28"/>
          <w:szCs w:val="28"/>
          <w:highlight w:val="none"/>
        </w:rPr>
        <w:t>的潜在</w:t>
      </w:r>
      <w:r>
        <w:rPr>
          <w:rFonts w:hint="eastAsia" w:ascii="宋体" w:hAnsi="宋体" w:eastAsia="宋体" w:cs="宋体"/>
          <w:color w:val="auto"/>
          <w:sz w:val="28"/>
          <w:szCs w:val="28"/>
          <w:highlight w:val="none"/>
          <w:lang w:val="en-US" w:eastAsia="zh-CN"/>
        </w:rPr>
        <w:t>供应商应在“苏采云”系统内免费下载（投标人必须在苏采云系统中获取谈判文件，方能参与政府采购项目）</w:t>
      </w:r>
      <w:r>
        <w:rPr>
          <w:rFonts w:hint="eastAsia" w:ascii="宋体" w:hAnsi="宋体" w:eastAsia="宋体" w:cs="宋体"/>
          <w:color w:val="auto"/>
          <w:sz w:val="28"/>
          <w:szCs w:val="28"/>
          <w:highlight w:val="none"/>
        </w:rPr>
        <w:t>，</w:t>
      </w:r>
      <w:r>
        <w:rPr>
          <w:rFonts w:hint="eastAsia" w:ascii="宋体" w:hAnsi="宋体" w:eastAsia="宋体" w:cs="宋体"/>
          <w:color w:val="000000" w:themeColor="text1"/>
          <w:sz w:val="28"/>
          <w:szCs w:val="28"/>
          <w:highlight w:val="none"/>
          <w14:textFill>
            <w14:solidFill>
              <w14:schemeClr w14:val="tx1"/>
            </w14:solidFill>
          </w14:textFill>
        </w:rPr>
        <w:t>并于</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2026年10月14日9点00分</w:t>
      </w:r>
      <w:r>
        <w:rPr>
          <w:rFonts w:hint="eastAsia" w:ascii="宋体" w:hAnsi="宋体" w:eastAsia="宋体" w:cs="宋体"/>
          <w:color w:val="000000" w:themeColor="text1"/>
          <w:sz w:val="28"/>
          <w:szCs w:val="28"/>
          <w:highlight w:val="none"/>
          <w:u w:val="single"/>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北京时间）前递交响应文件。</w:t>
      </w:r>
    </w:p>
    <w:p w14:paraId="123C2972">
      <w:pPr>
        <w:pStyle w:val="30"/>
        <w:keepNext/>
        <w:keepLines/>
        <w:pageBreakBefore w:val="0"/>
        <w:spacing w:before="145" w:beforeAutospacing="0" w:after="145" w:afterAutospacing="0" w:line="440" w:lineRule="exact"/>
        <w:ind w:firstLine="498"/>
        <w:jc w:val="both"/>
        <w:rPr>
          <w:rFonts w:hint="eastAsia" w:ascii="宋体" w:hAnsi="宋体" w:eastAsia="宋体" w:cs="宋体"/>
          <w:color w:val="000000" w:themeColor="text1"/>
          <w:sz w:val="28"/>
          <w:szCs w:val="28"/>
          <w:highlight w:val="none"/>
          <w14:textFill>
            <w14:solidFill>
              <w14:schemeClr w14:val="tx1"/>
            </w14:solidFill>
          </w14:textFill>
        </w:rPr>
      </w:pPr>
      <w:bookmarkStart w:id="7" w:name="_Toc35393790"/>
      <w:bookmarkStart w:id="8" w:name="_Toc28359002"/>
      <w:bookmarkStart w:id="9" w:name="_Hlk24379207"/>
      <w:bookmarkStart w:id="10" w:name="_Toc38985263"/>
      <w:bookmarkStart w:id="11" w:name="_Toc28359079"/>
      <w:bookmarkStart w:id="12" w:name="_Toc35393621"/>
      <w:r>
        <w:rPr>
          <w:rFonts w:hint="eastAsia" w:ascii="宋体" w:hAnsi="宋体" w:eastAsia="宋体" w:cs="宋体"/>
          <w:b/>
          <w:color w:val="000000" w:themeColor="text1"/>
          <w:sz w:val="28"/>
          <w:szCs w:val="28"/>
          <w:highlight w:val="none"/>
          <w14:textFill>
            <w14:solidFill>
              <w14:schemeClr w14:val="tx1"/>
            </w14:solidFill>
          </w14:textFill>
        </w:rPr>
        <w:t>一、项目基本情况</w:t>
      </w:r>
      <w:bookmarkEnd w:id="7"/>
      <w:bookmarkEnd w:id="8"/>
      <w:bookmarkEnd w:id="9"/>
      <w:bookmarkEnd w:id="10"/>
      <w:bookmarkEnd w:id="11"/>
      <w:bookmarkEnd w:id="12"/>
    </w:p>
    <w:p w14:paraId="401A2BB4">
      <w:pPr>
        <w:pStyle w:val="30"/>
        <w:pageBreakBefore w:val="0"/>
        <w:spacing w:beforeAutospacing="0" w:afterAutospacing="0" w:line="440" w:lineRule="exact"/>
        <w:ind w:firstLine="480"/>
        <w:jc w:val="both"/>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1.项目编</w:t>
      </w:r>
      <w:r>
        <w:rPr>
          <w:rFonts w:hint="eastAsia" w:ascii="宋体" w:hAnsi="宋体" w:eastAsia="宋体" w:cs="宋体"/>
          <w:color w:val="000000" w:themeColor="text1"/>
          <w:sz w:val="28"/>
          <w:szCs w:val="28"/>
          <w:highlight w:val="none"/>
          <w:lang w:eastAsia="zh-CN"/>
          <w14:textFill>
            <w14:solidFill>
              <w14:schemeClr w14:val="tx1"/>
            </w14:solidFill>
          </w14:textFill>
        </w:rPr>
        <w:t>号：JSZC-320921-QHGS-T2026-0003</w:t>
      </w:r>
    </w:p>
    <w:p w14:paraId="7D77A47A">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2.项目名称：</w:t>
      </w:r>
      <w:r>
        <w:rPr>
          <w:rFonts w:hint="eastAsia" w:ascii="宋体" w:hAnsi="宋体" w:eastAsia="宋体" w:cs="宋体"/>
          <w:color w:val="auto"/>
          <w:sz w:val="28"/>
          <w:szCs w:val="28"/>
          <w:highlight w:val="none"/>
          <w:lang w:eastAsia="zh-CN"/>
        </w:rPr>
        <w:t>渔政执法船采购燃油项目</w:t>
      </w:r>
    </w:p>
    <w:p w14:paraId="4F9C6E00">
      <w:pPr>
        <w:pStyle w:val="30"/>
        <w:pageBreakBefore w:val="0"/>
        <w:spacing w:beforeAutospacing="0" w:afterAutospacing="0" w:line="440" w:lineRule="exact"/>
        <w:ind w:firstLine="480"/>
        <w:jc w:val="both"/>
        <w:rPr>
          <w:rFonts w:hint="eastAsia" w:ascii="宋体" w:hAnsi="宋体" w:eastAsia="宋体" w:cs="宋体"/>
          <w:i w:val="0"/>
          <w:iCs w:val="0"/>
          <w:caps w:val="0"/>
          <w:color w:val="auto"/>
          <w:spacing w:val="0"/>
          <w:sz w:val="28"/>
          <w:szCs w:val="28"/>
          <w:highlight w:val="none"/>
          <w:shd w:val="clear" w:color="auto" w:fill="FFFFFF"/>
        </w:rPr>
      </w:pPr>
      <w:r>
        <w:rPr>
          <w:rFonts w:hint="eastAsia" w:ascii="宋体" w:hAnsi="宋体" w:eastAsia="宋体" w:cs="宋体"/>
          <w:i w:val="0"/>
          <w:iCs w:val="0"/>
          <w:caps w:val="0"/>
          <w:color w:val="auto"/>
          <w:spacing w:val="0"/>
          <w:sz w:val="28"/>
          <w:szCs w:val="28"/>
          <w:highlight w:val="none"/>
          <w:shd w:val="clear" w:color="auto" w:fill="FFFFFF"/>
          <w:lang w:val="en-US" w:eastAsia="zh-CN"/>
        </w:rPr>
        <w:t>3.</w:t>
      </w:r>
      <w:r>
        <w:rPr>
          <w:rFonts w:hint="eastAsia" w:ascii="宋体" w:hAnsi="宋体" w:eastAsia="宋体" w:cs="宋体"/>
          <w:i w:val="0"/>
          <w:iCs w:val="0"/>
          <w:caps w:val="0"/>
          <w:color w:val="auto"/>
          <w:spacing w:val="0"/>
          <w:sz w:val="28"/>
          <w:szCs w:val="28"/>
          <w:highlight w:val="none"/>
          <w:shd w:val="clear" w:color="auto" w:fill="FFFFFF"/>
        </w:rPr>
        <w:t>采购方式</w:t>
      </w:r>
      <w:r>
        <w:rPr>
          <w:rFonts w:hint="eastAsia" w:ascii="宋体" w:hAnsi="宋体" w:eastAsia="宋体" w:cs="宋体"/>
          <w:i w:val="0"/>
          <w:iCs w:val="0"/>
          <w:caps w:val="0"/>
          <w:color w:val="auto"/>
          <w:spacing w:val="0"/>
          <w:sz w:val="28"/>
          <w:szCs w:val="28"/>
          <w:highlight w:val="none"/>
          <w:shd w:val="clear" w:color="auto" w:fill="FFFFFF"/>
          <w:lang w:eastAsia="zh-CN"/>
        </w:rPr>
        <w:t>：</w:t>
      </w:r>
      <w:r>
        <w:rPr>
          <w:rFonts w:hint="eastAsia" w:ascii="宋体" w:hAnsi="宋体" w:eastAsia="宋体" w:cs="宋体"/>
          <w:i w:val="0"/>
          <w:iCs w:val="0"/>
          <w:caps w:val="0"/>
          <w:color w:val="auto"/>
          <w:spacing w:val="0"/>
          <w:sz w:val="28"/>
          <w:szCs w:val="28"/>
          <w:highlight w:val="none"/>
          <w:shd w:val="clear" w:color="auto" w:fill="FFFFFF"/>
        </w:rPr>
        <w:t xml:space="preserve">竞争性谈判 </w:t>
      </w:r>
    </w:p>
    <w:p w14:paraId="71EFEBED">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shd w:val="clear" w:color="auto" w:fill="FFFF00"/>
          <w:lang w:val="en-US"/>
        </w:rPr>
      </w:pPr>
      <w:r>
        <w:rPr>
          <w:rFonts w:hint="eastAsia" w:ascii="宋体" w:hAnsi="宋体" w:eastAsia="宋体" w:cs="宋体"/>
          <w:i w:val="0"/>
          <w:iCs w:val="0"/>
          <w:caps w:val="0"/>
          <w:color w:val="auto"/>
          <w:spacing w:val="0"/>
          <w:sz w:val="28"/>
          <w:szCs w:val="28"/>
          <w:highlight w:val="none"/>
          <w:shd w:val="clear" w:color="auto" w:fill="FFFFFF"/>
          <w:lang w:val="en-US" w:eastAsia="zh-CN"/>
        </w:rPr>
        <w:t>4.预算金额：159万元</w:t>
      </w:r>
    </w:p>
    <w:p w14:paraId="09C1F72F">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shd w:val="clear" w:color="auto" w:fill="FFFF00"/>
        </w:rPr>
      </w:pPr>
      <w:r>
        <w:rPr>
          <w:rFonts w:hint="eastAsia" w:ascii="宋体" w:hAnsi="宋体" w:eastAsia="宋体" w:cs="宋体"/>
          <w:i w:val="0"/>
          <w:iCs w:val="0"/>
          <w:caps w:val="0"/>
          <w:color w:val="auto"/>
          <w:spacing w:val="0"/>
          <w:sz w:val="28"/>
          <w:szCs w:val="28"/>
          <w:highlight w:val="none"/>
          <w:shd w:val="clear" w:color="auto" w:fill="FFFFFF"/>
          <w:lang w:val="en-US" w:eastAsia="zh-CN"/>
        </w:rPr>
        <w:t>5.</w:t>
      </w:r>
      <w:r>
        <w:rPr>
          <w:rFonts w:hint="eastAsia" w:ascii="宋体" w:hAnsi="宋体" w:eastAsia="宋体" w:cs="宋体"/>
          <w:i w:val="0"/>
          <w:iCs w:val="0"/>
          <w:caps w:val="0"/>
          <w:color w:val="auto"/>
          <w:spacing w:val="0"/>
          <w:sz w:val="28"/>
          <w:szCs w:val="28"/>
          <w:highlight w:val="none"/>
          <w:shd w:val="clear" w:color="auto" w:fill="FFFFFF"/>
        </w:rPr>
        <w:t>最高限价（如有）：</w:t>
      </w:r>
      <w:r>
        <w:rPr>
          <w:rFonts w:hint="eastAsia" w:ascii="宋体" w:hAnsi="宋体" w:eastAsia="宋体" w:cs="宋体"/>
          <w:i w:val="0"/>
          <w:iCs w:val="0"/>
          <w:caps w:val="0"/>
          <w:color w:val="auto"/>
          <w:spacing w:val="0"/>
          <w:sz w:val="28"/>
          <w:szCs w:val="28"/>
          <w:highlight w:val="none"/>
          <w:shd w:val="clear" w:color="auto" w:fill="FFFFFF"/>
          <w:lang w:val="en-US" w:eastAsia="zh-CN"/>
        </w:rPr>
        <w:t>159万元</w:t>
      </w:r>
    </w:p>
    <w:p w14:paraId="16F1513A">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rPr>
      </w:pPr>
      <w:r>
        <w:rPr>
          <w:rFonts w:hint="eastAsia" w:ascii="宋体" w:hAnsi="宋体" w:eastAsia="宋体" w:cs="宋体"/>
          <w:i w:val="0"/>
          <w:iCs w:val="0"/>
          <w:caps w:val="0"/>
          <w:color w:val="auto"/>
          <w:spacing w:val="0"/>
          <w:sz w:val="28"/>
          <w:szCs w:val="28"/>
          <w:highlight w:val="none"/>
          <w:shd w:val="clear" w:color="auto" w:fill="FFFFFF"/>
          <w:lang w:val="en-US" w:eastAsia="zh-CN"/>
        </w:rPr>
        <w:t>6</w:t>
      </w:r>
      <w:r>
        <w:rPr>
          <w:rFonts w:hint="eastAsia" w:ascii="宋体" w:hAnsi="宋体" w:eastAsia="宋体" w:cs="宋体"/>
          <w:i w:val="0"/>
          <w:iCs w:val="0"/>
          <w:caps w:val="0"/>
          <w:color w:val="auto"/>
          <w:spacing w:val="0"/>
          <w:sz w:val="28"/>
          <w:szCs w:val="28"/>
          <w:highlight w:val="none"/>
          <w:shd w:val="clear" w:color="auto" w:fill="FFFFFF"/>
        </w:rPr>
        <w:t>.采购需求（简介）：</w:t>
      </w:r>
      <w:r>
        <w:rPr>
          <w:rFonts w:hint="eastAsia" w:ascii="宋体" w:hAnsi="宋体" w:eastAsia="宋体" w:cs="宋体"/>
          <w:color w:val="auto"/>
          <w:sz w:val="28"/>
          <w:szCs w:val="28"/>
          <w:highlight w:val="none"/>
          <w:lang w:eastAsia="zh-CN"/>
        </w:rPr>
        <w:t>渔政执法船采购燃油项目，</w:t>
      </w:r>
      <w:r>
        <w:rPr>
          <w:rFonts w:hint="eastAsia" w:ascii="宋体" w:hAnsi="宋体" w:eastAsia="宋体" w:cs="宋体"/>
          <w:color w:val="auto"/>
          <w:sz w:val="28"/>
          <w:szCs w:val="28"/>
          <w:highlight w:val="none"/>
        </w:rPr>
        <w:t>详情见采购文件第四章“采购需求”</w:t>
      </w:r>
      <w:r>
        <w:rPr>
          <w:rFonts w:hint="eastAsia" w:ascii="宋体" w:hAnsi="宋体" w:eastAsia="宋体" w:cs="宋体"/>
          <w:i w:val="0"/>
          <w:iCs w:val="0"/>
          <w:caps w:val="0"/>
          <w:color w:val="auto"/>
          <w:spacing w:val="0"/>
          <w:sz w:val="28"/>
          <w:szCs w:val="28"/>
          <w:highlight w:val="none"/>
          <w:shd w:val="clear" w:color="auto" w:fill="FFFFFF"/>
        </w:rPr>
        <w:t>。</w:t>
      </w:r>
    </w:p>
    <w:p w14:paraId="010ECB11">
      <w:pPr>
        <w:pStyle w:val="30"/>
        <w:pageBreakBefore w:val="0"/>
        <w:spacing w:beforeAutospacing="0" w:afterAutospacing="0" w:line="440" w:lineRule="exact"/>
        <w:ind w:firstLine="480"/>
        <w:jc w:val="both"/>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7</w:t>
      </w:r>
      <w:r>
        <w:rPr>
          <w:rFonts w:hint="eastAsia" w:ascii="宋体" w:hAnsi="宋体" w:eastAsia="宋体" w:cs="宋体"/>
          <w:i w:val="0"/>
          <w:iCs w:val="0"/>
          <w:caps w:val="0"/>
          <w:color w:val="auto"/>
          <w:spacing w:val="0"/>
          <w:sz w:val="28"/>
          <w:szCs w:val="28"/>
          <w:highlight w:val="none"/>
          <w:shd w:val="clear" w:color="auto" w:fill="FFFFFF"/>
        </w:rPr>
        <w:t>.合同履行期限：自合同签订之日至本次采购燃油供应完成为止。</w:t>
      </w: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 </w:t>
      </w:r>
    </w:p>
    <w:p w14:paraId="46FF5FBA">
      <w:pPr>
        <w:pStyle w:val="30"/>
        <w:pageBreakBefore w:val="0"/>
        <w:spacing w:beforeAutospacing="0" w:afterAutospacing="0" w:line="440" w:lineRule="exact"/>
        <w:ind w:firstLine="480"/>
        <w:jc w:val="both"/>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8.本项目接受联合体参与谈判。</w:t>
      </w:r>
      <w:bookmarkStart w:id="13" w:name="_Toc28359003"/>
      <w:bookmarkStart w:id="14" w:name="_Toc35393791"/>
      <w:bookmarkStart w:id="15" w:name="_Toc35393622"/>
      <w:bookmarkStart w:id="16" w:name="_Toc28359080"/>
      <w:bookmarkStart w:id="17" w:name="_Toc38985264"/>
      <w:r>
        <w:rPr>
          <w:rFonts w:hint="eastAsia" w:ascii="宋体" w:hAnsi="宋体" w:eastAsia="宋体" w:cs="宋体"/>
          <w:i w:val="0"/>
          <w:iCs w:val="0"/>
          <w:caps w:val="0"/>
          <w:color w:val="auto"/>
          <w:spacing w:val="0"/>
          <w:sz w:val="28"/>
          <w:szCs w:val="28"/>
          <w:highlight w:val="none"/>
          <w:shd w:val="clear" w:color="auto" w:fill="FFFFFF"/>
          <w:lang w:val="en-US" w:eastAsia="zh-CN"/>
        </w:rPr>
        <w:t>以联合体形式投标的，联合体各成员单位应当具备与联合体协议中约定的分工相适应的资质和能力，并附有共同投标协议，协议中必须明确各成员的分工。联合体投标的，应满足下列要求：1.联合体成员不得超过2家。2.投标时需提交联合体协议作为要件之一，联合体协议中要载明联合体投标代表的牵头人，并声明联合体各方的权利和义务、相关工作范围，本项目采购人只针对联合体牵头人办理一切相关业务，所有响应文件以联合体牵头人签字盖章为准；3.如是联合体投标的，所有参与联合体投标的成员只能在本项目投标中参与一次，不得再以自己名义单独投标，也不得组成新的联合体或参加其他联合体在本项目中投标。</w:t>
      </w:r>
    </w:p>
    <w:p w14:paraId="7E0E372F">
      <w:pPr>
        <w:pStyle w:val="30"/>
        <w:pageBreakBefore w:val="0"/>
        <w:spacing w:beforeAutospacing="0" w:afterAutospacing="0" w:line="440" w:lineRule="exact"/>
        <w:ind w:firstLine="480"/>
        <w:jc w:val="both"/>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二、申请人的资格要求：</w:t>
      </w:r>
      <w:bookmarkEnd w:id="13"/>
      <w:bookmarkEnd w:id="14"/>
      <w:bookmarkEnd w:id="15"/>
      <w:bookmarkEnd w:id="16"/>
      <w:bookmarkEnd w:id="17"/>
    </w:p>
    <w:p w14:paraId="0EA13650">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（一）</w:t>
      </w:r>
      <w:r>
        <w:rPr>
          <w:rFonts w:hint="eastAsia" w:ascii="宋体" w:hAnsi="宋体" w:eastAsia="宋体" w:cs="宋体"/>
          <w:color w:val="auto"/>
          <w:sz w:val="28"/>
          <w:szCs w:val="28"/>
          <w:highlight w:val="none"/>
        </w:rPr>
        <w:t>满足《中华人民共和国政府采购法》第二十二条规定，并提供下列材料：</w:t>
      </w:r>
    </w:p>
    <w:p w14:paraId="0A34DB6F">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1.法人或者其他组织的营业执照等证明文件，自然人的身份证明；</w:t>
      </w:r>
    </w:p>
    <w:p w14:paraId="6CB559A5">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2.上一年度的财务状况报告（成立不满一年无需提供）；</w:t>
      </w:r>
    </w:p>
    <w:p w14:paraId="5A4676B7">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.具备履行合同所必需的设备和专业技术能力的书面声明；</w:t>
      </w:r>
    </w:p>
    <w:p w14:paraId="7778F585">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3CCB77A2">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5.参加政府采购活动前3年内在经营活动中没有重大违法记录的书面声明</w:t>
      </w:r>
      <w:r>
        <w:rPr>
          <w:rFonts w:hint="eastAsia" w:ascii="宋体" w:hAnsi="宋体" w:eastAsia="宋体" w:cs="宋体"/>
          <w:color w:val="auto"/>
          <w:sz w:val="28"/>
          <w:szCs w:val="28"/>
          <w:highlight w:val="none"/>
          <w:lang w:eastAsia="zh-CN"/>
        </w:rPr>
        <w:t>；</w:t>
      </w:r>
    </w:p>
    <w:p w14:paraId="786EABAB">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法律、行政法规规定的其他条件；</w:t>
      </w:r>
    </w:p>
    <w:p w14:paraId="23FAA17E">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7</w:t>
      </w:r>
      <w:r>
        <w:rPr>
          <w:rFonts w:hint="eastAsia" w:ascii="宋体" w:hAnsi="宋体" w:eastAsia="宋体" w:cs="宋体"/>
          <w:color w:val="auto"/>
          <w:sz w:val="28"/>
          <w:szCs w:val="28"/>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496CBB13">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8</w:t>
      </w:r>
      <w:r>
        <w:rPr>
          <w:rFonts w:hint="eastAsia" w:ascii="宋体" w:hAnsi="宋体" w:eastAsia="宋体" w:cs="宋体"/>
          <w:color w:val="auto"/>
          <w:sz w:val="28"/>
          <w:szCs w:val="28"/>
          <w:highlight w:val="none"/>
        </w:rPr>
        <w:t>.单位负责人为同一人或者存在直接控股、</w:t>
      </w:r>
      <w:r>
        <w:rPr>
          <w:rFonts w:hint="eastAsia" w:ascii="宋体" w:hAnsi="宋体" w:eastAsia="宋体" w:cs="宋体"/>
          <w:color w:val="auto"/>
          <w:sz w:val="28"/>
          <w:szCs w:val="28"/>
          <w:highlight w:val="none"/>
          <w:lang w:val="en-US" w:eastAsia="zh-CN"/>
        </w:rPr>
        <w:t>管理</w:t>
      </w:r>
      <w:r>
        <w:rPr>
          <w:rFonts w:hint="eastAsia" w:ascii="宋体" w:hAnsi="宋体" w:eastAsia="宋体" w:cs="宋体"/>
          <w:color w:val="auto"/>
          <w:sz w:val="28"/>
          <w:szCs w:val="28"/>
          <w:highlight w:val="none"/>
        </w:rPr>
        <w:t>关系的不同供应商，不得参加同一合同项下的政府采购活动。</w:t>
      </w:r>
    </w:p>
    <w:p w14:paraId="4CD22319">
      <w:pPr>
        <w:pStyle w:val="30"/>
        <w:pageBreakBefore w:val="0"/>
        <w:spacing w:beforeAutospacing="0" w:afterAutospacing="0" w:line="440" w:lineRule="exact"/>
        <w:ind w:firstLine="56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（二）</w:t>
      </w:r>
      <w:r>
        <w:rPr>
          <w:rFonts w:hint="eastAsia" w:ascii="宋体" w:hAnsi="宋体" w:eastAsia="宋体" w:cs="宋体"/>
          <w:color w:val="auto"/>
          <w:sz w:val="28"/>
          <w:szCs w:val="28"/>
          <w:highlight w:val="none"/>
        </w:rPr>
        <w:t>落实政府采购政策需满足的资格要求：本项目为非预留份额的采购项目或采购包，执行价格扣除优惠政策，所属行业为</w:t>
      </w:r>
      <w:r>
        <w:rPr>
          <w:rFonts w:hint="eastAsia" w:ascii="宋体" w:hAnsi="宋体" w:eastAsia="宋体" w:cs="宋体"/>
          <w:color w:val="auto"/>
          <w:sz w:val="28"/>
          <w:szCs w:val="28"/>
          <w:highlight w:val="none"/>
          <w:lang w:val="en-US" w:eastAsia="zh-CN"/>
        </w:rPr>
        <w:t>工</w:t>
      </w:r>
      <w:r>
        <w:rPr>
          <w:rFonts w:hint="eastAsia" w:ascii="宋体" w:hAnsi="宋体" w:eastAsia="宋体" w:cs="宋体"/>
          <w:color w:val="auto"/>
          <w:sz w:val="28"/>
          <w:szCs w:val="28"/>
          <w:highlight w:val="none"/>
        </w:rPr>
        <w:t>业</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给予小微型企业、监狱企业或残疾人福利性单位报价的20%扣除，用扣除后的价格参加评审。价格扣除比例对小型企业和微型企业同等对待，不作区分。监狱企业、残疾人福利单位属于小型、微型企业的，不重复享受政策。</w:t>
      </w:r>
    </w:p>
    <w:p w14:paraId="30717D8D">
      <w:pPr>
        <w:pStyle w:val="30"/>
        <w:pageBreakBefore w:val="0"/>
        <w:spacing w:beforeAutospacing="0" w:afterAutospacing="0" w:line="440" w:lineRule="exact"/>
        <w:ind w:firstLine="560"/>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（三）</w:t>
      </w:r>
      <w:r>
        <w:rPr>
          <w:rFonts w:hint="eastAsia" w:ascii="宋体" w:hAnsi="宋体" w:eastAsia="宋体" w:cs="宋体"/>
          <w:color w:val="auto"/>
          <w:sz w:val="28"/>
          <w:szCs w:val="28"/>
          <w:highlight w:val="none"/>
        </w:rPr>
        <w:t>本项目的特定资格要求</w:t>
      </w:r>
      <w:r>
        <w:rPr>
          <w:rFonts w:hint="eastAsia" w:ascii="宋体" w:hAnsi="宋体" w:eastAsia="宋体" w:cs="宋体"/>
          <w:color w:val="auto"/>
          <w:sz w:val="28"/>
          <w:szCs w:val="28"/>
          <w:highlight w:val="none"/>
          <w:lang w:eastAsia="zh-CN"/>
        </w:rPr>
        <w:t>：</w:t>
      </w:r>
    </w:p>
    <w:p w14:paraId="0C2DBBB5">
      <w:pPr>
        <w:pStyle w:val="30"/>
        <w:pageBreakBefore w:val="0"/>
        <w:spacing w:beforeAutospacing="0" w:afterAutospacing="0" w:line="440" w:lineRule="exact"/>
        <w:ind w:firstLine="560"/>
        <w:jc w:val="both"/>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（1）投标人具有《危险化学品经营许可证》。</w:t>
      </w:r>
    </w:p>
    <w:p w14:paraId="7097E146">
      <w:pPr>
        <w:pStyle w:val="30"/>
        <w:pageBreakBefore w:val="0"/>
        <w:spacing w:beforeAutospacing="0" w:afterAutospacing="0" w:line="440" w:lineRule="exact"/>
        <w:ind w:firstLine="560"/>
        <w:jc w:val="both"/>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（2）投标人具有有效期内的具有《成品油零售经营批准证书》或《成品油批发经营批准证书》。</w:t>
      </w:r>
    </w:p>
    <w:p w14:paraId="6E60F9D4">
      <w:pPr>
        <w:pStyle w:val="30"/>
        <w:keepNext/>
        <w:keepLines/>
        <w:pageBreakBefore w:val="0"/>
        <w:spacing w:before="145" w:beforeAutospacing="0" w:after="145" w:afterAutospacing="0" w:line="440" w:lineRule="exact"/>
        <w:ind w:firstLine="498"/>
        <w:jc w:val="both"/>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lang w:val="en-US" w:eastAsia="zh-CN"/>
        </w:rPr>
        <w:t>3</w:t>
      </w:r>
      <w:r>
        <w:rPr>
          <w:rFonts w:hint="eastAsia" w:ascii="宋体" w:hAnsi="宋体" w:eastAsia="宋体" w:cs="宋体"/>
          <w:b/>
          <w:color w:val="auto"/>
          <w:sz w:val="28"/>
          <w:szCs w:val="28"/>
          <w:highlight w:val="none"/>
          <w:lang w:eastAsia="zh-CN"/>
        </w:rPr>
        <w:t>）投标人须具有经营性道路危险货物运输经营范围的《道路运输经营许可证》。</w:t>
      </w:r>
    </w:p>
    <w:p w14:paraId="35DE239A">
      <w:pPr>
        <w:pStyle w:val="30"/>
        <w:keepNext/>
        <w:keepLines/>
        <w:pageBreakBefore w:val="0"/>
        <w:spacing w:before="145" w:beforeAutospacing="0" w:after="145" w:afterAutospacing="0" w:line="440" w:lineRule="exact"/>
        <w:ind w:firstLine="498"/>
        <w:jc w:val="both"/>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三、获取</w:t>
      </w:r>
      <w:r>
        <w:rPr>
          <w:rFonts w:hint="eastAsia" w:ascii="宋体" w:hAnsi="宋体" w:eastAsia="宋体" w:cs="宋体"/>
          <w:b/>
          <w:color w:val="auto"/>
          <w:sz w:val="28"/>
          <w:szCs w:val="28"/>
          <w:highlight w:val="none"/>
          <w:lang w:val="en-US" w:eastAsia="zh-CN"/>
        </w:rPr>
        <w:t>谈判</w:t>
      </w:r>
      <w:r>
        <w:rPr>
          <w:rFonts w:hint="eastAsia" w:ascii="宋体" w:hAnsi="宋体" w:eastAsia="宋体" w:cs="宋体"/>
          <w:b/>
          <w:color w:val="auto"/>
          <w:sz w:val="28"/>
          <w:szCs w:val="28"/>
          <w:highlight w:val="none"/>
        </w:rPr>
        <w:t>文件</w:t>
      </w:r>
    </w:p>
    <w:p w14:paraId="7023D13A">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rPr>
      </w:pPr>
      <w:bookmarkStart w:id="18" w:name="_Toc38985266"/>
      <w:bookmarkStart w:id="19" w:name="_Toc28359082"/>
      <w:bookmarkStart w:id="20" w:name="_Toc35393793"/>
      <w:bookmarkStart w:id="21" w:name="_Toc28359005"/>
      <w:bookmarkStart w:id="22" w:name="_Toc35393624"/>
      <w:r>
        <w:rPr>
          <w:rFonts w:hint="eastAsia" w:ascii="宋体" w:hAnsi="宋体" w:eastAsia="宋体" w:cs="宋体"/>
          <w:color w:val="auto"/>
          <w:sz w:val="28"/>
          <w:szCs w:val="28"/>
          <w:highlight w:val="none"/>
        </w:rPr>
        <w:t>1.时间：自谈判文件公告发布之日起3个工作日。</w:t>
      </w:r>
      <w:bookmarkEnd w:id="18"/>
      <w:bookmarkEnd w:id="19"/>
      <w:bookmarkEnd w:id="20"/>
      <w:bookmarkEnd w:id="21"/>
      <w:bookmarkEnd w:id="22"/>
    </w:p>
    <w:p w14:paraId="55DA08AB">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2.地点：“苏采云”系统内免费下载（投标人必须在苏采云系统中获取谈判文件，方能参与政府采购项目）。</w:t>
      </w:r>
    </w:p>
    <w:p w14:paraId="398DEC32">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3.方式：本项目采用网上注册登记方式。 </w:t>
      </w:r>
    </w:p>
    <w:p w14:paraId="12CE4695">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4.售价：0元</w:t>
      </w:r>
    </w:p>
    <w:p w14:paraId="756DD375">
      <w:pPr>
        <w:pStyle w:val="30"/>
        <w:keepNext/>
        <w:keepLines/>
        <w:pageBreakBefore w:val="0"/>
        <w:spacing w:before="145" w:beforeAutospacing="0" w:after="145" w:afterAutospacing="0" w:line="440" w:lineRule="exact"/>
        <w:ind w:firstLine="498"/>
        <w:jc w:val="both"/>
        <w:rPr>
          <w:rFonts w:hint="eastAsia" w:ascii="宋体" w:hAnsi="宋体" w:eastAsia="宋体" w:cs="宋体"/>
          <w:color w:val="auto"/>
          <w:sz w:val="28"/>
          <w:szCs w:val="28"/>
          <w:highlight w:val="none"/>
          <w:lang w:eastAsia="zh-CN"/>
        </w:rPr>
      </w:pPr>
      <w:r>
        <w:rPr>
          <w:rFonts w:hint="eastAsia" w:ascii="宋体" w:hAnsi="宋体" w:eastAsia="宋体" w:cs="宋体"/>
          <w:b/>
          <w:color w:val="auto"/>
          <w:sz w:val="28"/>
          <w:szCs w:val="28"/>
          <w:highlight w:val="none"/>
        </w:rPr>
        <w:t>四、响应文件</w:t>
      </w:r>
      <w:r>
        <w:rPr>
          <w:rFonts w:hint="eastAsia" w:ascii="宋体" w:hAnsi="宋体" w:eastAsia="宋体" w:cs="宋体"/>
          <w:b/>
          <w:color w:val="auto"/>
          <w:sz w:val="28"/>
          <w:szCs w:val="28"/>
          <w:highlight w:val="none"/>
          <w:lang w:val="en-US" w:eastAsia="zh-CN"/>
        </w:rPr>
        <w:t>提交</w:t>
      </w:r>
    </w:p>
    <w:p w14:paraId="3A706215">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1.截止时间：</w:t>
      </w:r>
      <w:r>
        <w:rPr>
          <w:rFonts w:hint="eastAsia" w:ascii="宋体" w:hAnsi="宋体" w:eastAsia="宋体" w:cs="宋体"/>
          <w:color w:val="FF0000"/>
          <w:sz w:val="28"/>
          <w:szCs w:val="28"/>
          <w:highlight w:val="none"/>
          <w:lang w:val="en-US" w:eastAsia="zh-CN"/>
        </w:rPr>
        <w:t>2026年10月14日9点00分</w:t>
      </w:r>
      <w:r>
        <w:rPr>
          <w:rFonts w:hint="eastAsia" w:ascii="宋体" w:hAnsi="宋体" w:eastAsia="宋体" w:cs="宋体"/>
          <w:color w:val="auto"/>
          <w:sz w:val="28"/>
          <w:szCs w:val="28"/>
          <w:highlight w:val="none"/>
          <w:lang w:val="en-US" w:eastAsia="zh-CN"/>
        </w:rPr>
        <w:t>（北京时间）。</w:t>
      </w:r>
    </w:p>
    <w:p w14:paraId="340D24F2">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2.地点：“苏采云”政府采购交易系统网上开标大厅。</w:t>
      </w:r>
    </w:p>
    <w:p w14:paraId="2272CECD">
      <w:pPr>
        <w:pStyle w:val="30"/>
        <w:keepNext/>
        <w:keepLines/>
        <w:pageBreakBefore w:val="0"/>
        <w:spacing w:before="145" w:beforeAutospacing="0" w:after="145" w:afterAutospacing="0" w:line="440" w:lineRule="exact"/>
        <w:ind w:firstLine="498"/>
        <w:jc w:val="both"/>
        <w:rPr>
          <w:rFonts w:hint="eastAsia" w:ascii="宋体" w:hAnsi="宋体" w:eastAsia="宋体" w:cs="宋体"/>
          <w:b/>
          <w:color w:val="auto"/>
          <w:sz w:val="28"/>
          <w:szCs w:val="28"/>
          <w:highlight w:val="none"/>
        </w:rPr>
      </w:pPr>
      <w:bookmarkStart w:id="23" w:name="_Toc38985268"/>
      <w:bookmarkStart w:id="24" w:name="_Toc35393626"/>
      <w:bookmarkStart w:id="25" w:name="_Toc35393795"/>
      <w:r>
        <w:rPr>
          <w:rFonts w:hint="eastAsia" w:ascii="宋体" w:hAnsi="宋体" w:eastAsia="宋体" w:cs="宋体"/>
          <w:b/>
          <w:color w:val="auto"/>
          <w:sz w:val="28"/>
          <w:szCs w:val="28"/>
          <w:highlight w:val="none"/>
        </w:rPr>
        <w:t>五、开启</w:t>
      </w:r>
    </w:p>
    <w:p w14:paraId="6F8B1A8C">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1.时间：</w:t>
      </w:r>
      <w:r>
        <w:rPr>
          <w:rFonts w:hint="eastAsia" w:ascii="宋体" w:hAnsi="宋体" w:eastAsia="宋体" w:cs="宋体"/>
          <w:color w:val="FF0000"/>
          <w:sz w:val="28"/>
          <w:szCs w:val="28"/>
          <w:highlight w:val="none"/>
          <w:lang w:val="en-US" w:eastAsia="zh-CN"/>
        </w:rPr>
        <w:t>2026年10月14日9点00分</w:t>
      </w:r>
      <w:r>
        <w:rPr>
          <w:rFonts w:hint="eastAsia" w:ascii="宋体" w:hAnsi="宋体" w:eastAsia="宋体" w:cs="宋体"/>
          <w:color w:val="auto"/>
          <w:sz w:val="28"/>
          <w:szCs w:val="28"/>
          <w:highlight w:val="none"/>
          <w:lang w:val="en-US" w:eastAsia="zh-CN"/>
        </w:rPr>
        <w:t>（北京时间）。</w:t>
      </w:r>
      <w:bookmarkEnd w:id="23"/>
      <w:bookmarkEnd w:id="24"/>
      <w:bookmarkEnd w:id="25"/>
    </w:p>
    <w:p w14:paraId="74ECB4A4">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2.地点：苏采云“不见面”开标大厅。</w:t>
      </w:r>
    </w:p>
    <w:p w14:paraId="1BCAA24F">
      <w:pPr>
        <w:pStyle w:val="30"/>
        <w:keepNext/>
        <w:keepLines/>
        <w:pageBreakBefore w:val="0"/>
        <w:spacing w:before="145" w:beforeAutospacing="0" w:after="145" w:afterAutospacing="0" w:line="440" w:lineRule="exact"/>
        <w:ind w:firstLine="498"/>
        <w:jc w:val="both"/>
        <w:rPr>
          <w:rFonts w:hint="eastAsia" w:ascii="宋体" w:hAnsi="宋体" w:eastAsia="宋体" w:cs="宋体"/>
          <w:b/>
          <w:color w:val="auto"/>
          <w:sz w:val="28"/>
          <w:szCs w:val="28"/>
          <w:highlight w:val="none"/>
          <w:lang w:val="en-US" w:eastAsia="zh-CN"/>
        </w:rPr>
      </w:pPr>
      <w:bookmarkStart w:id="26" w:name="_Toc28359094"/>
      <w:r>
        <w:rPr>
          <w:rFonts w:hint="eastAsia" w:ascii="宋体" w:hAnsi="宋体" w:eastAsia="宋体" w:cs="宋体"/>
          <w:b/>
          <w:color w:val="auto"/>
          <w:sz w:val="28"/>
          <w:szCs w:val="28"/>
          <w:highlight w:val="none"/>
          <w:lang w:val="en-US" w:eastAsia="zh-CN"/>
        </w:rPr>
        <w:t>六、公告期限</w:t>
      </w:r>
      <w:bookmarkEnd w:id="26"/>
    </w:p>
    <w:p w14:paraId="42405291">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自本公告发布之日起3个工作日。</w:t>
      </w:r>
    </w:p>
    <w:p w14:paraId="3622CF00">
      <w:pPr>
        <w:pStyle w:val="30"/>
        <w:keepNext/>
        <w:keepLines/>
        <w:pageBreakBefore w:val="0"/>
        <w:spacing w:before="145" w:beforeAutospacing="0" w:after="145" w:afterAutospacing="0" w:line="440" w:lineRule="exact"/>
        <w:ind w:firstLine="498"/>
        <w:jc w:val="both"/>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lang w:val="en-US" w:eastAsia="zh-CN"/>
        </w:rPr>
        <w:t>七</w:t>
      </w:r>
      <w:r>
        <w:rPr>
          <w:rFonts w:hint="eastAsia" w:ascii="宋体" w:hAnsi="宋体" w:eastAsia="宋体" w:cs="宋体"/>
          <w:b/>
          <w:color w:val="auto"/>
          <w:sz w:val="28"/>
          <w:szCs w:val="28"/>
          <w:highlight w:val="none"/>
        </w:rPr>
        <w:t>、其他补充事宜</w:t>
      </w:r>
    </w:p>
    <w:p w14:paraId="75C3F2B4">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bookmarkStart w:id="27" w:name="_Toc28359018"/>
      <w:r>
        <w:rPr>
          <w:rFonts w:hint="eastAsia" w:ascii="宋体" w:hAnsi="宋体" w:eastAsia="宋体" w:cs="宋体"/>
          <w:color w:val="auto"/>
          <w:sz w:val="28"/>
          <w:szCs w:val="28"/>
          <w:highlight w:val="none"/>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27BE2F7E">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领取CA和办理电子签章（请至盐城市盐都区府西路1号盐城市政务服务中心4楼盐城市公共资源交易中心11号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p>
    <w:p w14:paraId="702E090A">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2.潜在供应商访问电子招标响应交易平台的网络地址和方法： </w:t>
      </w:r>
    </w:p>
    <w:p w14:paraId="6DBDA929">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2.1“苏采云”系统用户注册--获取“CA 数字证书”--CA 绑定与登录--参与投 标--下载谈判文件（后缀名为“.kedt”）--将后缀名为“.kedt”的谈判文件导入政府采购客户端工具--制作响应文件--导出加密的响应文件（后缀名为 zip）--通过“苏采云”系统上传响应文件。具体见《“苏采云”系统供应商操作手册》 （手册下载地址：苏采云系统-右侧消息通知栏）。 </w:t>
      </w:r>
    </w:p>
    <w:p w14:paraId="5CBAA43A">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2.2潜在投标人访问“苏采云”系统方法：江苏省政府采购网首页-“苏采云”链接。 </w:t>
      </w:r>
    </w:p>
    <w:p w14:paraId="57D5B40C">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2.3谈判文件（后缀名为“.kedt”）、供应商操作手册及政府采购客户端 工具可通过“苏采云”系统相应链接进行下载。 </w:t>
      </w:r>
    </w:p>
    <w:p w14:paraId="0358494A">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2.4采购代理机构将数据电文形式的谈判文件加载至“苏采云”系统，供潜在供应商下载或者查阅。 </w:t>
      </w:r>
    </w:p>
    <w:p w14:paraId="3F675B1D">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2.5请潜在投标单位提前安装相应的控件（详见《“苏采云”系统供应商操作手册》）并使用谷歌浏览器登录“苏采云”系统参与不见面开评标。 </w:t>
      </w:r>
    </w:p>
    <w:p w14:paraId="1FE43E0D">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如潜在投标人未按上述要求操作，将自行承担所产生的风险。</w:t>
      </w:r>
    </w:p>
    <w:p w14:paraId="23412E9B">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3.有关本次谈判的事项若存在变动或修改，敬请及时关注“中国政府采购网”、“江苏政府采购网”、“盐城市政府采购网”发布的更正公告。</w:t>
      </w:r>
    </w:p>
    <w:p w14:paraId="4802D5F7">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参与采购活动供应商插入CA证书登录“苏采云”系统后选择具体项目，点击“我要参与”并签章提交《投标供应商确认函》提交《投标供应商确认函》日期视同为依法获取谈判文件日期。供应商须打印、保留《投标供应商确认函》，质疑时《投标供应商确认函》与质疑函一并提交；未依照谈判公告要求提交《投标供应商确认函》的供应商，视为未参与该项政府采购活动，不具备对该政府采购项目提出质疑的法定权利，但因供应商资格条件或获取谈判文件时间设定不符合有关法律法规规定等原因使供应商权益受损的除外。</w:t>
      </w:r>
    </w:p>
    <w:p w14:paraId="20F9DB7D">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5.本次谈判不收取谈判保证金，不收取质量保证金。</w:t>
      </w:r>
    </w:p>
    <w:p w14:paraId="64D9E476">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6.电子投标文件一份（通过系统提交）；纸质投标文件正本一份，副本贰份（评审结束后由成交候选人邮寄至（代理公司），未成交单位不需要提供）。</w:t>
      </w:r>
    </w:p>
    <w:p w14:paraId="5474CADD">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7.本项目支持节能环保产品（财库[2019]9号）、（财库[2019]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p>
    <w:p w14:paraId="27F8D9EA">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根据《关于在政府采购活动中应用第三方信用报告落实“信易购”应用场景的通知》（盐财购（2021）19号），第三方信用服务机构依据标准规范评定为AA级及以上的政府采购供应商，可免费获取采购文件，需提供信用管理部门备案的第三方信用报告，且信用报告通过“信用盐城网”可查实。</w:t>
      </w:r>
    </w:p>
    <w:p w14:paraId="1BDDAC89">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9.采购人应在采购文件中明确评审委员会启动异常低价投标（响应）审查的情形和具体要求，包括：</w:t>
      </w:r>
    </w:p>
    <w:p w14:paraId="378B7FA9">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（一）评审过程中出现下列情形之一的，评审委员会应当启动异常低价投标（响应）审查程序：</w:t>
      </w:r>
    </w:p>
    <w:p w14:paraId="2B281275">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1.投标（响应）报价低于全部通过符合性审查供应商投标（响应）报价平均值 50%的，即投标（响应）报价＜全部通过符合性审查供应商投标（响应）报价平均值×50%；</w:t>
      </w:r>
    </w:p>
    <w:p w14:paraId="0DB9283C">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2.投标（响应）报价低于通过符合性审查的次低报价供应商投标（响应）报价 50%的，即投标（响应）报价＜通过符合性审查的次低报价供应商投标（响应）报价×50%；</w:t>
      </w:r>
    </w:p>
    <w:p w14:paraId="62BFAEAB">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3.投标（响应）报价低于采购项目最高限价 45%的，即投标（响应）报价＜采购项目最高限价×45%；</w:t>
      </w:r>
    </w:p>
    <w:p w14:paraId="6A9C6405">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4.评审委员会认定的供应商报价过低、有可能影响产品质量或者不能诚信履约的其他情形。</w:t>
      </w:r>
    </w:p>
    <w:p w14:paraId="6AA076C0">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w:t>
      </w:r>
      <w:bookmarkStart w:id="184" w:name="_GoBack"/>
      <w:bookmarkEnd w:id="184"/>
      <w:r>
        <w:rPr>
          <w:rFonts w:hint="eastAsia" w:ascii="宋体" w:hAnsi="宋体" w:eastAsia="宋体" w:cs="宋体"/>
          <w:color w:val="auto"/>
          <w:sz w:val="28"/>
          <w:szCs w:val="28"/>
          <w:highlight w:val="none"/>
          <w:lang w:val="en-US" w:eastAsia="zh-CN"/>
        </w:rPr>
        <w:t>行判断。投标（响应）供应商不提供书面说明、证明材料，或者提供的书面说明、证明材料不能证明其报价合理性的，评审委员会应当将其作为无效投标（响应）处理。审查相关情况应当在评审报告中进行记录。</w:t>
      </w:r>
    </w:p>
    <w:p w14:paraId="61CE1747">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10.各投标人在投标截止时间前应当每天都上网查询，以便获取更新的澄清、修改、补充内容。凡涉及该项目的补充说明和修改，均以江苏政府采购网上的更正或补充通知为准。</w:t>
      </w:r>
    </w:p>
    <w:p w14:paraId="6C8536B4">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11.因供应商的系统环境、操作等原因导致报名、开评标过程中出现问题由供应商自行承担负责。</w:t>
      </w:r>
    </w:p>
    <w:p w14:paraId="32BECB63">
      <w:pPr>
        <w:pStyle w:val="30"/>
        <w:keepNext/>
        <w:keepLines/>
        <w:pageBreakBefore w:val="0"/>
        <w:spacing w:before="145" w:beforeAutospacing="0" w:after="145" w:afterAutospacing="0" w:line="440" w:lineRule="exact"/>
        <w:ind w:firstLine="498"/>
        <w:jc w:val="both"/>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八、凡对本次采购提出询问，请按以下方式联系。</w:t>
      </w:r>
      <w:bookmarkEnd w:id="27"/>
    </w:p>
    <w:p w14:paraId="1015C9FC">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1.采购人信息</w:t>
      </w:r>
    </w:p>
    <w:p w14:paraId="3ED16B15">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名    称：响水县农业综合行政执法大队  </w:t>
      </w:r>
    </w:p>
    <w:p w14:paraId="760A97AA">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地    址：响水县双园中路8号 </w:t>
      </w:r>
    </w:p>
    <w:p w14:paraId="4A9E67EC">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联 系 人：朱海鹏               </w:t>
      </w:r>
    </w:p>
    <w:p w14:paraId="5901515D">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联系方式：13611528766     </w:t>
      </w:r>
      <w:bookmarkStart w:id="28" w:name="_Toc28359009"/>
      <w:bookmarkEnd w:id="28"/>
      <w:r>
        <w:rPr>
          <w:rFonts w:hint="eastAsia" w:ascii="宋体" w:hAnsi="宋体" w:eastAsia="宋体" w:cs="宋体"/>
          <w:color w:val="auto"/>
          <w:sz w:val="28"/>
          <w:szCs w:val="28"/>
          <w:highlight w:val="none"/>
          <w:lang w:val="en-US" w:eastAsia="zh-CN"/>
        </w:rPr>
        <w:t xml:space="preserve">       </w:t>
      </w:r>
    </w:p>
    <w:p w14:paraId="074B5034">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2.采购代理机构信息</w:t>
      </w:r>
    </w:p>
    <w:p w14:paraId="788F4631">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bookmarkStart w:id="29" w:name="_Toc28359010"/>
      <w:bookmarkStart w:id="30" w:name="_Toc28359087"/>
      <w:r>
        <w:rPr>
          <w:rFonts w:hint="eastAsia" w:ascii="宋体" w:hAnsi="宋体" w:eastAsia="宋体" w:cs="宋体"/>
          <w:color w:val="auto"/>
          <w:sz w:val="28"/>
          <w:szCs w:val="28"/>
          <w:highlight w:val="none"/>
          <w:lang w:val="en-US" w:eastAsia="zh-CN"/>
        </w:rPr>
        <w:t>名    称：江苏千禾建设项目管理有限公司</w:t>
      </w:r>
    </w:p>
    <w:p w14:paraId="753F4967">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地    址：响水县长江路13号</w:t>
      </w:r>
    </w:p>
    <w:p w14:paraId="0C835DAF">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联 系 人：杨彬彬 </w:t>
      </w:r>
    </w:p>
    <w:p w14:paraId="49C7CE73">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联系方式：15061433452      </w:t>
      </w:r>
      <w:bookmarkEnd w:id="29"/>
      <w:bookmarkEnd w:id="30"/>
      <w:r>
        <w:rPr>
          <w:rFonts w:hint="eastAsia" w:ascii="宋体" w:hAnsi="宋体" w:eastAsia="宋体" w:cs="宋体"/>
          <w:color w:val="auto"/>
          <w:sz w:val="28"/>
          <w:szCs w:val="28"/>
          <w:highlight w:val="none"/>
          <w:lang w:val="en-US" w:eastAsia="zh-CN"/>
        </w:rPr>
        <w:t xml:space="preserve">            </w:t>
      </w:r>
    </w:p>
    <w:p w14:paraId="19DA4BB6">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bookmarkStart w:id="31" w:name="_Toc28359021"/>
      <w:r>
        <w:rPr>
          <w:rFonts w:hint="eastAsia" w:ascii="宋体" w:hAnsi="宋体" w:eastAsia="宋体" w:cs="宋体"/>
          <w:color w:val="auto"/>
          <w:sz w:val="28"/>
          <w:szCs w:val="28"/>
          <w:highlight w:val="none"/>
          <w:lang w:val="en-US" w:eastAsia="zh-CN"/>
        </w:rPr>
        <w:t>3.</w:t>
      </w:r>
      <w:bookmarkEnd w:id="31"/>
      <w:r>
        <w:rPr>
          <w:rFonts w:hint="eastAsia" w:ascii="宋体" w:hAnsi="宋体" w:eastAsia="宋体" w:cs="宋体"/>
          <w:color w:val="auto"/>
          <w:sz w:val="28"/>
          <w:szCs w:val="28"/>
          <w:highlight w:val="none"/>
          <w:lang w:val="en-US" w:eastAsia="zh-CN"/>
        </w:rPr>
        <w:t>项目联系方式</w:t>
      </w:r>
    </w:p>
    <w:p w14:paraId="37697E02">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项目联系人：杨彬彬 </w:t>
      </w:r>
    </w:p>
    <w:p w14:paraId="50CCB03E">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电　 　 话：15061433452　　</w:t>
      </w:r>
    </w:p>
    <w:p w14:paraId="1ACF4B6E">
      <w:pPr>
        <w:pStyle w:val="30"/>
        <w:pageBreakBefore w:val="0"/>
        <w:spacing w:beforeAutospacing="0" w:afterAutospacing="0" w:line="440" w:lineRule="exact"/>
        <w:ind w:firstLine="480"/>
        <w:jc w:val="right"/>
        <w:rPr>
          <w:rFonts w:hint="eastAsia" w:ascii="宋体" w:hAnsi="宋体" w:eastAsia="宋体" w:cs="宋体"/>
          <w:color w:val="auto"/>
          <w:sz w:val="28"/>
          <w:szCs w:val="28"/>
          <w:highlight w:val="none"/>
          <w:lang w:val="en-US" w:eastAsia="zh-CN"/>
        </w:rPr>
      </w:pPr>
    </w:p>
    <w:p w14:paraId="42F350FF">
      <w:pPr>
        <w:pStyle w:val="30"/>
        <w:pageBreakBefore w:val="0"/>
        <w:spacing w:beforeAutospacing="0" w:afterAutospacing="0" w:line="440" w:lineRule="exact"/>
        <w:ind w:firstLine="480"/>
        <w:jc w:val="center"/>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 </w:t>
      </w:r>
    </w:p>
    <w:p w14:paraId="71C1D7F4">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w:t>
      </w:r>
    </w:p>
    <w:p w14:paraId="6723F651">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w:t>
      </w:r>
    </w:p>
    <w:p w14:paraId="676200D9">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p>
    <w:p w14:paraId="1CE183E5">
      <w:pPr>
        <w:pStyle w:val="30"/>
        <w:pageBreakBefore w:val="0"/>
        <w:spacing w:beforeAutospacing="0" w:afterAutospacing="0" w:line="440" w:lineRule="exact"/>
        <w:ind w:firstLine="480"/>
        <w:jc w:val="both"/>
        <w:rPr>
          <w:rFonts w:hint="eastAsia" w:ascii="宋体" w:hAnsi="宋体" w:eastAsia="宋体" w:cs="宋体"/>
          <w:color w:val="auto"/>
          <w:sz w:val="28"/>
          <w:szCs w:val="28"/>
          <w:highlight w:val="none"/>
          <w:lang w:val="en-US" w:eastAsia="zh-CN"/>
        </w:rPr>
      </w:pPr>
      <w:bookmarkStart w:id="32" w:name="_Toc120614211"/>
    </w:p>
    <w:p w14:paraId="0539000E">
      <w:pPr>
        <w:pStyle w:val="30"/>
        <w:pageBreakBefore w:val="0"/>
        <w:spacing w:beforeAutospacing="0" w:afterAutospacing="0" w:line="440" w:lineRule="exact"/>
        <w:ind w:firstLine="0"/>
        <w:jc w:val="both"/>
        <w:rPr>
          <w:rFonts w:hint="eastAsia" w:ascii="宋体" w:hAnsi="宋体" w:eastAsia="宋体" w:cs="宋体"/>
          <w:color w:val="auto"/>
          <w:sz w:val="28"/>
          <w:szCs w:val="28"/>
          <w:highlight w:val="none"/>
          <w:lang w:val="en-US" w:eastAsia="zh-CN"/>
        </w:rPr>
      </w:pPr>
    </w:p>
    <w:p w14:paraId="7F9D2FBD">
      <w:pPr>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br w:type="page"/>
      </w:r>
    </w:p>
    <w:p w14:paraId="4026862B">
      <w:pPr>
        <w:pStyle w:val="30"/>
        <w:keepNext/>
        <w:pageBreakBefore w:val="0"/>
        <w:spacing w:beforeAutospacing="0" w:afterAutospacing="0" w:line="440" w:lineRule="exact"/>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lang w:val="en-US" w:eastAsia="zh-CN"/>
        </w:rPr>
        <w:t>第二章</w:t>
      </w:r>
      <w:r>
        <w:rPr>
          <w:rFonts w:hint="eastAsia" w:ascii="黑体" w:hAnsi="宋体" w:eastAsia="黑体" w:cs="黑体"/>
          <w:color w:val="auto"/>
          <w:sz w:val="44"/>
          <w:szCs w:val="44"/>
          <w:highlight w:val="none"/>
        </w:rPr>
        <w:t xml:space="preserve">  </w:t>
      </w:r>
      <w:bookmarkEnd w:id="32"/>
      <w:r>
        <w:rPr>
          <w:rFonts w:hint="eastAsia" w:ascii="黑体" w:hAnsi="宋体" w:eastAsia="黑体" w:cs="黑体"/>
          <w:color w:val="auto"/>
          <w:sz w:val="44"/>
          <w:szCs w:val="44"/>
          <w:highlight w:val="none"/>
        </w:rPr>
        <w:t>供应商须知</w:t>
      </w:r>
    </w:p>
    <w:p w14:paraId="51DB4B94">
      <w:pPr>
        <w:pStyle w:val="30"/>
        <w:keepNext/>
        <w:keepLines/>
        <w:pageBreakBefore w:val="0"/>
        <w:spacing w:before="145" w:beforeAutospacing="0" w:after="145" w:afterAutospacing="0" w:line="440" w:lineRule="exact"/>
        <w:ind w:firstLine="498"/>
        <w:jc w:val="both"/>
        <w:rPr>
          <w:color w:val="auto"/>
          <w:highlight w:val="none"/>
        </w:rPr>
      </w:pPr>
      <w:bookmarkStart w:id="33" w:name="_Toc120614214"/>
      <w:bookmarkStart w:id="34" w:name="_Toc16938519"/>
      <w:bookmarkStart w:id="35" w:name="_Toc20823275"/>
      <w:bookmarkStart w:id="36" w:name="_Toc513029203"/>
      <w:r>
        <w:rPr>
          <w:rFonts w:ascii="Times New Roman" w:hAnsi="Times New Roman"/>
          <w:b/>
          <w:color w:val="auto"/>
          <w:sz w:val="32"/>
          <w:szCs w:val="32"/>
          <w:highlight w:val="none"/>
        </w:rPr>
        <w:t>一、总则</w:t>
      </w:r>
      <w:bookmarkEnd w:id="33"/>
      <w:bookmarkEnd w:id="34"/>
      <w:bookmarkEnd w:id="35"/>
      <w:bookmarkEnd w:id="36"/>
    </w:p>
    <w:p w14:paraId="5E6509FE">
      <w:pPr>
        <w:pStyle w:val="30"/>
        <w:keepNext/>
        <w:keepLines/>
        <w:pageBreakBefore w:val="0"/>
        <w:spacing w:beforeAutospacing="0" w:afterAutospacing="0" w:line="440" w:lineRule="exact"/>
        <w:ind w:firstLine="420"/>
        <w:jc w:val="both"/>
        <w:rPr>
          <w:color w:val="auto"/>
          <w:highlight w:val="none"/>
        </w:rPr>
      </w:pPr>
      <w:bookmarkStart w:id="37" w:name="_Toc20823276"/>
      <w:bookmarkStart w:id="38" w:name="_Toc513029204"/>
      <w:bookmarkStart w:id="39" w:name="_Toc16938520"/>
      <w:bookmarkStart w:id="40" w:name="_Toc458694821"/>
      <w:bookmarkStart w:id="41" w:name="_Hlt16619475"/>
      <w:r>
        <w:rPr>
          <w:rFonts w:ascii="Arial" w:hAnsi="Arial" w:cs="Arial"/>
          <w:color w:val="auto"/>
          <w:sz w:val="28"/>
          <w:szCs w:val="28"/>
          <w:highlight w:val="none"/>
        </w:rPr>
        <w:t>1</w:t>
      </w:r>
      <w:bookmarkEnd w:id="37"/>
      <w:r>
        <w:rPr>
          <w:rFonts w:ascii="Arial" w:hAnsi="Arial" w:cs="Arial"/>
          <w:color w:val="auto"/>
          <w:sz w:val="28"/>
          <w:szCs w:val="28"/>
          <w:highlight w:val="none"/>
        </w:rPr>
        <w:t>、采购方式</w:t>
      </w:r>
      <w:bookmarkEnd w:id="38"/>
      <w:bookmarkEnd w:id="39"/>
      <w:bookmarkEnd w:id="40"/>
    </w:p>
    <w:p w14:paraId="115B0329">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1.1 本次政府采购活动采取竞争性谈判</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以下简称谈判</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方式，本谈判文件仅适用于谈判公告中所述项目。</w:t>
      </w:r>
    </w:p>
    <w:p w14:paraId="1D515C45">
      <w:pPr>
        <w:pStyle w:val="30"/>
        <w:keepNext/>
        <w:keepLines/>
        <w:pageBreakBefore w:val="0"/>
        <w:spacing w:beforeAutospacing="0" w:afterAutospacing="0" w:line="440" w:lineRule="exact"/>
        <w:ind w:firstLine="420"/>
        <w:jc w:val="both"/>
        <w:rPr>
          <w:color w:val="auto"/>
          <w:highlight w:val="none"/>
        </w:rPr>
      </w:pPr>
      <w:bookmarkStart w:id="42" w:name="_Toc16938521"/>
      <w:bookmarkStart w:id="43" w:name="_Toc20823277"/>
      <w:bookmarkStart w:id="44" w:name="_Toc513029205"/>
      <w:r>
        <w:rPr>
          <w:rFonts w:ascii="Arial" w:hAnsi="Arial" w:cs="Arial"/>
          <w:color w:val="auto"/>
          <w:sz w:val="28"/>
          <w:szCs w:val="28"/>
          <w:highlight w:val="none"/>
        </w:rPr>
        <w:t>2、合格的</w:t>
      </w:r>
      <w:bookmarkEnd w:id="42"/>
      <w:bookmarkEnd w:id="43"/>
      <w:bookmarkEnd w:id="44"/>
      <w:r>
        <w:rPr>
          <w:rFonts w:ascii="Arial" w:hAnsi="Arial" w:cs="Arial"/>
          <w:color w:val="auto"/>
          <w:sz w:val="28"/>
          <w:szCs w:val="28"/>
          <w:highlight w:val="none"/>
        </w:rPr>
        <w:t>供应商</w:t>
      </w:r>
    </w:p>
    <w:p w14:paraId="78149033">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2.1满足谈判公告中供应商资格要求的规定。</w:t>
      </w:r>
    </w:p>
    <w:p w14:paraId="47B6A71F">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2.2 满足本谈判文件实质性要求和条件的规定。</w:t>
      </w:r>
    </w:p>
    <w:p w14:paraId="499B9280">
      <w:pPr>
        <w:pStyle w:val="30"/>
        <w:keepNext/>
        <w:keepLines/>
        <w:pageBreakBefore w:val="0"/>
        <w:spacing w:beforeAutospacing="0" w:afterAutospacing="0" w:line="440" w:lineRule="exact"/>
        <w:ind w:firstLine="420"/>
        <w:jc w:val="both"/>
        <w:rPr>
          <w:color w:val="auto"/>
          <w:highlight w:val="none"/>
        </w:rPr>
      </w:pPr>
      <w:bookmarkStart w:id="45" w:name="_Toc513029206"/>
      <w:bookmarkStart w:id="46" w:name="_Toc16938522"/>
      <w:bookmarkStart w:id="47" w:name="_Toc20823278"/>
      <w:r>
        <w:rPr>
          <w:rFonts w:ascii="Arial" w:hAnsi="Arial" w:cs="Arial"/>
          <w:color w:val="auto"/>
          <w:sz w:val="28"/>
          <w:szCs w:val="28"/>
          <w:highlight w:val="none"/>
        </w:rPr>
        <w:t>3、适用法律</w:t>
      </w:r>
      <w:bookmarkEnd w:id="45"/>
      <w:bookmarkEnd w:id="46"/>
      <w:bookmarkEnd w:id="47"/>
    </w:p>
    <w:p w14:paraId="24C2549F">
      <w:pPr>
        <w:pStyle w:val="30"/>
        <w:pageBreakBefore w:val="0"/>
        <w:spacing w:beforeAutospacing="0" w:afterAutospacing="0" w:line="440" w:lineRule="exact"/>
        <w:ind w:firstLine="420"/>
        <w:jc w:val="both"/>
        <w:rPr>
          <w:color w:val="auto"/>
          <w:highlight w:val="none"/>
        </w:rPr>
      </w:pPr>
      <w:r>
        <w:rPr>
          <w:rFonts w:hint="eastAsia" w:ascii="宋体" w:hAnsi="宋体" w:eastAsia="宋体" w:cs="宋体"/>
          <w:color w:val="auto"/>
          <w:highlight w:val="none"/>
        </w:rPr>
        <w:t>3.1本次谈判及由此产生的合同受中华人民共和国有关的法律法规制约和保护。</w:t>
      </w:r>
    </w:p>
    <w:p w14:paraId="1E3C640C">
      <w:pPr>
        <w:pStyle w:val="30"/>
        <w:keepNext/>
        <w:keepLines/>
        <w:pageBreakBefore w:val="0"/>
        <w:spacing w:beforeAutospacing="0" w:afterAutospacing="0" w:line="440" w:lineRule="exact"/>
        <w:ind w:firstLine="420"/>
        <w:jc w:val="both"/>
        <w:rPr>
          <w:color w:val="auto"/>
          <w:highlight w:val="none"/>
        </w:rPr>
      </w:pPr>
      <w:bookmarkStart w:id="48" w:name="_Toc20823279"/>
      <w:bookmarkStart w:id="49" w:name="_Toc462564067"/>
      <w:bookmarkStart w:id="50" w:name="_Toc16938523"/>
      <w:bookmarkStart w:id="51" w:name="_Toc513029207"/>
      <w:r>
        <w:rPr>
          <w:rFonts w:ascii="Arial" w:hAnsi="Arial" w:cs="Arial"/>
          <w:color w:val="auto"/>
          <w:sz w:val="28"/>
          <w:szCs w:val="28"/>
          <w:highlight w:val="none"/>
        </w:rPr>
        <w:t>4、谈判费用</w:t>
      </w:r>
      <w:bookmarkEnd w:id="48"/>
      <w:bookmarkEnd w:id="49"/>
      <w:bookmarkEnd w:id="50"/>
      <w:bookmarkEnd w:id="51"/>
    </w:p>
    <w:p w14:paraId="0EBEFF85">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4.1供应商应自行承担所有与参加本次谈判有关的费用，无论谈判过程中的做法和结果如何，</w:t>
      </w:r>
      <w:r>
        <w:rPr>
          <w:rFonts w:hint="eastAsia" w:ascii="宋体" w:hAnsi="宋体" w:eastAsia="宋体" w:cs="宋体"/>
          <w:color w:val="auto"/>
          <w:highlight w:val="none"/>
          <w:lang w:val="en-US" w:eastAsia="zh-CN"/>
        </w:rPr>
        <w:t>江苏千禾建设项目管理有限公司</w:t>
      </w:r>
      <w:r>
        <w:rPr>
          <w:rFonts w:hint="eastAsia" w:ascii="宋体" w:hAnsi="宋体" w:eastAsia="宋体" w:cs="宋体"/>
          <w:color w:val="auto"/>
          <w:highlight w:val="none"/>
        </w:rPr>
        <w:t>（以下简称</w:t>
      </w:r>
      <w:r>
        <w:rPr>
          <w:rFonts w:hint="eastAsia" w:ascii="宋体" w:hAnsi="宋体" w:eastAsia="宋体" w:cs="宋体"/>
          <w:color w:val="auto"/>
          <w:highlight w:val="none"/>
          <w:lang w:val="en-US" w:eastAsia="zh-CN"/>
        </w:rPr>
        <w:t>代理机构</w:t>
      </w:r>
      <w:r>
        <w:rPr>
          <w:rFonts w:hint="eastAsia" w:ascii="宋体" w:hAnsi="宋体" w:eastAsia="宋体" w:cs="宋体"/>
          <w:color w:val="auto"/>
          <w:highlight w:val="none"/>
        </w:rPr>
        <w:t>）在任何情况下均无义务和责任承担这些费用。</w:t>
      </w:r>
    </w:p>
    <w:p w14:paraId="7C07005B">
      <w:pPr>
        <w:pStyle w:val="30"/>
        <w:pageBreakBefore w:val="0"/>
        <w:spacing w:beforeAutospacing="0" w:afterAutospacing="0" w:line="44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4.2本次谈判</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和采购人不收取标书工本费与成交服务费。</w:t>
      </w:r>
    </w:p>
    <w:p w14:paraId="5091DCD4">
      <w:pPr>
        <w:pStyle w:val="30"/>
        <w:pageBreakBefore w:val="0"/>
        <w:spacing w:beforeAutospacing="0" w:afterAutospacing="0" w:line="440" w:lineRule="exact"/>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4.3</w:t>
      </w:r>
      <w:r>
        <w:rPr>
          <w:rFonts w:hint="eastAsia" w:ascii="宋体" w:hAnsi="宋体" w:eastAsia="宋体" w:cs="宋体"/>
          <w:color w:val="auto"/>
          <w:highlight w:val="none"/>
        </w:rPr>
        <w:t>代理费用按发改价格【2022】002号文标准收取，由成交供应商领取成交通知书时一次性支付给代理机构；支付方式：现金或者转账</w:t>
      </w:r>
      <w:r>
        <w:rPr>
          <w:rFonts w:hint="eastAsia" w:ascii="宋体" w:hAnsi="宋体" w:eastAsia="宋体" w:cs="宋体"/>
          <w:color w:val="auto"/>
          <w:highlight w:val="none"/>
          <w:lang w:eastAsia="zh-CN"/>
        </w:rPr>
        <w:t>。</w:t>
      </w:r>
    </w:p>
    <w:p w14:paraId="04AFF686">
      <w:pPr>
        <w:pStyle w:val="30"/>
        <w:keepNext/>
        <w:keepLines/>
        <w:pageBreakBefore w:val="0"/>
        <w:spacing w:beforeAutospacing="0" w:afterAutospacing="0" w:line="440" w:lineRule="exact"/>
        <w:ind w:firstLine="301"/>
        <w:jc w:val="both"/>
        <w:rPr>
          <w:color w:val="auto"/>
          <w:highlight w:val="none"/>
        </w:rPr>
      </w:pPr>
      <w:r>
        <w:rPr>
          <w:rFonts w:hint="eastAsia" w:ascii="宋体" w:hAnsi="宋体" w:eastAsia="宋体" w:cs="宋体"/>
          <w:b/>
          <w:color w:val="auto"/>
          <w:sz w:val="30"/>
          <w:szCs w:val="30"/>
          <w:highlight w:val="none"/>
        </w:rPr>
        <w:t>5、</w:t>
      </w:r>
      <w:r>
        <w:rPr>
          <w:rFonts w:hint="eastAsia" w:ascii="黑体" w:hAnsi="宋体" w:eastAsia="黑体" w:cs="黑体"/>
          <w:color w:val="auto"/>
          <w:sz w:val="28"/>
          <w:szCs w:val="28"/>
          <w:highlight w:val="none"/>
        </w:rPr>
        <w:t>谈判文件的约束力</w:t>
      </w:r>
    </w:p>
    <w:p w14:paraId="2B91B25B">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5.1供应商一旦参加本项目采购活动，即被认为接受了本谈判文件的规定和约束。</w:t>
      </w:r>
    </w:p>
    <w:p w14:paraId="056CCAB7">
      <w:pPr>
        <w:pStyle w:val="30"/>
        <w:keepNext/>
        <w:keepLines/>
        <w:pageBreakBefore w:val="0"/>
        <w:spacing w:before="145" w:beforeAutospacing="0" w:after="145" w:afterAutospacing="0" w:line="440" w:lineRule="exact"/>
        <w:ind w:firstLine="321"/>
        <w:jc w:val="both"/>
        <w:rPr>
          <w:color w:val="auto"/>
          <w:highlight w:val="none"/>
        </w:rPr>
      </w:pPr>
      <w:bookmarkStart w:id="52" w:name="_Toc20823281"/>
      <w:bookmarkStart w:id="53" w:name="_Toc16938525"/>
      <w:bookmarkStart w:id="54" w:name="_Toc120614215"/>
      <w:bookmarkStart w:id="55" w:name="_Toc513029209"/>
      <w:r>
        <w:rPr>
          <w:rFonts w:ascii="Times New Roman" w:hAnsi="Times New Roman"/>
          <w:b/>
          <w:color w:val="auto"/>
          <w:sz w:val="32"/>
          <w:szCs w:val="32"/>
          <w:highlight w:val="none"/>
        </w:rPr>
        <w:t>二、</w:t>
      </w:r>
      <w:bookmarkEnd w:id="52"/>
      <w:bookmarkEnd w:id="53"/>
      <w:bookmarkEnd w:id="54"/>
      <w:bookmarkEnd w:id="55"/>
      <w:r>
        <w:rPr>
          <w:rFonts w:ascii="Times New Roman" w:hAnsi="Times New Roman"/>
          <w:b/>
          <w:color w:val="auto"/>
          <w:sz w:val="32"/>
          <w:szCs w:val="32"/>
          <w:highlight w:val="none"/>
        </w:rPr>
        <w:t>谈判文件</w:t>
      </w:r>
    </w:p>
    <w:p w14:paraId="76ADEC4D">
      <w:pPr>
        <w:pStyle w:val="30"/>
        <w:keepNext/>
        <w:keepLines/>
        <w:pageBreakBefore w:val="0"/>
        <w:spacing w:beforeAutospacing="0" w:afterAutospacing="0" w:line="440" w:lineRule="exact"/>
        <w:ind w:firstLine="420"/>
        <w:jc w:val="both"/>
        <w:rPr>
          <w:color w:val="auto"/>
          <w:highlight w:val="none"/>
        </w:rPr>
      </w:pPr>
      <w:bookmarkStart w:id="56" w:name="_Toc16938526"/>
      <w:bookmarkStart w:id="57" w:name="_Toc20823282"/>
      <w:bookmarkStart w:id="58" w:name="_Toc513029210"/>
      <w:r>
        <w:rPr>
          <w:rFonts w:ascii="Arial" w:hAnsi="Arial" w:cs="Arial"/>
          <w:color w:val="auto"/>
          <w:sz w:val="28"/>
          <w:szCs w:val="28"/>
          <w:highlight w:val="none"/>
        </w:rPr>
        <w:t>6、谈判文件构成</w:t>
      </w:r>
      <w:bookmarkEnd w:id="56"/>
      <w:bookmarkEnd w:id="57"/>
      <w:bookmarkEnd w:id="58"/>
    </w:p>
    <w:p w14:paraId="718B5300">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6.1谈判文件由以下部分组成：</w:t>
      </w:r>
    </w:p>
    <w:p w14:paraId="4FF6F610">
      <w:pPr>
        <w:pStyle w:val="30"/>
        <w:pageBreakBefore w:val="0"/>
        <w:spacing w:beforeAutospacing="0" w:afterAutospacing="0" w:line="440" w:lineRule="exact"/>
        <w:ind w:firstLine="360"/>
        <w:jc w:val="both"/>
        <w:rPr>
          <w:rFonts w:hint="eastAsia" w:eastAsia="宋体"/>
          <w:color w:val="auto"/>
          <w:highlight w:val="none"/>
          <w:lang w:eastAsia="zh-CN"/>
        </w:rPr>
      </w:pPr>
      <w:r>
        <w:rPr>
          <w:rFonts w:hint="eastAsia" w:ascii="宋体" w:hAnsi="宋体" w:eastAsia="宋体" w:cs="宋体"/>
          <w:color w:val="auto"/>
          <w:highlight w:val="none"/>
        </w:rPr>
        <w:t>（1）谈判</w:t>
      </w:r>
      <w:r>
        <w:rPr>
          <w:rFonts w:hint="eastAsia" w:ascii="宋体" w:hAnsi="宋体" w:eastAsia="宋体" w:cs="宋体"/>
          <w:color w:val="auto"/>
          <w:highlight w:val="none"/>
          <w:lang w:val="en-US" w:eastAsia="zh-CN"/>
        </w:rPr>
        <w:t>公告</w:t>
      </w:r>
    </w:p>
    <w:p w14:paraId="13946EA0">
      <w:pPr>
        <w:pStyle w:val="30"/>
        <w:pageBreakBefore w:val="0"/>
        <w:spacing w:beforeAutospacing="0" w:afterAutospacing="0" w:line="440" w:lineRule="exact"/>
        <w:ind w:firstLine="360"/>
        <w:jc w:val="both"/>
        <w:rPr>
          <w:color w:val="auto"/>
          <w:highlight w:val="none"/>
        </w:rPr>
      </w:pPr>
      <w:r>
        <w:rPr>
          <w:rFonts w:hint="eastAsia" w:ascii="宋体" w:hAnsi="宋体" w:eastAsia="宋体" w:cs="宋体"/>
          <w:color w:val="auto"/>
          <w:highlight w:val="none"/>
        </w:rPr>
        <w:t>（2）供应商须知</w:t>
      </w:r>
    </w:p>
    <w:p w14:paraId="2614FB9F">
      <w:pPr>
        <w:pStyle w:val="30"/>
        <w:pageBreakBefore w:val="0"/>
        <w:spacing w:beforeAutospacing="0" w:afterAutospacing="0" w:line="440" w:lineRule="exact"/>
        <w:ind w:firstLine="360"/>
        <w:jc w:val="both"/>
        <w:rPr>
          <w:color w:val="auto"/>
          <w:highlight w:val="none"/>
        </w:rPr>
      </w:pPr>
      <w:r>
        <w:rPr>
          <w:rFonts w:hint="eastAsia" w:ascii="宋体" w:hAnsi="宋体" w:eastAsia="宋体" w:cs="宋体"/>
          <w:color w:val="auto"/>
          <w:highlight w:val="none"/>
        </w:rPr>
        <w:t>（3）合同文本</w:t>
      </w:r>
    </w:p>
    <w:p w14:paraId="2D9027BC">
      <w:pPr>
        <w:pStyle w:val="30"/>
        <w:pageBreakBefore w:val="0"/>
        <w:spacing w:beforeAutospacing="0" w:afterAutospacing="0" w:line="440" w:lineRule="exact"/>
        <w:ind w:firstLine="360"/>
        <w:jc w:val="both"/>
        <w:rPr>
          <w:color w:val="auto"/>
          <w:highlight w:val="none"/>
        </w:rPr>
      </w:pPr>
      <w:r>
        <w:rPr>
          <w:rFonts w:hint="eastAsia" w:ascii="宋体" w:hAnsi="宋体" w:eastAsia="宋体" w:cs="宋体"/>
          <w:color w:val="auto"/>
          <w:highlight w:val="none"/>
        </w:rPr>
        <w:t>（4）采购需求</w:t>
      </w:r>
    </w:p>
    <w:p w14:paraId="1672BCDE">
      <w:pPr>
        <w:pStyle w:val="30"/>
        <w:pageBreakBefore w:val="0"/>
        <w:spacing w:beforeAutospacing="0" w:afterAutospacing="0" w:line="440" w:lineRule="exact"/>
        <w:ind w:firstLine="360"/>
        <w:jc w:val="both"/>
        <w:rPr>
          <w:color w:val="auto"/>
          <w:highlight w:val="none"/>
        </w:rPr>
      </w:pPr>
      <w:r>
        <w:rPr>
          <w:rFonts w:hint="eastAsia" w:ascii="宋体" w:hAnsi="宋体" w:eastAsia="宋体" w:cs="宋体"/>
          <w:color w:val="auto"/>
          <w:highlight w:val="none"/>
        </w:rPr>
        <w:t>（5）响应文件格式</w:t>
      </w:r>
    </w:p>
    <w:p w14:paraId="235EE6C0">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请仔细检查谈判文件是否齐全，如有缺漏请立即与</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联系解决。</w:t>
      </w:r>
    </w:p>
    <w:p w14:paraId="7A8D725F">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p>
    <w:p w14:paraId="13D769F4">
      <w:pPr>
        <w:pStyle w:val="30"/>
        <w:keepNext/>
        <w:keepLines/>
        <w:pageBreakBefore w:val="0"/>
        <w:spacing w:beforeAutospacing="0" w:afterAutospacing="0" w:line="440" w:lineRule="exact"/>
        <w:ind w:firstLine="560"/>
        <w:jc w:val="both"/>
        <w:rPr>
          <w:color w:val="auto"/>
          <w:highlight w:val="none"/>
        </w:rPr>
      </w:pPr>
      <w:bookmarkStart w:id="59" w:name="_Toc462564070"/>
      <w:bookmarkStart w:id="60" w:name="_Toc20823283"/>
      <w:bookmarkStart w:id="61" w:name="_Toc513029211"/>
      <w:bookmarkStart w:id="62" w:name="_Toc16938527"/>
      <w:r>
        <w:rPr>
          <w:rFonts w:ascii="Arial" w:hAnsi="Arial" w:cs="Arial"/>
          <w:color w:val="auto"/>
          <w:sz w:val="28"/>
          <w:szCs w:val="28"/>
          <w:highlight w:val="none"/>
        </w:rPr>
        <w:t>7、谈判文件的澄清</w:t>
      </w:r>
      <w:bookmarkEnd w:id="59"/>
      <w:bookmarkEnd w:id="60"/>
      <w:bookmarkEnd w:id="61"/>
      <w:bookmarkEnd w:id="62"/>
    </w:p>
    <w:p w14:paraId="70A81501">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7.1 任何要求对谈判文件进行澄清的供应商，应在谈判截止期3个工作日前按谈判公告中的通讯地址，以书面形式通知</w:t>
      </w:r>
      <w:r>
        <w:rPr>
          <w:rFonts w:hint="eastAsia" w:ascii="宋体" w:hAnsi="宋体" w:eastAsia="宋体" w:cs="宋体"/>
          <w:color w:val="auto"/>
          <w:highlight w:val="none"/>
          <w:lang w:val="en-US" w:eastAsia="zh-CN"/>
        </w:rPr>
        <w:t>采购人或</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w:t>
      </w:r>
    </w:p>
    <w:p w14:paraId="1692AD77">
      <w:pPr>
        <w:pStyle w:val="30"/>
        <w:keepNext/>
        <w:keepLines/>
        <w:pageBreakBefore w:val="0"/>
        <w:spacing w:beforeAutospacing="0" w:afterAutospacing="0" w:line="440" w:lineRule="exact"/>
        <w:ind w:firstLine="560"/>
        <w:jc w:val="both"/>
        <w:rPr>
          <w:color w:val="auto"/>
          <w:highlight w:val="none"/>
        </w:rPr>
      </w:pPr>
      <w:bookmarkStart w:id="63" w:name="_Toc20823284"/>
      <w:bookmarkStart w:id="64" w:name="_Toc462564071"/>
      <w:bookmarkStart w:id="65" w:name="_Toc16938528"/>
      <w:bookmarkStart w:id="66" w:name="_Toc513029212"/>
      <w:r>
        <w:rPr>
          <w:rFonts w:ascii="Arial" w:hAnsi="Arial" w:cs="Arial"/>
          <w:color w:val="auto"/>
          <w:sz w:val="28"/>
          <w:szCs w:val="28"/>
          <w:highlight w:val="none"/>
        </w:rPr>
        <w:t>8、谈判文件的澄清和修改</w:t>
      </w:r>
      <w:bookmarkEnd w:id="63"/>
      <w:bookmarkEnd w:id="64"/>
      <w:bookmarkEnd w:id="65"/>
      <w:bookmarkEnd w:id="66"/>
    </w:p>
    <w:p w14:paraId="07D739BF">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8.1 在响应文件提交截止时间</w:t>
      </w:r>
      <w:r>
        <w:rPr>
          <w:rFonts w:ascii="仿宋_GB2312" w:eastAsia="仿宋_GB2312" w:cs="仿宋_GB2312"/>
          <w:color w:val="auto"/>
          <w:highlight w:val="none"/>
        </w:rPr>
        <w:t>前</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采购人或</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可以对谈判文件进行澄清和修改</w:t>
      </w:r>
      <w:r>
        <w:rPr>
          <w:rFonts w:hint="eastAsia" w:ascii="宋体" w:hAnsi="宋体" w:eastAsia="宋体" w:cs="宋体"/>
          <w:color w:val="auto"/>
          <w:highlight w:val="none"/>
          <w:lang w:eastAsia="zh-CN"/>
        </w:rPr>
        <w:t>，</w:t>
      </w:r>
      <w:r>
        <w:rPr>
          <w:rFonts w:ascii="Times New Roman" w:hAnsi="Times New Roman"/>
          <w:color w:val="auto"/>
          <w:sz w:val="21"/>
          <w:szCs w:val="21"/>
          <w:highlight w:val="none"/>
        </w:rPr>
        <w:t> </w:t>
      </w:r>
      <w:r>
        <w:rPr>
          <w:rFonts w:hint="eastAsia" w:ascii="宋体" w:hAnsi="宋体" w:eastAsia="宋体" w:cs="宋体"/>
          <w:color w:val="auto"/>
          <w:highlight w:val="none"/>
        </w:rPr>
        <w:t>澄清或者修改的内容作为谈判文件的组成部分。澄清或者修改的内容可能影响响应文件编制的，</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将在提交首次响应文件截止时间至少3个工作日前，在</w:t>
      </w:r>
      <w:r>
        <w:rPr>
          <w:rFonts w:hint="eastAsia" w:ascii="宋体" w:hAnsi="宋体" w:eastAsia="宋体" w:cs="宋体"/>
          <w:color w:val="auto"/>
          <w:highlight w:val="none"/>
          <w:lang w:val="en-US" w:eastAsia="zh-CN"/>
        </w:rPr>
        <w:t>“中国政府采购网”、</w:t>
      </w:r>
      <w:r>
        <w:rPr>
          <w:rFonts w:hint="eastAsia" w:ascii="宋体" w:hAnsi="宋体" w:eastAsia="宋体" w:cs="宋体"/>
          <w:color w:val="auto"/>
          <w:highlight w:val="none"/>
        </w:rPr>
        <w:t>“江苏政府采购网”、“盐城市政府采购网”上发布书面更正公告形式通知所有获取谈判文件的供应商</w:t>
      </w:r>
      <w:r>
        <w:rPr>
          <w:rFonts w:hint="eastAsia" w:ascii="宋体" w:hAnsi="宋体" w:eastAsia="宋体" w:cs="宋体"/>
          <w:color w:val="auto"/>
          <w:highlight w:val="none"/>
          <w:lang w:eastAsia="zh-CN"/>
        </w:rPr>
        <w:t>，</w:t>
      </w:r>
      <w:r>
        <w:rPr>
          <w:rFonts w:ascii="Times New Roman" w:hAnsi="Times New Roman"/>
          <w:color w:val="auto"/>
          <w:sz w:val="21"/>
          <w:szCs w:val="21"/>
          <w:highlight w:val="none"/>
        </w:rPr>
        <w:t> </w:t>
      </w:r>
      <w:r>
        <w:rPr>
          <w:rFonts w:hint="eastAsia" w:ascii="宋体" w:hAnsi="宋体" w:eastAsia="宋体" w:cs="宋体"/>
          <w:color w:val="auto"/>
          <w:highlight w:val="none"/>
        </w:rPr>
        <w:t>更正公告内容将作为谈判文件的组成部分，并对供应商具有约束力。不足3个工作日的，</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将顺延提交首次响应文件截止时间。</w:t>
      </w:r>
    </w:p>
    <w:p w14:paraId="2F28679B">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8.2</w:t>
      </w:r>
      <w:r>
        <w:rPr>
          <w:rFonts w:hint="eastAsia" w:ascii="宋体" w:hAnsi="宋体" w:eastAsia="宋体" w:cs="宋体"/>
          <w:color w:val="auto"/>
          <w:highlight w:val="none"/>
          <w:lang w:val="en-US" w:eastAsia="zh-CN"/>
        </w:rPr>
        <w:t>采购人或</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可以视采购项目的具体情况，组织供应商进行现场考察或召开谈判前答疑会，但不单独或分别组织只有一个供应商参加的现场考察和答疑会。</w:t>
      </w:r>
    </w:p>
    <w:p w14:paraId="6C1BAAD9">
      <w:pPr>
        <w:pStyle w:val="30"/>
        <w:keepNext/>
        <w:keepLines/>
        <w:pageBreakBefore w:val="0"/>
        <w:spacing w:before="145" w:beforeAutospacing="0" w:after="145" w:afterAutospacing="0" w:line="440" w:lineRule="exact"/>
        <w:ind w:firstLine="482"/>
        <w:jc w:val="both"/>
        <w:rPr>
          <w:color w:val="auto"/>
          <w:highlight w:val="none"/>
        </w:rPr>
      </w:pPr>
      <w:bookmarkStart w:id="67" w:name="_Toc16938529"/>
      <w:bookmarkStart w:id="68" w:name="_Toc120614216"/>
      <w:bookmarkStart w:id="69" w:name="_Toc513029213"/>
      <w:bookmarkStart w:id="70" w:name="_Toc20823285"/>
      <w:bookmarkStart w:id="71" w:name="_Toc462564072"/>
      <w:r>
        <w:rPr>
          <w:rFonts w:ascii="Times New Roman" w:hAnsi="Times New Roman"/>
          <w:b/>
          <w:color w:val="auto"/>
          <w:sz w:val="32"/>
          <w:szCs w:val="32"/>
          <w:highlight w:val="none"/>
        </w:rPr>
        <w:t>三、响应文件的编制</w:t>
      </w:r>
      <w:bookmarkEnd w:id="67"/>
      <w:bookmarkEnd w:id="68"/>
      <w:bookmarkEnd w:id="69"/>
      <w:bookmarkEnd w:id="70"/>
      <w:bookmarkEnd w:id="71"/>
    </w:p>
    <w:p w14:paraId="2708EDE3">
      <w:pPr>
        <w:pStyle w:val="30"/>
        <w:keepNext/>
        <w:keepLines/>
        <w:pageBreakBefore w:val="0"/>
        <w:spacing w:beforeAutospacing="0" w:afterAutospacing="0" w:line="440" w:lineRule="exact"/>
        <w:ind w:firstLine="560"/>
        <w:jc w:val="both"/>
        <w:rPr>
          <w:color w:val="auto"/>
          <w:highlight w:val="none"/>
        </w:rPr>
      </w:pPr>
      <w:bookmarkStart w:id="72" w:name="_Toc513029214"/>
      <w:bookmarkStart w:id="73" w:name="_Toc16938530"/>
      <w:bookmarkStart w:id="74" w:name="_Toc462564073"/>
      <w:bookmarkStart w:id="75" w:name="_Toc20823286"/>
      <w:r>
        <w:rPr>
          <w:rFonts w:ascii="Arial" w:hAnsi="Arial" w:cs="Arial"/>
          <w:color w:val="auto"/>
          <w:sz w:val="28"/>
          <w:szCs w:val="28"/>
          <w:highlight w:val="none"/>
        </w:rPr>
        <w:t>9、响应文件的语言及度量衡单位</w:t>
      </w:r>
      <w:bookmarkEnd w:id="72"/>
      <w:bookmarkEnd w:id="73"/>
      <w:bookmarkEnd w:id="74"/>
      <w:bookmarkEnd w:id="75"/>
    </w:p>
    <w:p w14:paraId="612C46D8">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9.1供应商提交的响应文件以及供应商与</w:t>
      </w:r>
      <w:r>
        <w:rPr>
          <w:rFonts w:hint="eastAsia" w:ascii="宋体" w:hAnsi="宋体" w:eastAsia="宋体" w:cs="宋体"/>
          <w:color w:val="auto"/>
          <w:highlight w:val="none"/>
          <w:lang w:val="en-US" w:eastAsia="zh-CN"/>
        </w:rPr>
        <w:t>采购人或</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就有关谈判的所有来往通知、函件和文件均应使用</w:t>
      </w:r>
      <w:r>
        <w:rPr>
          <w:rFonts w:hint="eastAsia" w:ascii="宋体" w:hAnsi="宋体" w:eastAsia="宋体" w:cs="宋体"/>
          <w:b/>
          <w:color w:val="auto"/>
          <w:highlight w:val="none"/>
        </w:rPr>
        <w:t>简体中文</w:t>
      </w:r>
      <w:r>
        <w:rPr>
          <w:rFonts w:hint="eastAsia" w:ascii="宋体" w:hAnsi="宋体" w:eastAsia="宋体" w:cs="宋体"/>
          <w:color w:val="auto"/>
          <w:highlight w:val="none"/>
        </w:rPr>
        <w:t>。</w:t>
      </w:r>
    </w:p>
    <w:p w14:paraId="76547C29">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9.2 除技术性能另有规定外，响应文件所使用的度量衡单位，均须采用国家法定计量单位。</w:t>
      </w:r>
    </w:p>
    <w:p w14:paraId="51FE4BD7">
      <w:pPr>
        <w:pStyle w:val="30"/>
        <w:keepNext/>
        <w:keepLines/>
        <w:pageBreakBefore w:val="0"/>
        <w:spacing w:beforeAutospacing="0" w:afterAutospacing="0" w:line="440" w:lineRule="exact"/>
        <w:ind w:firstLine="420"/>
        <w:jc w:val="both"/>
        <w:rPr>
          <w:color w:val="auto"/>
          <w:highlight w:val="none"/>
        </w:rPr>
      </w:pPr>
      <w:bookmarkStart w:id="76" w:name="_Toc462564074"/>
      <w:bookmarkStart w:id="77" w:name="_Toc20823287"/>
      <w:bookmarkStart w:id="78" w:name="_Toc16938531"/>
      <w:bookmarkStart w:id="79" w:name="_Toc513029215"/>
      <w:r>
        <w:rPr>
          <w:rFonts w:ascii="Arial" w:hAnsi="Arial" w:cs="Arial"/>
          <w:color w:val="auto"/>
          <w:sz w:val="28"/>
          <w:szCs w:val="28"/>
          <w:highlight w:val="none"/>
        </w:rPr>
        <w:t>10、响应文件构成</w:t>
      </w:r>
      <w:bookmarkEnd w:id="76"/>
      <w:bookmarkEnd w:id="77"/>
      <w:bookmarkEnd w:id="78"/>
      <w:bookmarkEnd w:id="79"/>
    </w:p>
    <w:p w14:paraId="1293A2D6">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10.1供应商编写的响应文件应包括资格证明文件、符合性证明文件、分项报价表、技术要求响应及偏离表、商务要求响应及偏离表、其他证明文件、谈判响应函等部分。</w:t>
      </w:r>
    </w:p>
    <w:p w14:paraId="143EE141">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10.2 如标书制作工具中格式和内容与</w:t>
      </w:r>
      <w:r>
        <w:rPr>
          <w:rFonts w:hint="eastAsia" w:ascii="仿宋" w:hAnsi="仿宋" w:eastAsia="仿宋" w:cs="仿宋"/>
          <w:i w:val="0"/>
          <w:iCs w:val="0"/>
          <w:caps w:val="0"/>
          <w:color w:val="auto"/>
          <w:spacing w:val="0"/>
          <w:sz w:val="28"/>
          <w:szCs w:val="28"/>
          <w:highlight w:val="none"/>
          <w:shd w:val="clear" w:color="auto" w:fill="FFFFFF"/>
          <w:lang w:val="en-US" w:eastAsia="zh-CN"/>
        </w:rPr>
        <w:t>“</w:t>
      </w:r>
      <w:r>
        <w:rPr>
          <w:rFonts w:hint="eastAsia" w:ascii="宋体" w:hAnsi="宋体" w:eastAsia="宋体" w:cs="宋体"/>
          <w:color w:val="auto"/>
          <w:highlight w:val="none"/>
          <w:lang w:val="en-US" w:eastAsia="zh-CN"/>
        </w:rPr>
        <w:t>中国政府采购网”</w:t>
      </w:r>
      <w:r>
        <w:rPr>
          <w:rFonts w:hint="eastAsia" w:ascii="宋体" w:hAnsi="宋体" w:eastAsia="宋体" w:cs="宋体"/>
          <w:color w:val="auto"/>
          <w:highlight w:val="none"/>
        </w:rPr>
        <w:t>“江苏政府采购网”“盐城市政府采购网”发布的谈判文件不一致，请以</w:t>
      </w:r>
      <w:r>
        <w:rPr>
          <w:rFonts w:hint="eastAsia" w:ascii="仿宋" w:hAnsi="仿宋" w:eastAsia="仿宋" w:cs="仿宋"/>
          <w:i w:val="0"/>
          <w:iCs w:val="0"/>
          <w:caps w:val="0"/>
          <w:color w:val="auto"/>
          <w:spacing w:val="0"/>
          <w:sz w:val="28"/>
          <w:szCs w:val="28"/>
          <w:highlight w:val="none"/>
          <w:shd w:val="clear" w:color="auto" w:fill="FFFFFF"/>
          <w:lang w:val="en-US" w:eastAsia="zh-CN"/>
        </w:rPr>
        <w:t>“</w:t>
      </w:r>
      <w:r>
        <w:rPr>
          <w:rFonts w:hint="eastAsia" w:ascii="宋体" w:hAnsi="宋体" w:eastAsia="宋体" w:cs="宋体"/>
          <w:color w:val="auto"/>
          <w:highlight w:val="none"/>
          <w:lang w:val="en-US" w:eastAsia="zh-CN"/>
        </w:rPr>
        <w:t>中国政府采购网”“</w:t>
      </w:r>
      <w:r>
        <w:rPr>
          <w:rFonts w:hint="eastAsia" w:ascii="宋体" w:hAnsi="宋体" w:eastAsia="宋体" w:cs="宋体"/>
          <w:color w:val="auto"/>
          <w:highlight w:val="none"/>
        </w:rPr>
        <w:t>江苏政府采购网”“盐城市政府采购网”发布的谈判文件为准。</w:t>
      </w:r>
    </w:p>
    <w:p w14:paraId="125723A5">
      <w:pPr>
        <w:pStyle w:val="30"/>
        <w:keepNext/>
        <w:keepLines/>
        <w:pageBreakBefore w:val="0"/>
        <w:spacing w:beforeAutospacing="0" w:afterAutospacing="0" w:line="440" w:lineRule="exact"/>
        <w:ind w:firstLine="420"/>
        <w:jc w:val="both"/>
        <w:rPr>
          <w:color w:val="auto"/>
          <w:highlight w:val="none"/>
        </w:rPr>
      </w:pPr>
      <w:bookmarkStart w:id="80" w:name="_Toc49090508"/>
      <w:bookmarkStart w:id="81" w:name="_Toc49090509"/>
      <w:bookmarkStart w:id="82" w:name="_Toc513029219"/>
      <w:bookmarkStart w:id="83" w:name="_Toc14577355"/>
      <w:bookmarkStart w:id="84" w:name="_Toc49090507"/>
      <w:bookmarkStart w:id="85" w:name="_Toc14577354"/>
      <w:bookmarkStart w:id="86" w:name="_Toc14577357"/>
      <w:bookmarkStart w:id="87" w:name="_Toc513029216"/>
      <w:bookmarkStart w:id="88" w:name="_Hlt26670360"/>
      <w:bookmarkStart w:id="89" w:name="_Hlt26954838"/>
      <w:bookmarkStart w:id="90" w:name="_Hlt26668975"/>
      <w:r>
        <w:rPr>
          <w:rFonts w:ascii="Arial" w:hAnsi="Arial" w:cs="Arial"/>
          <w:color w:val="auto"/>
          <w:sz w:val="28"/>
          <w:szCs w:val="28"/>
          <w:highlight w:val="none"/>
        </w:rPr>
        <w:t>11、证明谈判响应标的符合谈判文件规定的文件</w:t>
      </w:r>
      <w:bookmarkEnd w:id="80"/>
      <w:bookmarkEnd w:id="81"/>
      <w:bookmarkEnd w:id="82"/>
      <w:bookmarkEnd w:id="83"/>
      <w:bookmarkEnd w:id="84"/>
      <w:bookmarkEnd w:id="85"/>
      <w:bookmarkEnd w:id="86"/>
      <w:bookmarkEnd w:id="87"/>
    </w:p>
    <w:p w14:paraId="5206E340">
      <w:pPr>
        <w:pStyle w:val="30"/>
        <w:pageBreakBefore w:val="0"/>
        <w:spacing w:beforeAutospacing="0" w:afterAutospacing="0" w:line="440" w:lineRule="exact"/>
        <w:jc w:val="both"/>
        <w:rPr>
          <w:color w:val="auto"/>
          <w:highlight w:val="none"/>
        </w:rPr>
      </w:pPr>
      <w:r>
        <w:rPr>
          <w:rFonts w:hint="eastAsia" w:ascii="宋体" w:hAnsi="宋体" w:eastAsia="宋体" w:cs="宋体"/>
          <w:color w:val="auto"/>
          <w:highlight w:val="none"/>
        </w:rPr>
        <w:t>  11.1供应商应按照谈判文件要求提交证明文件，证明其及谈判响应标的符合谈判文件规定。</w:t>
      </w:r>
    </w:p>
    <w:p w14:paraId="3712F57B">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11.2谈判文件对证明文件无明确形式要求的，证明文件可以以文字资料、图纸和数据等形式提交。</w:t>
      </w:r>
    </w:p>
    <w:p w14:paraId="5BFE6BB7">
      <w:pPr>
        <w:pStyle w:val="30"/>
        <w:keepNext/>
        <w:keepLines/>
        <w:pageBreakBefore w:val="0"/>
        <w:spacing w:beforeAutospacing="0" w:afterAutospacing="0" w:line="440" w:lineRule="exact"/>
        <w:ind w:firstLine="420"/>
        <w:jc w:val="both"/>
        <w:rPr>
          <w:color w:val="auto"/>
          <w:highlight w:val="none"/>
        </w:rPr>
      </w:pPr>
      <w:r>
        <w:rPr>
          <w:rFonts w:ascii="Arial" w:hAnsi="Arial" w:cs="Arial"/>
          <w:color w:val="auto"/>
          <w:sz w:val="28"/>
          <w:szCs w:val="28"/>
          <w:highlight w:val="none"/>
        </w:rPr>
        <w:t>12、分项报价表</w:t>
      </w:r>
    </w:p>
    <w:p w14:paraId="300E1695">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12.1供应商应按照谈判文件规定格式填报分项报价表。</w:t>
      </w:r>
    </w:p>
    <w:p w14:paraId="46ED3CE5">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12.2谈判货币。响应文件中的单价和总价无特殊规定的采用人民币报价，以元为单位标注。谈判文件中另有规定的按规定执行。</w:t>
      </w:r>
    </w:p>
    <w:p w14:paraId="36ECFE6B">
      <w:pPr>
        <w:pStyle w:val="30"/>
        <w:keepNext/>
        <w:keepLines/>
        <w:pageBreakBefore w:val="0"/>
        <w:spacing w:beforeAutospacing="0" w:afterAutospacing="0" w:line="440" w:lineRule="exact"/>
        <w:ind w:firstLine="420"/>
        <w:jc w:val="both"/>
        <w:rPr>
          <w:color w:val="auto"/>
          <w:highlight w:val="none"/>
        </w:rPr>
      </w:pPr>
      <w:bookmarkStart w:id="91" w:name="_Hlt26954731"/>
      <w:bookmarkStart w:id="92" w:name="_Hlt26670482"/>
      <w:bookmarkStart w:id="93" w:name="_Hlt26954846"/>
      <w:bookmarkStart w:id="94" w:name="_Hlt26954848"/>
      <w:bookmarkStart w:id="95" w:name="_Hlt26670486"/>
      <w:r>
        <w:rPr>
          <w:rFonts w:ascii="Arial" w:hAnsi="Arial" w:cs="Arial"/>
          <w:color w:val="auto"/>
          <w:sz w:val="28"/>
          <w:szCs w:val="28"/>
          <w:highlight w:val="none"/>
        </w:rPr>
        <w:t>13、技术要求响应及偏离表、商务要求响应及偏离表</w:t>
      </w:r>
    </w:p>
    <w:p w14:paraId="73ED7D0F">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13.1供应商需对谈判文件中的技术要求与商务要求逐项作出响应或偏离，并说明原因。</w:t>
      </w:r>
    </w:p>
    <w:p w14:paraId="34754B00">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13.2供应商可在响应文件中提供认为需要的其他技术文件或说明。</w:t>
      </w:r>
    </w:p>
    <w:p w14:paraId="237C050F">
      <w:pPr>
        <w:pStyle w:val="30"/>
        <w:keepNext/>
        <w:keepLines/>
        <w:pageBreakBefore w:val="0"/>
        <w:spacing w:beforeAutospacing="0" w:afterAutospacing="0" w:line="440" w:lineRule="exact"/>
        <w:ind w:firstLine="420"/>
        <w:jc w:val="both"/>
        <w:rPr>
          <w:color w:val="auto"/>
          <w:highlight w:val="none"/>
        </w:rPr>
      </w:pPr>
      <w:r>
        <w:rPr>
          <w:rFonts w:ascii="Arial" w:hAnsi="Arial" w:cs="Arial"/>
          <w:color w:val="auto"/>
          <w:sz w:val="28"/>
          <w:szCs w:val="28"/>
          <w:highlight w:val="none"/>
        </w:rPr>
        <w:t>14、服务承诺、培训计划、人员安排及其他</w:t>
      </w:r>
    </w:p>
    <w:p w14:paraId="2FA92555">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14.1供应商需根据谈判文件要求提供有关售后服务的管理制度，售后服务机构的分布情况，售后服务人员的数量、素质、技术水平及售后服务的反应能力等。</w:t>
      </w:r>
    </w:p>
    <w:p w14:paraId="6ABE4D0F">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14.2供应商需根据谈判文件要求提供培训计划。</w:t>
      </w:r>
    </w:p>
    <w:p w14:paraId="4B49A6BE">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14.3供应商需根据谈判文件要求提供谈判响应标的的主要组成部分、功能设计、实现思路及关键技术等。</w:t>
      </w:r>
    </w:p>
    <w:p w14:paraId="5249330F">
      <w:pPr>
        <w:pStyle w:val="30"/>
        <w:keepNext/>
        <w:keepLines/>
        <w:pageBreakBefore w:val="0"/>
        <w:spacing w:beforeAutospacing="0" w:afterAutospacing="0" w:line="440" w:lineRule="exact"/>
        <w:ind w:firstLine="420"/>
        <w:jc w:val="both"/>
        <w:rPr>
          <w:color w:val="auto"/>
          <w:highlight w:val="none"/>
        </w:rPr>
      </w:pPr>
      <w:bookmarkStart w:id="96" w:name="_Toc49090510"/>
      <w:bookmarkStart w:id="97" w:name="_Toc14577359"/>
      <w:r>
        <w:rPr>
          <w:rFonts w:ascii="Arial" w:hAnsi="Arial" w:cs="Arial"/>
          <w:color w:val="auto"/>
          <w:sz w:val="28"/>
          <w:szCs w:val="28"/>
          <w:highlight w:val="none"/>
        </w:rPr>
        <w:t>15、谈判响应函</w:t>
      </w:r>
      <w:bookmarkEnd w:id="96"/>
      <w:bookmarkEnd w:id="97"/>
    </w:p>
    <w:p w14:paraId="2BD982AF">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15.1供应商应按照谈判文件中提供的格式完整、正确填写谈判响应函。</w:t>
      </w:r>
    </w:p>
    <w:p w14:paraId="687461CE">
      <w:pPr>
        <w:pStyle w:val="30"/>
        <w:keepNext/>
        <w:keepLines/>
        <w:pageBreakBefore w:val="0"/>
        <w:spacing w:beforeAutospacing="0" w:afterAutospacing="0" w:line="440" w:lineRule="exact"/>
        <w:ind w:firstLine="420"/>
        <w:jc w:val="both"/>
        <w:rPr>
          <w:color w:val="auto"/>
          <w:highlight w:val="none"/>
        </w:rPr>
      </w:pPr>
      <w:bookmarkStart w:id="98" w:name="_Toc49090511"/>
      <w:bookmarkStart w:id="99" w:name="_Toc14577360"/>
      <w:r>
        <w:rPr>
          <w:rFonts w:ascii="Arial" w:hAnsi="Arial" w:cs="Arial"/>
          <w:color w:val="auto"/>
          <w:sz w:val="28"/>
          <w:szCs w:val="28"/>
          <w:highlight w:val="none"/>
        </w:rPr>
        <w:t>16、谈判有效期</w:t>
      </w:r>
      <w:bookmarkEnd w:id="98"/>
      <w:bookmarkEnd w:id="99"/>
    </w:p>
    <w:p w14:paraId="7B777C0E">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16.1谈判有效期为</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规定的提交响应文件截止之日后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w:t>
      </w:r>
      <w:r>
        <w:rPr>
          <w:rFonts w:hint="eastAsia" w:ascii="宋体" w:hAnsi="宋体" w:eastAsia="宋体" w:cs="宋体"/>
          <w:color w:val="auto"/>
          <w:highlight w:val="none"/>
        </w:rPr>
        <w:t>。谈判有效期比规定短的将被视为非实质性响应谈判文件而予以拒绝。</w:t>
      </w:r>
    </w:p>
    <w:p w14:paraId="3F0FDB9C">
      <w:pPr>
        <w:pStyle w:val="30"/>
        <w:keepNext/>
        <w:keepLines/>
        <w:pageBreakBefore w:val="0"/>
        <w:spacing w:beforeAutospacing="0" w:afterAutospacing="0" w:line="440" w:lineRule="exact"/>
        <w:ind w:firstLine="420"/>
        <w:jc w:val="both"/>
        <w:rPr>
          <w:color w:val="auto"/>
          <w:highlight w:val="none"/>
        </w:rPr>
      </w:pPr>
      <w:r>
        <w:rPr>
          <w:rFonts w:ascii="Arial" w:hAnsi="Arial" w:cs="Arial"/>
          <w:color w:val="auto"/>
          <w:sz w:val="28"/>
          <w:szCs w:val="28"/>
          <w:highlight w:val="none"/>
        </w:rPr>
        <w:t>17、谈判有效期的延长</w:t>
      </w:r>
    </w:p>
    <w:p w14:paraId="30BACC58">
      <w:pPr>
        <w:pStyle w:val="30"/>
        <w:pageBreakBefore w:val="0"/>
        <w:spacing w:beforeAutospacing="0" w:afterAutospacing="0" w:line="44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17.1在特殊情况下，</w:t>
      </w:r>
      <w:r>
        <w:rPr>
          <w:rFonts w:hint="eastAsia" w:ascii="宋体" w:hAnsi="宋体" w:eastAsia="宋体" w:cs="宋体"/>
          <w:color w:val="auto"/>
          <w:highlight w:val="none"/>
          <w:lang w:val="en-US" w:eastAsia="zh-CN"/>
        </w:rPr>
        <w:t>采购人或</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于原谈判有效期满之前，可向供应商提出延长谈判有效期的要求。这种要求与答复均应采用书面形式。供应商可以拒绝</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的这一要求而放弃谈判，同意延长谈判有效期的供应商既不能要求也不允许修改其响应文件。受谈判有效期约束的所有权利与义务均延长至新的有效期。</w:t>
      </w:r>
      <w:bookmarkStart w:id="100" w:name="_Toc120614217"/>
      <w:bookmarkStart w:id="101" w:name="_Toc16938540"/>
      <w:bookmarkStart w:id="102" w:name="_Toc513029224"/>
      <w:bookmarkStart w:id="103" w:name="_Toc20823296"/>
      <w:bookmarkStart w:id="104" w:name="_Hlt26954739"/>
      <w:bookmarkStart w:id="105" w:name="_Hlt26954852"/>
    </w:p>
    <w:p w14:paraId="0DF0475A">
      <w:pPr>
        <w:pStyle w:val="30"/>
        <w:pageBreakBefore w:val="0"/>
        <w:spacing w:beforeAutospacing="0" w:afterAutospacing="0" w:line="440" w:lineRule="exact"/>
        <w:ind w:firstLine="480"/>
        <w:jc w:val="both"/>
        <w:rPr>
          <w:color w:val="auto"/>
          <w:highlight w:val="none"/>
        </w:rPr>
      </w:pPr>
      <w:r>
        <w:rPr>
          <w:rFonts w:ascii="Times New Roman" w:hAnsi="Times New Roman"/>
          <w:b/>
          <w:color w:val="auto"/>
          <w:sz w:val="32"/>
          <w:szCs w:val="32"/>
          <w:highlight w:val="none"/>
        </w:rPr>
        <w:t>四、响应文件的递交</w:t>
      </w:r>
      <w:bookmarkEnd w:id="100"/>
      <w:bookmarkEnd w:id="101"/>
      <w:bookmarkEnd w:id="102"/>
      <w:bookmarkEnd w:id="103"/>
    </w:p>
    <w:p w14:paraId="564F8B42">
      <w:pPr>
        <w:pStyle w:val="30"/>
        <w:keepNext/>
        <w:keepLines/>
        <w:pageBreakBefore w:val="0"/>
        <w:spacing w:beforeAutospacing="0" w:afterAutospacing="0" w:line="440" w:lineRule="exact"/>
        <w:ind w:firstLine="560"/>
        <w:jc w:val="both"/>
        <w:rPr>
          <w:color w:val="auto"/>
          <w:highlight w:val="none"/>
        </w:rPr>
      </w:pPr>
      <w:bookmarkStart w:id="106" w:name="_Toc462564084"/>
      <w:bookmarkStart w:id="107" w:name="_Toc16938541"/>
      <w:bookmarkStart w:id="108" w:name="_Toc513029225"/>
      <w:bookmarkStart w:id="109" w:name="_Toc20823297"/>
      <w:r>
        <w:rPr>
          <w:rFonts w:ascii="Arial" w:hAnsi="Arial" w:cs="Arial"/>
          <w:color w:val="auto"/>
          <w:sz w:val="28"/>
          <w:szCs w:val="28"/>
          <w:highlight w:val="none"/>
        </w:rPr>
        <w:t>18、电子</w:t>
      </w:r>
      <w:r>
        <w:rPr>
          <w:rFonts w:hint="eastAsia" w:ascii="黑体" w:hAnsi="宋体" w:eastAsia="黑体" w:cs="黑体"/>
          <w:color w:val="auto"/>
          <w:sz w:val="28"/>
          <w:szCs w:val="28"/>
          <w:highlight w:val="none"/>
        </w:rPr>
        <w:t>谈判</w:t>
      </w:r>
      <w:bookmarkEnd w:id="106"/>
      <w:bookmarkEnd w:id="107"/>
      <w:bookmarkEnd w:id="108"/>
      <w:bookmarkEnd w:id="109"/>
      <w:r>
        <w:rPr>
          <w:rFonts w:hint="eastAsia" w:ascii="黑体" w:hAnsi="宋体" w:eastAsia="黑体" w:cs="黑体"/>
          <w:color w:val="auto"/>
          <w:sz w:val="28"/>
          <w:szCs w:val="28"/>
          <w:highlight w:val="none"/>
        </w:rPr>
        <w:t>响应文件的递交</w:t>
      </w:r>
    </w:p>
    <w:p w14:paraId="1D292FBC">
      <w:pPr>
        <w:pStyle w:val="30"/>
        <w:pageBreakBefore w:val="0"/>
        <w:spacing w:beforeAutospacing="0" w:afterAutospacing="0" w:line="440" w:lineRule="exact"/>
        <w:ind w:firstLine="600"/>
        <w:jc w:val="both"/>
        <w:rPr>
          <w:color w:val="auto"/>
          <w:highlight w:val="none"/>
        </w:rPr>
      </w:pPr>
      <w:r>
        <w:rPr>
          <w:rFonts w:hint="eastAsia" w:ascii="宋体" w:hAnsi="宋体" w:eastAsia="宋体" w:cs="宋体"/>
          <w:color w:val="auto"/>
          <w:highlight w:val="none"/>
        </w:rPr>
        <w:t>18.1供应商应当按照《操作手册》规定，在提交响应文件截止时间前制作并上传电子响应文件。</w:t>
      </w:r>
      <w:bookmarkStart w:id="110" w:name="_Toc20823298"/>
      <w:bookmarkEnd w:id="110"/>
      <w:bookmarkStart w:id="111" w:name="_Toc16938542"/>
      <w:bookmarkEnd w:id="111"/>
      <w:bookmarkStart w:id="112" w:name="_Toc513029226"/>
    </w:p>
    <w:p w14:paraId="53931678">
      <w:pPr>
        <w:pStyle w:val="30"/>
        <w:keepNext/>
        <w:keepLines/>
        <w:pageBreakBefore w:val="0"/>
        <w:spacing w:before="280" w:beforeAutospacing="0" w:after="290" w:afterAutospacing="0" w:line="440" w:lineRule="exact"/>
        <w:ind w:firstLine="560"/>
        <w:jc w:val="both"/>
        <w:rPr>
          <w:color w:val="auto"/>
          <w:highlight w:val="none"/>
        </w:rPr>
      </w:pPr>
      <w:r>
        <w:rPr>
          <w:rFonts w:ascii="Arial" w:hAnsi="Arial" w:cs="Arial"/>
          <w:color w:val="auto"/>
          <w:sz w:val="28"/>
          <w:szCs w:val="28"/>
          <w:highlight w:val="none"/>
        </w:rPr>
        <w:t>19、提交响应文件截止时间</w:t>
      </w:r>
    </w:p>
    <w:p w14:paraId="6F6CB45B">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i/>
          <w:color w:val="auto"/>
          <w:highlight w:val="none"/>
          <w:u w:val="single"/>
        </w:rPr>
        <w:t>19.1供应商上传电子响应文件的时间不得迟于谈判公告中规定的提交响应文件截止时间。</w:t>
      </w:r>
    </w:p>
    <w:p w14:paraId="71D6E699">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供应商应充分考虑到网络环境、网络带宽等风险因素，如因供应商自身原因造成的电子响应文件上传不成功的按照本谈判文件第二章第26.3.2条规定做无效响应处理。</w:t>
      </w:r>
    </w:p>
    <w:p w14:paraId="4454AB0D">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 xml:space="preserve">19.2 </w:t>
      </w:r>
      <w:r>
        <w:rPr>
          <w:rFonts w:hint="eastAsia" w:ascii="宋体" w:hAnsi="宋体" w:eastAsia="宋体" w:cs="宋体"/>
          <w:color w:val="auto"/>
          <w:highlight w:val="none"/>
          <w:lang w:val="en-US" w:eastAsia="zh-CN"/>
        </w:rPr>
        <w:t>采购人或</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可以按照规定，通过修改谈判文件酌情延长提交响应文件截止日期，在此情况下，供应商的所有权利和义务以及供应商受制的截止日期均应以延长后新的截止日期为准。</w:t>
      </w:r>
    </w:p>
    <w:p w14:paraId="3CE1C0E5">
      <w:pPr>
        <w:pStyle w:val="30"/>
        <w:keepNext/>
        <w:keepLines/>
        <w:pageBreakBefore w:val="0"/>
        <w:spacing w:beforeAutospacing="0" w:afterAutospacing="0" w:line="440" w:lineRule="exact"/>
        <w:ind w:firstLine="420"/>
        <w:jc w:val="both"/>
        <w:rPr>
          <w:color w:val="auto"/>
          <w:highlight w:val="none"/>
        </w:rPr>
      </w:pPr>
      <w:bookmarkStart w:id="113" w:name="_Toc16938543"/>
      <w:bookmarkStart w:id="114" w:name="_Toc20823299"/>
      <w:bookmarkStart w:id="115" w:name="_Toc513029227"/>
      <w:r>
        <w:rPr>
          <w:rFonts w:ascii="Arial" w:hAnsi="Arial" w:cs="Arial"/>
          <w:color w:val="auto"/>
          <w:sz w:val="28"/>
          <w:szCs w:val="28"/>
          <w:highlight w:val="none"/>
        </w:rPr>
        <w:t>20、响应文件</w:t>
      </w:r>
      <w:bookmarkEnd w:id="113"/>
      <w:bookmarkEnd w:id="114"/>
      <w:bookmarkEnd w:id="115"/>
      <w:r>
        <w:rPr>
          <w:rFonts w:ascii="Arial" w:hAnsi="Arial" w:cs="Arial"/>
          <w:color w:val="auto"/>
          <w:sz w:val="28"/>
          <w:szCs w:val="28"/>
          <w:highlight w:val="none"/>
        </w:rPr>
        <w:t>的拒收</w:t>
      </w:r>
    </w:p>
    <w:p w14:paraId="063111FD">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 xml:space="preserve">20.1 </w:t>
      </w:r>
      <w:r>
        <w:rPr>
          <w:rFonts w:hint="eastAsia" w:ascii="宋体" w:hAnsi="宋体" w:eastAsia="宋体" w:cs="宋体"/>
          <w:color w:val="auto"/>
          <w:highlight w:val="none"/>
          <w:lang w:val="en-US" w:eastAsia="zh-CN"/>
        </w:rPr>
        <w:t>采购人或</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拒绝接收在其规定的提交响应文件截止时间后上传的任何电子响应文件。</w:t>
      </w:r>
    </w:p>
    <w:p w14:paraId="79D431F7">
      <w:pPr>
        <w:pStyle w:val="30"/>
        <w:keepNext/>
        <w:keepLines/>
        <w:pageBreakBefore w:val="0"/>
        <w:spacing w:beforeAutospacing="0" w:afterAutospacing="0" w:line="440" w:lineRule="exact"/>
        <w:ind w:firstLine="420"/>
        <w:jc w:val="both"/>
        <w:rPr>
          <w:color w:val="auto"/>
          <w:highlight w:val="none"/>
        </w:rPr>
      </w:pPr>
      <w:bookmarkStart w:id="116" w:name="_Toc16938544"/>
      <w:bookmarkStart w:id="117" w:name="_Toc513029228"/>
      <w:bookmarkStart w:id="118" w:name="_Toc20823300"/>
      <w:r>
        <w:rPr>
          <w:rFonts w:ascii="Arial" w:hAnsi="Arial" w:cs="Arial"/>
          <w:color w:val="auto"/>
          <w:sz w:val="28"/>
          <w:szCs w:val="28"/>
          <w:highlight w:val="none"/>
        </w:rPr>
        <w:t>21、响应文件的撤回和修改</w:t>
      </w:r>
      <w:bookmarkEnd w:id="116"/>
      <w:bookmarkEnd w:id="117"/>
      <w:bookmarkEnd w:id="118"/>
    </w:p>
    <w:p w14:paraId="66480461">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21.1响应文件的撤回</w:t>
      </w:r>
    </w:p>
    <w:p w14:paraId="582BDA54">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21.1.1 电子响应文件的撤回</w:t>
      </w:r>
    </w:p>
    <w:p w14:paraId="7F8C393D">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供应商可在提交响应文件截止时间前，撤回其电子响应文件，具体操作方法见《操作手册》。</w:t>
      </w:r>
    </w:p>
    <w:p w14:paraId="45C247B9">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21.1.2供应商撤回电子响应文件，则认为其不再参与本项目谈判活动。</w:t>
      </w:r>
    </w:p>
    <w:p w14:paraId="45A65383">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21.2响应文件的修改</w:t>
      </w:r>
    </w:p>
    <w:p w14:paraId="04D2C738">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供应商可在提交响应文件截止时间前，对其电子响应文件进行修改，具体操作方法见《操作手册》。</w:t>
      </w:r>
    </w:p>
    <w:p w14:paraId="7F8559DB">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21.3 在提交响应文件截止时间之后，供应商不得对其电子响应文件作任何修改。</w:t>
      </w:r>
    </w:p>
    <w:p w14:paraId="500CB496">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21.4 在提交响应文件截止时间至谈判文件中规定的谈判有效期满之间的这段时间内，供应商不得撤回其响应文件。</w:t>
      </w:r>
    </w:p>
    <w:p w14:paraId="74A1BB69">
      <w:pPr>
        <w:pStyle w:val="30"/>
        <w:keepNext/>
        <w:keepLines/>
        <w:pageBreakBefore w:val="0"/>
        <w:spacing w:before="145" w:beforeAutospacing="0" w:after="145" w:afterAutospacing="0" w:line="440" w:lineRule="exact"/>
        <w:ind w:firstLine="482"/>
        <w:jc w:val="both"/>
        <w:rPr>
          <w:color w:val="auto"/>
          <w:highlight w:val="none"/>
        </w:rPr>
      </w:pPr>
      <w:bookmarkStart w:id="119" w:name="_Toc16938545"/>
      <w:bookmarkStart w:id="120" w:name="_Toc513029229"/>
      <w:bookmarkStart w:id="121" w:name="_Toc20823301"/>
      <w:bookmarkStart w:id="122" w:name="_Toc120614218"/>
      <w:r>
        <w:rPr>
          <w:rFonts w:ascii="Times New Roman" w:hAnsi="Times New Roman"/>
          <w:b/>
          <w:color w:val="auto"/>
          <w:sz w:val="32"/>
          <w:szCs w:val="32"/>
          <w:highlight w:val="none"/>
        </w:rPr>
        <w:t>五、响应文件的解密与评审</w:t>
      </w:r>
      <w:bookmarkEnd w:id="119"/>
      <w:bookmarkEnd w:id="120"/>
      <w:bookmarkEnd w:id="121"/>
      <w:bookmarkEnd w:id="122"/>
    </w:p>
    <w:p w14:paraId="04AE1FA7">
      <w:pPr>
        <w:pStyle w:val="30"/>
        <w:keepNext/>
        <w:keepLines/>
        <w:pageBreakBefore w:val="0"/>
        <w:spacing w:beforeAutospacing="0" w:afterAutospacing="0" w:line="440" w:lineRule="exact"/>
        <w:ind w:firstLine="420"/>
        <w:jc w:val="both"/>
        <w:rPr>
          <w:color w:val="auto"/>
          <w:highlight w:val="none"/>
        </w:rPr>
      </w:pPr>
      <w:bookmarkStart w:id="123" w:name="_Toc16938546"/>
      <w:bookmarkStart w:id="124" w:name="_Toc20823302"/>
      <w:bookmarkStart w:id="125" w:name="_Toc513029230"/>
      <w:r>
        <w:rPr>
          <w:rFonts w:ascii="Arial" w:hAnsi="Arial" w:cs="Arial"/>
          <w:color w:val="auto"/>
          <w:sz w:val="28"/>
          <w:szCs w:val="28"/>
          <w:highlight w:val="none"/>
        </w:rPr>
        <w:t>22、</w:t>
      </w:r>
      <w:bookmarkEnd w:id="123"/>
      <w:bookmarkEnd w:id="124"/>
      <w:bookmarkEnd w:id="125"/>
      <w:r>
        <w:rPr>
          <w:rFonts w:ascii="Arial" w:hAnsi="Arial" w:cs="Arial"/>
          <w:color w:val="auto"/>
          <w:sz w:val="28"/>
          <w:szCs w:val="28"/>
          <w:highlight w:val="none"/>
        </w:rPr>
        <w:t>响应文件解密</w:t>
      </w:r>
    </w:p>
    <w:p w14:paraId="57577DB4">
      <w:pPr>
        <w:pStyle w:val="30"/>
        <w:pageBreakBefore w:val="0"/>
        <w:spacing w:beforeAutospacing="0" w:afterAutospacing="0" w:line="440" w:lineRule="exact"/>
        <w:ind w:firstLine="360"/>
        <w:jc w:val="both"/>
        <w:rPr>
          <w:color w:val="auto"/>
          <w:highlight w:val="none"/>
        </w:rPr>
      </w:pPr>
      <w:r>
        <w:rPr>
          <w:rFonts w:hint="eastAsia" w:ascii="宋体" w:hAnsi="宋体" w:eastAsia="宋体" w:cs="宋体"/>
          <w:color w:val="auto"/>
          <w:highlight w:val="none"/>
        </w:rPr>
        <w:t>22.1供应商应当按照《操作手册》规定，在苏采云系统规定的时间内对谈判响应文件进行解密。</w:t>
      </w:r>
    </w:p>
    <w:p w14:paraId="1A90C9B6">
      <w:pPr>
        <w:pStyle w:val="30"/>
        <w:keepNext/>
        <w:keepLines/>
        <w:pageBreakBefore w:val="0"/>
        <w:spacing w:beforeAutospacing="0" w:afterAutospacing="0" w:line="440" w:lineRule="exact"/>
        <w:ind w:firstLine="420"/>
        <w:jc w:val="both"/>
        <w:rPr>
          <w:color w:val="auto"/>
          <w:highlight w:val="none"/>
        </w:rPr>
      </w:pPr>
      <w:bookmarkStart w:id="126" w:name="_Toc16938547"/>
      <w:bookmarkStart w:id="127" w:name="_Toc20823303"/>
      <w:bookmarkStart w:id="128" w:name="_Toc513029231"/>
      <w:r>
        <w:rPr>
          <w:rFonts w:ascii="Arial" w:hAnsi="Arial" w:cs="Arial"/>
          <w:color w:val="auto"/>
          <w:sz w:val="28"/>
          <w:szCs w:val="28"/>
          <w:highlight w:val="none"/>
        </w:rPr>
        <w:t>23、谈判小组</w:t>
      </w:r>
      <w:bookmarkEnd w:id="126"/>
      <w:bookmarkEnd w:id="127"/>
      <w:bookmarkEnd w:id="128"/>
    </w:p>
    <w:p w14:paraId="5A6FA4F4">
      <w:pPr>
        <w:pStyle w:val="30"/>
        <w:pageBreakBefore w:val="0"/>
        <w:spacing w:beforeAutospacing="0" w:afterAutospacing="0" w:line="440" w:lineRule="exact"/>
        <w:jc w:val="both"/>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23.1</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将组织谈判小组对响应文件进行评审。谈判小组由采购人代表和有关技术、经济等方面的专家组成，且人员构成符合政府采购有关规定。</w:t>
      </w:r>
    </w:p>
    <w:p w14:paraId="38B6F863">
      <w:pPr>
        <w:pStyle w:val="30"/>
        <w:pageBreakBefore w:val="0"/>
        <w:spacing w:beforeAutospacing="0" w:afterAutospacing="0" w:line="440" w:lineRule="exact"/>
        <w:jc w:val="both"/>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23.2谈判小组独立工作，负责评审所有响应文件并确定成交</w:t>
      </w:r>
      <w:r>
        <w:rPr>
          <w:rFonts w:hint="eastAsia" w:ascii="宋体" w:hAnsi="宋体" w:eastAsia="宋体" w:cs="宋体"/>
          <w:color w:val="auto"/>
          <w:highlight w:val="none"/>
          <w:lang w:eastAsia="zh-CN"/>
        </w:rPr>
        <w:t>候选人</w:t>
      </w:r>
      <w:r>
        <w:rPr>
          <w:rFonts w:hint="eastAsia" w:ascii="宋体" w:hAnsi="宋体" w:eastAsia="宋体" w:cs="宋体"/>
          <w:color w:val="auto"/>
          <w:highlight w:val="none"/>
        </w:rPr>
        <w:t>。</w:t>
      </w:r>
    </w:p>
    <w:p w14:paraId="023ED670">
      <w:pPr>
        <w:pStyle w:val="30"/>
        <w:keepNext/>
        <w:keepLines/>
        <w:pageBreakBefore w:val="0"/>
        <w:spacing w:beforeAutospacing="0" w:afterAutospacing="0" w:line="440" w:lineRule="exact"/>
        <w:ind w:firstLine="420"/>
        <w:jc w:val="both"/>
        <w:rPr>
          <w:color w:val="auto"/>
          <w:highlight w:val="none"/>
        </w:rPr>
      </w:pPr>
      <w:r>
        <w:rPr>
          <w:rFonts w:hint="eastAsia" w:ascii="黑体" w:hAnsi="宋体" w:eastAsia="黑体" w:cs="黑体"/>
          <w:color w:val="auto"/>
          <w:sz w:val="28"/>
          <w:szCs w:val="28"/>
          <w:highlight w:val="none"/>
        </w:rPr>
        <w:t>24、评审过程的保密与公正</w:t>
      </w:r>
    </w:p>
    <w:p w14:paraId="2140CA4A">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24.1谈判小组、采购人和</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工作人员、相关监督人员等与评审工作有关的人员，对评审情况以及在评审过程中获悉的国家秘密、商业秘密负有保密责任。</w:t>
      </w:r>
    </w:p>
    <w:p w14:paraId="1952ECAB">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24.2在评审过程中，供应商不得以任何行为影响谈判评审过程，否则其响应文件将被</w:t>
      </w:r>
      <w:r>
        <w:rPr>
          <w:rFonts w:hint="eastAsia" w:ascii="宋体" w:hAnsi="宋体" w:eastAsia="宋体" w:cs="宋体"/>
          <w:color w:val="auto"/>
          <w:sz w:val="24"/>
          <w:szCs w:val="24"/>
          <w:highlight w:val="none"/>
          <w:shd w:val="clear" w:color="auto" w:fill="auto"/>
          <w:lang w:eastAsia="zh-CN"/>
        </w:rPr>
        <w:t>视为</w:t>
      </w:r>
      <w:r>
        <w:rPr>
          <w:rFonts w:hint="eastAsia" w:ascii="宋体" w:hAnsi="宋体" w:eastAsia="宋体" w:cs="宋体"/>
          <w:color w:val="auto"/>
          <w:highlight w:val="none"/>
        </w:rPr>
        <w:t>无效响应文件。</w:t>
      </w:r>
    </w:p>
    <w:p w14:paraId="2AFE04F7">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24.3在项目评审期间，</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将设专门人员与供应商联系。</w:t>
      </w:r>
    </w:p>
    <w:p w14:paraId="67763C25">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 xml:space="preserve">24.4 </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和谈判小组不向未成交的供应商解释未成交原因，也不公布评审过程中的相关细节。</w:t>
      </w:r>
    </w:p>
    <w:p w14:paraId="1BF1E10C">
      <w:pPr>
        <w:pStyle w:val="30"/>
        <w:keepNext/>
        <w:keepLines/>
        <w:pageBreakBefore w:val="0"/>
        <w:spacing w:beforeAutospacing="0" w:afterAutospacing="0" w:line="440" w:lineRule="exact"/>
        <w:ind w:firstLine="420"/>
        <w:jc w:val="both"/>
        <w:rPr>
          <w:color w:val="auto"/>
          <w:highlight w:val="none"/>
        </w:rPr>
      </w:pPr>
      <w:bookmarkStart w:id="129" w:name="_Toc513029232"/>
      <w:bookmarkStart w:id="130" w:name="_Toc20823304"/>
      <w:bookmarkStart w:id="131" w:name="_Toc16938548"/>
      <w:r>
        <w:rPr>
          <w:rFonts w:ascii="Arial" w:hAnsi="Arial" w:cs="Arial"/>
          <w:color w:val="auto"/>
          <w:sz w:val="28"/>
          <w:szCs w:val="28"/>
          <w:highlight w:val="none"/>
        </w:rPr>
        <w:t>25、评审过程</w:t>
      </w:r>
      <w:r>
        <w:rPr>
          <w:rFonts w:hint="eastAsia" w:ascii="Arial" w:hAnsi="Arial" w:cs="Arial"/>
          <w:color w:val="auto"/>
          <w:sz w:val="28"/>
          <w:szCs w:val="28"/>
          <w:highlight w:val="none"/>
          <w:lang w:eastAsia="zh-CN"/>
        </w:rPr>
        <w:t>中的</w:t>
      </w:r>
      <w:r>
        <w:rPr>
          <w:rFonts w:ascii="Arial" w:hAnsi="Arial" w:cs="Arial"/>
          <w:color w:val="auto"/>
          <w:sz w:val="28"/>
          <w:szCs w:val="28"/>
          <w:highlight w:val="none"/>
        </w:rPr>
        <w:t>澄清</w:t>
      </w:r>
      <w:bookmarkEnd w:id="129"/>
      <w:bookmarkEnd w:id="130"/>
      <w:bookmarkEnd w:id="131"/>
    </w:p>
    <w:p w14:paraId="3C5CD52B">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2DA0209">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谈判小组并非对每个供应商都作澄清要求。</w:t>
      </w:r>
    </w:p>
    <w:p w14:paraId="2139A13F">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6437F8F2">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25.3 接到谈判小组澄清、说明和更正要求的供应商如未按规定</w:t>
      </w:r>
      <w:r>
        <w:rPr>
          <w:rFonts w:hint="eastAsia" w:ascii="宋体" w:hAnsi="宋体" w:eastAsia="宋体" w:cs="宋体"/>
          <w:color w:val="auto"/>
          <w:highlight w:val="none"/>
          <w:lang w:eastAsia="zh-CN"/>
        </w:rPr>
        <w:t>作出</w:t>
      </w:r>
      <w:r>
        <w:rPr>
          <w:rFonts w:hint="eastAsia" w:ascii="宋体" w:hAnsi="宋体" w:eastAsia="宋体" w:cs="宋体"/>
          <w:color w:val="auto"/>
          <w:highlight w:val="none"/>
        </w:rPr>
        <w:t>澄清、说明和 更正，其风险由供应商自行承担。</w:t>
      </w:r>
    </w:p>
    <w:p w14:paraId="7F14BEC6">
      <w:pPr>
        <w:pStyle w:val="30"/>
        <w:keepNext/>
        <w:keepLines/>
        <w:pageBreakBefore w:val="0"/>
        <w:spacing w:beforeAutospacing="0" w:afterAutospacing="0" w:line="440" w:lineRule="exact"/>
        <w:ind w:firstLine="420"/>
        <w:jc w:val="both"/>
        <w:rPr>
          <w:color w:val="auto"/>
          <w:highlight w:val="none"/>
        </w:rPr>
      </w:pPr>
      <w:bookmarkStart w:id="132" w:name="_Toc16938549"/>
      <w:bookmarkStart w:id="133" w:name="_Toc20823305"/>
      <w:bookmarkStart w:id="134" w:name="_Toc513029233"/>
      <w:r>
        <w:rPr>
          <w:rFonts w:ascii="Arial" w:hAnsi="Arial" w:cs="Arial"/>
          <w:color w:val="auto"/>
          <w:sz w:val="28"/>
          <w:szCs w:val="28"/>
          <w:highlight w:val="none"/>
        </w:rPr>
        <w:t>26、对响应文件的审</w:t>
      </w:r>
      <w:bookmarkEnd w:id="132"/>
      <w:bookmarkEnd w:id="133"/>
      <w:bookmarkEnd w:id="134"/>
      <w:r>
        <w:rPr>
          <w:rFonts w:ascii="Arial" w:hAnsi="Arial" w:cs="Arial"/>
          <w:color w:val="auto"/>
          <w:sz w:val="28"/>
          <w:szCs w:val="28"/>
          <w:highlight w:val="none"/>
        </w:rPr>
        <w:t>查</w:t>
      </w:r>
    </w:p>
    <w:p w14:paraId="4DB9B4F5">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26.1响应文件审查分为资格审查和符合性审查。</w:t>
      </w:r>
    </w:p>
    <w:p w14:paraId="27550291">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26.1.1 资格审查：由谈判小组依据法律法规和谈判文件的规定，对响应文件中的资格证明文件进行审查，以确定供应商是否具备参加谈判的资格。</w:t>
      </w:r>
    </w:p>
    <w:p w14:paraId="2B1E6153">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谈判小组在进行资格审查的同时，将在“信用中国”网站（www.creditchina.gov.cn）查询供应商的信用记录，以确定供应商是否具备谈判资格</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查询结果留存并归档。</w:t>
      </w:r>
    </w:p>
    <w:p w14:paraId="7A7F691F">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接受联合体的项目，两个以上的自然人、法人或者其他组织组成一个联合体，以一个供应商的身份共同参加政府采购活动的</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联合体成员中任何一方存在不良信用记录的，视同联合体存在不良应用记录。</w:t>
      </w:r>
    </w:p>
    <w:p w14:paraId="262286EB">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26.1.2 符合性审查：依据谈判文件的规定，由谈判小组从响应文件的有效性、完整性和对谈判文件的响应程度进行审查，以确定是否对谈判文件的实质性要求作出响应。</w:t>
      </w:r>
    </w:p>
    <w:p w14:paraId="1B6F63E0">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26.1.3 未通过资格审查或符合性审查的供应商，谈判小组将在苏采云系统中告知未通过资格审查或符合性审查的原因，评审结束后，谈判小组将不再告知未通过资格审查或符合性审查的原因。</w:t>
      </w:r>
    </w:p>
    <w:p w14:paraId="553526C9">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26.2在详细评审之前，谈判小组将首先审查每份响应文件是否实质性响应了谈判文件的要求。实质性响应的响应文件应该是与谈判文件要求的条款、条件和规格相符，没有重大偏离或保留。</w:t>
      </w:r>
    </w:p>
    <w:p w14:paraId="2A98FE94">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所谓重大偏离或保留是指与谈判文件规定的实质性要求存在负偏离，或者在实质上与谈判文件不一致，而且限制了合同中买方和</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p>
    <w:p w14:paraId="239BD4E0">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26.3未实质性响应谈判文件的情形</w:t>
      </w:r>
    </w:p>
    <w:p w14:paraId="6AC41F7C">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26.3.1供应商在苏采云系统规定的时间内未成功解密电子响应文件的。</w:t>
      </w:r>
    </w:p>
    <w:p w14:paraId="5E6158B2">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26.3.2供应商未按照谈判文件要求上传电子响应文件的。</w:t>
      </w:r>
    </w:p>
    <w:p w14:paraId="4C55D79D">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26.3.3同一供应商提交两个（含两个）以上不同的响应文件或者最后报价的。</w:t>
      </w:r>
    </w:p>
    <w:p w14:paraId="2011B98F">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26.3.4供应商不具备谈判文件中规定资格要求的。</w:t>
      </w:r>
    </w:p>
    <w:p w14:paraId="42A76B90">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26.3.5供应商的最后报价超过了采购预算。</w:t>
      </w:r>
    </w:p>
    <w:p w14:paraId="11B7DEF0">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26.3.6不符合谈判文件中规定的实质性要求和条件的</w:t>
      </w:r>
      <w:r>
        <w:rPr>
          <w:rFonts w:hint="eastAsia" w:ascii="宋体" w:hAnsi="宋体" w:eastAsia="宋体" w:cs="宋体"/>
          <w:i/>
          <w:color w:val="auto"/>
          <w:highlight w:val="none"/>
          <w:u w:val="single"/>
        </w:rPr>
        <w:t>（本谈判文件中斜体且有下划线部分为实质性要求和条件）。</w:t>
      </w:r>
    </w:p>
    <w:p w14:paraId="5DF8E1A3">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5D0733DF">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26.3.8响应文件含有采购人不能接受的附加条件的。</w:t>
      </w:r>
    </w:p>
    <w:p w14:paraId="5E2A14DF">
      <w:pPr>
        <w:pStyle w:val="30"/>
        <w:pageBreakBefore w:val="0"/>
        <w:spacing w:beforeAutospacing="0" w:afterAutospacing="0" w:line="44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26.3.9 本项目采购产品被财政部、国家发展改革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p>
    <w:p w14:paraId="110EC642">
      <w:pPr>
        <w:pStyle w:val="30"/>
        <w:pageBreakBefore w:val="0"/>
        <w:spacing w:beforeAutospacing="0" w:afterAutospacing="0" w:line="440" w:lineRule="exact"/>
        <w:ind w:firstLine="480"/>
        <w:jc w:val="both"/>
        <w:rPr>
          <w:b/>
          <w:bCs/>
        </w:rPr>
      </w:pPr>
      <w:r>
        <w:rPr>
          <w:rFonts w:hint="eastAsia" w:ascii="宋体" w:hAnsi="宋体" w:eastAsia="宋体" w:cs="宋体"/>
          <w:b/>
          <w:bCs/>
          <w:color w:val="auto"/>
          <w:highlight w:val="none"/>
        </w:rPr>
        <w:t>26.3.10供应商不能证明其报价合理性的，谈判小组应当将其作为无效响应处理。</w:t>
      </w:r>
    </w:p>
    <w:p w14:paraId="63A8E94D">
      <w:pPr>
        <w:pStyle w:val="192"/>
        <w:pageBreakBefore w:val="0"/>
        <w:widowControl w:val="0"/>
        <w:spacing w:before="73" w:beforeAutospacing="0" w:after="73" w:afterAutospacing="0" w:line="420" w:lineRule="exact"/>
        <w:ind w:left="0" w:firstLine="480"/>
        <w:jc w:val="both"/>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（一）评审过程中出现下列情形之一的，</w:t>
      </w:r>
      <w:r>
        <w:rPr>
          <w:rFonts w:hint="eastAsia" w:ascii="宋体" w:hAnsi="宋体" w:eastAsia="宋体" w:cs="宋体"/>
          <w:b/>
          <w:bCs/>
          <w:color w:val="000000" w:themeColor="text1"/>
          <w:sz w:val="24"/>
          <w:szCs w:val="24"/>
          <w:highlight w:val="none"/>
          <w14:textFill>
            <w14:solidFill>
              <w14:schemeClr w14:val="tx1"/>
            </w14:solidFill>
          </w14:textFill>
        </w:rPr>
        <w:t>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审</w:t>
      </w:r>
      <w:r>
        <w:rPr>
          <w:rFonts w:hint="eastAsia" w:ascii="宋体" w:hAnsi="宋体" w:eastAsia="宋体" w:cs="宋体"/>
          <w:b/>
          <w:bCs/>
          <w:color w:val="000000" w:themeColor="text1"/>
          <w:sz w:val="24"/>
          <w:szCs w:val="24"/>
          <w:highlight w:val="none"/>
          <w14:textFill>
            <w14:solidFill>
              <w14:schemeClr w14:val="tx1"/>
            </w14:solidFill>
          </w14:textFill>
        </w:rPr>
        <w:t>委员会</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应当启动异常低价投标审查程序：</w:t>
      </w:r>
    </w:p>
    <w:p w14:paraId="3AF93FFF">
      <w:pPr>
        <w:pStyle w:val="192"/>
        <w:pageBreakBefore w:val="0"/>
        <w:widowControl w:val="0"/>
        <w:spacing w:before="73" w:beforeAutospacing="0" w:after="73" w:afterAutospacing="0" w:line="420" w:lineRule="exact"/>
        <w:ind w:left="0" w:firstLine="480"/>
        <w:jc w:val="both"/>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w:t>
      </w:r>
      <w:r>
        <w:rPr>
          <w:rFonts w:hint="default" w:ascii="宋体" w:hAnsi="宋体" w:eastAsia="宋体" w:cs="宋体"/>
          <w:b/>
          <w:bCs/>
          <w:color w:val="000000" w:themeColor="text1"/>
          <w:sz w:val="24"/>
          <w:szCs w:val="24"/>
          <w:highlight w:val="none"/>
          <w:lang w:val="en-US" w:eastAsia="zh-CN"/>
          <w14:textFill>
            <w14:solidFill>
              <w14:schemeClr w14:val="tx1"/>
            </w14:solidFill>
          </w14:textFill>
        </w:rPr>
        <w:t>投标（响应）报价低于全部通过符合性审查供应商投标（响应）报价平均值 50%的，即投标（响应）报价&lt;全部通过符合性审查供应商投标（响应）报价平均值×50%；</w:t>
      </w:r>
    </w:p>
    <w:p w14:paraId="586C06BA">
      <w:pPr>
        <w:pStyle w:val="192"/>
        <w:pageBreakBefore w:val="0"/>
        <w:widowControl w:val="0"/>
        <w:spacing w:before="73" w:beforeAutospacing="0" w:after="73" w:afterAutospacing="0" w:line="420" w:lineRule="exact"/>
        <w:ind w:left="0" w:firstLine="480"/>
        <w:jc w:val="both"/>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w:t>
      </w:r>
      <w:r>
        <w:rPr>
          <w:rFonts w:hint="default" w:ascii="宋体" w:hAnsi="宋体" w:eastAsia="宋体" w:cs="宋体"/>
          <w:b/>
          <w:bCs/>
          <w:color w:val="000000" w:themeColor="text1"/>
          <w:sz w:val="24"/>
          <w:szCs w:val="24"/>
          <w:highlight w:val="none"/>
          <w:lang w:val="en-US" w:eastAsia="zh-CN"/>
          <w14:textFill>
            <w14:solidFill>
              <w14:schemeClr w14:val="tx1"/>
            </w14:solidFill>
          </w14:textFill>
        </w:rPr>
        <w:t>投标（响应）报价低于通过符合性审查的次低报价供应商投标（响应）报价 50%的，即投标（响应）报价&lt;通过符合性审查的次低报价供应商投标（响应）报价×50%；</w:t>
      </w:r>
    </w:p>
    <w:p w14:paraId="1E3C3455">
      <w:pPr>
        <w:pStyle w:val="192"/>
        <w:pageBreakBefore w:val="0"/>
        <w:widowControl w:val="0"/>
        <w:spacing w:before="73" w:beforeAutospacing="0" w:after="73" w:afterAutospacing="0" w:line="420" w:lineRule="exact"/>
        <w:ind w:left="0" w:firstLine="480"/>
        <w:jc w:val="both"/>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w:t>
      </w:r>
      <w:r>
        <w:rPr>
          <w:rFonts w:hint="default" w:ascii="宋体" w:hAnsi="宋体" w:eastAsia="宋体" w:cs="宋体"/>
          <w:b/>
          <w:bCs/>
          <w:color w:val="000000" w:themeColor="text1"/>
          <w:sz w:val="24"/>
          <w:szCs w:val="24"/>
          <w:highlight w:val="none"/>
          <w:lang w:val="en-US" w:eastAsia="zh-CN"/>
          <w14:textFill>
            <w14:solidFill>
              <w14:schemeClr w14:val="tx1"/>
            </w14:solidFill>
          </w14:textFill>
        </w:rPr>
        <w:t>投标（响应）报价低于采购项目最高限价 45%的，即投标（响应）报价&lt;采购项目最高限价×45%；</w:t>
      </w:r>
    </w:p>
    <w:p w14:paraId="09F387C8">
      <w:pPr>
        <w:pStyle w:val="192"/>
        <w:pageBreakBefore w:val="0"/>
        <w:widowControl w:val="0"/>
        <w:spacing w:before="73" w:beforeAutospacing="0" w:after="73" w:afterAutospacing="0" w:line="420" w:lineRule="exact"/>
        <w:ind w:left="0" w:firstLine="480"/>
        <w:jc w:val="both"/>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4．评审委员会基于专业判断，认为供应商报价过低，有可能影响产品质量或者不能诚信履约的其他情形。</w:t>
      </w:r>
    </w:p>
    <w:p w14:paraId="476B9B3A">
      <w:pPr>
        <w:pStyle w:val="192"/>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提醒：采购人可以结合具体项目实际情况，提高上述第1项至第3项中启动异常低价投标（响应）审查的数值标准，但是最高不得超过65%。</w:t>
      </w:r>
    </w:p>
    <w:p w14:paraId="7ADF5A6D">
      <w:pPr>
        <w:pStyle w:val="192"/>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86349E8">
      <w:pPr>
        <w:pStyle w:val="192"/>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DA9CEFB">
      <w:pPr>
        <w:pStyle w:val="192"/>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7F51564">
      <w:pPr>
        <w:pStyle w:val="30"/>
        <w:pageBreakBefore w:val="0"/>
        <w:spacing w:beforeAutospacing="0" w:afterAutospacing="0" w:line="440" w:lineRule="exact"/>
        <w:ind w:firstLine="48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p>
    <w:p w14:paraId="273FABDA">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26.3.11响应文件未按照谈判文件要求加盖CA电子公章的。</w:t>
      </w:r>
    </w:p>
    <w:p w14:paraId="4F263D26">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26.4未实质性响应谈判文件的响应文件按无效响应处理。</w:t>
      </w:r>
    </w:p>
    <w:p w14:paraId="66102809">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26.5如果响应文件实质上没有响应谈判文件的要求，谈判小组将予以拒绝，供应商不得通过修改或撤销不符合要求的偏离或保留而使其成为实质性响应的文件。</w:t>
      </w:r>
    </w:p>
    <w:p w14:paraId="3664BA67">
      <w:pPr>
        <w:pStyle w:val="30"/>
        <w:pageBreakBefore w:val="0"/>
        <w:spacing w:beforeAutospacing="0" w:afterAutospacing="0" w:line="440" w:lineRule="exact"/>
        <w:ind w:firstLine="480"/>
        <w:jc w:val="both"/>
        <w:rPr>
          <w:color w:val="auto"/>
          <w:highlight w:val="none"/>
        </w:rPr>
      </w:pPr>
      <w:bookmarkStart w:id="135" w:name="_Toc513029234"/>
      <w:bookmarkStart w:id="136" w:name="_Toc16938550"/>
      <w:bookmarkStart w:id="137" w:name="_Toc20823306"/>
      <w:r>
        <w:rPr>
          <w:rFonts w:hint="eastAsia" w:ascii="宋体" w:hAnsi="宋体" w:eastAsia="宋体" w:cs="宋体"/>
          <w:color w:val="auto"/>
          <w:highlight w:val="none"/>
        </w:rPr>
        <w:t>26.6供应商在项目评审全过程中应保持通信畅通，并安排专人与</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及谈判小组联系。</w:t>
      </w:r>
      <w:bookmarkEnd w:id="135"/>
      <w:bookmarkEnd w:id="136"/>
      <w:bookmarkEnd w:id="137"/>
    </w:p>
    <w:p w14:paraId="06628669">
      <w:pPr>
        <w:pStyle w:val="30"/>
        <w:keepNext/>
        <w:keepLines/>
        <w:pageBreakBefore w:val="0"/>
        <w:spacing w:beforeAutospacing="0" w:afterAutospacing="0" w:line="440" w:lineRule="exact"/>
        <w:ind w:firstLine="420"/>
        <w:jc w:val="both"/>
        <w:rPr>
          <w:color w:val="auto"/>
          <w:highlight w:val="none"/>
        </w:rPr>
      </w:pPr>
      <w:r>
        <w:rPr>
          <w:rFonts w:ascii="Arial" w:hAnsi="Arial" w:cs="Arial"/>
          <w:color w:val="auto"/>
          <w:sz w:val="28"/>
          <w:szCs w:val="28"/>
          <w:highlight w:val="none"/>
        </w:rPr>
        <w:t>27、谈判程序及成交原则</w:t>
      </w:r>
    </w:p>
    <w:p w14:paraId="23A6B881">
      <w:pPr>
        <w:pStyle w:val="30"/>
        <w:pageBreakBefore w:val="0"/>
        <w:tabs>
          <w:tab w:val="left" w:pos="901"/>
        </w:tabs>
        <w:spacing w:beforeAutospacing="0" w:after="145" w:afterAutospacing="0" w:line="440" w:lineRule="exact"/>
        <w:ind w:firstLine="478"/>
        <w:jc w:val="both"/>
        <w:rPr>
          <w:color w:val="auto"/>
          <w:highlight w:val="none"/>
        </w:rPr>
      </w:pPr>
      <w:r>
        <w:rPr>
          <w:rFonts w:hint="eastAsia" w:ascii="宋体" w:hAnsi="宋体" w:eastAsia="宋体" w:cs="宋体"/>
          <w:color w:val="auto"/>
          <w:highlight w:val="none"/>
        </w:rPr>
        <w:t>27.1谈判程序</w:t>
      </w:r>
    </w:p>
    <w:p w14:paraId="137B008A">
      <w:pPr>
        <w:pStyle w:val="30"/>
        <w:pageBreakBefore w:val="0"/>
        <w:tabs>
          <w:tab w:val="left" w:pos="901"/>
        </w:tabs>
        <w:spacing w:beforeAutospacing="0" w:after="145" w:afterAutospacing="0" w:line="440" w:lineRule="exact"/>
        <w:ind w:firstLine="478"/>
        <w:jc w:val="both"/>
        <w:rPr>
          <w:color w:val="auto"/>
          <w:highlight w:val="none"/>
        </w:rPr>
      </w:pPr>
      <w:r>
        <w:rPr>
          <w:rFonts w:hint="eastAsia" w:ascii="宋体" w:hAnsi="宋体" w:eastAsia="宋体" w:cs="宋体"/>
          <w:color w:val="auto"/>
          <w:highlight w:val="none"/>
        </w:rPr>
        <w:t>27.1.1对于通过资格审查和符合性审查的供应商，谈判小组将集中与单一供应商分别进行谈判。谈判小组通过苏采云系统向供应商发布“谈判函”，供应商应当按照要求在苏采云系统提交“谈判响应函”并加盖CA电子公章。</w:t>
      </w:r>
    </w:p>
    <w:p w14:paraId="593F18D6">
      <w:pPr>
        <w:pStyle w:val="30"/>
        <w:pageBreakBefore w:val="0"/>
        <w:tabs>
          <w:tab w:val="left" w:pos="901"/>
        </w:tabs>
        <w:spacing w:beforeAutospacing="0" w:after="145" w:afterAutospacing="0" w:line="440" w:lineRule="exact"/>
        <w:ind w:firstLine="478"/>
        <w:jc w:val="both"/>
        <w:rPr>
          <w:color w:val="auto"/>
          <w:highlight w:val="none"/>
        </w:rPr>
      </w:pPr>
      <w:r>
        <w:rPr>
          <w:rFonts w:hint="eastAsia" w:ascii="宋体" w:hAnsi="宋体" w:eastAsia="宋体" w:cs="宋体"/>
          <w:color w:val="auto"/>
          <w:highlight w:val="none"/>
        </w:rPr>
        <w:t>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p>
    <w:p w14:paraId="1881D61A">
      <w:pPr>
        <w:pStyle w:val="30"/>
        <w:pageBreakBefore w:val="0"/>
        <w:tabs>
          <w:tab w:val="left" w:pos="901"/>
        </w:tabs>
        <w:spacing w:beforeAutospacing="0" w:after="145" w:afterAutospacing="0" w:line="440" w:lineRule="exact"/>
        <w:ind w:firstLine="478"/>
        <w:jc w:val="both"/>
        <w:rPr>
          <w:color w:val="auto"/>
          <w:highlight w:val="none"/>
        </w:rPr>
      </w:pPr>
      <w:r>
        <w:rPr>
          <w:rFonts w:hint="eastAsia" w:ascii="宋体" w:hAnsi="宋体" w:eastAsia="宋体" w:cs="宋体"/>
          <w:color w:val="auto"/>
          <w:highlight w:val="none"/>
        </w:rPr>
        <w:t>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p>
    <w:p w14:paraId="2F1BC7AA">
      <w:pPr>
        <w:pStyle w:val="30"/>
        <w:pageBreakBefore w:val="0"/>
        <w:tabs>
          <w:tab w:val="left" w:pos="901"/>
        </w:tabs>
        <w:spacing w:beforeAutospacing="0" w:after="145" w:afterAutospacing="0" w:line="440" w:lineRule="exact"/>
        <w:ind w:firstLine="478"/>
        <w:jc w:val="both"/>
        <w:rPr>
          <w:color w:val="auto"/>
          <w:highlight w:val="none"/>
        </w:rPr>
      </w:pPr>
      <w:r>
        <w:rPr>
          <w:rFonts w:hint="eastAsia" w:ascii="宋体" w:hAnsi="宋体" w:eastAsia="宋体" w:cs="宋体"/>
          <w:color w:val="auto"/>
          <w:highlight w:val="none"/>
        </w:rPr>
        <w:t>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p>
    <w:p w14:paraId="3D590348">
      <w:pPr>
        <w:pStyle w:val="30"/>
        <w:pageBreakBefore w:val="0"/>
        <w:tabs>
          <w:tab w:val="left" w:pos="901"/>
        </w:tabs>
        <w:spacing w:beforeAutospacing="0" w:after="145" w:afterAutospacing="0" w:line="440" w:lineRule="exact"/>
        <w:ind w:firstLine="478"/>
        <w:jc w:val="both"/>
        <w:rPr>
          <w:color w:val="auto"/>
          <w:highlight w:val="none"/>
        </w:rPr>
      </w:pPr>
      <w:r>
        <w:rPr>
          <w:rFonts w:hint="eastAsia" w:ascii="宋体" w:hAnsi="宋体" w:eastAsia="宋体" w:cs="宋体"/>
          <w:color w:val="auto"/>
          <w:highlight w:val="none"/>
        </w:rPr>
        <w:t>27.1.3供应商未在谈判小组规定的时间内在苏采云系统中提交最后报价的视为放弃谈判，其响应文件按无效响应处理，最后报价格式表须加盖CA电子公章</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否则视为未提交最后报价。已提交响应文件的供应商，在提交最后报价之前，可以根据谈判情况退出谈判，并在苏采云系统中提交“退出谈判函”并加盖CA电子公章。</w:t>
      </w:r>
    </w:p>
    <w:p w14:paraId="3B095328">
      <w:pPr>
        <w:pStyle w:val="30"/>
        <w:pageBreakBefore w:val="0"/>
        <w:tabs>
          <w:tab w:val="left" w:pos="901"/>
        </w:tabs>
        <w:spacing w:beforeAutospacing="0" w:after="145" w:afterAutospacing="0" w:line="440" w:lineRule="exact"/>
        <w:ind w:firstLine="478"/>
        <w:jc w:val="both"/>
        <w:rPr>
          <w:color w:val="auto"/>
          <w:highlight w:val="none"/>
        </w:rPr>
      </w:pPr>
      <w:r>
        <w:rPr>
          <w:rFonts w:hint="eastAsia" w:ascii="宋体" w:hAnsi="宋体" w:eastAsia="宋体" w:cs="宋体"/>
          <w:color w:val="auto"/>
          <w:highlight w:val="none"/>
        </w:rPr>
        <w:t>27.2 成交原则</w:t>
      </w:r>
    </w:p>
    <w:p w14:paraId="204F7322">
      <w:pPr>
        <w:pStyle w:val="30"/>
        <w:pageBreakBefore w:val="0"/>
        <w:spacing w:beforeAutospacing="0" w:afterAutospacing="0" w:line="440" w:lineRule="exact"/>
        <w:ind w:firstLine="480"/>
        <w:jc w:val="both"/>
        <w:rPr>
          <w:color w:val="auto"/>
          <w:highlight w:val="none"/>
        </w:rPr>
      </w:pPr>
      <w:r>
        <w:rPr>
          <w:rFonts w:ascii="Times New Roman" w:hAnsi="Times New Roman"/>
          <w:color w:val="auto"/>
          <w:highlight w:val="none"/>
        </w:rPr>
        <w:t>27.2.1谈判小组将从质量和服务均能满足</w:t>
      </w:r>
      <w:r>
        <w:rPr>
          <w:rFonts w:hint="eastAsia" w:ascii="Times New Roman" w:hAnsi="Times New Roman"/>
          <w:color w:val="auto"/>
          <w:highlight w:val="none"/>
          <w:lang w:val="en-US" w:eastAsia="zh-CN"/>
        </w:rPr>
        <w:t>谈判</w:t>
      </w:r>
      <w:r>
        <w:rPr>
          <w:rFonts w:ascii="Times New Roman" w:hAnsi="Times New Roman"/>
          <w:color w:val="auto"/>
          <w:highlight w:val="none"/>
        </w:rPr>
        <w:t>文件实质性响应要求的供应商中，按照最后报价由</w:t>
      </w:r>
      <w:r>
        <w:rPr>
          <w:rFonts w:ascii="Times New Roman" w:hAnsi="Times New Roman"/>
          <w:color w:val="auto"/>
          <w:highlight w:val="yellow"/>
        </w:rPr>
        <w:t>低到高顺序推荐3名成交候选供应商</w:t>
      </w:r>
      <w:r>
        <w:rPr>
          <w:rFonts w:ascii="Times New Roman" w:hAnsi="Times New Roman"/>
          <w:color w:val="auto"/>
          <w:highlight w:val="none"/>
        </w:rPr>
        <w:t>，并编写评审报告。采购人从评审报告提出的成交候选供应商中，根据质量和服务均能满足</w:t>
      </w:r>
      <w:r>
        <w:rPr>
          <w:rFonts w:hint="eastAsia" w:ascii="Times New Roman" w:hAnsi="Times New Roman"/>
          <w:color w:val="auto"/>
          <w:highlight w:val="none"/>
          <w:lang w:val="en-US" w:eastAsia="zh-CN"/>
        </w:rPr>
        <w:t>谈判</w:t>
      </w:r>
      <w:r>
        <w:rPr>
          <w:rFonts w:ascii="Times New Roman" w:hAnsi="Times New Roman"/>
          <w:color w:val="auto"/>
          <w:highlight w:val="none"/>
        </w:rPr>
        <w:t>文件实质性响应要求且最后报价最低的原则确定成交供应商。</w:t>
      </w:r>
    </w:p>
    <w:p w14:paraId="4DBF379D">
      <w:pPr>
        <w:pStyle w:val="30"/>
        <w:pageBreakBefore w:val="0"/>
        <w:spacing w:beforeAutospacing="0" w:afterAutospacing="0" w:line="440" w:lineRule="exact"/>
        <w:ind w:firstLine="480"/>
        <w:jc w:val="both"/>
        <w:rPr>
          <w:color w:val="auto"/>
          <w:highlight w:val="none"/>
        </w:rPr>
      </w:pPr>
      <w:r>
        <w:rPr>
          <w:rFonts w:ascii="Times New Roman" w:hAnsi="Times New Roman"/>
          <w:color w:val="auto"/>
          <w:highlight w:val="none"/>
        </w:rPr>
        <w:t>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p>
    <w:p w14:paraId="7F94402E">
      <w:pPr>
        <w:pStyle w:val="30"/>
        <w:pageBreakBefore w:val="0"/>
        <w:spacing w:beforeAutospacing="0" w:afterAutospacing="0" w:line="440" w:lineRule="exact"/>
        <w:ind w:firstLine="480"/>
        <w:jc w:val="both"/>
        <w:rPr>
          <w:color w:val="auto"/>
          <w:highlight w:val="none"/>
        </w:rPr>
      </w:pPr>
      <w:r>
        <w:rPr>
          <w:rFonts w:ascii="Times New Roman" w:hAnsi="Times New Roman"/>
          <w:color w:val="auto"/>
          <w:highlight w:val="none"/>
        </w:rPr>
        <w:t>27.2.3 供应商的最后报价如相同，则优先采购 “环境标志产品”或“节能产品”；若均非</w:t>
      </w:r>
      <w:r>
        <w:rPr>
          <w:rFonts w:hint="eastAsia" w:ascii="宋体" w:hAnsi="宋体" w:eastAsia="宋体" w:cs="宋体"/>
          <w:color w:val="auto"/>
          <w:sz w:val="24"/>
          <w:szCs w:val="24"/>
          <w:highlight w:val="none"/>
          <w:shd w:val="clear" w:color="auto" w:fill="auto"/>
        </w:rPr>
        <w:t>“环境标志产品</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节能产品”</w:t>
      </w:r>
      <w:r>
        <w:rPr>
          <w:rFonts w:ascii="Times New Roman" w:hAnsi="Times New Roman"/>
          <w:color w:val="auto"/>
          <w:highlight w:val="none"/>
        </w:rPr>
        <w:t>，则将优先采购交货期短者。环境标志产品是指列入财政部、环境保护部最新公布的《环境标志产品品目清单》内的产品；节能产品是指列入财政部、国家</w:t>
      </w:r>
      <w:r>
        <w:rPr>
          <w:rFonts w:hint="eastAsia" w:ascii="Times New Roman" w:hAnsi="Times New Roman"/>
          <w:color w:val="auto"/>
          <w:highlight w:val="none"/>
        </w:rPr>
        <w:t>发展改革</w:t>
      </w:r>
      <w:r>
        <w:rPr>
          <w:rFonts w:ascii="Times New Roman" w:hAnsi="Times New Roman"/>
          <w:color w:val="auto"/>
          <w:highlight w:val="none"/>
        </w:rPr>
        <w:t>委最新公布的《节能产品品目清单》内的产品。</w:t>
      </w:r>
    </w:p>
    <w:p w14:paraId="4B68E065">
      <w:pPr>
        <w:pStyle w:val="30"/>
        <w:pageBreakBefore w:val="0"/>
        <w:spacing w:beforeAutospacing="0" w:afterAutospacing="0" w:line="440" w:lineRule="exact"/>
        <w:ind w:firstLine="480"/>
        <w:jc w:val="both"/>
        <w:rPr>
          <w:color w:val="auto"/>
          <w:highlight w:val="none"/>
        </w:rPr>
      </w:pPr>
      <w:r>
        <w:rPr>
          <w:rFonts w:ascii="Times New Roman" w:hAnsi="Times New Roman"/>
          <w:color w:val="auto"/>
          <w:highlight w:val="none"/>
        </w:rPr>
        <w:t>27.2.4 采购人确定成交供应商后，</w:t>
      </w:r>
      <w:r>
        <w:rPr>
          <w:rFonts w:hint="eastAsia" w:ascii="Times New Roman" w:hAnsi="Times New Roman"/>
          <w:color w:val="auto"/>
          <w:highlight w:val="none"/>
          <w:lang w:eastAsia="zh-CN"/>
        </w:rPr>
        <w:t>代理机构</w:t>
      </w:r>
      <w:r>
        <w:rPr>
          <w:rFonts w:ascii="Times New Roman" w:hAnsi="Times New Roman"/>
          <w:color w:val="auto"/>
          <w:highlight w:val="none"/>
        </w:rPr>
        <w:t>将在</w:t>
      </w:r>
      <w:r>
        <w:rPr>
          <w:rFonts w:hint="eastAsia" w:ascii="Times New Roman" w:hAnsi="Times New Roman" w:cs="Times New Roman"/>
          <w:color w:val="auto"/>
          <w:highlight w:val="none"/>
        </w:rPr>
        <w:t>“</w:t>
      </w:r>
      <w:r>
        <w:rPr>
          <w:rFonts w:hint="eastAsia" w:ascii="Times New Roman" w:hAnsi="Times New Roman" w:cs="Times New Roman"/>
          <w:color w:val="auto"/>
          <w:highlight w:val="none"/>
          <w:lang w:val="en-US" w:eastAsia="zh-CN"/>
        </w:rPr>
        <w:t>中国政府采购网</w:t>
      </w:r>
      <w:r>
        <w:rPr>
          <w:rFonts w:hint="eastAsia" w:ascii="Times New Roman" w:hAnsi="Times New Roman" w:cs="Times New Roman"/>
          <w:color w:val="auto"/>
          <w:highlight w:val="none"/>
        </w:rPr>
        <w:t>”“</w:t>
      </w:r>
      <w:r>
        <w:rPr>
          <w:rFonts w:ascii="Times New Roman" w:hAnsi="Times New Roman"/>
          <w:color w:val="auto"/>
          <w:highlight w:val="none"/>
        </w:rPr>
        <w:t>江苏政府采购网</w:t>
      </w:r>
      <w:r>
        <w:rPr>
          <w:rFonts w:hint="eastAsia" w:ascii="Times New Roman" w:hAnsi="Times New Roman"/>
          <w:color w:val="auto"/>
          <w:highlight w:val="none"/>
        </w:rPr>
        <w:t>”“盐城市政府采购网”</w:t>
      </w:r>
      <w:r>
        <w:rPr>
          <w:rFonts w:ascii="Times New Roman" w:hAnsi="Times New Roman"/>
          <w:color w:val="auto"/>
          <w:highlight w:val="none"/>
        </w:rPr>
        <w:t>发布成交结果公告，公告期限为1个工作日。</w:t>
      </w:r>
    </w:p>
    <w:p w14:paraId="7D368738">
      <w:pPr>
        <w:pStyle w:val="30"/>
        <w:pageBreakBefore w:val="0"/>
        <w:tabs>
          <w:tab w:val="left" w:pos="901"/>
        </w:tabs>
        <w:spacing w:beforeAutospacing="0" w:after="145" w:afterAutospacing="0" w:line="440" w:lineRule="exact"/>
        <w:ind w:firstLine="478"/>
        <w:jc w:val="both"/>
        <w:rPr>
          <w:color w:val="auto"/>
          <w:highlight w:val="none"/>
        </w:rPr>
      </w:pPr>
      <w:r>
        <w:rPr>
          <w:rFonts w:ascii="Times New Roman" w:hAnsi="Times New Roman"/>
          <w:color w:val="auto"/>
          <w:highlight w:val="none"/>
        </w:rPr>
        <w:t>27.3</w:t>
      </w:r>
      <w:r>
        <w:rPr>
          <w:rFonts w:hint="eastAsia" w:ascii="宋体" w:hAnsi="宋体" w:eastAsia="宋体" w:cs="宋体"/>
          <w:color w:val="auto"/>
          <w:highlight w:val="none"/>
        </w:rPr>
        <w:t>采购活动终止的情况</w:t>
      </w:r>
    </w:p>
    <w:p w14:paraId="31FCC360">
      <w:pPr>
        <w:pStyle w:val="30"/>
        <w:pageBreakBefore w:val="0"/>
        <w:tabs>
          <w:tab w:val="left" w:pos="901"/>
        </w:tabs>
        <w:spacing w:beforeAutospacing="0" w:after="145" w:afterAutospacing="0" w:line="440" w:lineRule="exact"/>
        <w:ind w:firstLine="360"/>
        <w:jc w:val="both"/>
        <w:rPr>
          <w:color w:val="auto"/>
          <w:highlight w:val="none"/>
        </w:rPr>
      </w:pPr>
      <w:r>
        <w:rPr>
          <w:rFonts w:hint="eastAsia" w:ascii="宋体" w:hAnsi="宋体" w:eastAsia="宋体" w:cs="宋体"/>
          <w:color w:val="auto"/>
          <w:highlight w:val="none"/>
        </w:rPr>
        <w:t>出现下列情形之一的，本次竞争性谈判采购活动将被终止：</w:t>
      </w:r>
    </w:p>
    <w:p w14:paraId="5DF58064">
      <w:pPr>
        <w:pStyle w:val="30"/>
        <w:pageBreakBefore w:val="0"/>
        <w:tabs>
          <w:tab w:val="left" w:pos="901"/>
        </w:tabs>
        <w:spacing w:beforeAutospacing="0" w:after="145" w:afterAutospacing="0" w:line="440" w:lineRule="exact"/>
        <w:ind w:firstLine="360"/>
        <w:jc w:val="both"/>
        <w:rPr>
          <w:color w:val="auto"/>
          <w:highlight w:val="none"/>
        </w:rPr>
      </w:pPr>
      <w:r>
        <w:rPr>
          <w:rFonts w:hint="eastAsia" w:ascii="宋体" w:hAnsi="宋体" w:eastAsia="宋体" w:cs="宋体"/>
          <w:color w:val="auto"/>
          <w:highlight w:val="none"/>
        </w:rPr>
        <w:t>27.</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.1因情况变化，不再符合规定的竞争性谈判采购方式适用情形的。</w:t>
      </w:r>
    </w:p>
    <w:p w14:paraId="4F0C820E">
      <w:pPr>
        <w:pStyle w:val="30"/>
        <w:pageBreakBefore w:val="0"/>
        <w:tabs>
          <w:tab w:val="left" w:pos="901"/>
        </w:tabs>
        <w:spacing w:beforeAutospacing="0" w:after="145" w:afterAutospacing="0" w:line="440" w:lineRule="exact"/>
        <w:ind w:firstLine="360"/>
        <w:jc w:val="both"/>
        <w:rPr>
          <w:color w:val="auto"/>
          <w:highlight w:val="none"/>
        </w:rPr>
      </w:pPr>
      <w:r>
        <w:rPr>
          <w:rFonts w:hint="eastAsia" w:ascii="宋体" w:hAnsi="宋体" w:eastAsia="宋体" w:cs="宋体"/>
          <w:color w:val="auto"/>
          <w:highlight w:val="none"/>
        </w:rPr>
        <w:t>27.</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.2出现影响采购公正的违法、违规行为的。</w:t>
      </w:r>
    </w:p>
    <w:p w14:paraId="2249462F">
      <w:pPr>
        <w:pStyle w:val="30"/>
        <w:pageBreakBefore w:val="0"/>
        <w:tabs>
          <w:tab w:val="left" w:pos="901"/>
        </w:tabs>
        <w:spacing w:beforeAutospacing="0" w:after="145" w:afterAutospacing="0" w:line="440" w:lineRule="exact"/>
        <w:ind w:firstLine="360"/>
        <w:jc w:val="both"/>
        <w:rPr>
          <w:color w:val="auto"/>
          <w:highlight w:val="none"/>
        </w:rPr>
      </w:pPr>
      <w:r>
        <w:rPr>
          <w:rFonts w:hint="eastAsia" w:ascii="宋体" w:hAnsi="宋体" w:eastAsia="宋体" w:cs="宋体"/>
          <w:color w:val="auto"/>
          <w:highlight w:val="none"/>
        </w:rPr>
        <w:t>27.</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.3在采购过程中符合要求的供应商或者最后报价未超过采购预算的供应商不足3家的。</w:t>
      </w:r>
    </w:p>
    <w:p w14:paraId="1FE8A746">
      <w:pPr>
        <w:pStyle w:val="30"/>
        <w:pageBreakBefore w:val="0"/>
        <w:tabs>
          <w:tab w:val="left" w:pos="901"/>
        </w:tabs>
        <w:spacing w:beforeAutospacing="0" w:after="145" w:afterAutospacing="0" w:line="440" w:lineRule="exact"/>
        <w:ind w:firstLine="360"/>
        <w:jc w:val="both"/>
        <w:rPr>
          <w:color w:val="auto"/>
          <w:highlight w:val="none"/>
        </w:rPr>
      </w:pPr>
      <w:r>
        <w:rPr>
          <w:rFonts w:hint="eastAsia" w:ascii="宋体" w:hAnsi="宋体" w:eastAsia="宋体" w:cs="宋体"/>
          <w:color w:val="auto"/>
          <w:highlight w:val="none"/>
        </w:rPr>
        <w:t>27.</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.4在苏采云系统规定时间内成功解密电子响应文件的供应商不足3家的。</w:t>
      </w:r>
    </w:p>
    <w:p w14:paraId="651A65FF">
      <w:pPr>
        <w:pStyle w:val="30"/>
        <w:keepNext/>
        <w:keepLines/>
        <w:pageBreakBefore w:val="0"/>
        <w:spacing w:beforeAutospacing="0" w:afterAutospacing="0" w:line="440" w:lineRule="exact"/>
        <w:ind w:firstLine="420"/>
        <w:jc w:val="both"/>
        <w:rPr>
          <w:color w:val="auto"/>
          <w:highlight w:val="none"/>
        </w:rPr>
      </w:pPr>
      <w:r>
        <w:rPr>
          <w:rFonts w:ascii="Arial" w:hAnsi="Arial" w:cs="Arial"/>
          <w:color w:val="auto"/>
          <w:sz w:val="28"/>
          <w:szCs w:val="28"/>
          <w:highlight w:val="none"/>
        </w:rPr>
        <w:t>28、成交供应商被取消成交资格情形</w:t>
      </w:r>
    </w:p>
    <w:p w14:paraId="59FC2F7A">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若有充分证据证明，成交供应商出现下列情况之一的，一经查实，将被取消成交资格：</w:t>
      </w:r>
    </w:p>
    <w:p w14:paraId="62940D19">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28.1提供虚假材料谋取成交的。</w:t>
      </w:r>
    </w:p>
    <w:p w14:paraId="560C2E7D">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28.2与评审专家、采购人、其他供应商或者</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工作人员恶意串通的。</w:t>
      </w:r>
    </w:p>
    <w:p w14:paraId="1D429517">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28.3向评审专家、采购人或</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工作人员行贿或者提供其他不正当利益的。</w:t>
      </w:r>
    </w:p>
    <w:p w14:paraId="7F61D3C6">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28.4恶意竞争，最后报价明显低于其自身合理成本且又无法提供证明的。</w:t>
      </w:r>
    </w:p>
    <w:p w14:paraId="5B71C64B">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28.5不满足本谈判文件规定的实质性要求，但在评审过程中又未被谈判小组发现的。</w:t>
      </w:r>
    </w:p>
    <w:p w14:paraId="689038F2">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28.6成交后无正当理由拒不与采购人签订政府采购合同或者未按照谈判文件确定的事项签订政府采购合同的。</w:t>
      </w:r>
    </w:p>
    <w:p w14:paraId="7F7DAE17">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28.7将政府采购合同转包的。</w:t>
      </w:r>
    </w:p>
    <w:p w14:paraId="7E0E518B">
      <w:pPr>
        <w:pStyle w:val="30"/>
        <w:keepNext/>
        <w:keepLines/>
        <w:pageBreakBefore w:val="0"/>
        <w:spacing w:beforeAutospacing="0" w:afterAutospacing="0" w:line="440" w:lineRule="exact"/>
        <w:ind w:firstLine="600"/>
        <w:jc w:val="both"/>
        <w:rPr>
          <w:color w:val="auto"/>
          <w:highlight w:val="none"/>
        </w:rPr>
      </w:pPr>
      <w:bookmarkStart w:id="138" w:name="_Toc200451960"/>
      <w:r>
        <w:rPr>
          <w:rFonts w:hint="eastAsia" w:ascii="黑体" w:hAnsi="宋体" w:eastAsia="黑体" w:cs="黑体"/>
          <w:color w:val="auto"/>
          <w:sz w:val="30"/>
          <w:szCs w:val="30"/>
          <w:highlight w:val="none"/>
        </w:rPr>
        <w:t>29、质疑处理</w:t>
      </w:r>
      <w:bookmarkEnd w:id="138"/>
    </w:p>
    <w:p w14:paraId="715EE617">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 xml:space="preserve">29.1 </w:t>
      </w:r>
      <w:r>
        <w:rPr>
          <w:rFonts w:hint="eastAsia" w:ascii="宋体" w:hAnsi="宋体" w:eastAsia="宋体" w:cs="宋体"/>
          <w:color w:val="auto"/>
          <w:sz w:val="24"/>
          <w:szCs w:val="24"/>
          <w:highlight w:val="none"/>
          <w:shd w:val="clear" w:color="auto" w:fill="auto"/>
        </w:rPr>
        <w:t>提出质疑的供应商应当是参与所质疑项目采购活动的供应商。潜在供应商依法获取其可质疑</w:t>
      </w:r>
      <w:r>
        <w:rPr>
          <w:rFonts w:hint="eastAsia" w:ascii="宋体" w:hAnsi="宋体" w:eastAsia="宋体" w:cs="宋体"/>
          <w:color w:val="auto"/>
          <w:sz w:val="24"/>
          <w:szCs w:val="24"/>
          <w:highlight w:val="none"/>
          <w:shd w:val="clear" w:color="auto" w:fill="auto"/>
          <w:lang w:eastAsia="zh-CN"/>
        </w:rPr>
        <w:t>的</w:t>
      </w:r>
      <w:r>
        <w:rPr>
          <w:rFonts w:hint="eastAsia" w:ascii="宋体" w:hAnsi="宋体" w:eastAsia="宋体" w:cs="宋体"/>
          <w:color w:val="auto"/>
          <w:sz w:val="24"/>
          <w:szCs w:val="24"/>
          <w:highlight w:val="none"/>
          <w:shd w:val="clear" w:color="auto" w:fill="auto"/>
        </w:rPr>
        <w:t>，可以对</w:t>
      </w:r>
      <w:r>
        <w:rPr>
          <w:rFonts w:hint="eastAsia" w:ascii="宋体" w:hAnsi="宋体" w:eastAsia="宋体" w:cs="宋体"/>
          <w:i w:val="0"/>
          <w:iCs w:val="0"/>
          <w:caps w:val="0"/>
          <w:color w:val="333333"/>
          <w:spacing w:val="0"/>
          <w:sz w:val="24"/>
          <w:szCs w:val="24"/>
          <w:highlight w:val="none"/>
          <w:shd w:val="clear" w:color="auto" w:fill="FFFFFF"/>
          <w:lang w:val="en-US" w:eastAsia="zh-CN"/>
        </w:rPr>
        <w:t>谈判</w:t>
      </w:r>
      <w:r>
        <w:rPr>
          <w:rFonts w:hint="eastAsia" w:ascii="宋体" w:hAnsi="宋体" w:eastAsia="宋体" w:cs="宋体"/>
          <w:color w:val="auto"/>
          <w:sz w:val="24"/>
          <w:szCs w:val="24"/>
          <w:highlight w:val="none"/>
          <w:shd w:val="clear" w:color="auto" w:fill="auto"/>
        </w:rPr>
        <w:t>文件提出质疑</w:t>
      </w:r>
      <w:r>
        <w:rPr>
          <w:rFonts w:hint="eastAsia" w:ascii="宋体" w:hAnsi="宋体" w:eastAsia="宋体" w:cs="宋体"/>
          <w:color w:val="auto"/>
          <w:highlight w:val="none"/>
        </w:rPr>
        <w:t>。</w:t>
      </w:r>
    </w:p>
    <w:p w14:paraId="530673DB">
      <w:pPr>
        <w:pStyle w:val="30"/>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highlight w:val="none"/>
        </w:rPr>
        <w:t>29.2</w:t>
      </w:r>
      <w:r>
        <w:rPr>
          <w:rFonts w:hint="eastAsia" w:ascii="宋体" w:hAnsi="宋体" w:eastAsia="宋体" w:cs="宋体"/>
          <w:color w:val="auto"/>
          <w:sz w:val="24"/>
          <w:szCs w:val="24"/>
          <w:highlight w:val="none"/>
          <w:shd w:val="clear" w:color="auto" w:fill="auto"/>
        </w:rPr>
        <w:t>供应商认为</w:t>
      </w:r>
      <w:r>
        <w:rPr>
          <w:rFonts w:hint="eastAsia" w:ascii="宋体" w:hAnsi="宋体" w:eastAsia="宋体" w:cs="宋体"/>
          <w:color w:val="auto"/>
          <w:sz w:val="24"/>
          <w:szCs w:val="24"/>
          <w:highlight w:val="none"/>
          <w:shd w:val="clear" w:color="auto" w:fill="auto"/>
          <w:lang w:val="en-US" w:eastAsia="zh-CN"/>
        </w:rPr>
        <w:t>谈判</w:t>
      </w:r>
      <w:r>
        <w:rPr>
          <w:rFonts w:hint="eastAsia" w:ascii="宋体" w:hAnsi="宋体" w:eastAsia="宋体" w:cs="宋体"/>
          <w:color w:val="auto"/>
          <w:sz w:val="24"/>
          <w:szCs w:val="24"/>
          <w:highlight w:val="none"/>
          <w:shd w:val="clear" w:color="auto" w:fill="auto"/>
        </w:rPr>
        <w:t>文件、</w:t>
      </w:r>
      <w:r>
        <w:rPr>
          <w:rFonts w:hint="eastAsia" w:ascii="宋体" w:hAnsi="宋体" w:eastAsia="宋体" w:cs="宋体"/>
          <w:color w:val="auto"/>
          <w:sz w:val="24"/>
          <w:szCs w:val="24"/>
          <w:highlight w:val="none"/>
          <w:shd w:val="clear" w:color="auto" w:fill="auto"/>
          <w:lang w:val="en-US" w:eastAsia="zh-CN"/>
        </w:rPr>
        <w:t>谈判</w:t>
      </w:r>
      <w:r>
        <w:rPr>
          <w:rFonts w:hint="eastAsia" w:ascii="宋体" w:hAnsi="宋体" w:eastAsia="宋体" w:cs="宋体"/>
          <w:color w:val="auto"/>
          <w:sz w:val="24"/>
          <w:szCs w:val="24"/>
          <w:highlight w:val="none"/>
          <w:shd w:val="clear" w:color="auto" w:fill="auto"/>
        </w:rPr>
        <w:t>过程和</w:t>
      </w:r>
      <w:r>
        <w:rPr>
          <w:rFonts w:hint="eastAsia" w:ascii="宋体" w:hAnsi="宋体" w:eastAsia="宋体" w:cs="宋体"/>
          <w:color w:val="auto"/>
          <w:sz w:val="24"/>
          <w:szCs w:val="24"/>
          <w:highlight w:val="none"/>
          <w:shd w:val="clear" w:color="auto" w:fill="auto"/>
          <w:lang w:val="en-US" w:eastAsia="zh-CN"/>
        </w:rPr>
        <w:t>谈判</w:t>
      </w:r>
      <w:r>
        <w:rPr>
          <w:rFonts w:hint="eastAsia" w:ascii="宋体" w:hAnsi="宋体" w:eastAsia="宋体" w:cs="宋体"/>
          <w:color w:val="auto"/>
          <w:sz w:val="24"/>
          <w:szCs w:val="24"/>
          <w:highlight w:val="none"/>
          <w:shd w:val="clear" w:color="auto" w:fill="auto"/>
        </w:rPr>
        <w:t>结果使自己的权益受到损害的，可以在知道或应知其权益受到损害之日起七个工作日内，以书面形式根据下述29.4条款的规定向采购</w:t>
      </w:r>
      <w:r>
        <w:rPr>
          <w:rFonts w:hint="eastAsia" w:ascii="宋体" w:hAnsi="宋体" w:eastAsia="宋体" w:cs="宋体"/>
          <w:color w:val="auto"/>
          <w:sz w:val="24"/>
          <w:szCs w:val="24"/>
          <w:highlight w:val="none"/>
          <w:shd w:val="clear" w:color="auto" w:fill="auto"/>
          <w:lang w:val="en-US" w:eastAsia="zh-CN"/>
        </w:rPr>
        <w:t>代理机构</w:t>
      </w:r>
      <w:r>
        <w:rPr>
          <w:rFonts w:hint="eastAsia" w:ascii="宋体" w:hAnsi="宋体" w:eastAsia="宋体" w:cs="宋体"/>
          <w:color w:val="auto"/>
          <w:sz w:val="24"/>
          <w:szCs w:val="24"/>
          <w:highlight w:val="none"/>
          <w:shd w:val="clear" w:color="auto" w:fill="auto"/>
        </w:rPr>
        <w:t>或采购人提出质疑。上述应知其权益受到损害之日，是指：</w:t>
      </w:r>
    </w:p>
    <w:p w14:paraId="05EEFB22">
      <w:pPr>
        <w:pStyle w:val="30"/>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29.2.1对可以质疑的</w:t>
      </w:r>
      <w:r>
        <w:rPr>
          <w:rFonts w:hint="eastAsia" w:ascii="宋体" w:hAnsi="宋体" w:eastAsia="宋体" w:cs="宋体"/>
          <w:color w:val="auto"/>
          <w:sz w:val="24"/>
          <w:szCs w:val="24"/>
          <w:highlight w:val="none"/>
          <w:shd w:val="clear" w:color="auto" w:fill="auto"/>
          <w:lang w:val="en-US" w:eastAsia="zh-CN"/>
        </w:rPr>
        <w:t>谈判</w:t>
      </w:r>
      <w:r>
        <w:rPr>
          <w:rFonts w:hint="eastAsia" w:ascii="宋体" w:hAnsi="宋体" w:eastAsia="宋体" w:cs="宋体"/>
          <w:color w:val="auto"/>
          <w:sz w:val="24"/>
          <w:szCs w:val="24"/>
          <w:highlight w:val="none"/>
          <w:shd w:val="clear" w:color="auto" w:fill="auto"/>
        </w:rPr>
        <w:t>文件提出质疑的，为收到</w:t>
      </w:r>
      <w:r>
        <w:rPr>
          <w:rFonts w:hint="eastAsia" w:ascii="宋体" w:hAnsi="宋体" w:eastAsia="宋体" w:cs="宋体"/>
          <w:color w:val="auto"/>
          <w:sz w:val="24"/>
          <w:szCs w:val="24"/>
          <w:highlight w:val="none"/>
          <w:shd w:val="clear" w:color="auto" w:fill="auto"/>
          <w:lang w:val="en-US" w:eastAsia="zh-CN"/>
        </w:rPr>
        <w:t>谈判</w:t>
      </w:r>
      <w:r>
        <w:rPr>
          <w:rFonts w:hint="eastAsia" w:ascii="宋体" w:hAnsi="宋体" w:eastAsia="宋体" w:cs="宋体"/>
          <w:color w:val="auto"/>
          <w:sz w:val="24"/>
          <w:szCs w:val="24"/>
          <w:highlight w:val="none"/>
          <w:shd w:val="clear" w:color="auto" w:fill="auto"/>
        </w:rPr>
        <w:t>文件之日或者</w:t>
      </w:r>
      <w:r>
        <w:rPr>
          <w:rFonts w:hint="eastAsia" w:ascii="宋体" w:hAnsi="宋体" w:eastAsia="宋体" w:cs="宋体"/>
          <w:color w:val="auto"/>
          <w:sz w:val="24"/>
          <w:szCs w:val="24"/>
          <w:highlight w:val="none"/>
          <w:shd w:val="clear" w:color="auto" w:fill="auto"/>
          <w:lang w:val="en-US" w:eastAsia="zh-CN"/>
        </w:rPr>
        <w:t>谈判</w:t>
      </w:r>
      <w:r>
        <w:rPr>
          <w:rFonts w:hint="eastAsia" w:ascii="宋体" w:hAnsi="宋体" w:eastAsia="宋体" w:cs="宋体"/>
          <w:color w:val="auto"/>
          <w:sz w:val="24"/>
          <w:szCs w:val="24"/>
          <w:highlight w:val="none"/>
          <w:shd w:val="clear" w:color="auto" w:fill="auto"/>
        </w:rPr>
        <w:t>文件公告期限届满之日。</w:t>
      </w:r>
    </w:p>
    <w:p w14:paraId="7A47591C">
      <w:pPr>
        <w:pStyle w:val="30"/>
        <w:pageBreakBefore w:val="0"/>
        <w:spacing w:beforeAutospacing="0" w:afterAutospacing="0" w:line="440" w:lineRule="exact"/>
        <w:ind w:firstLine="480"/>
        <w:jc w:val="both"/>
        <w:rPr>
          <w:rFonts w:hint="eastAsia" w:ascii="Times New Roman" w:hAnsi="Times New Roman" w:eastAsiaTheme="minorEastAsia"/>
          <w:color w:val="auto"/>
          <w:highlight w:val="none"/>
          <w:lang w:eastAsia="zh-CN"/>
        </w:rPr>
      </w:pPr>
      <w:r>
        <w:rPr>
          <w:rFonts w:ascii="Times New Roman" w:hAnsi="Times New Roman"/>
          <w:color w:val="auto"/>
          <w:highlight w:val="none"/>
        </w:rPr>
        <w:t xml:space="preserve">   </w:t>
      </w:r>
      <w:r>
        <w:rPr>
          <w:rFonts w:hint="eastAsia" w:ascii="宋体" w:hAnsi="宋体" w:eastAsia="宋体" w:cs="宋体"/>
          <w:color w:val="auto"/>
          <w:highlight w:val="none"/>
        </w:rPr>
        <w:t>29.2.2</w:t>
      </w:r>
      <w:r>
        <w:rPr>
          <w:rFonts w:ascii="Times New Roman" w:hAnsi="Times New Roman"/>
          <w:color w:val="auto"/>
          <w:highlight w:val="none"/>
        </w:rPr>
        <w:t>对采购过程提出质疑的，为各采购程序环节结束之日。</w:t>
      </w:r>
    </w:p>
    <w:p w14:paraId="0094A3D0">
      <w:pPr>
        <w:pStyle w:val="30"/>
        <w:pageBreakBefore w:val="0"/>
        <w:spacing w:beforeAutospacing="0" w:afterAutospacing="0" w:line="440" w:lineRule="exact"/>
        <w:ind w:firstLine="480"/>
        <w:jc w:val="both"/>
        <w:rPr>
          <w:color w:val="auto"/>
          <w:highlight w:val="none"/>
        </w:rPr>
      </w:pPr>
      <w:r>
        <w:rPr>
          <w:rFonts w:ascii="Times New Roman" w:hAnsi="Times New Roman"/>
          <w:color w:val="auto"/>
          <w:highlight w:val="none"/>
        </w:rPr>
        <w:t xml:space="preserve">   </w:t>
      </w:r>
      <w:r>
        <w:rPr>
          <w:rFonts w:hint="eastAsia" w:ascii="宋体" w:hAnsi="宋体" w:eastAsia="宋体" w:cs="宋体"/>
          <w:color w:val="auto"/>
          <w:highlight w:val="none"/>
        </w:rPr>
        <w:t>29.2.3</w:t>
      </w:r>
      <w:r>
        <w:rPr>
          <w:rFonts w:ascii="Times New Roman" w:hAnsi="Times New Roman"/>
          <w:color w:val="auto"/>
          <w:highlight w:val="none"/>
        </w:rPr>
        <w:t>对成交结果提出质疑的，为成交结果公告期限届满之日。</w:t>
      </w:r>
    </w:p>
    <w:p w14:paraId="0D0D72BC">
      <w:pPr>
        <w:pStyle w:val="30"/>
        <w:pageBreakBefore w:val="0"/>
        <w:spacing w:beforeAutospacing="0" w:afterAutospacing="0" w:line="440" w:lineRule="exact"/>
        <w:ind w:firstLine="480"/>
        <w:jc w:val="both"/>
        <w:rPr>
          <w:color w:val="auto"/>
          <w:highlight w:val="none"/>
        </w:rPr>
      </w:pPr>
      <w:r>
        <w:rPr>
          <w:rFonts w:ascii="Times New Roman" w:hAnsi="Times New Roman"/>
          <w:color w:val="auto"/>
          <w:highlight w:val="none"/>
        </w:rPr>
        <w:t>供应商应当在法定质疑期内一次性提出针对同一采购程序环节的质疑。供应商如在法定期限内对同一采购程序环节提出多次质疑的，</w:t>
      </w:r>
      <w:r>
        <w:rPr>
          <w:rFonts w:hint="eastAsia" w:ascii="Times New Roman" w:hAnsi="Times New Roman"/>
          <w:color w:val="auto"/>
          <w:highlight w:val="none"/>
          <w:lang w:eastAsia="zh-CN"/>
        </w:rPr>
        <w:t>代理机构</w:t>
      </w:r>
      <w:r>
        <w:rPr>
          <w:rFonts w:ascii="Times New Roman" w:hAnsi="Times New Roman"/>
          <w:color w:val="auto"/>
          <w:highlight w:val="none"/>
        </w:rPr>
        <w:t>、采购人将只对供应商第一次质疑作出答复。</w:t>
      </w:r>
    </w:p>
    <w:p w14:paraId="64E85933">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29.3质疑函必须按照本谈判文件中《质疑函范本》要求的格式和内容进行填写。供应商如组成联合体参加谈判，则《质疑函范本》中要求签字、盖章、加盖公章之处，联合体各方均须按要求签字、盖章、加盖公章。</w:t>
      </w:r>
    </w:p>
    <w:p w14:paraId="2909EAC4">
      <w:pPr>
        <w:pStyle w:val="30"/>
        <w:pageBreakBefore w:val="0"/>
        <w:spacing w:beforeAutospacing="0" w:afterAutospacing="0" w:line="440" w:lineRule="exact"/>
        <w:ind w:firstLine="482"/>
        <w:jc w:val="both"/>
        <w:rPr>
          <w:color w:val="auto"/>
          <w:highlight w:val="none"/>
        </w:rPr>
      </w:pPr>
      <w:r>
        <w:rPr>
          <w:rFonts w:hint="eastAsia" w:ascii="宋体" w:hAnsi="宋体" w:eastAsia="宋体" w:cs="宋体"/>
          <w:color w:val="auto"/>
          <w:highlight w:val="none"/>
        </w:rPr>
        <w:t>29.4供应商（含潜在供应商）对采购方式、采购需求、供应商资格条件、评审方法与评审标准、合同文本的询问、质疑请向采购人提出，由采购人负责答复。供应商对其他事项的询问、质疑请向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提出，由</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负责答复。</w:t>
      </w:r>
    </w:p>
    <w:p w14:paraId="52D125AB">
      <w:pPr>
        <w:pageBreakBefore w:val="0"/>
        <w:tabs>
          <w:tab w:val="left" w:pos="1331"/>
        </w:tabs>
        <w:spacing w:line="440" w:lineRule="exact"/>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采购人及代理机构只接收以纸质原件形式送达的质疑，采购人和代理机构不接受未填写快递运单的快件。联系地址：响水县长江路13号（水果大王2楼），联系人及电话：杨彬彬 15061433452。</w:t>
      </w:r>
    </w:p>
    <w:p w14:paraId="417EAC49">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29.5 以下情形的质疑不予受理</w:t>
      </w:r>
    </w:p>
    <w:p w14:paraId="2874BD6B">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29.5.1 内容不符合《政府采购质疑和投诉办法》第十二条规定的质疑。</w:t>
      </w:r>
    </w:p>
    <w:p w14:paraId="570D4B9B">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29.5.2 超出政府采购法定期限的质疑。</w:t>
      </w:r>
    </w:p>
    <w:p w14:paraId="04579F05">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29.5.3 以传真、电子邮件等方式递交的非原件形式的质疑。</w:t>
      </w:r>
    </w:p>
    <w:p w14:paraId="2B1167D7">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29.5.4 未参加谈判活动的供应商或在谈判活动中自身权益未受到损害的供应商所提出的质疑。</w:t>
      </w:r>
    </w:p>
    <w:p w14:paraId="0D98A5EA">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29.5.5供应商组成联合体参加谈判，联合体中任何一方或多方未按要求签字、盖章、加盖公章的质疑。</w:t>
      </w:r>
    </w:p>
    <w:p w14:paraId="0D5E71C1">
      <w:pPr>
        <w:pStyle w:val="30"/>
        <w:pageBreakBefore w:val="0"/>
        <w:spacing w:beforeAutospacing="0" w:afterAutospacing="0" w:line="440" w:lineRule="exact"/>
        <w:ind w:firstLine="468"/>
        <w:jc w:val="both"/>
        <w:rPr>
          <w:color w:val="auto"/>
          <w:highlight w:val="none"/>
        </w:rPr>
      </w:pPr>
      <w:r>
        <w:rPr>
          <w:rFonts w:hint="eastAsia" w:ascii="宋体" w:hAnsi="宋体" w:eastAsia="宋体" w:cs="宋体"/>
          <w:color w:val="auto"/>
          <w:highlight w:val="none"/>
        </w:rPr>
        <w:t>29.6  供应商提出书面质疑必须有理、有据，不得捏造事实、提供虚假材料进行恶意质疑。否则，一经查实，</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有权依据政府采购的有关规定，报请政府采购监管部门对该供应商进行相应的行政处罚和记录该供应商的失信信息。</w:t>
      </w:r>
    </w:p>
    <w:p w14:paraId="19E9F7A2">
      <w:pPr>
        <w:pStyle w:val="30"/>
        <w:keepNext/>
        <w:keepLines/>
        <w:pageBreakBefore w:val="0"/>
        <w:spacing w:beforeAutospacing="0" w:afterAutospacing="0" w:line="440" w:lineRule="exact"/>
        <w:ind w:firstLine="600"/>
        <w:jc w:val="both"/>
        <w:rPr>
          <w:color w:val="auto"/>
          <w:highlight w:val="none"/>
        </w:rPr>
      </w:pPr>
      <w:r>
        <w:rPr>
          <w:rFonts w:hint="eastAsia" w:ascii="黑体" w:hAnsi="宋体" w:eastAsia="黑体" w:cs="黑体"/>
          <w:color w:val="auto"/>
          <w:sz w:val="30"/>
          <w:szCs w:val="30"/>
          <w:highlight w:val="none"/>
        </w:rPr>
        <w:t>30、成交通知书</w:t>
      </w:r>
    </w:p>
    <w:p w14:paraId="5FD7A407">
      <w:pPr>
        <w:pStyle w:val="30"/>
        <w:pageBreakBefore w:val="0"/>
        <w:spacing w:beforeAutospacing="0" w:afterAutospacing="0" w:line="440" w:lineRule="exact"/>
        <w:ind w:firstLine="600"/>
        <w:jc w:val="both"/>
        <w:rPr>
          <w:color w:val="auto"/>
          <w:highlight w:val="none"/>
        </w:rPr>
      </w:pPr>
      <w:r>
        <w:rPr>
          <w:rFonts w:hint="eastAsia" w:ascii="宋体" w:hAnsi="宋体" w:eastAsia="宋体" w:cs="宋体"/>
          <w:color w:val="auto"/>
          <w:highlight w:val="none"/>
        </w:rPr>
        <w:t>30.1成交结果确定后，</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将向成交供应商发出成交通知书。请成交供应商在成交结果公告届满之日起30日内</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因未及时下载而造成的不利后果由成交供应商自行承担。</w:t>
      </w:r>
    </w:p>
    <w:p w14:paraId="56FD9FF0">
      <w:pPr>
        <w:pStyle w:val="30"/>
        <w:pageBreakBefore w:val="0"/>
        <w:spacing w:beforeAutospacing="0" w:afterAutospacing="0" w:line="440" w:lineRule="exact"/>
        <w:ind w:firstLine="600"/>
        <w:jc w:val="both"/>
        <w:rPr>
          <w:color w:val="auto"/>
          <w:highlight w:val="none"/>
        </w:rPr>
      </w:pPr>
      <w:r>
        <w:rPr>
          <w:rFonts w:hint="eastAsia" w:ascii="宋体" w:hAnsi="宋体" w:eastAsia="宋体" w:cs="宋体"/>
          <w:color w:val="auto"/>
          <w:highlight w:val="none"/>
        </w:rPr>
        <w:t>30.2成交通知书将是合同的一个组成部分。对采购人和成交供应商均具有法律效力。成交通知书发出后，采购人改变成交结果的，或者成交供应商放弃成交项目的，应当依法承担法律责任。</w:t>
      </w:r>
    </w:p>
    <w:p w14:paraId="21E57E0A">
      <w:pPr>
        <w:pStyle w:val="30"/>
        <w:keepNext/>
        <w:keepLines/>
        <w:pageBreakBefore w:val="0"/>
        <w:spacing w:before="145" w:beforeAutospacing="0" w:after="145" w:afterAutospacing="0" w:line="440" w:lineRule="exact"/>
        <w:jc w:val="both"/>
        <w:rPr>
          <w:color w:val="auto"/>
          <w:highlight w:val="none"/>
        </w:rPr>
      </w:pPr>
      <w:bookmarkStart w:id="139" w:name="_Toc16938552"/>
      <w:bookmarkStart w:id="140" w:name="_Toc120614220"/>
      <w:bookmarkStart w:id="141" w:name="_Toc513029236"/>
      <w:bookmarkStart w:id="142" w:name="_Toc20823308"/>
      <w:r>
        <w:rPr>
          <w:rFonts w:ascii="Times New Roman" w:hAnsi="Times New Roman"/>
          <w:b/>
          <w:color w:val="auto"/>
          <w:sz w:val="32"/>
          <w:szCs w:val="32"/>
          <w:highlight w:val="none"/>
        </w:rPr>
        <w:t>七、授予合同</w:t>
      </w:r>
      <w:bookmarkEnd w:id="139"/>
      <w:bookmarkEnd w:id="140"/>
      <w:bookmarkEnd w:id="141"/>
      <w:bookmarkEnd w:id="142"/>
    </w:p>
    <w:p w14:paraId="37C6869D">
      <w:pPr>
        <w:pStyle w:val="30"/>
        <w:keepNext/>
        <w:keepLines/>
        <w:pageBreakBefore w:val="0"/>
        <w:spacing w:beforeAutospacing="0" w:afterAutospacing="0" w:line="440" w:lineRule="exact"/>
        <w:ind w:firstLine="600"/>
        <w:jc w:val="both"/>
        <w:rPr>
          <w:color w:val="auto"/>
          <w:highlight w:val="none"/>
        </w:rPr>
      </w:pPr>
      <w:bookmarkStart w:id="143" w:name="_Toc16938553"/>
      <w:bookmarkStart w:id="144" w:name="_Toc513029237"/>
      <w:bookmarkStart w:id="145" w:name="_Toc20823309"/>
      <w:r>
        <w:rPr>
          <w:rFonts w:hint="eastAsia" w:ascii="黑体" w:hAnsi="宋体" w:eastAsia="黑体" w:cs="黑体"/>
          <w:color w:val="auto"/>
          <w:sz w:val="30"/>
          <w:szCs w:val="30"/>
          <w:highlight w:val="none"/>
        </w:rPr>
        <w:t>31. 签订合同</w:t>
      </w:r>
      <w:bookmarkEnd w:id="143"/>
      <w:bookmarkEnd w:id="144"/>
      <w:bookmarkEnd w:id="145"/>
    </w:p>
    <w:p w14:paraId="26EF07D6">
      <w:pPr>
        <w:pStyle w:val="30"/>
        <w:pageBreakBefore w:val="0"/>
        <w:spacing w:beforeAutospacing="0" w:afterAutospacing="0" w:line="440" w:lineRule="exact"/>
        <w:ind w:firstLine="600"/>
        <w:jc w:val="both"/>
        <w:rPr>
          <w:color w:val="auto"/>
          <w:highlight w:val="none"/>
        </w:rPr>
      </w:pPr>
      <w:r>
        <w:rPr>
          <w:rFonts w:hint="eastAsia" w:ascii="宋体" w:hAnsi="宋体" w:eastAsia="宋体" w:cs="宋体"/>
          <w:color w:val="auto"/>
          <w:highlight w:val="none"/>
        </w:rPr>
        <w:t>31.l成交供应商应当在成交通知书发出之日起三十日内，按照谈判文件确定的事项与采购人签订政府采购合同。</w:t>
      </w:r>
    </w:p>
    <w:p w14:paraId="730B4BED">
      <w:pPr>
        <w:pStyle w:val="30"/>
        <w:pageBreakBefore w:val="0"/>
        <w:spacing w:beforeAutospacing="0" w:afterAutospacing="0" w:line="440" w:lineRule="exact"/>
        <w:ind w:firstLine="600"/>
        <w:jc w:val="both"/>
        <w:rPr>
          <w:color w:val="auto"/>
          <w:highlight w:val="none"/>
        </w:rPr>
      </w:pPr>
      <w:r>
        <w:rPr>
          <w:rFonts w:hint="eastAsia" w:ascii="宋体" w:hAnsi="宋体" w:eastAsia="宋体" w:cs="宋体"/>
          <w:color w:val="auto"/>
          <w:highlight w:val="none"/>
        </w:rPr>
        <w:t>31.2谈判文件、成交供应商的响应文件及谈判过程中有关澄清、承诺文件均应作为合同附件。</w:t>
      </w:r>
    </w:p>
    <w:p w14:paraId="05EB975E">
      <w:pPr>
        <w:pStyle w:val="30"/>
        <w:pageBreakBefore w:val="0"/>
        <w:spacing w:beforeAutospacing="0" w:afterAutospacing="0" w:line="440" w:lineRule="exact"/>
        <w:ind w:firstLine="600"/>
        <w:jc w:val="both"/>
        <w:rPr>
          <w:color w:val="auto"/>
          <w:highlight w:val="none"/>
        </w:rPr>
      </w:pPr>
      <w:r>
        <w:rPr>
          <w:rFonts w:hint="eastAsia" w:ascii="宋体" w:hAnsi="宋体" w:eastAsia="宋体" w:cs="宋体"/>
          <w:color w:val="auto"/>
          <w:highlight w:val="none"/>
        </w:rPr>
        <w:t>31.3 签订合同后，</w:t>
      </w:r>
      <w:r>
        <w:rPr>
          <w:rFonts w:hint="eastAsia" w:ascii="宋体" w:hAnsi="宋体" w:eastAsia="宋体" w:cs="宋体"/>
          <w:i/>
          <w:color w:val="auto"/>
          <w:highlight w:val="none"/>
          <w:u w:val="single"/>
        </w:rPr>
        <w:t>成交供应商不得将合同标的进行转包</w:t>
      </w:r>
      <w:r>
        <w:rPr>
          <w:rFonts w:hint="eastAsia" w:ascii="宋体" w:hAnsi="宋体" w:eastAsia="宋体" w:cs="宋体"/>
          <w:color w:val="auto"/>
          <w:highlight w:val="none"/>
        </w:rPr>
        <w:t>。未经采购人同意，成交供应商也不得采用分包形式履行合同</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否则采购人有权终止合同。转包或分包造成采购人损失的，成交供应商应承担相应赔偿责任。</w:t>
      </w:r>
    </w:p>
    <w:p w14:paraId="17B70726">
      <w:pPr>
        <w:pStyle w:val="30"/>
        <w:keepNext/>
        <w:keepLines/>
        <w:pageBreakBefore w:val="0"/>
        <w:spacing w:beforeAutospacing="0" w:afterAutospacing="0" w:line="440" w:lineRule="exact"/>
        <w:ind w:firstLine="600"/>
        <w:jc w:val="both"/>
        <w:rPr>
          <w:color w:val="auto"/>
          <w:highlight w:val="none"/>
        </w:rPr>
      </w:pPr>
      <w:r>
        <w:rPr>
          <w:rFonts w:hint="eastAsia" w:ascii="黑体" w:hAnsi="宋体" w:eastAsia="黑体" w:cs="黑体"/>
          <w:color w:val="auto"/>
          <w:sz w:val="30"/>
          <w:szCs w:val="30"/>
          <w:highlight w:val="none"/>
        </w:rPr>
        <w:t>32、标的物的追加</w:t>
      </w:r>
    </w:p>
    <w:p w14:paraId="7AD00DD5">
      <w:pPr>
        <w:pStyle w:val="30"/>
        <w:pageBreakBefore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0347FE44">
      <w:pPr>
        <w:pStyle w:val="30"/>
        <w:keepNext/>
        <w:keepLines/>
        <w:pageBreakBefore w:val="0"/>
        <w:spacing w:beforeAutospacing="0" w:afterAutospacing="0" w:line="440" w:lineRule="exact"/>
        <w:ind w:firstLine="600"/>
        <w:jc w:val="both"/>
        <w:rPr>
          <w:rFonts w:hint="eastAsia" w:ascii="黑体" w:hAnsi="宋体" w:eastAsia="黑体" w:cs="黑体"/>
          <w:color w:val="auto"/>
          <w:sz w:val="30"/>
          <w:szCs w:val="30"/>
          <w:highlight w:val="none"/>
          <w:lang w:val="en-US" w:eastAsia="zh-CN"/>
        </w:rPr>
      </w:pPr>
      <w:r>
        <w:rPr>
          <w:rFonts w:hint="eastAsia" w:ascii="黑体" w:hAnsi="宋体" w:eastAsia="黑体" w:cs="黑体"/>
          <w:color w:val="auto"/>
          <w:sz w:val="30"/>
          <w:szCs w:val="30"/>
          <w:highlight w:val="none"/>
          <w:lang w:val="en-US" w:eastAsia="zh-CN"/>
        </w:rPr>
        <w:t>33</w:t>
      </w:r>
      <w:r>
        <w:rPr>
          <w:rFonts w:hint="eastAsia" w:ascii="黑体" w:hAnsi="宋体" w:eastAsia="黑体" w:cs="黑体"/>
          <w:color w:val="auto"/>
          <w:sz w:val="30"/>
          <w:szCs w:val="30"/>
          <w:highlight w:val="none"/>
        </w:rPr>
        <w:t>、</w:t>
      </w:r>
      <w:r>
        <w:rPr>
          <w:rFonts w:hint="eastAsia" w:ascii="黑体" w:hAnsi="宋体" w:eastAsia="黑体" w:cs="黑体"/>
          <w:color w:val="auto"/>
          <w:sz w:val="30"/>
          <w:szCs w:val="30"/>
          <w:highlight w:val="none"/>
          <w:lang w:val="en-US" w:eastAsia="zh-CN"/>
        </w:rPr>
        <w:t>政府采购政策功能落实</w:t>
      </w:r>
    </w:p>
    <w:p w14:paraId="085D6F07">
      <w:pPr>
        <w:pStyle w:val="30"/>
        <w:keepNext/>
        <w:keepLines/>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33.1</w:t>
      </w:r>
      <w:r>
        <w:rPr>
          <w:rFonts w:hint="eastAsia" w:ascii="宋体" w:hAnsi="宋体" w:eastAsia="宋体" w:cs="宋体"/>
          <w:color w:val="auto"/>
          <w:sz w:val="24"/>
          <w:szCs w:val="24"/>
          <w:highlight w:val="none"/>
          <w:shd w:val="clear" w:color="auto" w:fill="auto"/>
        </w:rPr>
        <w:t>政府采购</w:t>
      </w:r>
      <w:r>
        <w:rPr>
          <w:rFonts w:hint="eastAsia" w:ascii="宋体" w:hAnsi="宋体" w:eastAsia="宋体" w:cs="宋体"/>
          <w:color w:val="auto"/>
          <w:sz w:val="24"/>
          <w:szCs w:val="24"/>
          <w:highlight w:val="none"/>
          <w:shd w:val="clear" w:color="auto" w:fill="auto"/>
          <w:lang w:eastAsia="zh-CN"/>
        </w:rPr>
        <w:t>线上合同信用融资</w:t>
      </w:r>
      <w:r>
        <w:rPr>
          <w:rFonts w:hint="eastAsia" w:ascii="宋体" w:hAnsi="宋体" w:eastAsia="宋体" w:cs="宋体"/>
          <w:color w:val="auto"/>
          <w:sz w:val="24"/>
          <w:szCs w:val="24"/>
          <w:highlight w:val="none"/>
          <w:shd w:val="clear" w:color="auto" w:fill="auto"/>
        </w:rPr>
        <w:t>政策</w:t>
      </w:r>
    </w:p>
    <w:p w14:paraId="348B8815">
      <w:pPr>
        <w:pStyle w:val="30"/>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江苏省</w:t>
      </w:r>
      <w:r>
        <w:rPr>
          <w:rFonts w:hint="eastAsia" w:ascii="宋体" w:hAnsi="宋体" w:eastAsia="宋体" w:cs="宋体"/>
          <w:color w:val="auto"/>
          <w:sz w:val="24"/>
          <w:szCs w:val="24"/>
          <w:highlight w:val="none"/>
          <w:shd w:val="clear" w:color="auto" w:fill="auto"/>
        </w:rPr>
        <w:t>政府采购网“政采贷”栏目）申请贷款，相关金融机构按照双方自愿的原则提供便捷、优惠的贷款服务；具体操作流程请参考苏采云系统中操作手册。 </w:t>
      </w:r>
    </w:p>
    <w:p w14:paraId="482E4CEE">
      <w:pPr>
        <w:pageBreakBefore w:val="0"/>
        <w:tabs>
          <w:tab w:val="left" w:pos="1381"/>
        </w:tabs>
        <w:spacing w:line="440" w:lineRule="exact"/>
        <w:ind w:firstLine="482"/>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33.2进口产品</w:t>
      </w:r>
    </w:p>
    <w:p w14:paraId="2B876B54">
      <w:pPr>
        <w:pStyle w:val="30"/>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进口产品</w:t>
      </w:r>
      <w:r>
        <w:rPr>
          <w:rFonts w:hint="eastAsia" w:ascii="宋体" w:hAnsi="宋体" w:eastAsia="宋体" w:cs="宋体"/>
          <w:color w:val="auto"/>
          <w:sz w:val="24"/>
          <w:szCs w:val="24"/>
          <w:highlight w:val="none"/>
          <w:shd w:val="clear" w:color="auto" w:fill="auto"/>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7FBCB67">
      <w:pPr>
        <w:pageBreakBefore w:val="0"/>
        <w:tabs>
          <w:tab w:val="left" w:pos="1381"/>
        </w:tabs>
        <w:spacing w:line="440" w:lineRule="exact"/>
        <w:ind w:firstLine="482"/>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33.3中小企业、监狱企业及残疾人福利性单位</w:t>
      </w:r>
    </w:p>
    <w:p w14:paraId="75797378">
      <w:pPr>
        <w:pageBreakBefore w:val="0"/>
        <w:spacing w:line="440" w:lineRule="exact"/>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.3.1中小企业定义：</w:t>
      </w:r>
    </w:p>
    <w:p w14:paraId="6663B35A">
      <w:pPr>
        <w:pStyle w:val="30"/>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政府采购促进中小企业发展管理办法》（财库〔2020〕46号）、《关于印发中小企业划型标准规定的通知》（工信部联企业〔2011〕300 号）、《国务院关于进一步促进中小企业发展的若干意见》（国发〔2009〕36 号）。</w:t>
      </w:r>
    </w:p>
    <w:p w14:paraId="105FD62A">
      <w:pPr>
        <w:pStyle w:val="30"/>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.3.2供应商提供的货物、工程或者服务符合下列情形的，享受中小企业扶持政策：</w:t>
      </w:r>
    </w:p>
    <w:p w14:paraId="1736D7B2">
      <w:pPr>
        <w:pStyle w:val="30"/>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.3.2.1在货物采购项目中，货物由中小企业制造，即货物由中小企业生产且使用该中小企业商号或者注册商标；</w:t>
      </w:r>
    </w:p>
    <w:p w14:paraId="0A47E71B">
      <w:pPr>
        <w:pStyle w:val="30"/>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.3.2.2在工程采购项目中，工程由中小企业承建，即工程施工单位为中小企业；</w:t>
      </w:r>
    </w:p>
    <w:p w14:paraId="53AD4922">
      <w:pPr>
        <w:pStyle w:val="30"/>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.3.2.3在服务采购项目中，服务由中小企业承接，即提供服务的人员为中小企业依照《中华人民共和国劳动合同法》订立劳动合同的从业人员。</w:t>
      </w:r>
    </w:p>
    <w:p w14:paraId="78B56609">
      <w:pPr>
        <w:pStyle w:val="30"/>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.3.3在货物采购项目中，供应商提供的货物既有中小企业制造货物，也有大型企业制造货物的，不享受中小企业扶持政策。</w:t>
      </w:r>
    </w:p>
    <w:p w14:paraId="19B2C86A">
      <w:pPr>
        <w:pStyle w:val="30"/>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.3.4以联合体形式参加政府采购活动，联合体各方均为中小企业的，联合体视同中小企业。其中，联合体各方均为小微企业的，联合体视同小微企业。</w:t>
      </w:r>
    </w:p>
    <w:p w14:paraId="3E877CE1">
      <w:pPr>
        <w:pStyle w:val="30"/>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1EEE1F1">
      <w:pPr>
        <w:pStyle w:val="30"/>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.3.6残疾人福利单位定义：享受政府采购支持政策的残疾人福利性单位应当同时满足以下条件：</w:t>
      </w:r>
    </w:p>
    <w:p w14:paraId="1E3474BC">
      <w:pPr>
        <w:pStyle w:val="30"/>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.3.6.1安置的残疾人占本单位在职职工人数的比例不低于25%（含25%），并且安置的残疾人人数不少于10 人（含10 人）；</w:t>
      </w:r>
    </w:p>
    <w:p w14:paraId="2ACF8EA1">
      <w:pPr>
        <w:pStyle w:val="30"/>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.3.6.2依法与安置的每位残疾人签订了一年以上（含一年）的劳动合同或服务协议；</w:t>
      </w:r>
    </w:p>
    <w:p w14:paraId="62BA9294">
      <w:pPr>
        <w:pStyle w:val="30"/>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.3.6.3为安置的每位残疾人按月足额缴纳了基本养老保险、基本医疗保险、失业保险、工伤保险和生育保险等社会保险费；</w:t>
      </w:r>
    </w:p>
    <w:p w14:paraId="418D7EB2">
      <w:pPr>
        <w:pStyle w:val="30"/>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.3.6.4通过银行等金融机构向安置的每位残疾人，按月支付了不低于单位所在区县适用的经省级人民政府批准的月最低工资标准的工资；</w:t>
      </w:r>
    </w:p>
    <w:p w14:paraId="4B686346">
      <w:pPr>
        <w:pStyle w:val="30"/>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.3.6.5提供本单位制造的货物、承担的工程或者服务（以下简称产品），或者提供其他残疾人福利性单位制造的货物（不包括使用非残疾人福利性单位注册商标的货物）；</w:t>
      </w:r>
    </w:p>
    <w:p w14:paraId="71F62977">
      <w:pPr>
        <w:pStyle w:val="30"/>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1BCC062">
      <w:pPr>
        <w:pStyle w:val="30"/>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.3.7本项目是否专门面向中小企业预留采购份额见第一章《</w:t>
      </w:r>
      <w:r>
        <w:rPr>
          <w:rFonts w:hint="eastAsia" w:ascii="宋体" w:hAnsi="宋体" w:eastAsia="宋体" w:cs="宋体"/>
          <w:color w:val="auto"/>
          <w:sz w:val="24"/>
          <w:szCs w:val="24"/>
          <w:highlight w:val="none"/>
          <w:shd w:val="clear" w:color="auto" w:fill="auto"/>
          <w:lang w:val="en-US" w:eastAsia="zh-CN"/>
        </w:rPr>
        <w:t>竞争性谈判公告</w:t>
      </w:r>
      <w:r>
        <w:rPr>
          <w:rFonts w:hint="eastAsia" w:ascii="宋体" w:hAnsi="宋体" w:eastAsia="宋体" w:cs="宋体"/>
          <w:color w:val="auto"/>
          <w:sz w:val="24"/>
          <w:szCs w:val="24"/>
          <w:highlight w:val="none"/>
          <w:shd w:val="clear" w:color="auto" w:fill="auto"/>
        </w:rPr>
        <w:t>》。</w:t>
      </w:r>
    </w:p>
    <w:p w14:paraId="2B8A0263">
      <w:pPr>
        <w:pStyle w:val="30"/>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w:t>
      </w:r>
      <w:r>
        <w:rPr>
          <w:rFonts w:hint="eastAsia" w:ascii="宋体" w:hAnsi="宋体" w:eastAsia="宋体" w:cs="宋体"/>
          <w:color w:val="auto"/>
          <w:sz w:val="24"/>
          <w:szCs w:val="24"/>
          <w:highlight w:val="none"/>
          <w:shd w:val="clear" w:color="auto" w:fill="auto"/>
        </w:rPr>
        <w:t>.3.8采购标的对应的中小企业划分标准所属行业见第四章《采购需求》。</w:t>
      </w:r>
    </w:p>
    <w:p w14:paraId="510A0622">
      <w:pPr>
        <w:pStyle w:val="30"/>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.3.9小微企业价格评审优惠的政策：见第五章《评标方法和评标标准》。</w:t>
      </w:r>
    </w:p>
    <w:p w14:paraId="2E784FC2">
      <w:pPr>
        <w:pageBreakBefore w:val="0"/>
        <w:tabs>
          <w:tab w:val="left" w:pos="1381"/>
        </w:tabs>
        <w:spacing w:line="440" w:lineRule="exact"/>
        <w:ind w:firstLine="482"/>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33.4政府采购节能产品、环境标志产品</w:t>
      </w:r>
    </w:p>
    <w:p w14:paraId="05AD8906">
      <w:pPr>
        <w:pageBreakBefore w:val="0"/>
        <w:spacing w:line="440" w:lineRule="exact"/>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其他条件相同情况下，应当优先采购节能产品、环境标志产品。</w:t>
      </w:r>
    </w:p>
    <w:p w14:paraId="147D3933">
      <w:pPr>
        <w:pageBreakBefore w:val="0"/>
        <w:spacing w:line="440" w:lineRule="exact"/>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7D5950EE">
      <w:pPr>
        <w:pageBreakBefore w:val="0"/>
        <w:tabs>
          <w:tab w:val="left" w:pos="1381"/>
        </w:tabs>
        <w:spacing w:line="440" w:lineRule="exact"/>
        <w:ind w:firstLine="482"/>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33.5绿色包装</w:t>
      </w:r>
    </w:p>
    <w:p w14:paraId="0268CB30">
      <w:pPr>
        <w:pageBreakBefore w:val="0"/>
        <w:spacing w:line="440" w:lineRule="exact"/>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0FFC1222">
      <w:pPr>
        <w:pageBreakBefore w:val="0"/>
        <w:tabs>
          <w:tab w:val="left" w:pos="1381"/>
        </w:tabs>
        <w:spacing w:line="440" w:lineRule="exact"/>
        <w:ind w:firstLine="482"/>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33.6政府采购创新产品</w:t>
      </w:r>
    </w:p>
    <w:p w14:paraId="065225F3">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478"/>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w:t>
      </w:r>
    </w:p>
    <w:p w14:paraId="518BA326">
      <w:pPr>
        <w:pageBreakBefore w:val="0"/>
        <w:tabs>
          <w:tab w:val="left" w:pos="1381"/>
        </w:tabs>
        <w:spacing w:line="440" w:lineRule="exact"/>
        <w:ind w:firstLine="482"/>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33.7绿色数据中心政策 </w:t>
      </w:r>
    </w:p>
    <w:p w14:paraId="4C410DCC">
      <w:pPr>
        <w:pageBreakBefore w:val="0"/>
        <w:spacing w:line="440" w:lineRule="exact"/>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i w:val="0"/>
          <w:iCs w:val="0"/>
          <w:caps w:val="0"/>
          <w:color w:val="333333"/>
          <w:spacing w:val="0"/>
          <w:sz w:val="24"/>
          <w:szCs w:val="24"/>
          <w:highlight w:val="none"/>
          <w:shd w:val="clear" w:color="auto" w:fill="FFFFFF"/>
          <w:lang w:val="en-US" w:eastAsia="zh-CN"/>
        </w:rPr>
        <w:t>谈判</w:t>
      </w:r>
      <w:r>
        <w:rPr>
          <w:rFonts w:hint="eastAsia" w:ascii="宋体" w:hAnsi="宋体" w:eastAsia="宋体" w:cs="宋体"/>
          <w:color w:val="auto"/>
          <w:sz w:val="24"/>
          <w:szCs w:val="24"/>
          <w:highlight w:val="none"/>
          <w:shd w:val="clear" w:color="auto" w:fill="auto"/>
          <w:lang w:val="en-US" w:eastAsia="zh-CN" w:bidi="ar-SA"/>
        </w:rPr>
        <w:t>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944BB2">
      <w:pPr>
        <w:pageBreakBefore w:val="0"/>
        <w:widowControl w:val="0"/>
        <w:kinsoku/>
        <w:wordWrap/>
        <w:overflowPunct/>
        <w:topLinePunct w:val="0"/>
        <w:autoSpaceDE/>
        <w:autoSpaceDN/>
        <w:bidi w:val="0"/>
        <w:adjustRightInd/>
        <w:snapToGrid/>
        <w:spacing w:before="91" w:beforeLines="25" w:after="91" w:afterLines="25" w:line="420" w:lineRule="exact"/>
        <w:ind w:left="0" w:firstLine="482" w:firstLineChars="200"/>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33.8实施本国产品标准及相关政策</w:t>
      </w:r>
    </w:p>
    <w:p w14:paraId="510E6799">
      <w:pPr>
        <w:pageBreakBefore w:val="0"/>
        <w:widowControl w:val="0"/>
        <w:kinsoku/>
        <w:wordWrap/>
        <w:overflowPunct/>
        <w:topLinePunct w:val="0"/>
        <w:autoSpaceDE/>
        <w:autoSpaceDN/>
        <w:bidi w:val="0"/>
        <w:adjustRightInd/>
        <w:snapToGrid/>
        <w:spacing w:before="91" w:beforeLines="25" w:after="91" w:afterLines="25" w:line="420" w:lineRule="exact"/>
        <w:ind w:left="0" w:firstLine="482" w:firstLineChars="200"/>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1.本项目对采购本国产品给予政策支持。</w:t>
      </w:r>
    </w:p>
    <w:p w14:paraId="6E8BCEDC">
      <w:pPr>
        <w:pageBreakBefore w:val="0"/>
        <w:widowControl w:val="0"/>
        <w:kinsoku/>
        <w:wordWrap/>
        <w:overflowPunct/>
        <w:topLinePunct w:val="0"/>
        <w:autoSpaceDE/>
        <w:autoSpaceDN/>
        <w:bidi w:val="0"/>
        <w:adjustRightInd/>
        <w:snapToGrid/>
        <w:spacing w:before="91" w:beforeLines="25" w:after="91" w:afterLines="25" w:line="420" w:lineRule="exact"/>
        <w:ind w:left="0" w:firstLine="482" w:firstLineChars="200"/>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2DAAEDE">
      <w:pPr>
        <w:pageBreakBefore w:val="0"/>
        <w:widowControl w:val="0"/>
        <w:kinsoku/>
        <w:wordWrap/>
        <w:overflowPunct/>
        <w:topLinePunct w:val="0"/>
        <w:autoSpaceDE/>
        <w:autoSpaceDN/>
        <w:bidi w:val="0"/>
        <w:adjustRightInd/>
        <w:snapToGrid/>
        <w:spacing w:before="91" w:beforeLines="25" w:after="91" w:afterLines="25" w:line="420" w:lineRule="exact"/>
        <w:ind w:left="0" w:firstLine="482" w:firstLineChars="200"/>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460DD0F">
      <w:pPr>
        <w:pageBreakBefore w:val="0"/>
        <w:widowControl w:val="0"/>
        <w:numPr>
          <w:ilvl w:val="0"/>
          <w:numId w:val="0"/>
        </w:numPr>
        <w:kinsoku/>
        <w:wordWrap/>
        <w:overflowPunct/>
        <w:topLinePunct w:val="0"/>
        <w:autoSpaceDE/>
        <w:autoSpaceDN/>
        <w:bidi w:val="0"/>
        <w:adjustRightInd/>
        <w:snapToGrid/>
        <w:spacing w:before="91" w:beforeLines="25" w:after="91" w:afterLines="25" w:line="420" w:lineRule="exact"/>
        <w:ind w:left="0" w:firstLine="482" w:firstLineChars="200"/>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034807A4">
      <w:pPr>
        <w:pageBreakBefore w:val="0"/>
        <w:widowControl w:val="0"/>
        <w:tabs>
          <w:tab w:val="left" w:pos="1381"/>
        </w:tabs>
        <w:kinsoku/>
        <w:wordWrap/>
        <w:overflowPunct/>
        <w:topLinePunct w:val="0"/>
        <w:autoSpaceDE/>
        <w:autoSpaceDN/>
        <w:bidi w:val="0"/>
        <w:adjustRightInd/>
        <w:snapToGrid/>
        <w:spacing w:before="91" w:beforeLines="25" w:after="91" w:afterLines="25" w:line="4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33.9履约保证金政策</w:t>
      </w:r>
    </w:p>
    <w:p w14:paraId="40F02B3A">
      <w:pPr>
        <w:pStyle w:val="190"/>
        <w:pageBreakBefore w:val="0"/>
        <w:widowControl w:val="0"/>
        <w:kinsoku/>
        <w:wordWrap/>
        <w:overflowPunct/>
        <w:topLinePunct w:val="0"/>
        <w:autoSpaceDE/>
        <w:autoSpaceDN/>
        <w:bidi w:val="0"/>
        <w:adjustRightInd/>
        <w:snapToGrid/>
        <w:spacing w:before="91" w:beforeLines="25" w:after="91" w:afterLines="25" w:line="420" w:lineRule="exact"/>
        <w:ind w:left="0" w:firstLine="56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确需收取履约保证金的，履约保证金的缴纳形式：</w:t>
      </w:r>
    </w:p>
    <w:p w14:paraId="5EB031AC">
      <w:pPr>
        <w:pageBreakBefore w:val="0"/>
        <w:widowControl w:val="0"/>
        <w:kinsoku/>
        <w:wordWrap/>
        <w:overflowPunct/>
        <w:topLinePunct w:val="0"/>
        <w:autoSpaceDE/>
        <w:autoSpaceDN/>
        <w:bidi w:val="0"/>
        <w:adjustRightInd/>
        <w:snapToGrid/>
        <w:spacing w:before="91" w:beforeLines="25" w:after="91" w:afterLines="25" w:line="4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pageBreakBefore w:val="0"/>
        <w:widowControl w:val="0"/>
        <w:kinsoku/>
        <w:wordWrap/>
        <w:overflowPunct/>
        <w:topLinePunct w:val="0"/>
        <w:autoSpaceDE/>
        <w:autoSpaceDN/>
        <w:bidi w:val="0"/>
        <w:adjustRightInd/>
        <w:snapToGrid/>
        <w:spacing w:before="91" w:beforeLines="25" w:after="91" w:afterLines="25" w:line="4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p>
    <w:p w14:paraId="57E6C93D">
      <w:pPr>
        <w:pageBreakBefore w:val="0"/>
        <w:widowControl w:val="0"/>
        <w:kinsoku/>
        <w:wordWrap/>
        <w:overflowPunct/>
        <w:topLinePunct w:val="0"/>
        <w:autoSpaceDE/>
        <w:autoSpaceDN/>
        <w:bidi w:val="0"/>
        <w:adjustRightInd/>
        <w:snapToGrid/>
        <w:spacing w:before="91" w:beforeLines="25" w:after="91" w:afterLines="25" w:line="4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84C23EE">
      <w:pPr>
        <w:pageBreakBefore w:val="0"/>
        <w:widowControl w:val="0"/>
        <w:tabs>
          <w:tab w:val="left" w:pos="1381"/>
        </w:tabs>
        <w:kinsoku/>
        <w:wordWrap/>
        <w:overflowPunct/>
        <w:topLinePunct w:val="0"/>
        <w:autoSpaceDE/>
        <w:autoSpaceDN/>
        <w:bidi w:val="0"/>
        <w:adjustRightInd/>
        <w:snapToGrid/>
        <w:spacing w:before="91" w:beforeLines="25" w:after="91" w:afterLines="25" w:line="420" w:lineRule="exact"/>
        <w:ind w:left="0" w:firstLine="482"/>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34. 预付款制度</w:t>
      </w:r>
    </w:p>
    <w:p w14:paraId="23108FD2">
      <w:pPr>
        <w:pageBreakBefore w:val="0"/>
        <w:widowControl w:val="0"/>
        <w:kinsoku/>
        <w:wordWrap/>
        <w:overflowPunct/>
        <w:topLinePunct w:val="0"/>
        <w:autoSpaceDE/>
        <w:autoSpaceDN/>
        <w:bidi w:val="0"/>
        <w:adjustRightInd/>
        <w:snapToGrid/>
        <w:spacing w:before="91" w:beforeLines="25" w:after="91" w:afterLines="25" w:line="4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本项目落实预付款制度，预付款比例为30%（原则上不低于合同金额的30%）。在签订合同时，中标、成交供应商明确书面表示无需预付款或者主动要求降低预付款比例的，采购人可就预付款比例作相应调整。</w:t>
      </w:r>
    </w:p>
    <w:p w14:paraId="3CD34B75">
      <w:pPr>
        <w:pageBreakBefore w:val="0"/>
        <w:tabs>
          <w:tab w:val="left" w:pos="1381"/>
        </w:tabs>
        <w:spacing w:line="440" w:lineRule="exact"/>
        <w:ind w:firstLine="482"/>
        <w:rPr>
          <w:rFonts w:hint="eastAsia" w:ascii="宋体" w:hAnsi="宋体" w:eastAsia="宋体" w:cs="宋体"/>
          <w:color w:val="auto"/>
          <w:sz w:val="24"/>
          <w:szCs w:val="24"/>
          <w:highlight w:val="none"/>
          <w:lang w:val="en-US" w:eastAsia="zh-CN" w:bidi="ar-SA"/>
        </w:rPr>
      </w:pPr>
    </w:p>
    <w:p w14:paraId="476A374F">
      <w:pPr>
        <w:pageBreakBefore w:val="0"/>
        <w:tabs>
          <w:tab w:val="left" w:pos="1381"/>
        </w:tabs>
        <w:spacing w:line="440" w:lineRule="exact"/>
        <w:ind w:firstLine="482"/>
        <w:rPr>
          <w:rFonts w:hint="eastAsia" w:ascii="宋体" w:hAnsi="宋体" w:eastAsia="宋体" w:cs="宋体"/>
          <w:color w:val="auto"/>
          <w:sz w:val="24"/>
          <w:szCs w:val="24"/>
          <w:highlight w:val="none"/>
          <w:lang w:val="en-US" w:eastAsia="zh-CN" w:bidi="ar-SA"/>
        </w:rPr>
      </w:pPr>
    </w:p>
    <w:p w14:paraId="65D26F0E">
      <w:pPr>
        <w:pageBreakBefore w:val="0"/>
        <w:tabs>
          <w:tab w:val="left" w:pos="1381"/>
        </w:tabs>
        <w:spacing w:line="440" w:lineRule="exact"/>
        <w:ind w:firstLine="482"/>
        <w:rPr>
          <w:rFonts w:hint="eastAsia" w:ascii="宋体" w:hAnsi="宋体" w:eastAsia="宋体" w:cs="宋体"/>
          <w:color w:val="auto"/>
          <w:sz w:val="24"/>
          <w:szCs w:val="24"/>
          <w:highlight w:val="none"/>
          <w:lang w:val="en-US" w:eastAsia="zh-CN" w:bidi="ar-SA"/>
        </w:rPr>
      </w:pPr>
    </w:p>
    <w:p w14:paraId="528F7C20">
      <w:pPr>
        <w:pageBreakBefore w:val="0"/>
        <w:tabs>
          <w:tab w:val="left" w:pos="1381"/>
        </w:tabs>
        <w:spacing w:line="440" w:lineRule="exact"/>
        <w:ind w:firstLine="482"/>
        <w:rPr>
          <w:rFonts w:hint="eastAsia" w:ascii="宋体" w:hAnsi="宋体" w:eastAsia="宋体" w:cs="宋体"/>
          <w:color w:val="auto"/>
          <w:sz w:val="24"/>
          <w:szCs w:val="24"/>
          <w:highlight w:val="none"/>
          <w:lang w:val="en-US" w:eastAsia="zh-CN" w:bidi="ar-SA"/>
        </w:rPr>
      </w:pPr>
    </w:p>
    <w:p w14:paraId="7E646C7B">
      <w:pPr>
        <w:pageBreakBefore w:val="0"/>
        <w:tabs>
          <w:tab w:val="left" w:pos="1381"/>
        </w:tabs>
        <w:spacing w:line="440" w:lineRule="exact"/>
        <w:ind w:firstLine="482"/>
        <w:rPr>
          <w:rFonts w:hint="eastAsia" w:ascii="宋体" w:hAnsi="宋体" w:eastAsia="宋体" w:cs="宋体"/>
          <w:color w:val="auto"/>
          <w:sz w:val="24"/>
          <w:szCs w:val="24"/>
          <w:highlight w:val="none"/>
          <w:lang w:val="en-US" w:eastAsia="zh-CN" w:bidi="ar-SA"/>
        </w:rPr>
      </w:pPr>
    </w:p>
    <w:p w14:paraId="737F6FA5">
      <w:pPr>
        <w:pageBreakBefore w:val="0"/>
        <w:tabs>
          <w:tab w:val="left" w:pos="1381"/>
        </w:tabs>
        <w:spacing w:line="440" w:lineRule="exact"/>
        <w:rPr>
          <w:rFonts w:hint="eastAsia" w:ascii="宋体" w:hAnsi="宋体" w:eastAsia="宋体" w:cs="宋体"/>
          <w:color w:val="auto"/>
          <w:sz w:val="24"/>
          <w:szCs w:val="24"/>
          <w:highlight w:val="none"/>
          <w:lang w:val="en-US" w:eastAsia="zh-CN" w:bidi="ar-SA"/>
        </w:rPr>
      </w:pPr>
    </w:p>
    <w:p w14:paraId="2CDCA184">
      <w:pPr>
        <w:pageBreakBefore w:val="0"/>
        <w:tabs>
          <w:tab w:val="left" w:pos="1381"/>
        </w:tabs>
        <w:spacing w:line="440" w:lineRule="exact"/>
        <w:ind w:firstLine="482"/>
        <w:rPr>
          <w:rFonts w:hint="eastAsia" w:ascii="宋体" w:hAnsi="宋体" w:eastAsia="宋体" w:cs="宋体"/>
          <w:color w:val="auto"/>
          <w:sz w:val="24"/>
          <w:szCs w:val="24"/>
          <w:highlight w:val="none"/>
          <w:lang w:val="en-US" w:eastAsia="zh-CN" w:bidi="ar-SA"/>
        </w:rPr>
      </w:pPr>
    </w:p>
    <w:p w14:paraId="134856E1">
      <w:pPr>
        <w:pageBreakBefore w:val="0"/>
        <w:tabs>
          <w:tab w:val="left" w:pos="1381"/>
        </w:tabs>
        <w:spacing w:line="440" w:lineRule="exact"/>
        <w:ind w:firstLine="482"/>
        <w:rPr>
          <w:rFonts w:hint="eastAsia" w:ascii="宋体" w:hAnsi="宋体" w:eastAsia="宋体" w:cs="宋体"/>
          <w:color w:val="auto"/>
          <w:sz w:val="24"/>
          <w:szCs w:val="24"/>
          <w:highlight w:val="none"/>
          <w:lang w:val="en-US" w:eastAsia="zh-CN" w:bidi="ar-SA"/>
        </w:rPr>
      </w:pPr>
    </w:p>
    <w:p w14:paraId="15A5D540">
      <w:pPr>
        <w:pageBreakBefore w:val="0"/>
        <w:tabs>
          <w:tab w:val="left" w:pos="1381"/>
        </w:tabs>
        <w:spacing w:line="440" w:lineRule="exact"/>
        <w:jc w:val="center"/>
        <w:rPr>
          <w:rFonts w:hint="eastAsia" w:ascii="黑体" w:hAnsi="宋体" w:eastAsia="黑体" w:cs="黑体"/>
          <w:b/>
          <w:color w:val="auto"/>
          <w:sz w:val="44"/>
          <w:szCs w:val="44"/>
          <w:highlight w:val="none"/>
          <w:lang w:val="en-US" w:eastAsia="zh-CN" w:bidi="ar-SA"/>
        </w:rPr>
      </w:pPr>
      <w:bookmarkStart w:id="146" w:name="_Toc479757211"/>
      <w:bookmarkStart w:id="147" w:name="_Toc462564139"/>
      <w:bookmarkStart w:id="148" w:name="_Toc120614244"/>
      <w:bookmarkStart w:id="149" w:name="_Toc16938590"/>
      <w:bookmarkStart w:id="150" w:name="_Toc20823346"/>
      <w:bookmarkStart w:id="151" w:name="_Hlt16619369"/>
      <w:bookmarkStart w:id="152" w:name="_Hlt16619350"/>
      <w:r>
        <w:rPr>
          <w:rFonts w:hint="eastAsia" w:ascii="黑体" w:hAnsi="宋体" w:eastAsia="黑体" w:cs="黑体"/>
          <w:b/>
          <w:color w:val="auto"/>
          <w:sz w:val="44"/>
          <w:szCs w:val="44"/>
          <w:highlight w:val="none"/>
          <w:lang w:val="en-US" w:eastAsia="zh-CN" w:bidi="ar-SA"/>
        </w:rPr>
        <w:t>第三章  合同条款</w:t>
      </w:r>
    </w:p>
    <w:p w14:paraId="0C04E140">
      <w:pPr>
        <w:rPr>
          <w:rFonts w:ascii="宋体" w:hAnsi="宋体" w:cs="宋体"/>
          <w:color w:val="auto"/>
          <w:highlight w:val="none"/>
        </w:rPr>
      </w:pPr>
      <w:bookmarkStart w:id="153" w:name="EB6d2006462e294de090c16e672cecc3bd"/>
      <w:bookmarkEnd w:id="153"/>
    </w:p>
    <w:p w14:paraId="753BF1B0">
      <w:pPr>
        <w:jc w:val="center"/>
        <w:rPr>
          <w:rFonts w:ascii="宋体" w:hAnsi="宋体" w:cs="宋体"/>
          <w:b/>
          <w:bCs/>
          <w:color w:val="auto"/>
          <w:spacing w:val="-20"/>
          <w:sz w:val="48"/>
          <w:szCs w:val="48"/>
          <w:highlight w:val="none"/>
        </w:rPr>
      </w:pPr>
      <w:bookmarkStart w:id="154" w:name="_Toc3995"/>
    </w:p>
    <w:p w14:paraId="4A50CFF4">
      <w:pPr>
        <w:jc w:val="center"/>
        <w:rPr>
          <w:rFonts w:ascii="宋体" w:hAnsi="宋体" w:cs="宋体"/>
          <w:b/>
          <w:bCs/>
          <w:color w:val="auto"/>
          <w:spacing w:val="-20"/>
          <w:sz w:val="48"/>
          <w:szCs w:val="48"/>
          <w:highlight w:val="none"/>
        </w:rPr>
      </w:pPr>
    </w:p>
    <w:p w14:paraId="55D9AC1E">
      <w:pPr>
        <w:jc w:val="center"/>
        <w:rPr>
          <w:rFonts w:ascii="宋体" w:hAnsi="宋体" w:cs="宋体"/>
          <w:b/>
          <w:bCs/>
          <w:color w:val="auto"/>
          <w:spacing w:val="-20"/>
          <w:sz w:val="48"/>
          <w:szCs w:val="48"/>
          <w:highlight w:val="none"/>
        </w:rPr>
      </w:pPr>
    </w:p>
    <w:p w14:paraId="0D99DCA2">
      <w:pPr>
        <w:jc w:val="center"/>
        <w:rPr>
          <w:rFonts w:ascii="宋体" w:hAnsi="宋体" w:cs="宋体"/>
          <w:b/>
          <w:bCs/>
          <w:color w:val="auto"/>
          <w:spacing w:val="-20"/>
          <w:sz w:val="48"/>
          <w:szCs w:val="48"/>
          <w:highlight w:val="none"/>
        </w:rPr>
      </w:pPr>
    </w:p>
    <w:p w14:paraId="5BA9EE3E">
      <w:pPr>
        <w:jc w:val="center"/>
        <w:rPr>
          <w:rFonts w:ascii="宋体" w:hAnsi="宋体" w:cs="宋体"/>
          <w:color w:val="auto"/>
          <w:sz w:val="30"/>
          <w:highlight w:val="none"/>
        </w:rPr>
      </w:pPr>
    </w:p>
    <w:p w14:paraId="30EE5DAE">
      <w:pPr>
        <w:jc w:val="center"/>
        <w:rPr>
          <w:rFonts w:ascii="宋体" w:hAnsi="宋体" w:cs="宋体"/>
          <w:color w:val="auto"/>
          <w:sz w:val="30"/>
          <w:highlight w:val="none"/>
        </w:rPr>
      </w:pPr>
      <w:r>
        <w:rPr>
          <w:rFonts w:hint="eastAsia" w:ascii="宋体" w:hAnsi="宋体" w:cs="宋体"/>
          <w:color w:val="auto"/>
          <w:sz w:val="30"/>
          <w:highlight w:val="none"/>
        </w:rPr>
        <w:t>政府采购货物买卖合同</w:t>
      </w:r>
    </w:p>
    <w:p w14:paraId="1129B872">
      <w:pPr>
        <w:jc w:val="center"/>
        <w:rPr>
          <w:rFonts w:ascii="宋体" w:hAnsi="宋体" w:cs="宋体"/>
          <w:color w:val="auto"/>
          <w:sz w:val="30"/>
          <w:highlight w:val="none"/>
        </w:rPr>
      </w:pPr>
    </w:p>
    <w:p w14:paraId="04284DCE">
      <w:pPr>
        <w:rPr>
          <w:rFonts w:ascii="宋体" w:hAnsi="宋体" w:cs="宋体"/>
          <w:color w:val="auto"/>
          <w:sz w:val="30"/>
          <w:highlight w:val="none"/>
        </w:rPr>
      </w:pPr>
    </w:p>
    <w:p w14:paraId="0497D65A">
      <w:pPr>
        <w:rPr>
          <w:rFonts w:ascii="宋体" w:hAnsi="宋体" w:cs="宋体"/>
          <w:color w:val="auto"/>
          <w:sz w:val="30"/>
          <w:highlight w:val="none"/>
        </w:rPr>
      </w:pPr>
    </w:p>
    <w:p w14:paraId="337AF916">
      <w:pPr>
        <w:rPr>
          <w:rFonts w:ascii="宋体" w:hAnsi="宋体" w:cs="宋体"/>
          <w:color w:val="auto"/>
          <w:sz w:val="30"/>
          <w:highlight w:val="none"/>
        </w:rPr>
      </w:pPr>
    </w:p>
    <w:p w14:paraId="70AE7E41">
      <w:pPr>
        <w:spacing w:line="360" w:lineRule="auto"/>
        <w:ind w:left="420"/>
        <w:rPr>
          <w:rFonts w:ascii="宋体" w:hAnsi="宋体" w:cs="宋体"/>
          <w:color w:val="auto"/>
          <w:sz w:val="30"/>
          <w:highlight w:val="none"/>
        </w:rPr>
      </w:pPr>
      <w:r>
        <w:rPr>
          <w:rFonts w:hint="eastAsia" w:ascii="宋体" w:hAnsi="宋体" w:cs="宋体"/>
          <w:color w:val="auto"/>
          <w:sz w:val="30"/>
          <w:highlight w:val="none"/>
        </w:rPr>
        <w:t>项目名称：</w:t>
      </w:r>
    </w:p>
    <w:p w14:paraId="594FB196">
      <w:pPr>
        <w:spacing w:line="360" w:lineRule="auto"/>
        <w:ind w:left="420"/>
        <w:rPr>
          <w:rFonts w:ascii="宋体" w:hAnsi="宋体" w:cs="宋体"/>
          <w:color w:val="auto"/>
          <w:sz w:val="30"/>
          <w:highlight w:val="none"/>
        </w:rPr>
      </w:pPr>
      <w:r>
        <w:rPr>
          <w:rFonts w:hint="eastAsia" w:ascii="宋体" w:hAnsi="宋体" w:cs="宋体"/>
          <w:color w:val="auto"/>
          <w:sz w:val="30"/>
          <w:highlight w:val="none"/>
        </w:rPr>
        <w:t>合同编号：</w:t>
      </w:r>
    </w:p>
    <w:p w14:paraId="364B38F3">
      <w:pPr>
        <w:spacing w:line="360" w:lineRule="auto"/>
        <w:ind w:left="420"/>
        <w:rPr>
          <w:rFonts w:ascii="宋体" w:hAnsi="宋体" w:cs="宋体"/>
          <w:color w:val="auto"/>
          <w:sz w:val="30"/>
          <w:highlight w:val="none"/>
        </w:rPr>
      </w:pPr>
      <w:r>
        <w:rPr>
          <w:rFonts w:hint="eastAsia" w:ascii="宋体" w:hAnsi="宋体" w:cs="宋体"/>
          <w:color w:val="auto"/>
          <w:sz w:val="30"/>
          <w:highlight w:val="none"/>
        </w:rPr>
        <w:t>甲    方：</w:t>
      </w:r>
    </w:p>
    <w:p w14:paraId="7241565B">
      <w:pPr>
        <w:spacing w:line="360" w:lineRule="auto"/>
        <w:ind w:left="420"/>
        <w:rPr>
          <w:rFonts w:ascii="宋体" w:hAnsi="宋体" w:cs="宋体"/>
          <w:color w:val="auto"/>
          <w:sz w:val="30"/>
          <w:highlight w:val="none"/>
        </w:rPr>
      </w:pPr>
      <w:r>
        <w:rPr>
          <w:rFonts w:hint="eastAsia" w:ascii="宋体" w:hAnsi="宋体" w:cs="宋体"/>
          <w:color w:val="auto"/>
          <w:sz w:val="30"/>
          <w:highlight w:val="none"/>
        </w:rPr>
        <w:t>乙    方：</w:t>
      </w:r>
    </w:p>
    <w:p w14:paraId="2398B6F1">
      <w:pPr>
        <w:spacing w:line="360" w:lineRule="auto"/>
        <w:ind w:left="420"/>
        <w:rPr>
          <w:rFonts w:ascii="宋体" w:hAnsi="宋体" w:cs="宋体"/>
          <w:color w:val="auto"/>
          <w:sz w:val="30"/>
          <w:highlight w:val="none"/>
        </w:rPr>
      </w:pPr>
      <w:r>
        <w:rPr>
          <w:rFonts w:hint="eastAsia" w:ascii="宋体" w:hAnsi="宋体" w:cs="宋体"/>
          <w:color w:val="auto"/>
          <w:sz w:val="30"/>
          <w:highlight w:val="none"/>
        </w:rPr>
        <w:t>签订时间：</w:t>
      </w:r>
    </w:p>
    <w:p w14:paraId="0B216C2D">
      <w:pPr>
        <w:rPr>
          <w:color w:val="auto"/>
          <w:highlight w:val="none"/>
        </w:rPr>
      </w:pPr>
    </w:p>
    <w:p w14:paraId="39994FC0">
      <w:pPr>
        <w:rPr>
          <w:rFonts w:eastAsia="黑体"/>
          <w:color w:val="auto"/>
          <w:sz w:val="44"/>
          <w:szCs w:val="44"/>
          <w:highlight w:val="none"/>
        </w:rPr>
      </w:pPr>
      <w:r>
        <w:rPr>
          <w:rFonts w:eastAsia="黑体"/>
          <w:color w:val="auto"/>
          <w:sz w:val="44"/>
          <w:szCs w:val="44"/>
          <w:highlight w:val="none"/>
        </w:rPr>
        <w:br w:type="page" w:clear="all"/>
      </w:r>
    </w:p>
    <w:p w14:paraId="049B1027">
      <w:pPr>
        <w:jc w:val="center"/>
        <w:rPr>
          <w:rFonts w:eastAsia="黑体"/>
          <w:color w:val="auto"/>
          <w:sz w:val="44"/>
          <w:szCs w:val="44"/>
          <w:highlight w:val="none"/>
        </w:rPr>
      </w:pPr>
      <w:r>
        <w:rPr>
          <w:rFonts w:hint="eastAsia" w:eastAsia="黑体"/>
          <w:color w:val="auto"/>
          <w:sz w:val="44"/>
          <w:szCs w:val="44"/>
          <w:highlight w:val="none"/>
        </w:rPr>
        <w:t>使用说明</w:t>
      </w:r>
    </w:p>
    <w:p w14:paraId="09E6E868">
      <w:pPr>
        <w:ind w:firstLine="640"/>
        <w:rPr>
          <w:rFonts w:ascii="仿宋_GB2312" w:hAnsi="仿宋_GB2312" w:eastAsia="仿宋_GB2312" w:cs="仿宋_GB2312"/>
          <w:color w:val="auto"/>
          <w:sz w:val="32"/>
          <w:szCs w:val="32"/>
          <w:highlight w:val="none"/>
        </w:rPr>
      </w:pPr>
    </w:p>
    <w:p w14:paraId="431EA2D8">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1.本合同标准文本适用于购买现成货物的采购项目，不包括需要供应商定制开发、创新研发的货物采购项目。</w:t>
      </w:r>
    </w:p>
    <w:p w14:paraId="54CBC1EC">
      <w:pPr>
        <w:rPr>
          <w:rFonts w:eastAsia="黑体"/>
          <w:color w:val="auto"/>
          <w:sz w:val="44"/>
          <w:szCs w:val="44"/>
          <w:highlight w:val="none"/>
        </w:rPr>
      </w:pPr>
      <w:r>
        <w:rPr>
          <w:rFonts w:hint="eastAsia" w:ascii="仿宋_GB2312" w:hAnsi="仿宋_GB2312" w:eastAsia="仿宋_GB2312" w:cs="仿宋_GB2312"/>
          <w:color w:val="auto"/>
          <w:sz w:val="32"/>
          <w:szCs w:val="32"/>
          <w:highlight w:val="none"/>
        </w:rPr>
        <w:t>2.本合同标准文本为政府采购货物买卖合同编制提供参考，可以结合采购项目具体情况，对文本作必要的调整修订后使用。</w:t>
      </w:r>
    </w:p>
    <w:p w14:paraId="0C253150">
      <w:pPr>
        <w:ind w:firstLine="640"/>
        <w:rPr>
          <w:rFonts w:eastAsia="黑体"/>
          <w:color w:val="auto"/>
          <w:sz w:val="44"/>
          <w:szCs w:val="44"/>
          <w:highlight w:val="none"/>
        </w:rPr>
        <w:sectPr>
          <w:footerReference r:id="rId3" w:type="default"/>
          <w:pgSz w:w="11906" w:h="16838"/>
          <w:pgMar w:top="1440" w:right="1800" w:bottom="1440" w:left="1800" w:header="851" w:footer="992" w:gutter="0"/>
          <w:cols w:space="425" w:num="1"/>
          <w:docGrid w:linePitch="360" w:charSpace="0"/>
        </w:sectPr>
      </w:pPr>
      <w:r>
        <w:rPr>
          <w:rFonts w:hint="eastAsia" w:ascii="仿宋_GB2312" w:hAnsi="仿宋_GB2312" w:eastAsia="仿宋_GB2312" w:cs="仿宋_GB2312"/>
          <w:color w:val="auto"/>
          <w:sz w:val="32"/>
          <w:szCs w:val="32"/>
          <w:highlight w:val="none"/>
        </w:rPr>
        <w:t>3.本合同标准文本各条款中，如涉及填写多家供应商、制造商，多种采购标的、分包主要内容等信息的，可根据采购项目具体情况添加信息项。</w:t>
      </w:r>
      <w:bookmarkEnd w:id="154"/>
    </w:p>
    <w:p w14:paraId="450F28B5">
      <w:pPr>
        <w:keepNext/>
        <w:keepLines/>
        <w:numPr>
          <w:ilvl w:val="0"/>
          <w:numId w:val="1"/>
        </w:numPr>
        <w:spacing w:line="400" w:lineRule="exact"/>
        <w:jc w:val="center"/>
        <w:outlineLvl w:val="1"/>
        <w:rPr>
          <w:rFonts w:hint="eastAsia" w:ascii="黑体" w:hAnsi="华文中宋" w:eastAsia="黑体"/>
          <w:color w:val="auto"/>
          <w:sz w:val="28"/>
          <w:szCs w:val="28"/>
          <w:highlight w:val="none"/>
        </w:rPr>
      </w:pPr>
      <w:bookmarkStart w:id="155" w:name="_Toc22209"/>
      <w:r>
        <w:rPr>
          <w:rFonts w:hint="eastAsia" w:ascii="黑体" w:hAnsi="华文中宋" w:eastAsia="黑体"/>
          <w:color w:val="auto"/>
          <w:sz w:val="28"/>
          <w:szCs w:val="28"/>
          <w:highlight w:val="none"/>
        </w:rPr>
        <w:t>政府采购合同协议书</w:t>
      </w:r>
      <w:bookmarkEnd w:id="155"/>
    </w:p>
    <w:p w14:paraId="592AC564">
      <w:pPr>
        <w:keepNext/>
        <w:keepLines/>
        <w:numPr>
          <w:ilvl w:val="0"/>
          <w:numId w:val="0"/>
        </w:numPr>
        <w:spacing w:line="400" w:lineRule="exact"/>
        <w:jc w:val="both"/>
        <w:outlineLvl w:val="1"/>
        <w:rPr>
          <w:rFonts w:hint="eastAsia" w:ascii="黑体" w:hAnsi="华文中宋" w:eastAsia="黑体"/>
          <w:color w:val="auto"/>
          <w:sz w:val="28"/>
          <w:szCs w:val="28"/>
          <w:highlight w:val="none"/>
        </w:rPr>
      </w:pPr>
    </w:p>
    <w:p w14:paraId="1891003C">
      <w:pPr>
        <w:spacing w:line="360" w:lineRule="auto"/>
        <w:rPr>
          <w:rFonts w:ascii="宋体" w:hAnsi="宋体"/>
          <w:color w:val="auto"/>
          <w:sz w:val="24"/>
          <w:highlight w:val="none"/>
        </w:rPr>
      </w:pPr>
      <w:r>
        <w:rPr>
          <w:rFonts w:hint="eastAsia" w:ascii="宋体" w:hAnsi="宋体"/>
          <w:color w:val="auto"/>
          <w:sz w:val="24"/>
          <w:highlight w:val="none"/>
        </w:rPr>
        <w:t>甲方（全称）：</w:t>
      </w:r>
    </w:p>
    <w:p w14:paraId="3B347E97">
      <w:pPr>
        <w:spacing w:line="360" w:lineRule="auto"/>
        <w:rPr>
          <w:rFonts w:ascii="宋体" w:hAnsi="宋体"/>
          <w:color w:val="auto"/>
          <w:sz w:val="24"/>
          <w:highlight w:val="none"/>
        </w:rPr>
      </w:pPr>
      <w:r>
        <w:rPr>
          <w:rFonts w:hint="eastAsia" w:ascii="宋体" w:hAnsi="宋体"/>
          <w:color w:val="auto"/>
          <w:sz w:val="24"/>
          <w:highlight w:val="none"/>
        </w:rPr>
        <w:t>乙方（全称）：</w:t>
      </w:r>
      <w:r>
        <w:rPr>
          <w:rFonts w:ascii="宋体" w:hAnsi="宋体"/>
          <w:color w:val="auto"/>
          <w:sz w:val="24"/>
          <w:highlight w:val="none"/>
        </w:rPr>
        <w:t xml:space="preserve"> </w:t>
      </w:r>
    </w:p>
    <w:p w14:paraId="4B18FE36">
      <w:pPr>
        <w:spacing w:line="360" w:lineRule="auto"/>
        <w:ind w:firstLine="480"/>
        <w:rPr>
          <w:rFonts w:ascii="宋体" w:hAnsi="宋体"/>
          <w:color w:val="auto"/>
          <w:sz w:val="24"/>
          <w:highlight w:val="none"/>
        </w:rPr>
      </w:pPr>
      <w:r>
        <w:rPr>
          <w:rFonts w:hint="eastAsia" w:ascii="宋体" w:hAnsi="宋体"/>
          <w:color w:val="auto"/>
          <w:sz w:val="24"/>
          <w:highlight w:val="none"/>
        </w:rPr>
        <w:t>依据《中华人民共和国民法典》、《中华人民共和国政府采购法》等有关的法律法规，以及本采购项目的招标/谈判文件等</w:t>
      </w:r>
      <w:r>
        <w:rPr>
          <w:rFonts w:hint="eastAsia" w:ascii="宋体" w:hAnsi="宋体"/>
          <w:color w:val="auto"/>
          <w:sz w:val="24"/>
          <w:highlight w:val="none"/>
          <w:lang w:val="en-US" w:eastAsia="zh-CN"/>
        </w:rPr>
        <w:t>谈判</w:t>
      </w:r>
      <w:r>
        <w:rPr>
          <w:rFonts w:hint="eastAsia" w:ascii="宋体" w:hAnsi="宋体"/>
          <w:color w:val="auto"/>
          <w:sz w:val="24"/>
          <w:highlight w:val="none"/>
        </w:rPr>
        <w:t xml:space="preserve">文件、乙方的《投标（响应）文件》及《中标（成交）通知书》，甲乙双方同意签订本合同。具体情况及要求如下：     </w:t>
      </w:r>
    </w:p>
    <w:p w14:paraId="4FF19C79">
      <w:pPr>
        <w:numPr>
          <w:ilvl w:val="0"/>
          <w:numId w:val="2"/>
        </w:numPr>
        <w:spacing w:line="360" w:lineRule="auto"/>
        <w:ind w:firstLine="482"/>
        <w:rPr>
          <w:rFonts w:ascii="宋体" w:hAnsi="宋体"/>
          <w:b/>
          <w:color w:val="auto"/>
          <w:sz w:val="24"/>
          <w:highlight w:val="none"/>
        </w:rPr>
      </w:pPr>
      <w:r>
        <w:rPr>
          <w:rFonts w:hint="eastAsia" w:ascii="宋体" w:hAnsi="宋体"/>
          <w:b/>
          <w:color w:val="auto"/>
          <w:sz w:val="24"/>
          <w:highlight w:val="none"/>
        </w:rPr>
        <w:t>项目信息</w:t>
      </w:r>
    </w:p>
    <w:p w14:paraId="62D5FC33">
      <w:pPr>
        <w:numPr>
          <w:ilvl w:val="0"/>
          <w:numId w:val="3"/>
        </w:numPr>
        <w:spacing w:line="360" w:lineRule="auto"/>
        <w:ind w:firstLine="480"/>
        <w:rPr>
          <w:rFonts w:ascii="宋体" w:hAnsi="宋体"/>
          <w:color w:val="auto"/>
          <w:sz w:val="24"/>
          <w:highlight w:val="none"/>
          <w:u w:val="single"/>
        </w:rPr>
      </w:pPr>
      <w:r>
        <w:rPr>
          <w:rFonts w:hint="eastAsia" w:ascii="宋体" w:hAnsi="宋体"/>
          <w:color w:val="auto"/>
          <w:sz w:val="24"/>
          <w:highlight w:val="none"/>
        </w:rPr>
        <w:t>采购项目名称：</w:t>
      </w:r>
    </w:p>
    <w:p w14:paraId="209756B3">
      <w:pPr>
        <w:numPr>
          <w:ilvl w:val="255"/>
          <w:numId w:val="0"/>
        </w:numPr>
        <w:tabs>
          <w:tab w:val="left" w:pos="999"/>
        </w:tabs>
        <w:spacing w:line="360" w:lineRule="auto"/>
        <w:rPr>
          <w:rFonts w:ascii="宋体" w:hAnsi="宋体"/>
          <w:color w:val="auto"/>
          <w:sz w:val="24"/>
          <w:highlight w:val="none"/>
        </w:rPr>
      </w:pPr>
      <w:r>
        <w:rPr>
          <w:rFonts w:hint="eastAsia" w:ascii="宋体" w:hAnsi="宋体"/>
          <w:color w:val="auto"/>
          <w:sz w:val="24"/>
          <w:highlight w:val="none"/>
        </w:rPr>
        <w:t xml:space="preserve">         采购项目编号：</w:t>
      </w:r>
    </w:p>
    <w:p w14:paraId="631C26E3">
      <w:pPr>
        <w:spacing w:line="360" w:lineRule="auto"/>
        <w:ind w:firstLine="480"/>
        <w:rPr>
          <w:rFonts w:ascii="宋体" w:hAnsi="宋体"/>
          <w:color w:val="auto"/>
          <w:sz w:val="24"/>
          <w:highlight w:val="none"/>
        </w:rPr>
      </w:pPr>
      <w:r>
        <w:rPr>
          <w:rFonts w:hint="eastAsia" w:ascii="宋体" w:hAnsi="宋体"/>
          <w:color w:val="auto"/>
          <w:sz w:val="24"/>
          <w:highlight w:val="none"/>
        </w:rPr>
        <w:t>（2）采购计划编号：</w:t>
      </w:r>
    </w:p>
    <w:p w14:paraId="0580A8C9">
      <w:pPr>
        <w:spacing w:line="360" w:lineRule="auto"/>
        <w:ind w:firstLine="480"/>
        <w:rPr>
          <w:rFonts w:ascii="宋体" w:hAnsi="宋体"/>
          <w:color w:val="auto"/>
          <w:sz w:val="24"/>
          <w:highlight w:val="none"/>
        </w:rPr>
      </w:pPr>
      <w:r>
        <w:rPr>
          <w:rFonts w:hint="eastAsia" w:ascii="宋体" w:hAnsi="宋体"/>
          <w:color w:val="auto"/>
          <w:sz w:val="24"/>
          <w:highlight w:val="none"/>
        </w:rPr>
        <w:t>（3）项目内容：</w:t>
      </w:r>
    </w:p>
    <w:p w14:paraId="051828B8">
      <w:pPr>
        <w:spacing w:line="360" w:lineRule="auto"/>
        <w:ind w:firstLine="480"/>
        <w:rPr>
          <w:rFonts w:ascii="宋体" w:hAnsi="宋体"/>
          <w:color w:val="auto"/>
          <w:sz w:val="24"/>
          <w:highlight w:val="none"/>
        </w:rPr>
      </w:pPr>
      <w:r>
        <w:rPr>
          <w:rFonts w:hint="eastAsia" w:ascii="宋体" w:hAnsi="宋体"/>
          <w:color w:val="auto"/>
          <w:sz w:val="24"/>
          <w:highlight w:val="none"/>
        </w:rPr>
        <w:t>采购标的及数量（台/套</w:t>
      </w:r>
      <w:r>
        <w:rPr>
          <w:rFonts w:ascii="宋体" w:hAnsi="宋体"/>
          <w:color w:val="auto"/>
          <w:sz w:val="24"/>
          <w:highlight w:val="none"/>
        </w:rPr>
        <w:t>/</w:t>
      </w:r>
      <w:r>
        <w:rPr>
          <w:rFonts w:hint="eastAsia" w:ascii="宋体" w:hAnsi="宋体"/>
          <w:color w:val="auto"/>
          <w:sz w:val="24"/>
          <w:highlight w:val="none"/>
        </w:rPr>
        <w:t>个</w:t>
      </w:r>
      <w:r>
        <w:rPr>
          <w:rFonts w:ascii="宋体" w:hAnsi="宋体"/>
          <w:color w:val="auto"/>
          <w:sz w:val="24"/>
          <w:highlight w:val="none"/>
        </w:rPr>
        <w:t>/</w:t>
      </w:r>
      <w:r>
        <w:rPr>
          <w:rFonts w:hint="eastAsia" w:ascii="宋体" w:hAnsi="宋体"/>
          <w:color w:val="auto"/>
          <w:sz w:val="24"/>
          <w:highlight w:val="none"/>
        </w:rPr>
        <w:t>架</w:t>
      </w:r>
      <w:r>
        <w:rPr>
          <w:rFonts w:ascii="宋体" w:hAnsi="宋体"/>
          <w:color w:val="auto"/>
          <w:sz w:val="24"/>
          <w:highlight w:val="none"/>
        </w:rPr>
        <w:t>/</w:t>
      </w:r>
      <w:r>
        <w:rPr>
          <w:rFonts w:hint="eastAsia" w:ascii="宋体" w:hAnsi="宋体"/>
          <w:color w:val="auto"/>
          <w:sz w:val="24"/>
          <w:highlight w:val="none"/>
        </w:rPr>
        <w:t>组等）：</w:t>
      </w:r>
    </w:p>
    <w:p w14:paraId="4CB6F37B">
      <w:pPr>
        <w:numPr>
          <w:ilvl w:val="255"/>
          <w:numId w:val="0"/>
        </w:num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品牌：规格型号：</w:t>
      </w:r>
    </w:p>
    <w:p w14:paraId="23D1B200">
      <w:pPr>
        <w:spacing w:line="360" w:lineRule="auto"/>
        <w:ind w:firstLine="1080"/>
        <w:rPr>
          <w:rFonts w:ascii="宋体" w:hAnsi="宋体"/>
          <w:color w:val="auto"/>
          <w:sz w:val="24"/>
          <w:highlight w:val="none"/>
          <w:u w:val="single"/>
        </w:rPr>
      </w:pPr>
      <w:r>
        <w:rPr>
          <w:rFonts w:hint="eastAsia" w:ascii="宋体" w:hAnsi="宋体"/>
          <w:color w:val="auto"/>
          <w:sz w:val="24"/>
          <w:highlight w:val="none"/>
        </w:rPr>
        <w:t>采购标的的技术要求、商务要求具体见附件。</w:t>
      </w:r>
    </w:p>
    <w:p w14:paraId="7534C390">
      <w:pPr>
        <w:numPr>
          <w:ilvl w:val="255"/>
          <w:numId w:val="0"/>
        </w:numPr>
        <w:spacing w:line="360" w:lineRule="auto"/>
        <w:ind w:firstLine="1080"/>
        <w:rPr>
          <w:rFonts w:ascii="宋体" w:hAnsi="宋体" w:cs="宋体"/>
          <w:color w:val="auto"/>
          <w:sz w:val="24"/>
          <w:highlight w:val="none"/>
        </w:rPr>
      </w:pPr>
      <w:r>
        <w:rPr>
          <w:rFonts w:hint="eastAsia" w:ascii="宋体" w:hAnsi="宋体" w:cs="宋体"/>
          <w:color w:val="auto"/>
          <w:sz w:val="24"/>
          <w:highlight w:val="none"/>
        </w:rPr>
        <w:t>①涉及信息类产品，请填写该产品关键部件的品牌、型号：</w:t>
      </w:r>
    </w:p>
    <w:p w14:paraId="3C6643C5">
      <w:pPr>
        <w:numPr>
          <w:ilvl w:val="255"/>
          <w:numId w:val="0"/>
        </w:numPr>
        <w:spacing w:line="360" w:lineRule="auto"/>
        <w:ind w:firstLine="480"/>
        <w:rPr>
          <w:rFonts w:ascii="宋体" w:hAnsi="宋体" w:cs="宋体"/>
          <w:color w:val="auto"/>
          <w:sz w:val="24"/>
          <w:highlight w:val="none"/>
          <w:u w:val="single"/>
        </w:rPr>
      </w:pPr>
      <w:r>
        <w:rPr>
          <w:rFonts w:hint="eastAsia" w:ascii="宋体" w:hAnsi="宋体" w:cs="宋体"/>
          <w:color w:val="auto"/>
          <w:sz w:val="24"/>
          <w:highlight w:val="none"/>
        </w:rPr>
        <w:t xml:space="preserve">     标的名称：</w:t>
      </w:r>
    </w:p>
    <w:p w14:paraId="3DDA8A4C">
      <w:pPr>
        <w:spacing w:line="400" w:lineRule="exact"/>
        <w:ind w:firstLine="480"/>
        <w:rPr>
          <w:rFonts w:ascii="宋体" w:hAnsi="宋体" w:cs="宋体"/>
          <w:color w:val="auto"/>
          <w:szCs w:val="21"/>
          <w:highlight w:val="none"/>
        </w:rPr>
      </w:pPr>
      <w:r>
        <w:rPr>
          <w:rFonts w:hint="eastAsia" w:ascii="宋体" w:hAnsi="宋体" w:cs="宋体"/>
          <w:color w:val="auto"/>
          <w:sz w:val="24"/>
          <w:highlight w:val="none"/>
        </w:rPr>
        <w:t xml:space="preserve">     </w:t>
      </w:r>
      <w:r>
        <w:rPr>
          <w:rFonts w:hint="eastAsia" w:ascii="宋体" w:hAnsi="宋体" w:cs="宋体"/>
          <w:color w:val="auto"/>
          <w:szCs w:val="21"/>
          <w:highlight w:val="none"/>
        </w:rPr>
        <w:t>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3DF3DAE0">
      <w:pPr>
        <w:pStyle w:val="188"/>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p>
    <w:p w14:paraId="390BB704">
      <w:pPr>
        <w:pStyle w:val="188"/>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p>
    <w:p w14:paraId="6FFD93BD">
      <w:pPr>
        <w:widowControl/>
        <w:numPr>
          <w:ilvl w:val="255"/>
          <w:numId w:val="0"/>
        </w:numPr>
        <w:spacing w:line="360" w:lineRule="auto"/>
        <w:jc w:val="left"/>
        <w:rPr>
          <w:rFonts w:ascii="宋体" w:hAnsi="宋体" w:cs="宋体"/>
          <w:color w:val="auto"/>
          <w:sz w:val="24"/>
          <w:highlight w:val="none"/>
        </w:rPr>
      </w:pPr>
      <w:r>
        <w:rPr>
          <w:rFonts w:hint="eastAsia" w:ascii="宋体" w:hAnsi="宋体" w:cs="宋体"/>
          <w:color w:val="auto"/>
          <w:sz w:val="24"/>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5236C52F">
      <w:pPr>
        <w:widowControl/>
        <w:numPr>
          <w:ilvl w:val="255"/>
          <w:numId w:val="0"/>
        </w:numPr>
        <w:spacing w:line="360" w:lineRule="auto"/>
        <w:jc w:val="left"/>
        <w:rPr>
          <w:rFonts w:ascii="宋体" w:hAnsi="宋体" w:cs="宋体"/>
          <w:color w:val="auto"/>
          <w:sz w:val="24"/>
          <w:highlight w:val="none"/>
        </w:rPr>
      </w:pPr>
      <w:r>
        <w:rPr>
          <w:rFonts w:hint="eastAsia" w:ascii="宋体" w:hAnsi="宋体" w:cs="宋体"/>
          <w:color w:val="auto"/>
          <w:sz w:val="24"/>
          <w:highlight w:val="none"/>
        </w:rPr>
        <w:t>②涉及车辆采购，请填写是否属于新能源汽车：</w:t>
      </w:r>
    </w:p>
    <w:p w14:paraId="19DB835F">
      <w:pPr>
        <w:widowControl/>
        <w:numPr>
          <w:ilvl w:val="255"/>
          <w:numId w:val="0"/>
        </w:numPr>
        <w:spacing w:line="360" w:lineRule="auto"/>
        <w:jc w:val="left"/>
        <w:rPr>
          <w:rFonts w:ascii="宋体" w:hAnsi="宋体" w:cs="宋体"/>
          <w:color w:val="auto"/>
          <w:sz w:val="24"/>
          <w:highlight w:val="none"/>
        </w:rPr>
      </w:pPr>
      <w:r>
        <w:rPr>
          <w:rFonts w:ascii="Wingdings" w:hAnsi="Wingdings" w:eastAsia="Wingdings" w:cs="Wingdings"/>
          <w:color w:val="auto"/>
          <w:sz w:val="24"/>
          <w:highlight w:val="none"/>
        </w:rPr>
        <w:t></w:t>
      </w:r>
      <w:r>
        <w:rPr>
          <w:rFonts w:hint="eastAsia" w:ascii="宋体" w:hAnsi="宋体" w:cs="宋体"/>
          <w:color w:val="auto"/>
          <w:sz w:val="24"/>
          <w:highlight w:val="none"/>
        </w:rPr>
        <w:t>是，《政府采购品目分类目录》底级品目名称： 数量： 金额：</w:t>
      </w:r>
    </w:p>
    <w:p w14:paraId="3E4EC864">
      <w:pPr>
        <w:widowControl/>
        <w:numPr>
          <w:ilvl w:val="255"/>
          <w:numId w:val="0"/>
        </w:numPr>
        <w:spacing w:line="360" w:lineRule="auto"/>
        <w:jc w:val="left"/>
        <w:rPr>
          <w:rFonts w:ascii="宋体" w:hAnsi="宋体" w:cs="宋体"/>
          <w:color w:val="auto"/>
          <w:sz w:val="24"/>
          <w:highlight w:val="none"/>
        </w:rPr>
      </w:pPr>
      <w:r>
        <w:rPr>
          <w:rFonts w:ascii="Wingdings" w:hAnsi="Wingdings" w:eastAsia="Wingdings" w:cs="Wingdings"/>
          <w:color w:val="auto"/>
          <w:sz w:val="24"/>
          <w:highlight w:val="none"/>
        </w:rPr>
        <w:t></w:t>
      </w:r>
      <w:r>
        <w:rPr>
          <w:rFonts w:hint="eastAsia" w:ascii="宋体" w:hAnsi="宋体" w:cs="宋体"/>
          <w:color w:val="auto"/>
          <w:sz w:val="24"/>
          <w:highlight w:val="none"/>
        </w:rPr>
        <w:t>否</w:t>
      </w:r>
    </w:p>
    <w:p w14:paraId="73CD112D">
      <w:pPr>
        <w:widowControl/>
        <w:numPr>
          <w:ilvl w:val="255"/>
          <w:numId w:val="0"/>
        </w:numPr>
        <w:spacing w:line="360" w:lineRule="auto"/>
        <w:jc w:val="left"/>
        <w:rPr>
          <w:rFonts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4</w:t>
      </w:r>
      <w:r>
        <w:rPr>
          <w:rFonts w:hint="eastAsia" w:ascii="宋体" w:hAnsi="宋体" w:cs="宋体"/>
          <w:color w:val="auto"/>
          <w:sz w:val="24"/>
          <w:highlight w:val="none"/>
        </w:rPr>
        <w:t>）政府采购组织形式：</w:t>
      </w:r>
      <w:r>
        <w:rPr>
          <w:rFonts w:ascii="Wingdings" w:hAnsi="Wingdings" w:eastAsia="Wingdings" w:cs="Wingdings"/>
          <w:color w:val="auto"/>
          <w:sz w:val="24"/>
          <w:highlight w:val="none"/>
        </w:rPr>
        <w:t></w:t>
      </w:r>
      <w:r>
        <w:rPr>
          <w:rFonts w:hint="eastAsia" w:ascii="宋体" w:hAnsi="宋体" w:cs="宋体"/>
          <w:color w:val="auto"/>
          <w:sz w:val="24"/>
          <w:highlight w:val="none"/>
        </w:rPr>
        <w:t>政府集中采购</w:t>
      </w:r>
      <w:r>
        <w:rPr>
          <w:rFonts w:ascii="Wingdings" w:hAnsi="Wingdings" w:eastAsia="Wingdings" w:cs="Wingdings"/>
          <w:color w:val="auto"/>
          <w:sz w:val="24"/>
          <w:highlight w:val="none"/>
        </w:rPr>
        <w:t></w:t>
      </w:r>
      <w:r>
        <w:rPr>
          <w:rFonts w:hint="eastAsia" w:ascii="宋体" w:hAnsi="宋体" w:cs="宋体"/>
          <w:color w:val="auto"/>
          <w:sz w:val="24"/>
          <w:highlight w:val="none"/>
        </w:rPr>
        <w:t xml:space="preserve">部门集中采购  </w:t>
      </w:r>
      <w:r>
        <w:rPr>
          <w:rFonts w:ascii="Wingdings" w:hAnsi="Wingdings" w:eastAsia="Wingdings" w:cs="Wingdings"/>
          <w:color w:val="auto"/>
          <w:sz w:val="24"/>
          <w:highlight w:val="none"/>
        </w:rPr>
        <w:t></w:t>
      </w:r>
      <w:r>
        <w:rPr>
          <w:rFonts w:hint="eastAsia" w:ascii="宋体" w:hAnsi="宋体" w:cs="宋体"/>
          <w:color w:val="auto"/>
          <w:sz w:val="24"/>
          <w:highlight w:val="none"/>
        </w:rPr>
        <w:t>分散采购</w:t>
      </w:r>
    </w:p>
    <w:p w14:paraId="5C030226">
      <w:pPr>
        <w:widowControl/>
        <w:numPr>
          <w:ilvl w:val="255"/>
          <w:numId w:val="0"/>
        </w:numPr>
        <w:spacing w:line="360" w:lineRule="auto"/>
        <w:ind w:firstLine="420"/>
        <w:jc w:val="left"/>
        <w:rPr>
          <w:rFonts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5</w:t>
      </w:r>
      <w:r>
        <w:rPr>
          <w:rFonts w:hint="eastAsia" w:ascii="宋体" w:hAnsi="宋体" w:cs="宋体"/>
          <w:color w:val="auto"/>
          <w:sz w:val="24"/>
          <w:highlight w:val="none"/>
        </w:rPr>
        <w:t>）政府采购方式：</w:t>
      </w:r>
      <w:r>
        <w:rPr>
          <w:rFonts w:ascii="Wingdings" w:hAnsi="Wingdings" w:eastAsia="Wingdings" w:cs="Wingdings"/>
          <w:color w:val="auto"/>
          <w:sz w:val="24"/>
          <w:highlight w:val="none"/>
        </w:rPr>
        <w:t>¨</w:t>
      </w:r>
      <w:r>
        <w:rPr>
          <w:rFonts w:hint="eastAsia" w:ascii="宋体" w:hAnsi="宋体" w:cs="宋体"/>
          <w:color w:val="auto"/>
          <w:sz w:val="24"/>
          <w:highlight w:val="none"/>
        </w:rPr>
        <w:t>公开招标</w:t>
      </w:r>
      <w:r>
        <w:rPr>
          <w:rFonts w:ascii="Wingdings" w:hAnsi="Wingdings" w:eastAsia="Wingdings" w:cs="Wingdings"/>
          <w:color w:val="auto"/>
          <w:sz w:val="24"/>
          <w:highlight w:val="none"/>
        </w:rPr>
        <w:t></w:t>
      </w:r>
      <w:r>
        <w:rPr>
          <w:rFonts w:hint="eastAsia" w:ascii="宋体" w:hAnsi="宋体" w:cs="宋体"/>
          <w:color w:val="auto"/>
          <w:sz w:val="24"/>
          <w:highlight w:val="none"/>
        </w:rPr>
        <w:t>邀请招标</w:t>
      </w:r>
      <w:r>
        <w:rPr>
          <w:rFonts w:ascii="Wingdings" w:hAnsi="Wingdings" w:eastAsia="Wingdings" w:cs="Wingdings"/>
          <w:color w:val="auto"/>
          <w:sz w:val="24"/>
          <w:highlight w:val="none"/>
        </w:rPr>
        <w:t></w:t>
      </w:r>
      <w:r>
        <w:rPr>
          <w:rFonts w:hint="eastAsia" w:ascii="宋体" w:hAnsi="宋体" w:cs="宋体"/>
          <w:color w:val="auto"/>
          <w:sz w:val="24"/>
          <w:highlight w:val="none"/>
        </w:rPr>
        <w:t>竞争性谈判</w:t>
      </w:r>
      <w:r>
        <w:rPr>
          <w:rFonts w:ascii="Wingdings" w:hAnsi="Wingdings" w:eastAsia="Wingdings" w:cs="Wingdings"/>
          <w:color w:val="auto"/>
          <w:sz w:val="24"/>
          <w:highlight w:val="none"/>
        </w:rPr>
        <w:t></w:t>
      </w:r>
      <w:r>
        <w:rPr>
          <w:rFonts w:hint="eastAsia" w:ascii="宋体" w:hAnsi="宋体" w:cs="宋体"/>
          <w:color w:val="auto"/>
          <w:sz w:val="24"/>
          <w:highlight w:val="none"/>
        </w:rPr>
        <w:t>竞争性磋商</w:t>
      </w:r>
    </w:p>
    <w:p w14:paraId="2E9A7465">
      <w:pPr>
        <w:widowControl/>
        <w:numPr>
          <w:ilvl w:val="255"/>
          <w:numId w:val="0"/>
        </w:numPr>
        <w:spacing w:line="360" w:lineRule="auto"/>
        <w:ind w:firstLine="420"/>
        <w:jc w:val="left"/>
        <w:rPr>
          <w:rFonts w:ascii="宋体" w:hAnsi="宋体" w:cs="宋体"/>
          <w:color w:val="auto"/>
          <w:sz w:val="24"/>
          <w:highlight w:val="none"/>
          <w:u w:val="single"/>
        </w:rPr>
      </w:pPr>
      <w:r>
        <w:rPr>
          <w:rFonts w:ascii="Wingdings" w:hAnsi="Wingdings" w:eastAsia="Wingdings" w:cs="Wingdings"/>
          <w:color w:val="auto"/>
          <w:sz w:val="24"/>
          <w:highlight w:val="none"/>
        </w:rPr>
        <w:t></w:t>
      </w:r>
      <w:r>
        <w:rPr>
          <w:rFonts w:hint="eastAsia" w:ascii="宋体" w:hAnsi="宋体" w:cs="宋体"/>
          <w:color w:val="auto"/>
          <w:sz w:val="24"/>
          <w:highlight w:val="none"/>
        </w:rPr>
        <w:t>询价</w:t>
      </w:r>
      <w:r>
        <w:rPr>
          <w:rFonts w:ascii="Wingdings" w:hAnsi="Wingdings" w:eastAsia="Wingdings" w:cs="Wingdings"/>
          <w:color w:val="auto"/>
          <w:sz w:val="24"/>
          <w:highlight w:val="none"/>
        </w:rPr>
        <w:t></w:t>
      </w:r>
      <w:r>
        <w:rPr>
          <w:rFonts w:hint="eastAsia" w:ascii="宋体" w:hAnsi="宋体" w:cs="宋体"/>
          <w:color w:val="auto"/>
          <w:sz w:val="24"/>
          <w:highlight w:val="none"/>
        </w:rPr>
        <w:t>单一来源</w:t>
      </w:r>
      <w:r>
        <w:rPr>
          <w:rFonts w:ascii="Wingdings" w:hAnsi="Wingdings" w:eastAsia="Wingdings" w:cs="Wingdings"/>
          <w:color w:val="auto"/>
          <w:sz w:val="24"/>
          <w:highlight w:val="none"/>
        </w:rPr>
        <w:t></w:t>
      </w:r>
      <w:r>
        <w:rPr>
          <w:rFonts w:hint="eastAsia" w:ascii="宋体" w:hAnsi="宋体" w:cs="宋体"/>
          <w:color w:val="auto"/>
          <w:sz w:val="24"/>
          <w:highlight w:val="none"/>
        </w:rPr>
        <w:t>框架协议</w:t>
      </w:r>
      <w:r>
        <w:rPr>
          <w:rFonts w:ascii="Wingdings" w:hAnsi="Wingdings" w:eastAsia="Wingdings" w:cs="Wingdings"/>
          <w:color w:val="auto"/>
          <w:sz w:val="24"/>
          <w:highlight w:val="none"/>
        </w:rPr>
        <w:t></w:t>
      </w:r>
      <w:r>
        <w:rPr>
          <w:rFonts w:hint="eastAsia" w:ascii="宋体" w:hAnsi="宋体" w:cs="宋体"/>
          <w:color w:val="auto"/>
          <w:sz w:val="24"/>
          <w:highlight w:val="none"/>
        </w:rPr>
        <w:t>其他：</w:t>
      </w:r>
    </w:p>
    <w:p w14:paraId="3D6F0128">
      <w:pPr>
        <w:widowControl/>
        <w:numPr>
          <w:ilvl w:val="255"/>
          <w:numId w:val="0"/>
        </w:numPr>
        <w:spacing w:line="360" w:lineRule="auto"/>
        <w:ind w:firstLine="420"/>
        <w:jc w:val="left"/>
        <w:rPr>
          <w:rFonts w:ascii="宋体" w:hAnsi="宋体" w:cs="宋体"/>
          <w:color w:val="auto"/>
          <w:sz w:val="24"/>
          <w:highlight w:val="none"/>
        </w:rPr>
      </w:pPr>
      <w:r>
        <w:rPr>
          <w:rFonts w:hint="eastAsia" w:ascii="宋体" w:hAnsi="宋体" w:cs="宋体"/>
          <w:color w:val="auto"/>
          <w:sz w:val="24"/>
          <w:highlight w:val="none"/>
        </w:rPr>
        <w:t>（注：在框架协议采购的第二阶段，可选择使用该合同文本）</w:t>
      </w:r>
    </w:p>
    <w:p w14:paraId="2B3EBA47">
      <w:pPr>
        <w:widowControl/>
        <w:numPr>
          <w:ilvl w:val="255"/>
          <w:numId w:val="0"/>
        </w:numPr>
        <w:spacing w:line="360" w:lineRule="auto"/>
        <w:ind w:firstLine="240"/>
        <w:jc w:val="left"/>
        <w:rPr>
          <w:rFonts w:ascii="宋体" w:hAnsi="宋体"/>
          <w:color w:val="auto"/>
          <w:sz w:val="24"/>
          <w:highlight w:val="none"/>
        </w:rPr>
      </w:pPr>
      <w:r>
        <w:rPr>
          <w:rFonts w:hint="eastAsia" w:ascii="宋体" w:hAnsi="宋体" w:eastAsia="华文楷体" w:cs="华文楷体"/>
          <w:color w:val="auto"/>
          <w:sz w:val="24"/>
          <w:highlight w:val="none"/>
        </w:rPr>
        <w:t xml:space="preserve"> （</w:t>
      </w:r>
      <w:r>
        <w:rPr>
          <w:rFonts w:ascii="宋体" w:hAnsi="宋体" w:eastAsia="华文楷体" w:cs="华文楷体"/>
          <w:color w:val="auto"/>
          <w:sz w:val="24"/>
          <w:highlight w:val="none"/>
        </w:rPr>
        <w:t>6</w:t>
      </w:r>
      <w:r>
        <w:rPr>
          <w:rFonts w:hint="eastAsia" w:ascii="宋体" w:hAnsi="宋体" w:eastAsia="华文楷体" w:cs="华文楷体"/>
          <w:color w:val="auto"/>
          <w:sz w:val="24"/>
          <w:highlight w:val="none"/>
        </w:rPr>
        <w:t>）</w:t>
      </w:r>
      <w:r>
        <w:rPr>
          <w:rFonts w:hint="eastAsia" w:ascii="宋体" w:hAnsi="宋体"/>
          <w:color w:val="auto"/>
          <w:sz w:val="24"/>
          <w:highlight w:val="none"/>
        </w:rPr>
        <w:t>中标（成交）采购标的制造商是否为中小企业：</w:t>
      </w:r>
      <w:r>
        <w:rPr>
          <w:rFonts w:ascii="Wingdings" w:hAnsi="Wingdings" w:eastAsia="Wingdings" w:cs="Wingdings"/>
          <w:color w:val="auto"/>
          <w:sz w:val="24"/>
          <w:highlight w:val="none"/>
        </w:rPr>
        <w:t></w:t>
      </w:r>
      <w:r>
        <w:rPr>
          <w:rFonts w:hint="eastAsia" w:ascii="宋体" w:hAnsi="宋体"/>
          <w:color w:val="auto"/>
          <w:sz w:val="24"/>
          <w:highlight w:val="none"/>
        </w:rPr>
        <w:t xml:space="preserve">是      </w:t>
      </w:r>
      <w:r>
        <w:rPr>
          <w:rFonts w:ascii="Wingdings" w:hAnsi="Wingdings" w:eastAsia="Wingdings" w:cs="Wingdings"/>
          <w:color w:val="auto"/>
          <w:sz w:val="24"/>
          <w:highlight w:val="none"/>
        </w:rPr>
        <w:t></w:t>
      </w:r>
      <w:r>
        <w:rPr>
          <w:rFonts w:hint="eastAsia" w:ascii="宋体" w:hAnsi="宋体"/>
          <w:color w:val="auto"/>
          <w:sz w:val="24"/>
          <w:highlight w:val="none"/>
        </w:rPr>
        <w:t>否</w:t>
      </w:r>
    </w:p>
    <w:p w14:paraId="0DE7FFAE">
      <w:pPr>
        <w:numPr>
          <w:ilvl w:val="255"/>
          <w:numId w:val="0"/>
        </w:numPr>
        <w:spacing w:line="360" w:lineRule="auto"/>
        <w:rPr>
          <w:rFonts w:ascii="宋体" w:hAnsi="宋体"/>
          <w:iCs/>
          <w:color w:val="auto"/>
          <w:sz w:val="24"/>
          <w:highlight w:val="none"/>
        </w:rPr>
      </w:pPr>
      <w:r>
        <w:rPr>
          <w:rFonts w:hint="eastAsia" w:ascii="宋体" w:hAnsi="宋体"/>
          <w:color w:val="auto"/>
          <w:sz w:val="24"/>
          <w:highlight w:val="none"/>
        </w:rPr>
        <w:t xml:space="preserve">         本合同是否为专门面向中小企业的采购合同（中小企业预留合同）：</w:t>
      </w:r>
      <w:r>
        <w:rPr>
          <w:rFonts w:ascii="Wingdings" w:hAnsi="Wingdings" w:eastAsia="Wingdings" w:cs="Wingdings"/>
          <w:iCs/>
          <w:color w:val="auto"/>
          <w:sz w:val="24"/>
          <w:highlight w:val="none"/>
        </w:rPr>
        <w:t></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þ</w:t>
      </w:r>
      <w:r>
        <w:rPr>
          <w:rFonts w:hint="eastAsia" w:ascii="宋体" w:hAnsi="宋体"/>
          <w:iCs/>
          <w:color w:val="auto"/>
          <w:sz w:val="24"/>
          <w:highlight w:val="none"/>
        </w:rPr>
        <w:t>否</w:t>
      </w:r>
    </w:p>
    <w:p w14:paraId="35342E9B">
      <w:pPr>
        <w:numPr>
          <w:ilvl w:val="255"/>
          <w:numId w:val="0"/>
        </w:numPr>
        <w:spacing w:line="360" w:lineRule="auto"/>
        <w:rPr>
          <w:rFonts w:ascii="宋体" w:hAnsi="宋体"/>
          <w:iCs/>
          <w:color w:val="auto"/>
          <w:sz w:val="24"/>
          <w:highlight w:val="none"/>
        </w:rPr>
      </w:pPr>
      <w:r>
        <w:rPr>
          <w:rFonts w:hint="eastAsia"/>
          <w:color w:val="auto"/>
          <w:sz w:val="24"/>
          <w:highlight w:val="none"/>
        </w:rPr>
        <w:t xml:space="preserve">         若本项目不专门面向中小企业采购，是否给予小微企业评审优惠：</w:t>
      </w:r>
      <w:r>
        <w:rPr>
          <w:rFonts w:ascii="Wingdings" w:hAnsi="Wingdings" w:eastAsia="Wingdings" w:cs="Wingdings"/>
          <w:iCs/>
          <w:color w:val="auto"/>
          <w:sz w:val="24"/>
          <w:highlight w:val="none"/>
        </w:rPr>
        <w:t>þ</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w:t>
      </w:r>
      <w:r>
        <w:rPr>
          <w:rFonts w:hint="eastAsia" w:ascii="宋体" w:hAnsi="宋体"/>
          <w:iCs/>
          <w:color w:val="auto"/>
          <w:sz w:val="24"/>
          <w:highlight w:val="none"/>
        </w:rPr>
        <w:t>否</w:t>
      </w:r>
    </w:p>
    <w:p w14:paraId="4486CA97">
      <w:pPr>
        <w:numPr>
          <w:ilvl w:val="255"/>
          <w:numId w:val="0"/>
        </w:numPr>
        <w:spacing w:line="360" w:lineRule="auto"/>
        <w:rPr>
          <w:rFonts w:ascii="宋体" w:hAnsi="宋体"/>
          <w:iCs/>
          <w:color w:val="auto"/>
          <w:sz w:val="24"/>
          <w:highlight w:val="none"/>
        </w:rPr>
      </w:pPr>
      <w:r>
        <w:rPr>
          <w:rFonts w:hint="eastAsia"/>
          <w:color w:val="auto"/>
          <w:sz w:val="24"/>
          <w:highlight w:val="none"/>
        </w:rPr>
        <w:t xml:space="preserve">         中标（成交）采购标的制造商是否为残疾人福利性单位：</w:t>
      </w:r>
      <w:r>
        <w:rPr>
          <w:rFonts w:ascii="Wingdings" w:hAnsi="Wingdings" w:eastAsia="Wingdings" w:cs="Wingdings"/>
          <w:iCs/>
          <w:color w:val="auto"/>
          <w:sz w:val="24"/>
          <w:highlight w:val="none"/>
        </w:rPr>
        <w:t></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w:t>
      </w:r>
      <w:r>
        <w:rPr>
          <w:rFonts w:hint="eastAsia" w:ascii="宋体" w:hAnsi="宋体"/>
          <w:iCs/>
          <w:color w:val="auto"/>
          <w:sz w:val="24"/>
          <w:highlight w:val="none"/>
        </w:rPr>
        <w:t>否</w:t>
      </w:r>
    </w:p>
    <w:p w14:paraId="55E6593B">
      <w:pPr>
        <w:spacing w:line="360" w:lineRule="auto"/>
        <w:rPr>
          <w:color w:val="auto"/>
          <w:sz w:val="24"/>
          <w:highlight w:val="none"/>
        </w:rPr>
      </w:pPr>
      <w:r>
        <w:rPr>
          <w:rFonts w:hint="eastAsia"/>
          <w:color w:val="auto"/>
          <w:sz w:val="24"/>
          <w:highlight w:val="none"/>
        </w:rPr>
        <w:t xml:space="preserve">         中标（成交）采购标的制造商是否为监狱企业：</w:t>
      </w:r>
      <w:r>
        <w:rPr>
          <w:rFonts w:ascii="Wingdings" w:hAnsi="Wingdings" w:eastAsia="Wingdings" w:cs="Wingdings"/>
          <w:iCs/>
          <w:color w:val="auto"/>
          <w:sz w:val="24"/>
          <w:highlight w:val="none"/>
        </w:rPr>
        <w:t></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w:t>
      </w:r>
      <w:r>
        <w:rPr>
          <w:rFonts w:hint="eastAsia" w:ascii="宋体" w:hAnsi="宋体"/>
          <w:iCs/>
          <w:color w:val="auto"/>
          <w:sz w:val="24"/>
          <w:highlight w:val="none"/>
        </w:rPr>
        <w:t>否</w:t>
      </w:r>
    </w:p>
    <w:p w14:paraId="1F0181A6">
      <w:pPr>
        <w:spacing w:line="360" w:lineRule="auto"/>
        <w:ind w:firstLine="48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7</w:t>
      </w:r>
      <w:r>
        <w:rPr>
          <w:rFonts w:hint="eastAsia" w:ascii="宋体" w:hAnsi="宋体"/>
          <w:color w:val="auto"/>
          <w:sz w:val="24"/>
          <w:highlight w:val="none"/>
        </w:rPr>
        <w:t>）合同是否分包：</w:t>
      </w:r>
      <w:r>
        <w:rPr>
          <w:rFonts w:ascii="Wingdings" w:hAnsi="Wingdings" w:eastAsia="Wingdings" w:cs="Wingdings"/>
          <w:iCs/>
          <w:color w:val="auto"/>
          <w:sz w:val="24"/>
          <w:highlight w:val="none"/>
        </w:rPr>
        <w:t></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w:t>
      </w:r>
      <w:r>
        <w:rPr>
          <w:rFonts w:hint="eastAsia" w:ascii="宋体" w:hAnsi="宋体"/>
          <w:iCs/>
          <w:color w:val="auto"/>
          <w:sz w:val="24"/>
          <w:highlight w:val="none"/>
        </w:rPr>
        <w:t>否</w:t>
      </w:r>
    </w:p>
    <w:p w14:paraId="0D0823C6">
      <w:pPr>
        <w:spacing w:line="360" w:lineRule="auto"/>
        <w:ind w:firstLine="960"/>
        <w:rPr>
          <w:rFonts w:ascii="宋体" w:hAnsi="宋体"/>
          <w:color w:val="auto"/>
          <w:sz w:val="24"/>
          <w:highlight w:val="none"/>
          <w:u w:val="single"/>
        </w:rPr>
      </w:pPr>
      <w:r>
        <w:rPr>
          <w:rFonts w:hint="eastAsia" w:ascii="宋体" w:hAnsi="宋体"/>
          <w:color w:val="auto"/>
          <w:sz w:val="24"/>
          <w:highlight w:val="none"/>
        </w:rPr>
        <w:t>分包主要内容：</w:t>
      </w:r>
    </w:p>
    <w:p w14:paraId="094335AB">
      <w:pPr>
        <w:spacing w:line="360" w:lineRule="auto"/>
        <w:ind w:firstLine="960"/>
        <w:rPr>
          <w:rFonts w:ascii="宋体" w:hAnsi="宋体"/>
          <w:color w:val="auto"/>
          <w:sz w:val="24"/>
          <w:highlight w:val="none"/>
        </w:rPr>
      </w:pPr>
      <w:r>
        <w:rPr>
          <w:rFonts w:hint="eastAsia" w:ascii="宋体" w:hAnsi="宋体"/>
          <w:color w:val="auto"/>
          <w:sz w:val="24"/>
          <w:highlight w:val="none"/>
        </w:rPr>
        <w:t>分包供应商/制造商名称（如供应商和制造商不同，请分别填写）：</w:t>
      </w:r>
    </w:p>
    <w:p w14:paraId="4C4B6EDE">
      <w:pPr>
        <w:spacing w:line="360" w:lineRule="auto"/>
        <w:ind w:firstLine="960"/>
        <w:rPr>
          <w:rFonts w:ascii="宋体" w:hAnsi="宋体"/>
          <w:color w:val="auto"/>
          <w:sz w:val="24"/>
          <w:highlight w:val="none"/>
        </w:rPr>
      </w:pPr>
      <w:r>
        <w:rPr>
          <w:rFonts w:hint="eastAsia" w:ascii="宋体" w:hAnsi="宋体"/>
          <w:color w:val="auto"/>
          <w:sz w:val="24"/>
          <w:highlight w:val="none"/>
        </w:rPr>
        <w:t>分包供应商/制造商类型（如果供应商和制造商不同，只填写制造商类型）：</w:t>
      </w:r>
    </w:p>
    <w:p w14:paraId="2BC18005">
      <w:pPr>
        <w:spacing w:line="360" w:lineRule="auto"/>
        <w:ind w:firstLine="960"/>
        <w:rPr>
          <w:rFonts w:ascii="宋体" w:hAnsi="宋体"/>
          <w:iCs/>
          <w:color w:val="auto"/>
          <w:sz w:val="24"/>
          <w:highlight w:val="none"/>
        </w:rPr>
      </w:pPr>
      <w:r>
        <w:rPr>
          <w:rFonts w:ascii="Wingdings" w:hAnsi="Wingdings" w:eastAsia="Wingdings" w:cs="Wingdings"/>
          <w:iCs/>
          <w:color w:val="auto"/>
          <w:sz w:val="24"/>
          <w:highlight w:val="none"/>
        </w:rPr>
        <w:t></w:t>
      </w:r>
      <w:r>
        <w:rPr>
          <w:rFonts w:hint="eastAsia" w:ascii="宋体" w:hAnsi="宋体"/>
          <w:iCs/>
          <w:color w:val="auto"/>
          <w:sz w:val="24"/>
          <w:highlight w:val="none"/>
        </w:rPr>
        <w:t xml:space="preserve">大型企业  </w:t>
      </w:r>
      <w:r>
        <w:rPr>
          <w:rFonts w:ascii="Wingdings" w:hAnsi="Wingdings" w:eastAsia="Wingdings" w:cs="Wingdings"/>
          <w:iCs/>
          <w:color w:val="auto"/>
          <w:sz w:val="24"/>
          <w:highlight w:val="none"/>
        </w:rPr>
        <w:t></w:t>
      </w:r>
      <w:r>
        <w:rPr>
          <w:rFonts w:hint="eastAsia" w:ascii="宋体" w:hAnsi="宋体"/>
          <w:iCs/>
          <w:color w:val="auto"/>
          <w:sz w:val="24"/>
          <w:highlight w:val="none"/>
        </w:rPr>
        <w:t xml:space="preserve">中型企业  </w:t>
      </w:r>
      <w:r>
        <w:rPr>
          <w:rFonts w:ascii="Wingdings" w:hAnsi="Wingdings" w:eastAsia="Wingdings" w:cs="Wingdings"/>
          <w:iCs/>
          <w:color w:val="auto"/>
          <w:sz w:val="24"/>
          <w:highlight w:val="none"/>
        </w:rPr>
        <w:t></w:t>
      </w:r>
      <w:r>
        <w:rPr>
          <w:rFonts w:hint="eastAsia" w:ascii="宋体" w:hAnsi="宋体"/>
          <w:iCs/>
          <w:color w:val="auto"/>
          <w:sz w:val="24"/>
          <w:highlight w:val="none"/>
        </w:rPr>
        <w:t>小微型企业</w:t>
      </w:r>
    </w:p>
    <w:p w14:paraId="3B01EB02">
      <w:pPr>
        <w:spacing w:line="360" w:lineRule="auto"/>
        <w:ind w:firstLine="960"/>
        <w:rPr>
          <w:rFonts w:eastAsia="华文楷体"/>
          <w:color w:val="auto"/>
          <w:sz w:val="24"/>
          <w:highlight w:val="none"/>
        </w:rPr>
      </w:pPr>
      <w:r>
        <w:rPr>
          <w:rFonts w:ascii="Wingdings" w:hAnsi="Wingdings" w:eastAsia="Wingdings" w:cs="Wingdings"/>
          <w:iCs/>
          <w:color w:val="auto"/>
          <w:sz w:val="24"/>
          <w:highlight w:val="none"/>
        </w:rPr>
        <w:t></w:t>
      </w:r>
      <w:r>
        <w:rPr>
          <w:rFonts w:hint="eastAsia" w:ascii="宋体" w:hAnsi="宋体"/>
          <w:iCs/>
          <w:color w:val="auto"/>
          <w:sz w:val="24"/>
          <w:highlight w:val="none"/>
        </w:rPr>
        <w:t>残疾人福利性单位</w:t>
      </w:r>
      <w:r>
        <w:rPr>
          <w:rFonts w:ascii="Wingdings" w:hAnsi="Wingdings" w:eastAsia="Wingdings" w:cs="Wingdings"/>
          <w:iCs/>
          <w:color w:val="auto"/>
          <w:sz w:val="24"/>
          <w:highlight w:val="none"/>
        </w:rPr>
        <w:t></w:t>
      </w:r>
      <w:r>
        <w:rPr>
          <w:rFonts w:hint="eastAsia" w:ascii="宋体" w:hAnsi="宋体"/>
          <w:iCs/>
          <w:color w:val="auto"/>
          <w:sz w:val="24"/>
          <w:highlight w:val="none"/>
        </w:rPr>
        <w:t>监狱企业</w:t>
      </w:r>
      <w:r>
        <w:rPr>
          <w:rFonts w:ascii="Wingdings" w:hAnsi="Wingdings" w:eastAsia="Wingdings" w:cs="Wingdings"/>
          <w:iCs/>
          <w:color w:val="auto"/>
          <w:sz w:val="24"/>
          <w:highlight w:val="none"/>
        </w:rPr>
        <w:t></w:t>
      </w:r>
      <w:r>
        <w:rPr>
          <w:rFonts w:hint="eastAsia" w:ascii="宋体" w:hAnsi="宋体"/>
          <w:iCs/>
          <w:color w:val="auto"/>
          <w:sz w:val="24"/>
          <w:highlight w:val="none"/>
        </w:rPr>
        <w:t>其他</w:t>
      </w:r>
    </w:p>
    <w:p w14:paraId="53276ECD">
      <w:pPr>
        <w:numPr>
          <w:ilvl w:val="255"/>
          <w:numId w:val="0"/>
        </w:numPr>
        <w:spacing w:line="360" w:lineRule="auto"/>
        <w:ind w:firstLine="480"/>
        <w:rPr>
          <w:rFonts w:ascii="宋体" w:hAnsi="宋体" w:cs="宋体"/>
          <w:iCs/>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8</w:t>
      </w:r>
      <w:r>
        <w:rPr>
          <w:rFonts w:hint="eastAsia" w:ascii="宋体" w:hAnsi="宋体" w:cs="宋体"/>
          <w:color w:val="auto"/>
          <w:sz w:val="24"/>
          <w:highlight w:val="none"/>
        </w:rPr>
        <w:t>）中标（成交）供应商是否为外商投资企业：</w:t>
      </w:r>
      <w:r>
        <w:rPr>
          <w:rFonts w:ascii="Wingdings" w:hAnsi="Wingdings" w:eastAsia="Wingdings" w:cs="Wingdings"/>
          <w:iCs/>
          <w:color w:val="auto"/>
          <w:sz w:val="24"/>
          <w:highlight w:val="none"/>
        </w:rPr>
        <w:t></w:t>
      </w:r>
      <w:r>
        <w:rPr>
          <w:rFonts w:hint="eastAsia" w:ascii="宋体" w:hAnsi="宋体" w:cs="宋体"/>
          <w:iCs/>
          <w:color w:val="auto"/>
          <w:sz w:val="24"/>
          <w:highlight w:val="none"/>
        </w:rPr>
        <w:t xml:space="preserve">是       </w:t>
      </w:r>
      <w:r>
        <w:rPr>
          <w:rFonts w:ascii="Wingdings" w:hAnsi="Wingdings" w:eastAsia="Wingdings" w:cs="Wingdings"/>
          <w:iCs/>
          <w:color w:val="auto"/>
          <w:sz w:val="24"/>
          <w:highlight w:val="none"/>
        </w:rPr>
        <w:t></w:t>
      </w:r>
      <w:r>
        <w:rPr>
          <w:rFonts w:hint="eastAsia" w:ascii="宋体" w:hAnsi="宋体" w:cs="宋体"/>
          <w:iCs/>
          <w:color w:val="auto"/>
          <w:sz w:val="24"/>
          <w:highlight w:val="none"/>
        </w:rPr>
        <w:t>否</w:t>
      </w:r>
    </w:p>
    <w:p w14:paraId="37221371">
      <w:pPr>
        <w:widowControl/>
        <w:tabs>
          <w:tab w:val="left" w:pos="1340"/>
        </w:tabs>
        <w:spacing w:line="360" w:lineRule="auto"/>
        <w:ind w:firstLine="480"/>
        <w:jc w:val="left"/>
        <w:rPr>
          <w:rFonts w:ascii="宋体" w:hAnsi="宋体" w:cs="宋体"/>
          <w:color w:val="auto"/>
          <w:sz w:val="24"/>
          <w:highlight w:val="none"/>
          <w:u w:val="single"/>
        </w:rPr>
      </w:pPr>
      <w:r>
        <w:rPr>
          <w:rFonts w:hint="eastAsia" w:ascii="宋体" w:hAnsi="宋体" w:cs="宋体"/>
          <w:color w:val="auto"/>
          <w:sz w:val="24"/>
          <w:highlight w:val="none"/>
        </w:rPr>
        <w:t xml:space="preserve">     外商投资企业类型：</w:t>
      </w:r>
      <w:r>
        <w:rPr>
          <w:rFonts w:ascii="Wingdings" w:hAnsi="Wingdings" w:eastAsia="Wingdings" w:cs="Wingdings"/>
          <w:iCs/>
          <w:color w:val="auto"/>
          <w:sz w:val="24"/>
          <w:highlight w:val="none"/>
        </w:rPr>
        <w:t></w:t>
      </w:r>
      <w:r>
        <w:rPr>
          <w:rFonts w:hint="eastAsia" w:ascii="宋体" w:hAnsi="宋体" w:cs="宋体"/>
          <w:color w:val="auto"/>
          <w:sz w:val="24"/>
          <w:highlight w:val="none"/>
        </w:rPr>
        <w:t xml:space="preserve">全部由外国投资者投资  </w:t>
      </w:r>
      <w:r>
        <w:rPr>
          <w:rFonts w:ascii="Wingdings" w:hAnsi="Wingdings" w:eastAsia="Wingdings" w:cs="Wingdings"/>
          <w:iCs/>
          <w:color w:val="auto"/>
          <w:sz w:val="24"/>
          <w:highlight w:val="none"/>
        </w:rPr>
        <w:t></w:t>
      </w:r>
      <w:r>
        <w:rPr>
          <w:rFonts w:hint="eastAsia" w:ascii="宋体" w:hAnsi="宋体" w:cs="宋体"/>
          <w:iCs/>
          <w:color w:val="auto"/>
          <w:sz w:val="24"/>
          <w:highlight w:val="none"/>
        </w:rPr>
        <w:t>部分由外国投资者投资</w:t>
      </w:r>
    </w:p>
    <w:p w14:paraId="14113AA0">
      <w:pPr>
        <w:numPr>
          <w:ilvl w:val="255"/>
          <w:numId w:val="0"/>
        </w:num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9</w:t>
      </w:r>
      <w:r>
        <w:rPr>
          <w:rFonts w:hint="eastAsia" w:ascii="宋体" w:hAnsi="宋体" w:cs="宋体"/>
          <w:color w:val="auto"/>
          <w:sz w:val="24"/>
          <w:highlight w:val="none"/>
        </w:rPr>
        <w:t>）是否涉及进口产品：</w:t>
      </w:r>
    </w:p>
    <w:p w14:paraId="5FB44EB8">
      <w:pPr>
        <w:numPr>
          <w:ilvl w:val="255"/>
          <w:numId w:val="0"/>
        </w:numPr>
        <w:spacing w:line="360" w:lineRule="auto"/>
        <w:ind w:firstLine="960"/>
        <w:rPr>
          <w:rFonts w:ascii="宋体" w:hAnsi="宋体" w:cs="宋体"/>
          <w:color w:val="auto"/>
          <w:sz w:val="24"/>
          <w:highlight w:val="none"/>
          <w:u w:val="single"/>
        </w:rPr>
      </w:pPr>
      <w:r>
        <w:rPr>
          <w:rFonts w:ascii="Wingdings" w:hAnsi="Wingdings" w:eastAsia="Wingdings" w:cs="Wingdings"/>
          <w:color w:val="auto"/>
          <w:sz w:val="24"/>
          <w:highlight w:val="none"/>
        </w:rPr>
        <w:t></w:t>
      </w:r>
      <w:r>
        <w:rPr>
          <w:rFonts w:hint="eastAsia" w:ascii="宋体" w:hAnsi="宋体" w:cs="宋体"/>
          <w:color w:val="auto"/>
          <w:sz w:val="24"/>
          <w:highlight w:val="none"/>
        </w:rPr>
        <w:t>是，《政府采购品目分类目录》底级品目名称：金额：</w:t>
      </w:r>
    </w:p>
    <w:p w14:paraId="6E32D33B">
      <w:pPr>
        <w:numPr>
          <w:ilvl w:val="255"/>
          <w:numId w:val="0"/>
        </w:numPr>
        <w:spacing w:line="360" w:lineRule="auto"/>
        <w:ind w:firstLine="960"/>
        <w:rPr>
          <w:rFonts w:ascii="宋体" w:hAnsi="宋体"/>
          <w:color w:val="auto"/>
          <w:sz w:val="24"/>
          <w:highlight w:val="none"/>
        </w:rPr>
      </w:pPr>
      <w:r>
        <w:rPr>
          <w:rFonts w:hint="eastAsia" w:ascii="宋体" w:hAnsi="宋体" w:cs="宋体"/>
          <w:color w:val="auto"/>
          <w:sz w:val="24"/>
          <w:highlight w:val="none"/>
        </w:rPr>
        <w:t xml:space="preserve">        国别：品牌： 规格型号：</w:t>
      </w:r>
    </w:p>
    <w:p w14:paraId="7812E15C">
      <w:pPr>
        <w:spacing w:line="360" w:lineRule="auto"/>
        <w:ind w:firstLine="960"/>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否</w:t>
      </w:r>
    </w:p>
    <w:p w14:paraId="6AC3D65E">
      <w:pPr>
        <w:numPr>
          <w:ilvl w:val="255"/>
          <w:numId w:val="0"/>
        </w:numPr>
        <w:tabs>
          <w:tab w:val="left" w:pos="740"/>
        </w:tabs>
        <w:spacing w:line="360" w:lineRule="auto"/>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0</w:t>
      </w:r>
      <w:r>
        <w:rPr>
          <w:rFonts w:hint="eastAsia" w:ascii="宋体" w:hAnsi="宋体"/>
          <w:color w:val="auto"/>
          <w:sz w:val="24"/>
          <w:highlight w:val="none"/>
        </w:rPr>
        <w:t>）是否涉及节能产品：</w:t>
      </w:r>
    </w:p>
    <w:p w14:paraId="0F82E406">
      <w:pPr>
        <w:numPr>
          <w:ilvl w:val="255"/>
          <w:numId w:val="0"/>
        </w:numPr>
        <w:tabs>
          <w:tab w:val="left" w:pos="740"/>
        </w:tabs>
        <w:spacing w:line="360" w:lineRule="auto"/>
        <w:ind w:firstLine="960"/>
        <w:rPr>
          <w:rFonts w:ascii="宋体" w:hAnsi="宋体"/>
          <w:iCs/>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是，《节能产品政府采购品目清单》的底级品目名称：</w:t>
      </w:r>
    </w:p>
    <w:p w14:paraId="5D68EF96">
      <w:pPr>
        <w:numPr>
          <w:ilvl w:val="255"/>
          <w:numId w:val="0"/>
        </w:numPr>
        <w:tabs>
          <w:tab w:val="left" w:pos="740"/>
        </w:tabs>
        <w:spacing w:line="360" w:lineRule="auto"/>
        <w:ind w:firstLine="960"/>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强制采购</w:t>
      </w:r>
      <w:r>
        <w:rPr>
          <w:rFonts w:ascii="Wingdings" w:hAnsi="Wingdings" w:eastAsia="Wingdings" w:cs="Wingdings"/>
          <w:color w:val="auto"/>
          <w:sz w:val="24"/>
          <w:highlight w:val="none"/>
        </w:rPr>
        <w:t></w:t>
      </w:r>
      <w:r>
        <w:rPr>
          <w:rFonts w:hint="eastAsia" w:ascii="宋体" w:hAnsi="宋体"/>
          <w:color w:val="auto"/>
          <w:sz w:val="24"/>
          <w:highlight w:val="none"/>
        </w:rPr>
        <w:t>优先采购</w:t>
      </w:r>
    </w:p>
    <w:p w14:paraId="29276874">
      <w:pPr>
        <w:numPr>
          <w:ilvl w:val="255"/>
          <w:numId w:val="0"/>
        </w:numPr>
        <w:tabs>
          <w:tab w:val="left" w:pos="740"/>
        </w:tabs>
        <w:spacing w:line="360" w:lineRule="auto"/>
        <w:ind w:firstLine="960"/>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否</w:t>
      </w:r>
    </w:p>
    <w:p w14:paraId="6A95CFB1">
      <w:pPr>
        <w:numPr>
          <w:ilvl w:val="255"/>
          <w:numId w:val="0"/>
        </w:numPr>
        <w:tabs>
          <w:tab w:val="left" w:pos="740"/>
        </w:tabs>
        <w:spacing w:line="360" w:lineRule="auto"/>
        <w:ind w:firstLine="960"/>
        <w:rPr>
          <w:rFonts w:ascii="宋体" w:hAnsi="宋体"/>
          <w:color w:val="auto"/>
          <w:sz w:val="24"/>
          <w:highlight w:val="none"/>
        </w:rPr>
      </w:pPr>
      <w:r>
        <w:rPr>
          <w:rFonts w:hint="eastAsia" w:ascii="宋体" w:hAnsi="宋体"/>
          <w:color w:val="auto"/>
          <w:sz w:val="24"/>
          <w:highlight w:val="none"/>
        </w:rPr>
        <w:t>是否涉及环境标志产品：</w:t>
      </w:r>
    </w:p>
    <w:p w14:paraId="3D4DC318">
      <w:pPr>
        <w:numPr>
          <w:ilvl w:val="255"/>
          <w:numId w:val="0"/>
        </w:numPr>
        <w:tabs>
          <w:tab w:val="left" w:pos="740"/>
        </w:tabs>
        <w:spacing w:line="360" w:lineRule="auto"/>
        <w:ind w:firstLine="960"/>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是，《环境标志产品政府采购品目清单》的底级品目名称：</w:t>
      </w:r>
    </w:p>
    <w:p w14:paraId="3FDD3BAE">
      <w:pPr>
        <w:numPr>
          <w:ilvl w:val="255"/>
          <w:numId w:val="0"/>
        </w:numPr>
        <w:tabs>
          <w:tab w:val="left" w:pos="740"/>
        </w:tabs>
        <w:spacing w:line="360" w:lineRule="auto"/>
        <w:ind w:firstLine="840"/>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强制采购</w:t>
      </w:r>
      <w:r>
        <w:rPr>
          <w:rFonts w:ascii="Wingdings" w:hAnsi="Wingdings" w:eastAsia="Wingdings" w:cs="Wingdings"/>
          <w:color w:val="auto"/>
          <w:sz w:val="24"/>
          <w:highlight w:val="none"/>
        </w:rPr>
        <w:t></w:t>
      </w:r>
      <w:r>
        <w:rPr>
          <w:rFonts w:hint="eastAsia" w:ascii="宋体" w:hAnsi="宋体"/>
          <w:color w:val="auto"/>
          <w:sz w:val="24"/>
          <w:highlight w:val="none"/>
        </w:rPr>
        <w:t>优先采购</w:t>
      </w:r>
    </w:p>
    <w:p w14:paraId="0C610973">
      <w:pPr>
        <w:numPr>
          <w:ilvl w:val="255"/>
          <w:numId w:val="0"/>
        </w:numPr>
        <w:tabs>
          <w:tab w:val="left" w:pos="740"/>
        </w:tabs>
        <w:spacing w:line="360" w:lineRule="auto"/>
        <w:ind w:firstLine="960"/>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否</w:t>
      </w:r>
    </w:p>
    <w:p w14:paraId="7CA83B37">
      <w:pPr>
        <w:widowControl/>
        <w:numPr>
          <w:ilvl w:val="255"/>
          <w:numId w:val="0"/>
        </w:numPr>
        <w:spacing w:line="360" w:lineRule="auto"/>
        <w:ind w:firstLine="840"/>
        <w:jc w:val="left"/>
        <w:rPr>
          <w:rFonts w:ascii="宋体" w:hAnsi="宋体"/>
          <w:color w:val="auto"/>
          <w:sz w:val="24"/>
          <w:highlight w:val="none"/>
        </w:rPr>
      </w:pPr>
      <w:r>
        <w:rPr>
          <w:rFonts w:hint="eastAsia" w:ascii="宋体" w:hAnsi="宋体"/>
          <w:color w:val="auto"/>
          <w:sz w:val="24"/>
          <w:highlight w:val="none"/>
        </w:rPr>
        <w:t>是否涉及绿色产品：</w:t>
      </w:r>
    </w:p>
    <w:p w14:paraId="7F671B77">
      <w:pPr>
        <w:widowControl/>
        <w:spacing w:line="360" w:lineRule="auto"/>
        <w:ind w:firstLine="900"/>
        <w:jc w:val="left"/>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是，绿色产品政府采购相关政策确定的底级品目名称：</w:t>
      </w:r>
    </w:p>
    <w:p w14:paraId="608D9725">
      <w:pPr>
        <w:numPr>
          <w:ilvl w:val="255"/>
          <w:numId w:val="0"/>
        </w:numPr>
        <w:tabs>
          <w:tab w:val="left" w:pos="740"/>
        </w:tabs>
        <w:spacing w:line="360" w:lineRule="auto"/>
        <w:ind w:firstLine="840"/>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强制采购</w:t>
      </w:r>
      <w:r>
        <w:rPr>
          <w:rFonts w:ascii="Wingdings" w:hAnsi="Wingdings" w:eastAsia="Wingdings" w:cs="Wingdings"/>
          <w:color w:val="auto"/>
          <w:sz w:val="24"/>
          <w:highlight w:val="none"/>
        </w:rPr>
        <w:t></w:t>
      </w:r>
      <w:r>
        <w:rPr>
          <w:rFonts w:hint="eastAsia" w:ascii="宋体" w:hAnsi="宋体"/>
          <w:color w:val="auto"/>
          <w:sz w:val="24"/>
          <w:highlight w:val="none"/>
        </w:rPr>
        <w:t>优先采购</w:t>
      </w:r>
    </w:p>
    <w:p w14:paraId="037699EC">
      <w:pPr>
        <w:widowControl/>
        <w:spacing w:line="360" w:lineRule="auto"/>
        <w:ind w:firstLine="900"/>
        <w:jc w:val="left"/>
        <w:rPr>
          <w:rFonts w:ascii="宋体" w:hAnsi="宋体" w:eastAsia="华文楷体" w:cs="华文楷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否</w:t>
      </w:r>
    </w:p>
    <w:p w14:paraId="61F20561">
      <w:pPr>
        <w:numPr>
          <w:ilvl w:val="255"/>
          <w:numId w:val="0"/>
        </w:numPr>
        <w:spacing w:line="360" w:lineRule="auto"/>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1</w:t>
      </w:r>
      <w:r>
        <w:rPr>
          <w:rFonts w:hint="eastAsia" w:ascii="宋体" w:hAnsi="宋体"/>
          <w:color w:val="auto"/>
          <w:sz w:val="24"/>
          <w:highlight w:val="none"/>
        </w:rPr>
        <w:t>）</w:t>
      </w:r>
      <w:r>
        <w:rPr>
          <w:rFonts w:hint="eastAsia" w:ascii="宋体" w:hAnsi="宋体"/>
          <w:color w:val="auto"/>
          <w:sz w:val="24"/>
          <w:highlight w:val="none"/>
          <w:lang w:eastAsia="zh-CN"/>
        </w:rPr>
        <w:t>涉</w:t>
      </w:r>
      <w:r>
        <w:rPr>
          <w:rFonts w:hint="eastAsia" w:ascii="宋体" w:hAnsi="宋体"/>
          <w:color w:val="auto"/>
          <w:sz w:val="24"/>
          <w:highlight w:val="none"/>
          <w:shd w:val="clear" w:color="auto" w:fill="auto"/>
        </w:rPr>
        <w:t>及商品包装和快递包装的，是否参考《商品包装政府采购需求标准（试行）</w:t>
      </w:r>
      <w:r>
        <w:rPr>
          <w:rFonts w:hint="eastAsia" w:ascii="宋体" w:hAnsi="宋体"/>
          <w:color w:val="auto"/>
          <w:sz w:val="24"/>
          <w:highlight w:val="none"/>
          <w:shd w:val="clear" w:color="auto" w:fill="auto"/>
          <w:lang w:eastAsia="zh-CN"/>
        </w:rPr>
        <w:t>》《</w:t>
      </w:r>
      <w:r>
        <w:rPr>
          <w:rFonts w:hint="eastAsia" w:ascii="宋体" w:hAnsi="宋体"/>
          <w:color w:val="auto"/>
          <w:sz w:val="24"/>
          <w:highlight w:val="none"/>
          <w:shd w:val="clear" w:color="auto" w:fill="auto"/>
        </w:rPr>
        <w:t>快递包装政府采购需求标准（试行）》明确产品及相关快递服务的具体包装要求：</w:t>
      </w:r>
    </w:p>
    <w:p w14:paraId="1E34849A">
      <w:pPr>
        <w:numPr>
          <w:ilvl w:val="255"/>
          <w:numId w:val="0"/>
        </w:numPr>
        <w:spacing w:line="360" w:lineRule="auto"/>
        <w:ind w:firstLine="960"/>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 xml:space="preserve">是       </w:t>
      </w:r>
      <w:r>
        <w:rPr>
          <w:rFonts w:ascii="Wingdings" w:hAnsi="Wingdings" w:eastAsia="Wingdings" w:cs="Wingdings"/>
          <w:color w:val="auto"/>
          <w:sz w:val="24"/>
          <w:highlight w:val="none"/>
        </w:rPr>
        <w:t></w:t>
      </w:r>
      <w:r>
        <w:rPr>
          <w:rFonts w:hint="eastAsia" w:ascii="宋体" w:hAnsi="宋体"/>
          <w:color w:val="auto"/>
          <w:sz w:val="24"/>
          <w:highlight w:val="none"/>
        </w:rPr>
        <w:t>否</w:t>
      </w:r>
      <w:r>
        <w:rPr>
          <w:rFonts w:ascii="Wingdings" w:hAnsi="Wingdings" w:eastAsia="Wingdings" w:cs="Wingdings"/>
          <w:color w:val="auto"/>
          <w:sz w:val="24"/>
          <w:highlight w:val="none"/>
        </w:rPr>
        <w:t></w:t>
      </w:r>
      <w:r>
        <w:rPr>
          <w:rFonts w:hint="eastAsia" w:ascii="宋体" w:hAnsi="宋体"/>
          <w:color w:val="auto"/>
          <w:sz w:val="24"/>
          <w:highlight w:val="none"/>
        </w:rPr>
        <w:t>不涉及</w:t>
      </w:r>
    </w:p>
    <w:p w14:paraId="0CFEC828">
      <w:pPr>
        <w:numPr>
          <w:ilvl w:val="0"/>
          <w:numId w:val="2"/>
        </w:numPr>
        <w:spacing w:line="360" w:lineRule="auto"/>
        <w:ind w:firstLine="482"/>
        <w:rPr>
          <w:rFonts w:ascii="宋体" w:hAnsi="宋体"/>
          <w:b/>
          <w:color w:val="auto"/>
          <w:sz w:val="24"/>
          <w:highlight w:val="none"/>
        </w:rPr>
      </w:pPr>
      <w:r>
        <w:rPr>
          <w:rFonts w:hint="eastAsia" w:ascii="宋体" w:hAnsi="宋体"/>
          <w:b/>
          <w:color w:val="auto"/>
          <w:sz w:val="24"/>
          <w:highlight w:val="none"/>
        </w:rPr>
        <w:t>合同金额</w:t>
      </w:r>
    </w:p>
    <w:p w14:paraId="54F301B0">
      <w:pPr>
        <w:spacing w:line="360" w:lineRule="auto"/>
        <w:ind w:firstLine="480"/>
        <w:rPr>
          <w:rFonts w:ascii="宋体" w:hAnsi="宋体"/>
          <w:color w:val="auto"/>
          <w:sz w:val="24"/>
          <w:highlight w:val="none"/>
        </w:rPr>
      </w:pPr>
      <w:r>
        <w:rPr>
          <w:rFonts w:hint="eastAsia" w:ascii="宋体" w:hAnsi="宋体"/>
          <w:color w:val="auto"/>
          <w:sz w:val="24"/>
          <w:highlight w:val="none"/>
        </w:rPr>
        <w:t>（1）合同金额小写：</w:t>
      </w:r>
    </w:p>
    <w:p w14:paraId="09CB3567">
      <w:pPr>
        <w:spacing w:line="360" w:lineRule="auto"/>
        <w:ind w:firstLine="600"/>
        <w:rPr>
          <w:rFonts w:ascii="宋体" w:hAnsi="宋体"/>
          <w:color w:val="auto"/>
          <w:sz w:val="24"/>
          <w:highlight w:val="none"/>
          <w:u w:val="single"/>
        </w:rPr>
      </w:pPr>
      <w:r>
        <w:rPr>
          <w:rFonts w:hint="eastAsia" w:ascii="宋体" w:hAnsi="宋体"/>
          <w:color w:val="auto"/>
          <w:sz w:val="24"/>
          <w:highlight w:val="none"/>
        </w:rPr>
        <w:t>大写：</w:t>
      </w:r>
    </w:p>
    <w:p w14:paraId="5EA11450">
      <w:pPr>
        <w:spacing w:line="360" w:lineRule="auto"/>
        <w:ind w:firstLine="480"/>
        <w:rPr>
          <w:rFonts w:ascii="宋体" w:hAnsi="宋体"/>
          <w:color w:val="auto"/>
          <w:sz w:val="24"/>
          <w:highlight w:val="none"/>
        </w:rPr>
      </w:pPr>
      <w:r>
        <w:rPr>
          <w:rFonts w:hint="eastAsia" w:ascii="宋体" w:hAnsi="宋体"/>
          <w:color w:val="auto"/>
          <w:sz w:val="24"/>
          <w:highlight w:val="none"/>
        </w:rPr>
        <w:t>分包金额（如有）小写：</w:t>
      </w:r>
    </w:p>
    <w:p w14:paraId="1488245D">
      <w:pPr>
        <w:spacing w:line="360" w:lineRule="auto"/>
        <w:ind w:firstLine="480"/>
        <w:rPr>
          <w:rFonts w:ascii="宋体" w:hAnsi="宋体"/>
          <w:color w:val="auto"/>
          <w:sz w:val="24"/>
          <w:highlight w:val="none"/>
          <w:u w:val="single"/>
        </w:rPr>
      </w:pPr>
      <w:r>
        <w:rPr>
          <w:rFonts w:hint="eastAsia" w:ascii="宋体" w:hAnsi="宋体"/>
          <w:color w:val="auto"/>
          <w:sz w:val="24"/>
          <w:highlight w:val="none"/>
        </w:rPr>
        <w:t>大写：</w:t>
      </w:r>
    </w:p>
    <w:p w14:paraId="6B6F5DE5">
      <w:pPr>
        <w:jc w:val="center"/>
        <w:rPr>
          <w:rFonts w:ascii="宋体" w:hAnsi="宋体"/>
          <w:color w:val="auto"/>
          <w:sz w:val="24"/>
          <w:highlight w:val="none"/>
        </w:rPr>
      </w:pPr>
      <w:r>
        <w:rPr>
          <w:rFonts w:hint="eastAsia" w:ascii="宋体" w:hAnsi="宋体"/>
          <w:color w:val="auto"/>
          <w:sz w:val="24"/>
          <w:highlight w:val="none"/>
        </w:rPr>
        <w:t xml:space="preserve"> （2）付款方式（按项目实际勾选填写，具体详见专用条款第二节</w:t>
      </w:r>
    </w:p>
    <w:p w14:paraId="46732116">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第12.2款）：</w:t>
      </w:r>
    </w:p>
    <w:p w14:paraId="3D22BE04">
      <w:pPr>
        <w:spacing w:line="360" w:lineRule="auto"/>
        <w:ind w:firstLine="480"/>
        <w:rPr>
          <w:rFonts w:hint="eastAsia" w:ascii="宋体" w:hAnsi="宋体" w:cs="宋体"/>
          <w:color w:val="000000" w:themeColor="text1"/>
          <w:sz w:val="24"/>
          <w:highlight w:val="none"/>
          <w:u w:val="single"/>
          <w:lang w:val="en-US" w:eastAsia="zh-CN"/>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þ</w:t>
      </w:r>
      <w:r>
        <w:rPr>
          <w:rFonts w:hint="eastAsia" w:ascii="宋体" w:hAnsi="宋体" w:cs="宋体"/>
          <w:color w:val="000000" w:themeColor="text1"/>
          <w:sz w:val="24"/>
          <w:highlight w:val="none"/>
          <w:u w:val="single"/>
          <w:lang w:val="en-US" w:eastAsia="zh-CN"/>
          <w14:textFill>
            <w14:solidFill>
              <w14:schemeClr w14:val="tx1"/>
            </w14:solidFill>
          </w14:textFill>
        </w:rPr>
        <w:t>分期付款：自合同签订生效之日起，收到乙方发票10个工作日内，甲方向乙方支付合同总价的30%款项作为预付款；采购合同生效后，以次为单位进行结算（按照每次实际供油吨位数量），结算价=（1-优惠率）*当日江苏省发展和改革委员会公布的江苏省成品油最高零售价格表中的0号柴油最高价，若遇市场价格波动，成交折扣不变，按所报优惠进行供货。货款结算：在每次购买前甲乙双方确定吨数和金额之后，甲方将该批次购买的油款汇入乙方指定账户，乙方收到油款核实无误后，甲方即可提油。</w:t>
      </w:r>
      <w:r>
        <w:rPr>
          <w:rFonts w:hint="eastAsia" w:ascii="宋体" w:hAnsi="宋体" w:cs="宋体"/>
          <w:color w:val="000000" w:themeColor="text1"/>
          <w:sz w:val="24"/>
          <w:highlight w:val="none"/>
          <w:u w:val="none"/>
          <w:lang w:val="en-US" w:eastAsia="zh-CN"/>
          <w14:textFill>
            <w14:solidFill>
              <w14:schemeClr w14:val="tx1"/>
            </w14:solidFill>
          </w14:textFill>
        </w:rPr>
        <w:t>其中涉及预付款的：</w:t>
      </w:r>
      <w:r>
        <w:rPr>
          <w:rFonts w:hint="eastAsia" w:ascii="宋体" w:hAnsi="宋体" w:cs="宋体"/>
          <w:color w:val="000000" w:themeColor="text1"/>
          <w:sz w:val="24"/>
          <w:highlight w:val="none"/>
          <w:u w:val="single"/>
          <w:lang w:val="en-US" w:eastAsia="zh-CN"/>
          <w14:textFill>
            <w14:solidFill>
              <w14:schemeClr w14:val="tx1"/>
            </w14:solidFill>
          </w14:textFill>
        </w:rPr>
        <w:t>自合同签订生效之日起，收到乙方发票10个工作日内，甲方向乙方支付合同总价的30%款项作为预付款。</w:t>
      </w:r>
    </w:p>
    <w:p w14:paraId="136E068E">
      <w:pPr>
        <w:spacing w:line="360" w:lineRule="auto"/>
        <w:rPr>
          <w:rFonts w:ascii="宋体" w:hAnsi="宋体" w:cs="宋体"/>
          <w:color w:val="auto"/>
          <w:sz w:val="24"/>
          <w:highlight w:val="none"/>
        </w:rPr>
      </w:pPr>
      <w:r>
        <w:rPr>
          <w:rFonts w:hint="eastAsia" w:ascii="宋体" w:hAnsi="宋体" w:cs="宋体"/>
          <w:color w:val="auto"/>
          <w:sz w:val="24"/>
          <w:highlight w:val="none"/>
        </w:rPr>
        <w:t>（备注：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不适用前述规定。确定后该备注删除。）</w:t>
      </w:r>
    </w:p>
    <w:p w14:paraId="6C60BFAF">
      <w:pPr>
        <w:numPr>
          <w:ilvl w:val="0"/>
          <w:numId w:val="2"/>
        </w:numPr>
        <w:spacing w:line="360" w:lineRule="auto"/>
        <w:ind w:firstLine="482"/>
        <w:rPr>
          <w:rFonts w:ascii="宋体" w:hAnsi="宋体"/>
          <w:b/>
          <w:color w:val="auto"/>
          <w:sz w:val="24"/>
          <w:highlight w:val="none"/>
          <w:u w:val="single"/>
        </w:rPr>
      </w:pPr>
      <w:r>
        <w:rPr>
          <w:rFonts w:hint="eastAsia" w:ascii="宋体" w:hAnsi="宋体"/>
          <w:b/>
          <w:color w:val="auto"/>
          <w:sz w:val="24"/>
          <w:highlight w:val="none"/>
        </w:rPr>
        <w:t>合同履行</w:t>
      </w:r>
    </w:p>
    <w:p w14:paraId="0369675B">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（1）起始日期：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日，完成日期：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6137696F">
      <w:pPr>
        <w:spacing w:line="360" w:lineRule="auto"/>
        <w:ind w:firstLine="480"/>
        <w:rPr>
          <w:rFonts w:ascii="宋体" w:hAnsi="宋体" w:cs="宋体"/>
          <w:color w:val="auto"/>
          <w:sz w:val="24"/>
          <w:highlight w:val="none"/>
          <w:u w:val="single"/>
        </w:rPr>
      </w:pPr>
      <w:r>
        <w:rPr>
          <w:rFonts w:hint="eastAsia" w:ascii="宋体" w:hAnsi="宋体" w:cs="宋体"/>
          <w:color w:val="auto"/>
          <w:sz w:val="24"/>
          <w:highlight w:val="none"/>
        </w:rPr>
        <w:t>（2）履约地点</w:t>
      </w:r>
      <w:r>
        <w:rPr>
          <w:rFonts w:hint="eastAsia" w:ascii="宋体" w:hAnsi="宋体" w:cs="宋体"/>
          <w:bCs/>
          <w:color w:val="auto"/>
          <w:sz w:val="24"/>
          <w:highlight w:val="none"/>
        </w:rPr>
        <w:t>：</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p>
    <w:p w14:paraId="7A778100">
      <w:pPr>
        <w:spacing w:line="360" w:lineRule="auto"/>
        <w:ind w:firstLine="480"/>
        <w:rPr>
          <w:rFonts w:ascii="宋体" w:hAnsi="宋体" w:cs="宋体"/>
          <w:bCs/>
          <w:color w:val="auto"/>
          <w:sz w:val="24"/>
          <w:highlight w:val="none"/>
          <w:u w:val="single"/>
        </w:rPr>
      </w:pPr>
      <w:r>
        <w:rPr>
          <w:rFonts w:hint="eastAsia" w:ascii="宋体" w:hAnsi="宋体" w:cs="宋体"/>
          <w:bCs/>
          <w:color w:val="auto"/>
          <w:sz w:val="24"/>
          <w:highlight w:val="none"/>
        </w:rPr>
        <w:t>（3）</w:t>
      </w:r>
      <w:r>
        <w:rPr>
          <w:rFonts w:hint="eastAsia" w:ascii="宋体" w:hAnsi="宋体" w:cs="宋体"/>
          <w:color w:val="auto"/>
          <w:sz w:val="24"/>
          <w:highlight w:val="none"/>
        </w:rPr>
        <w:t>履约担保：履约担保：是否收取履约保证金：</w:t>
      </w:r>
      <w:r>
        <w:rPr>
          <w:rFonts w:ascii="Wingdings" w:hAnsi="Wingdings" w:eastAsia="Wingdings" w:cs="Wingdings"/>
          <w:color w:val="auto"/>
          <w:sz w:val="24"/>
          <w:highlight w:val="none"/>
        </w:rPr>
        <w:t>¨</w:t>
      </w:r>
      <w:r>
        <w:rPr>
          <w:rFonts w:hint="eastAsia" w:ascii="宋体" w:hAnsi="宋体" w:cs="宋体"/>
          <w:color w:val="auto"/>
          <w:sz w:val="24"/>
          <w:highlight w:val="none"/>
        </w:rPr>
        <w:t xml:space="preserve">是    </w:t>
      </w:r>
      <w:r>
        <w:rPr>
          <w:rFonts w:ascii="Wingdings" w:hAnsi="Wingdings" w:eastAsia="Wingdings" w:cs="Wingdings"/>
          <w:color w:val="auto"/>
          <w:sz w:val="24"/>
          <w:highlight w:val="none"/>
        </w:rPr>
        <w:t>þ</w:t>
      </w:r>
      <w:r>
        <w:rPr>
          <w:rFonts w:hint="eastAsia" w:ascii="宋体" w:hAnsi="宋体" w:cs="宋体"/>
          <w:color w:val="auto"/>
          <w:sz w:val="24"/>
          <w:highlight w:val="none"/>
        </w:rPr>
        <w:t>否</w:t>
      </w:r>
    </w:p>
    <w:p w14:paraId="31CF19D5">
      <w:pPr>
        <w:numPr>
          <w:ilvl w:val="0"/>
          <w:numId w:val="0"/>
        </w:numPr>
        <w:spacing w:line="360" w:lineRule="auto"/>
        <w:ind w:firstLine="480"/>
        <w:rPr>
          <w:rFonts w:ascii="宋体" w:hAnsi="宋体" w:cs="宋体"/>
          <w:bCs/>
          <w:color w:val="auto"/>
          <w:sz w:val="24"/>
          <w:highlight w:val="none"/>
        </w:rPr>
      </w:pPr>
      <w:r>
        <w:rPr>
          <w:rFonts w:ascii="宋体" w:hAnsi="宋体" w:cs="宋体" w:eastAsiaTheme="minorEastAsia"/>
          <w:bCs/>
          <w:color w:val="auto"/>
          <w:sz w:val="24"/>
          <w:szCs w:val="24"/>
          <w:lang w:val="en-US" w:eastAsia="zh-CN" w:bidi="ar-SA"/>
        </w:rPr>
        <w:t>（4）</w:t>
      </w:r>
      <w:r>
        <w:rPr>
          <w:rFonts w:hint="eastAsia" w:ascii="宋体" w:hAnsi="宋体" w:cs="宋体"/>
          <w:bCs/>
          <w:color w:val="auto"/>
          <w:sz w:val="24"/>
          <w:highlight w:val="none"/>
        </w:rPr>
        <w:t>确需收取履约保证金的，履约保证金的缴纳形式：</w:t>
      </w:r>
    </w:p>
    <w:p w14:paraId="5E14325C">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0EF4131">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 xml:space="preserve"> 如以履约保函（保险）形式缴纳履约保证金，供应商可通过政府采购电子履约保函（保险）平台（www.jsdzbh.com）在线申请履约保函（保险）。</w:t>
      </w:r>
    </w:p>
    <w:p w14:paraId="4B965F77">
      <w:pPr>
        <w:pStyle w:val="30"/>
        <w:spacing w:before="120" w:beforeAutospacing="0" w:after="120" w:afterAutospacing="0"/>
        <w:ind w:left="210" w:firstLine="240"/>
        <w:jc w:val="both"/>
        <w:rPr>
          <w:rFonts w:ascii="宋体" w:hAnsi="宋体" w:cs="宋体"/>
          <w:color w:val="auto"/>
          <w:highlight w:val="none"/>
        </w:rPr>
      </w:pPr>
      <w:r>
        <w:rPr>
          <w:rFonts w:hint="eastAsia" w:ascii="宋体" w:hAnsi="宋体" w:cs="宋体"/>
          <w:color w:val="auto"/>
          <w:highlight w:val="none"/>
        </w:rPr>
        <w:t>（备注：履约保证金金额不得超过合同金额的10%，采购人应当对AA评级及以上政府采购供应商（需提供信用管理部门备案的第三方信用报告）免收履约保证金或降低履约保证金缴纳比例。）</w:t>
      </w:r>
      <w:r>
        <w:rPr>
          <w:rFonts w:hint="eastAsia" w:ascii="宋体" w:hAnsi="宋体" w:cs="宋体"/>
          <w:bCs/>
          <w:color w:val="auto"/>
          <w:highlight w:val="none"/>
        </w:rPr>
        <w:t xml:space="preserve">   </w:t>
      </w:r>
      <w:r>
        <w:rPr>
          <w:rFonts w:hint="eastAsia" w:ascii="宋体" w:hAnsi="宋体" w:cs="宋体"/>
          <w:color w:val="auto"/>
          <w:highlight w:val="none"/>
        </w:rPr>
        <w:t xml:space="preserve">                                 </w:t>
      </w:r>
    </w:p>
    <w:p w14:paraId="17BB7511">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（5）分期履行要求：</w:t>
      </w:r>
    </w:p>
    <w:p w14:paraId="0FCCE08A">
      <w:pPr>
        <w:spacing w:line="360" w:lineRule="auto"/>
        <w:ind w:firstLine="480"/>
        <w:rPr>
          <w:rFonts w:ascii="宋体" w:hAnsi="宋体" w:cs="宋体"/>
          <w:color w:val="auto"/>
          <w:sz w:val="24"/>
          <w:highlight w:val="none"/>
          <w:u w:val="single"/>
        </w:rPr>
      </w:pPr>
      <w:r>
        <w:rPr>
          <w:rFonts w:hint="eastAsia" w:ascii="宋体" w:hAnsi="宋体" w:cs="宋体"/>
          <w:bCs/>
          <w:color w:val="auto"/>
          <w:sz w:val="24"/>
          <w:highlight w:val="none"/>
        </w:rPr>
        <w:t>（6）风险处置措施和替代方案：</w:t>
      </w:r>
    </w:p>
    <w:p w14:paraId="522254F4">
      <w:pPr>
        <w:numPr>
          <w:ilvl w:val="0"/>
          <w:numId w:val="2"/>
        </w:numPr>
        <w:spacing w:line="360" w:lineRule="auto"/>
        <w:ind w:firstLine="482"/>
        <w:rPr>
          <w:rFonts w:ascii="宋体" w:hAnsi="宋体"/>
          <w:b/>
          <w:color w:val="auto"/>
          <w:sz w:val="24"/>
          <w:highlight w:val="none"/>
        </w:rPr>
      </w:pPr>
      <w:r>
        <w:rPr>
          <w:rFonts w:hint="eastAsia" w:ascii="宋体" w:hAnsi="宋体"/>
          <w:b/>
          <w:color w:val="auto"/>
          <w:sz w:val="24"/>
          <w:highlight w:val="none"/>
        </w:rPr>
        <w:t>合同验收</w:t>
      </w:r>
    </w:p>
    <w:p w14:paraId="37926A8E">
      <w:pPr>
        <w:numPr>
          <w:ilvl w:val="0"/>
          <w:numId w:val="4"/>
        </w:numPr>
        <w:spacing w:line="360" w:lineRule="auto"/>
        <w:ind w:firstLine="480"/>
        <w:rPr>
          <w:rFonts w:ascii="宋体" w:hAnsi="宋体"/>
          <w:bCs/>
          <w:color w:val="auto"/>
          <w:sz w:val="24"/>
          <w:highlight w:val="none"/>
        </w:rPr>
      </w:pPr>
      <w:r>
        <w:rPr>
          <w:rFonts w:hint="eastAsia" w:ascii="宋体" w:hAnsi="宋体"/>
          <w:bCs/>
          <w:color w:val="auto"/>
          <w:sz w:val="24"/>
          <w:highlight w:val="none"/>
        </w:rPr>
        <w:t>验收组织方式：</w:t>
      </w:r>
      <w:r>
        <w:rPr>
          <w:rFonts w:ascii="Wingdings" w:hAnsi="Wingdings" w:eastAsia="Wingdings" w:cs="Wingdings"/>
          <w:color w:val="auto"/>
          <w:sz w:val="24"/>
          <w:highlight w:val="none"/>
        </w:rPr>
        <w:t></w:t>
      </w:r>
      <w:r>
        <w:rPr>
          <w:rFonts w:hint="eastAsia" w:ascii="宋体" w:hAnsi="宋体"/>
          <w:bCs/>
          <w:color w:val="auto"/>
          <w:sz w:val="24"/>
          <w:highlight w:val="none"/>
        </w:rPr>
        <w:t xml:space="preserve">自行组织 </w:t>
      </w:r>
      <w:r>
        <w:rPr>
          <w:rFonts w:ascii="Wingdings" w:hAnsi="Wingdings" w:eastAsia="Wingdings" w:cs="Wingdings"/>
          <w:color w:val="auto"/>
          <w:sz w:val="24"/>
          <w:highlight w:val="none"/>
        </w:rPr>
        <w:t></w:t>
      </w:r>
      <w:r>
        <w:rPr>
          <w:rFonts w:hint="eastAsia" w:ascii="宋体" w:hAnsi="宋体"/>
          <w:bCs/>
          <w:color w:val="auto"/>
          <w:sz w:val="24"/>
          <w:highlight w:val="none"/>
        </w:rPr>
        <w:t>委托第三方组织</w:t>
      </w:r>
    </w:p>
    <w:p w14:paraId="37986703">
      <w:pPr>
        <w:spacing w:line="360" w:lineRule="auto"/>
        <w:ind w:firstLine="960"/>
        <w:rPr>
          <w:rFonts w:ascii="宋体" w:hAnsi="宋体" w:cs="宋体"/>
          <w:color w:val="auto"/>
          <w:sz w:val="24"/>
          <w:highlight w:val="none"/>
        </w:rPr>
      </w:pPr>
      <w:r>
        <w:rPr>
          <w:rFonts w:hint="eastAsia" w:ascii="宋体" w:hAnsi="宋体"/>
          <w:bCs/>
          <w:color w:val="auto"/>
          <w:sz w:val="24"/>
          <w:highlight w:val="none"/>
        </w:rPr>
        <w:t>验收主体：</w:t>
      </w:r>
      <w:r>
        <w:rPr>
          <w:rFonts w:hint="eastAsia" w:ascii="宋体" w:hAnsi="宋体" w:cs="宋体"/>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rPr>
        <w:t xml:space="preserve"> </w:t>
      </w:r>
    </w:p>
    <w:p w14:paraId="12CF7F2C">
      <w:pPr>
        <w:spacing w:line="360" w:lineRule="auto"/>
        <w:ind w:firstLine="960"/>
        <w:rPr>
          <w:rFonts w:ascii="宋体" w:hAnsi="宋体"/>
          <w:bCs/>
          <w:color w:val="auto"/>
          <w:sz w:val="24"/>
          <w:highlight w:val="none"/>
        </w:rPr>
      </w:pPr>
      <w:r>
        <w:rPr>
          <w:rFonts w:hint="eastAsia" w:ascii="宋体" w:hAnsi="宋体"/>
          <w:bCs/>
          <w:color w:val="auto"/>
          <w:sz w:val="24"/>
          <w:highlight w:val="none"/>
        </w:rPr>
        <w:t>是否邀请本项目的其他供应商参加验收：</w:t>
      </w:r>
      <w:r>
        <w:rPr>
          <w:rFonts w:ascii="Wingdings" w:hAnsi="Wingdings" w:eastAsia="Wingdings" w:cs="Wingdings"/>
          <w:color w:val="auto"/>
          <w:sz w:val="24"/>
          <w:highlight w:val="none"/>
        </w:rPr>
        <w:t></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w:t>
      </w:r>
      <w:r>
        <w:rPr>
          <w:rFonts w:hint="eastAsia" w:ascii="宋体" w:hAnsi="宋体"/>
          <w:bCs/>
          <w:color w:val="auto"/>
          <w:sz w:val="24"/>
          <w:highlight w:val="none"/>
        </w:rPr>
        <w:t>否</w:t>
      </w:r>
    </w:p>
    <w:p w14:paraId="1ECD4613">
      <w:pPr>
        <w:spacing w:line="360" w:lineRule="auto"/>
        <w:ind w:firstLine="960"/>
        <w:rPr>
          <w:rFonts w:ascii="宋体" w:hAnsi="宋体"/>
          <w:bCs/>
          <w:color w:val="auto"/>
          <w:sz w:val="24"/>
          <w:highlight w:val="none"/>
        </w:rPr>
      </w:pPr>
      <w:r>
        <w:rPr>
          <w:rFonts w:hint="eastAsia" w:ascii="宋体" w:hAnsi="宋体"/>
          <w:bCs/>
          <w:color w:val="auto"/>
          <w:sz w:val="24"/>
          <w:highlight w:val="none"/>
        </w:rPr>
        <w:t>是否邀请专家参加验收：</w:t>
      </w:r>
      <w:r>
        <w:rPr>
          <w:rFonts w:ascii="Wingdings" w:hAnsi="Wingdings" w:eastAsia="Wingdings" w:cs="Wingdings"/>
          <w:color w:val="auto"/>
          <w:sz w:val="24"/>
          <w:highlight w:val="none"/>
        </w:rPr>
        <w:t></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w:t>
      </w:r>
      <w:r>
        <w:rPr>
          <w:rFonts w:hint="eastAsia" w:ascii="宋体" w:hAnsi="宋体"/>
          <w:bCs/>
          <w:color w:val="auto"/>
          <w:sz w:val="24"/>
          <w:highlight w:val="none"/>
        </w:rPr>
        <w:t>否</w:t>
      </w:r>
    </w:p>
    <w:p w14:paraId="2E42A3F5">
      <w:pPr>
        <w:spacing w:line="360" w:lineRule="auto"/>
        <w:ind w:firstLine="960"/>
        <w:rPr>
          <w:rFonts w:ascii="宋体" w:hAnsi="宋体"/>
          <w:bCs/>
          <w:color w:val="auto"/>
          <w:sz w:val="24"/>
          <w:highlight w:val="none"/>
        </w:rPr>
      </w:pPr>
      <w:r>
        <w:rPr>
          <w:rFonts w:hint="eastAsia" w:ascii="宋体" w:hAnsi="宋体"/>
          <w:bCs/>
          <w:color w:val="auto"/>
          <w:sz w:val="24"/>
          <w:highlight w:val="none"/>
        </w:rPr>
        <w:t>是否邀请服务对象参加验收：</w:t>
      </w:r>
      <w:r>
        <w:rPr>
          <w:rFonts w:ascii="Wingdings" w:hAnsi="Wingdings" w:eastAsia="Wingdings" w:cs="Wingdings"/>
          <w:color w:val="auto"/>
          <w:sz w:val="24"/>
          <w:highlight w:val="none"/>
        </w:rPr>
        <w:t></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w:t>
      </w:r>
      <w:r>
        <w:rPr>
          <w:rFonts w:hint="eastAsia" w:ascii="宋体" w:hAnsi="宋体"/>
          <w:bCs/>
          <w:color w:val="auto"/>
          <w:sz w:val="24"/>
          <w:highlight w:val="none"/>
        </w:rPr>
        <w:t>否</w:t>
      </w:r>
    </w:p>
    <w:p w14:paraId="38FA8EF1">
      <w:pPr>
        <w:spacing w:line="360" w:lineRule="auto"/>
        <w:ind w:firstLine="960"/>
        <w:rPr>
          <w:rFonts w:ascii="宋体" w:hAnsi="宋体"/>
          <w:bCs/>
          <w:color w:val="auto"/>
          <w:sz w:val="24"/>
          <w:highlight w:val="none"/>
        </w:rPr>
      </w:pPr>
      <w:r>
        <w:rPr>
          <w:rFonts w:hint="eastAsia" w:ascii="宋体" w:hAnsi="宋体"/>
          <w:bCs/>
          <w:color w:val="auto"/>
          <w:sz w:val="24"/>
          <w:highlight w:val="none"/>
        </w:rPr>
        <w:t>是否邀请第三方检测机构参加验收：</w:t>
      </w:r>
      <w:r>
        <w:rPr>
          <w:rFonts w:ascii="Wingdings" w:hAnsi="Wingdings" w:eastAsia="Wingdings" w:cs="Wingdings"/>
          <w:color w:val="auto"/>
          <w:sz w:val="24"/>
          <w:highlight w:val="none"/>
        </w:rPr>
        <w:t></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w:t>
      </w:r>
      <w:r>
        <w:rPr>
          <w:rFonts w:hint="eastAsia" w:ascii="宋体" w:hAnsi="宋体"/>
          <w:bCs/>
          <w:color w:val="auto"/>
          <w:sz w:val="24"/>
          <w:highlight w:val="none"/>
        </w:rPr>
        <w:t>否</w:t>
      </w:r>
    </w:p>
    <w:p w14:paraId="09C40DD5">
      <w:pPr>
        <w:spacing w:line="360" w:lineRule="auto"/>
        <w:ind w:firstLine="960"/>
        <w:rPr>
          <w:rFonts w:ascii="宋体" w:hAnsi="宋体"/>
          <w:bCs/>
          <w:color w:val="auto"/>
          <w:sz w:val="24"/>
          <w:highlight w:val="none"/>
        </w:rPr>
      </w:pPr>
      <w:r>
        <w:rPr>
          <w:rFonts w:hint="eastAsia" w:ascii="宋体" w:hAnsi="宋体"/>
          <w:bCs/>
          <w:color w:val="auto"/>
          <w:sz w:val="24"/>
          <w:highlight w:val="none"/>
        </w:rPr>
        <w:t>是否进行抽查检测：</w:t>
      </w:r>
      <w:r>
        <w:rPr>
          <w:rFonts w:ascii="Wingdings" w:hAnsi="Wingdings" w:eastAsia="Wingdings" w:cs="Wingdings"/>
          <w:color w:val="auto"/>
          <w:sz w:val="24"/>
          <w:highlight w:val="none"/>
        </w:rPr>
        <w:t></w:t>
      </w:r>
      <w:r>
        <w:rPr>
          <w:rFonts w:hint="eastAsia" w:ascii="宋体" w:hAnsi="宋体"/>
          <w:bCs/>
          <w:color w:val="auto"/>
          <w:sz w:val="24"/>
          <w:highlight w:val="none"/>
        </w:rPr>
        <w:t>是，抽查比例：</w:t>
      </w:r>
      <w:r>
        <w:rPr>
          <w:rFonts w:ascii="Wingdings" w:hAnsi="Wingdings" w:eastAsia="Wingdings" w:cs="Wingdings"/>
          <w:color w:val="auto"/>
          <w:sz w:val="24"/>
          <w:highlight w:val="none"/>
        </w:rPr>
        <w:t></w:t>
      </w:r>
      <w:r>
        <w:rPr>
          <w:rFonts w:hint="eastAsia" w:ascii="宋体" w:hAnsi="宋体"/>
          <w:bCs/>
          <w:color w:val="auto"/>
          <w:sz w:val="24"/>
          <w:highlight w:val="none"/>
        </w:rPr>
        <w:t>否</w:t>
      </w:r>
    </w:p>
    <w:p w14:paraId="125353EC">
      <w:pPr>
        <w:spacing w:line="360" w:lineRule="auto"/>
        <w:ind w:firstLine="960"/>
        <w:rPr>
          <w:rFonts w:ascii="宋体" w:hAnsi="宋体"/>
          <w:bCs/>
          <w:color w:val="auto"/>
          <w:sz w:val="24"/>
          <w:highlight w:val="none"/>
          <w:u w:val="single"/>
        </w:rPr>
      </w:pPr>
      <w:r>
        <w:rPr>
          <w:rFonts w:hint="eastAsia" w:ascii="宋体" w:hAnsi="宋体"/>
          <w:bCs/>
          <w:color w:val="auto"/>
          <w:sz w:val="24"/>
          <w:highlight w:val="none"/>
        </w:rPr>
        <w:t>是否存在破坏性检测：</w:t>
      </w:r>
      <w:r>
        <w:rPr>
          <w:rFonts w:ascii="Wingdings" w:hAnsi="Wingdings" w:eastAsia="Wingdings" w:cs="Wingdings"/>
          <w:color w:val="auto"/>
          <w:sz w:val="24"/>
          <w:highlight w:val="none"/>
        </w:rPr>
        <w:t></w:t>
      </w:r>
      <w:r>
        <w:rPr>
          <w:rFonts w:hint="eastAsia" w:ascii="宋体" w:hAnsi="宋体"/>
          <w:bCs/>
          <w:color w:val="auto"/>
          <w:sz w:val="24"/>
          <w:highlight w:val="none"/>
        </w:rPr>
        <w:t>是，</w:t>
      </w:r>
      <w:r>
        <w:rPr>
          <w:rFonts w:hint="eastAsia" w:ascii="宋体" w:hAnsi="宋体"/>
          <w:bCs/>
          <w:color w:val="auto"/>
          <w:sz w:val="24"/>
          <w:highlight w:val="none"/>
          <w:u w:val="single"/>
        </w:rPr>
        <w:t>（应明确对被破坏的检测产品的处理方式）</w:t>
      </w:r>
    </w:p>
    <w:p w14:paraId="5E1C9D22">
      <w:pPr>
        <w:spacing w:line="360" w:lineRule="auto"/>
        <w:ind w:firstLine="960"/>
        <w:rPr>
          <w:rFonts w:ascii="宋体" w:hAnsi="宋体"/>
          <w:bCs/>
          <w:color w:val="auto"/>
          <w:sz w:val="24"/>
          <w:highlight w:val="none"/>
        </w:rPr>
      </w:pPr>
      <w:r>
        <w:rPr>
          <w:rFonts w:ascii="Wingdings" w:hAnsi="Wingdings" w:eastAsia="Wingdings" w:cs="Wingdings"/>
          <w:color w:val="auto"/>
          <w:sz w:val="24"/>
          <w:highlight w:val="none"/>
        </w:rPr>
        <w:t></w:t>
      </w:r>
      <w:r>
        <w:rPr>
          <w:rFonts w:hint="eastAsia" w:ascii="宋体" w:hAnsi="宋体"/>
          <w:bCs/>
          <w:color w:val="auto"/>
          <w:sz w:val="24"/>
          <w:highlight w:val="none"/>
        </w:rPr>
        <w:t>否</w:t>
      </w:r>
    </w:p>
    <w:p w14:paraId="4A823C84">
      <w:pPr>
        <w:spacing w:line="360" w:lineRule="auto"/>
        <w:ind w:firstLine="960"/>
        <w:rPr>
          <w:rFonts w:ascii="宋体" w:hAnsi="宋体"/>
          <w:bCs/>
          <w:color w:val="auto"/>
          <w:sz w:val="24"/>
          <w:highlight w:val="none"/>
          <w:u w:val="single"/>
        </w:rPr>
      </w:pPr>
      <w:r>
        <w:rPr>
          <w:rFonts w:hint="eastAsia" w:ascii="宋体" w:hAnsi="宋体"/>
          <w:bCs/>
          <w:color w:val="auto"/>
          <w:sz w:val="24"/>
          <w:highlight w:val="none"/>
        </w:rPr>
        <w:t>验收组织的其他事项：</w:t>
      </w:r>
    </w:p>
    <w:p w14:paraId="31C0585A">
      <w:pPr>
        <w:spacing w:line="360" w:lineRule="auto"/>
        <w:ind w:firstLine="480"/>
        <w:rPr>
          <w:rFonts w:ascii="宋体" w:hAnsi="宋体"/>
          <w:bCs/>
          <w:color w:val="auto"/>
          <w:sz w:val="24"/>
          <w:highlight w:val="none"/>
          <w:u w:val="single"/>
        </w:rPr>
      </w:pPr>
      <w:r>
        <w:rPr>
          <w:rFonts w:hint="eastAsia" w:ascii="宋体" w:hAnsi="宋体"/>
          <w:bCs/>
          <w:color w:val="auto"/>
          <w:sz w:val="24"/>
          <w:highlight w:val="none"/>
        </w:rPr>
        <w:t>（2）履约验收时间：</w:t>
      </w:r>
      <w:r>
        <w:rPr>
          <w:rFonts w:hint="eastAsia" w:ascii="宋体" w:hAnsi="宋体"/>
          <w:bCs/>
          <w:color w:val="auto"/>
          <w:sz w:val="24"/>
          <w:highlight w:val="none"/>
          <w:u w:val="single"/>
        </w:rPr>
        <w:t>（计划于何时验收/供应商提出验收申请之日起   日内组织验收）</w:t>
      </w:r>
    </w:p>
    <w:p w14:paraId="33F04164">
      <w:pPr>
        <w:spacing w:line="360" w:lineRule="auto"/>
        <w:ind w:firstLine="480"/>
        <w:rPr>
          <w:rFonts w:ascii="宋体" w:hAnsi="宋体"/>
          <w:bCs/>
          <w:color w:val="auto"/>
          <w:sz w:val="24"/>
          <w:highlight w:val="none"/>
        </w:rPr>
      </w:pPr>
      <w:r>
        <w:rPr>
          <w:rFonts w:hint="eastAsia" w:ascii="宋体" w:hAnsi="宋体"/>
          <w:bCs/>
          <w:color w:val="auto"/>
          <w:sz w:val="24"/>
          <w:highlight w:val="none"/>
        </w:rPr>
        <w:t>（3）履约验收方式：</w:t>
      </w:r>
      <w:r>
        <w:rPr>
          <w:rFonts w:ascii="Wingdings" w:hAnsi="Wingdings" w:eastAsia="Wingdings" w:cs="Wingdings"/>
          <w:color w:val="auto"/>
          <w:sz w:val="24"/>
          <w:highlight w:val="none"/>
        </w:rPr>
        <w:t></w:t>
      </w:r>
      <w:r>
        <w:rPr>
          <w:rFonts w:hint="eastAsia" w:ascii="宋体" w:hAnsi="宋体"/>
          <w:bCs/>
          <w:color w:val="auto"/>
          <w:sz w:val="24"/>
          <w:highlight w:val="none"/>
        </w:rPr>
        <w:t xml:space="preserve">一次性验收         </w:t>
      </w:r>
    </w:p>
    <w:p w14:paraId="12C32755">
      <w:pPr>
        <w:spacing w:line="360" w:lineRule="auto"/>
        <w:rPr>
          <w:rFonts w:ascii="宋体" w:hAnsi="宋体"/>
          <w:bCs/>
          <w:color w:val="auto"/>
          <w:sz w:val="24"/>
          <w:highlight w:val="none"/>
        </w:rPr>
      </w:pPr>
      <w:r>
        <w:rPr>
          <w:rFonts w:ascii="Wingdings" w:hAnsi="Wingdings" w:eastAsia="Wingdings" w:cs="Wingdings"/>
          <w:color w:val="auto"/>
          <w:sz w:val="24"/>
          <w:highlight w:val="none"/>
        </w:rPr>
        <w:t></w:t>
      </w:r>
      <w:r>
        <w:rPr>
          <w:rFonts w:hint="eastAsia" w:ascii="宋体" w:hAnsi="宋体"/>
          <w:bCs/>
          <w:color w:val="auto"/>
          <w:sz w:val="24"/>
          <w:highlight w:val="none"/>
        </w:rPr>
        <w:t>分期/分项验收：</w:t>
      </w:r>
      <w:r>
        <w:rPr>
          <w:rFonts w:hint="eastAsia" w:ascii="宋体" w:hAnsi="宋体"/>
          <w:bCs/>
          <w:color w:val="auto"/>
          <w:sz w:val="24"/>
          <w:highlight w:val="none"/>
          <w:u w:val="single"/>
        </w:rPr>
        <w:t>（应明确分期</w:t>
      </w:r>
      <w:r>
        <w:rPr>
          <w:rFonts w:ascii="宋体" w:hAnsi="宋体"/>
          <w:bCs/>
          <w:color w:val="auto"/>
          <w:sz w:val="24"/>
          <w:highlight w:val="none"/>
          <w:u w:val="single"/>
        </w:rPr>
        <w:t>/</w:t>
      </w:r>
      <w:r>
        <w:rPr>
          <w:rFonts w:hint="eastAsia" w:ascii="宋体" w:hAnsi="宋体"/>
          <w:bCs/>
          <w:color w:val="auto"/>
          <w:sz w:val="24"/>
          <w:highlight w:val="none"/>
          <w:u w:val="single"/>
        </w:rPr>
        <w:t>分项验收的工作安排）</w:t>
      </w:r>
    </w:p>
    <w:p w14:paraId="5FF16221">
      <w:pPr>
        <w:spacing w:line="360" w:lineRule="auto"/>
        <w:ind w:firstLine="480"/>
        <w:rPr>
          <w:rFonts w:ascii="宋体" w:hAnsi="宋体"/>
          <w:bCs/>
          <w:color w:val="auto"/>
          <w:sz w:val="24"/>
          <w:highlight w:val="none"/>
        </w:rPr>
      </w:pPr>
      <w:r>
        <w:rPr>
          <w:rFonts w:hint="eastAsia" w:ascii="宋体" w:hAnsi="宋体"/>
          <w:bCs/>
          <w:color w:val="auto"/>
          <w:sz w:val="24"/>
          <w:highlight w:val="none"/>
        </w:rPr>
        <w:t>（4）履约验收程序：</w:t>
      </w:r>
    </w:p>
    <w:p w14:paraId="2ABDB156">
      <w:pPr>
        <w:spacing w:line="360" w:lineRule="auto"/>
        <w:ind w:firstLine="480"/>
        <w:rPr>
          <w:rFonts w:ascii="宋体" w:hAnsi="宋体"/>
          <w:bCs/>
          <w:color w:val="auto"/>
          <w:sz w:val="24"/>
          <w:highlight w:val="none"/>
          <w:u w:val="single"/>
        </w:rPr>
      </w:pPr>
      <w:r>
        <w:rPr>
          <w:rFonts w:hint="eastAsia" w:ascii="宋体" w:hAnsi="宋体"/>
          <w:bCs/>
          <w:color w:val="auto"/>
          <w:sz w:val="24"/>
          <w:highlight w:val="none"/>
        </w:rPr>
        <w:t>（5）履约验收的内容：</w:t>
      </w:r>
      <w:r>
        <w:rPr>
          <w:rFonts w:hint="eastAsia" w:ascii="宋体" w:hAnsi="宋体"/>
          <w:bCs/>
          <w:color w:val="auto"/>
          <w:sz w:val="24"/>
          <w:highlight w:val="none"/>
          <w:u w:val="single"/>
        </w:rPr>
        <w:t>（应当包括每一项技术和商务要求的履约情况，特别是落实政府采购扶持中小企业，支持绿色发展和乡村振兴等政策情况）</w:t>
      </w:r>
    </w:p>
    <w:p w14:paraId="1DAC54DE">
      <w:pPr>
        <w:spacing w:line="360" w:lineRule="auto"/>
        <w:ind w:firstLine="480"/>
        <w:rPr>
          <w:rFonts w:ascii="宋体" w:hAnsi="宋体"/>
          <w:bCs/>
          <w:color w:val="auto"/>
          <w:sz w:val="24"/>
          <w:highlight w:val="none"/>
          <w:u w:val="single"/>
        </w:rPr>
      </w:pPr>
      <w:r>
        <w:rPr>
          <w:rFonts w:hint="eastAsia" w:ascii="宋体" w:hAnsi="宋体"/>
          <w:bCs/>
          <w:color w:val="auto"/>
          <w:sz w:val="24"/>
          <w:highlight w:val="none"/>
        </w:rPr>
        <w:t>（6）履约验收标准：</w:t>
      </w:r>
    </w:p>
    <w:p w14:paraId="12C1DE91">
      <w:pPr>
        <w:widowControl/>
        <w:spacing w:line="360" w:lineRule="auto"/>
        <w:ind w:firstLine="480"/>
        <w:jc w:val="left"/>
        <w:rPr>
          <w:rFonts w:ascii="宋体" w:hAnsi="宋体" w:cs="宋体"/>
          <w:color w:val="auto"/>
          <w:sz w:val="24"/>
          <w:highlight w:val="none"/>
        </w:rPr>
      </w:pPr>
      <w:r>
        <w:rPr>
          <w:rFonts w:hint="eastAsia" w:ascii="宋体" w:hAnsi="宋体" w:cs="宋体"/>
          <w:bCs/>
          <w:color w:val="auto"/>
          <w:sz w:val="24"/>
          <w:highlight w:val="none"/>
        </w:rPr>
        <w:t>（7）是否以采购活动中供应商提供的样品作为参考：</w:t>
      </w:r>
      <w:r>
        <w:rPr>
          <w:rFonts w:ascii="Wingdings" w:hAnsi="Wingdings" w:eastAsia="Wingdings" w:cs="Wingdings"/>
          <w:color w:val="auto"/>
          <w:sz w:val="24"/>
          <w:highlight w:val="none"/>
        </w:rPr>
        <w:t></w:t>
      </w:r>
      <w:r>
        <w:rPr>
          <w:rFonts w:hint="eastAsia" w:ascii="宋体" w:hAnsi="宋体" w:cs="宋体"/>
          <w:bCs/>
          <w:color w:val="auto"/>
          <w:sz w:val="24"/>
          <w:highlight w:val="none"/>
        </w:rPr>
        <w:t xml:space="preserve">是  </w:t>
      </w:r>
      <w:r>
        <w:rPr>
          <w:rFonts w:ascii="Wingdings" w:hAnsi="Wingdings" w:eastAsia="Wingdings" w:cs="Wingdings"/>
          <w:color w:val="auto"/>
          <w:sz w:val="24"/>
          <w:highlight w:val="none"/>
        </w:rPr>
        <w:t></w:t>
      </w:r>
      <w:r>
        <w:rPr>
          <w:rFonts w:hint="eastAsia" w:ascii="宋体" w:hAnsi="宋体" w:cs="宋体"/>
          <w:bCs/>
          <w:color w:val="auto"/>
          <w:sz w:val="24"/>
          <w:highlight w:val="none"/>
        </w:rPr>
        <w:t>否</w:t>
      </w:r>
    </w:p>
    <w:p w14:paraId="163F9E9F">
      <w:pPr>
        <w:spacing w:line="360" w:lineRule="auto"/>
        <w:ind w:firstLine="480"/>
        <w:rPr>
          <w:rFonts w:ascii="宋体" w:hAnsi="宋体" w:cs="宋体"/>
          <w:bCs/>
          <w:color w:val="auto"/>
          <w:sz w:val="24"/>
          <w:highlight w:val="none"/>
          <w:u w:val="single"/>
        </w:rPr>
      </w:pPr>
      <w:r>
        <w:rPr>
          <w:rFonts w:hint="eastAsia" w:ascii="宋体" w:hAnsi="宋体" w:cs="宋体"/>
          <w:bCs/>
          <w:color w:val="auto"/>
          <w:sz w:val="24"/>
          <w:highlight w:val="none"/>
        </w:rPr>
        <w:t>（8）履约验收其他事项：</w:t>
      </w:r>
      <w:r>
        <w:rPr>
          <w:rFonts w:hint="eastAsia" w:ascii="宋体" w:hAnsi="宋体" w:cs="宋体"/>
          <w:bCs/>
          <w:color w:val="auto"/>
          <w:sz w:val="24"/>
          <w:highlight w:val="none"/>
          <w:u w:val="single"/>
        </w:rPr>
        <w:t>（产权过户登记等）</w:t>
      </w:r>
    </w:p>
    <w:p w14:paraId="6B2BD18C">
      <w:pPr>
        <w:numPr>
          <w:ilvl w:val="0"/>
          <w:numId w:val="2"/>
        </w:numPr>
        <w:spacing w:line="360" w:lineRule="auto"/>
        <w:ind w:firstLine="482"/>
        <w:rPr>
          <w:rFonts w:ascii="宋体" w:hAnsi="宋体"/>
          <w:b/>
          <w:color w:val="auto"/>
          <w:sz w:val="24"/>
          <w:highlight w:val="none"/>
        </w:rPr>
      </w:pPr>
      <w:r>
        <w:rPr>
          <w:rFonts w:hint="eastAsia" w:ascii="宋体" w:hAnsi="宋体"/>
          <w:b/>
          <w:color w:val="auto"/>
          <w:sz w:val="24"/>
          <w:highlight w:val="none"/>
        </w:rPr>
        <w:t>组成合同的文件</w:t>
      </w:r>
    </w:p>
    <w:p w14:paraId="6B5070A8">
      <w:pPr>
        <w:spacing w:line="360" w:lineRule="auto"/>
        <w:ind w:firstLine="480"/>
        <w:rPr>
          <w:rFonts w:ascii="宋体" w:hAnsi="宋体"/>
          <w:color w:val="auto"/>
          <w:sz w:val="24"/>
          <w:highlight w:val="none"/>
        </w:rPr>
      </w:pPr>
      <w:r>
        <w:rPr>
          <w:rFonts w:hint="eastAsia" w:ascii="宋体" w:hAnsi="宋体"/>
          <w:color w:val="auto"/>
          <w:sz w:val="24"/>
          <w:highlight w:val="none"/>
        </w:rPr>
        <w:t>本协议书与下列文件一起构成合同文件，如下述文件之间有任何抵触、矛盾或歧义，应按以下顺序解释：</w:t>
      </w:r>
    </w:p>
    <w:p w14:paraId="750804D9">
      <w:pPr>
        <w:spacing w:line="360" w:lineRule="auto"/>
        <w:rPr>
          <w:rFonts w:hint="eastAsia" w:ascii="宋体" w:hAnsi="宋体"/>
          <w:color w:val="auto"/>
          <w:sz w:val="24"/>
          <w:highlight w:val="none"/>
        </w:rPr>
      </w:pPr>
      <w:r>
        <w:rPr>
          <w:rFonts w:hint="eastAsia" w:ascii="宋体" w:hAnsi="宋体"/>
          <w:color w:val="auto"/>
          <w:sz w:val="24"/>
          <w:highlight w:val="none"/>
        </w:rPr>
        <w:t>（1）政府采购合同协议书及其变更、补充协议</w:t>
      </w:r>
    </w:p>
    <w:p w14:paraId="3DB884FA">
      <w:pPr>
        <w:spacing w:line="360" w:lineRule="auto"/>
        <w:rPr>
          <w:rFonts w:hint="eastAsia" w:ascii="宋体" w:hAnsi="宋体"/>
          <w:color w:val="auto"/>
          <w:sz w:val="24"/>
          <w:highlight w:val="none"/>
        </w:rPr>
      </w:pPr>
      <w:r>
        <w:rPr>
          <w:rFonts w:hint="eastAsia" w:ascii="宋体" w:hAnsi="宋体"/>
          <w:color w:val="auto"/>
          <w:sz w:val="24"/>
          <w:highlight w:val="none"/>
        </w:rPr>
        <w:t>（2）政府采购合同专用条款</w:t>
      </w:r>
    </w:p>
    <w:p w14:paraId="5EBEFF7D">
      <w:pPr>
        <w:spacing w:line="360" w:lineRule="auto"/>
        <w:rPr>
          <w:rFonts w:hint="eastAsia" w:ascii="宋体" w:hAnsi="宋体"/>
          <w:color w:val="auto"/>
          <w:sz w:val="24"/>
          <w:highlight w:val="none"/>
        </w:rPr>
      </w:pPr>
      <w:r>
        <w:rPr>
          <w:rFonts w:hint="eastAsia" w:ascii="宋体" w:hAnsi="宋体"/>
          <w:color w:val="auto"/>
          <w:sz w:val="24"/>
          <w:highlight w:val="none"/>
        </w:rPr>
        <w:t>（3）政府采购合同通用条款</w:t>
      </w:r>
    </w:p>
    <w:p w14:paraId="133C4DE5">
      <w:pPr>
        <w:spacing w:line="360" w:lineRule="auto"/>
        <w:rPr>
          <w:rFonts w:hint="eastAsia" w:ascii="宋体" w:hAnsi="宋体"/>
          <w:color w:val="auto"/>
          <w:sz w:val="24"/>
          <w:highlight w:val="none"/>
        </w:rPr>
      </w:pPr>
      <w:r>
        <w:rPr>
          <w:rFonts w:hint="eastAsia" w:ascii="宋体" w:hAnsi="宋体"/>
          <w:color w:val="auto"/>
          <w:sz w:val="24"/>
          <w:highlight w:val="none"/>
        </w:rPr>
        <w:t>（4）中标（成交）通知书</w:t>
      </w:r>
    </w:p>
    <w:p w14:paraId="21EFBEAF">
      <w:pPr>
        <w:spacing w:line="360" w:lineRule="auto"/>
        <w:rPr>
          <w:rFonts w:hint="eastAsia" w:ascii="宋体" w:hAnsi="宋体"/>
          <w:color w:val="auto"/>
          <w:sz w:val="24"/>
          <w:highlight w:val="none"/>
        </w:rPr>
      </w:pPr>
      <w:r>
        <w:rPr>
          <w:rFonts w:hint="eastAsia" w:ascii="宋体" w:hAnsi="宋体"/>
          <w:color w:val="auto"/>
          <w:sz w:val="24"/>
          <w:highlight w:val="none"/>
        </w:rPr>
        <w:t>（5）投标（响应）文件</w:t>
      </w:r>
    </w:p>
    <w:p w14:paraId="1B3A39BC">
      <w:pPr>
        <w:spacing w:line="360" w:lineRule="auto"/>
        <w:rPr>
          <w:rFonts w:hint="eastAsia" w:ascii="宋体" w:hAnsi="宋体"/>
          <w:color w:val="auto"/>
          <w:sz w:val="24"/>
          <w:highlight w:val="none"/>
        </w:rPr>
      </w:pPr>
      <w:r>
        <w:rPr>
          <w:rFonts w:hint="eastAsia" w:ascii="宋体" w:hAnsi="宋体"/>
          <w:color w:val="auto"/>
          <w:sz w:val="24"/>
          <w:highlight w:val="none"/>
        </w:rPr>
        <w:t>（6）</w:t>
      </w:r>
      <w:r>
        <w:rPr>
          <w:rFonts w:hint="eastAsia" w:ascii="宋体" w:hAnsi="宋体"/>
          <w:color w:val="auto"/>
          <w:sz w:val="24"/>
          <w:highlight w:val="none"/>
          <w:lang w:val="en-US" w:eastAsia="zh-CN"/>
        </w:rPr>
        <w:t>谈判</w:t>
      </w:r>
      <w:r>
        <w:rPr>
          <w:rFonts w:hint="eastAsia" w:ascii="宋体" w:hAnsi="宋体"/>
          <w:color w:val="auto"/>
          <w:sz w:val="24"/>
          <w:highlight w:val="none"/>
        </w:rPr>
        <w:t>文件</w:t>
      </w:r>
    </w:p>
    <w:p w14:paraId="6E830DC6">
      <w:pPr>
        <w:spacing w:line="360" w:lineRule="auto"/>
        <w:rPr>
          <w:rFonts w:hint="eastAsia" w:ascii="宋体" w:hAnsi="宋体"/>
          <w:color w:val="auto"/>
          <w:sz w:val="24"/>
          <w:highlight w:val="none"/>
        </w:rPr>
      </w:pPr>
      <w:r>
        <w:rPr>
          <w:rFonts w:hint="eastAsia" w:ascii="宋体" w:hAnsi="宋体"/>
          <w:color w:val="auto"/>
          <w:sz w:val="24"/>
          <w:highlight w:val="none"/>
        </w:rPr>
        <w:t>（7）有关技术文件，图纸</w:t>
      </w:r>
    </w:p>
    <w:p w14:paraId="4B7094F5">
      <w:pPr>
        <w:spacing w:line="360" w:lineRule="auto"/>
        <w:rPr>
          <w:rFonts w:hint="eastAsia" w:ascii="宋体" w:hAnsi="宋体"/>
          <w:color w:val="auto"/>
          <w:sz w:val="24"/>
          <w:highlight w:val="none"/>
        </w:rPr>
      </w:pPr>
      <w:r>
        <w:rPr>
          <w:rFonts w:hint="eastAsia" w:ascii="宋体" w:hAnsi="宋体"/>
          <w:color w:val="auto"/>
          <w:sz w:val="24"/>
          <w:highlight w:val="none"/>
        </w:rPr>
        <w:t>（8）国家法律、行政法规和规章制度规定或合同约定的作为合同组成部分的其他文件</w:t>
      </w:r>
    </w:p>
    <w:p w14:paraId="2287D700">
      <w:pPr>
        <w:spacing w:line="400" w:lineRule="exact"/>
        <w:ind w:left="422"/>
        <w:rPr>
          <w:rFonts w:ascii="宋体" w:hAnsi="宋体"/>
          <w:b/>
          <w:color w:val="auto"/>
          <w:szCs w:val="21"/>
          <w:highlight w:val="none"/>
        </w:rPr>
      </w:pPr>
      <w:r>
        <w:rPr>
          <w:rFonts w:hint="eastAsia" w:ascii="宋体" w:hAnsi="宋体"/>
          <w:b/>
          <w:color w:val="auto"/>
          <w:szCs w:val="21"/>
          <w:highlight w:val="none"/>
        </w:rPr>
        <w:t>6.</w:t>
      </w:r>
      <w:r>
        <w:rPr>
          <w:rFonts w:hint="eastAsia" w:ascii="宋体" w:hAnsi="宋体"/>
          <w:b/>
          <w:color w:val="auto"/>
          <w:sz w:val="24"/>
          <w:highlight w:val="none"/>
        </w:rPr>
        <w:t>合同生效</w:t>
      </w:r>
    </w:p>
    <w:p w14:paraId="5C96233D">
      <w:pPr>
        <w:spacing w:line="360" w:lineRule="auto"/>
        <w:ind w:firstLine="480"/>
        <w:rPr>
          <w:rFonts w:ascii="宋体" w:hAnsi="宋体"/>
          <w:color w:val="auto"/>
          <w:sz w:val="24"/>
          <w:highlight w:val="none"/>
        </w:rPr>
      </w:pPr>
      <w:r>
        <w:rPr>
          <w:rFonts w:hint="eastAsia" w:ascii="宋体" w:hAnsi="宋体"/>
          <w:color w:val="auto"/>
          <w:sz w:val="24"/>
          <w:highlight w:val="none"/>
        </w:rPr>
        <w:t>本合同自</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日生效。</w:t>
      </w:r>
    </w:p>
    <w:p w14:paraId="6F721F6A">
      <w:pPr>
        <w:spacing w:line="360" w:lineRule="auto"/>
        <w:ind w:left="482"/>
        <w:rPr>
          <w:rFonts w:ascii="宋体" w:hAnsi="宋体"/>
          <w:b/>
          <w:color w:val="auto"/>
          <w:sz w:val="24"/>
          <w:highlight w:val="none"/>
        </w:rPr>
      </w:pPr>
      <w:r>
        <w:rPr>
          <w:rFonts w:hint="eastAsia" w:ascii="宋体" w:hAnsi="宋体"/>
          <w:b/>
          <w:color w:val="auto"/>
          <w:sz w:val="24"/>
          <w:highlight w:val="none"/>
        </w:rPr>
        <w:t>7.合同份数</w:t>
      </w:r>
    </w:p>
    <w:p w14:paraId="1D677324">
      <w:pPr>
        <w:spacing w:line="400" w:lineRule="exact"/>
        <w:ind w:firstLine="420"/>
        <w:rPr>
          <w:rFonts w:ascii="宋体" w:hAnsi="宋体"/>
          <w:color w:val="auto"/>
          <w:szCs w:val="21"/>
          <w:highlight w:val="none"/>
        </w:rPr>
      </w:pPr>
      <w:r>
        <w:rPr>
          <w:rFonts w:hint="eastAsia" w:ascii="宋体" w:hAnsi="宋体"/>
          <w:color w:val="auto"/>
          <w:szCs w:val="21"/>
          <w:highlight w:val="none"/>
        </w:rPr>
        <w:t>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份，均具有同等法律效力。</w:t>
      </w:r>
    </w:p>
    <w:p w14:paraId="3F3B0220">
      <w:pPr>
        <w:spacing w:line="400" w:lineRule="exact"/>
        <w:ind w:firstLine="420"/>
        <w:rPr>
          <w:rFonts w:ascii="宋体" w:hAnsi="宋体"/>
          <w:color w:val="auto"/>
          <w:szCs w:val="21"/>
          <w:highlight w:val="none"/>
        </w:rPr>
      </w:pPr>
      <w:r>
        <w:rPr>
          <w:rFonts w:hint="eastAsia" w:ascii="宋体" w:hAnsi="宋体"/>
          <w:color w:val="auto"/>
          <w:szCs w:val="21"/>
          <w:highlight w:val="none"/>
        </w:rPr>
        <w:t>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53985FAB">
      <w:pPr>
        <w:spacing w:line="400" w:lineRule="exact"/>
        <w:ind w:firstLine="420"/>
        <w:rPr>
          <w:rFonts w:ascii="宋体" w:hAnsi="宋体"/>
          <w:color w:val="auto"/>
          <w:szCs w:val="21"/>
          <w:highlight w:val="none"/>
        </w:rPr>
      </w:pPr>
      <w:r>
        <w:rPr>
          <w:rFonts w:hint="eastAsia" w:ascii="宋体" w:hAnsi="宋体"/>
          <w:color w:val="auto"/>
          <w:szCs w:val="21"/>
          <w:highlight w:val="none"/>
        </w:rPr>
        <w:t>合同订立地点：</w:t>
      </w:r>
      <w:r>
        <w:rPr>
          <w:rFonts w:hint="eastAsia" w:ascii="宋体" w:hAnsi="宋体"/>
          <w:color w:val="auto"/>
          <w:szCs w:val="21"/>
          <w:highlight w:val="none"/>
          <w:u w:val="single"/>
        </w:rPr>
        <w:t xml:space="preserve">                           </w:t>
      </w:r>
    </w:p>
    <w:p w14:paraId="27712182">
      <w:pPr>
        <w:spacing w:line="400" w:lineRule="exact"/>
        <w:ind w:firstLine="420"/>
        <w:rPr>
          <w:color w:val="auto"/>
          <w:highlight w:val="none"/>
        </w:rPr>
      </w:pPr>
      <w:r>
        <w:rPr>
          <w:rFonts w:hint="eastAsia" w:ascii="宋体" w:hAnsi="宋体"/>
          <w:color w:val="auto"/>
          <w:szCs w:val="21"/>
          <w:highlight w:val="none"/>
        </w:rPr>
        <w:t>附件：具体标的及其技术要求和商务要求、联合协议、分包意向协议等。</w:t>
      </w:r>
    </w:p>
    <w:p w14:paraId="11E15401">
      <w:pPr>
        <w:spacing w:line="360" w:lineRule="auto"/>
        <w:ind w:firstLine="480"/>
        <w:rPr>
          <w:rFonts w:ascii="宋体" w:hAnsi="宋体"/>
          <w:color w:val="auto"/>
          <w:sz w:val="24"/>
          <w:highlight w:val="none"/>
        </w:rPr>
      </w:pPr>
    </w:p>
    <w:p w14:paraId="3088CA9D">
      <w:pPr>
        <w:spacing w:line="360" w:lineRule="auto"/>
        <w:rPr>
          <w:rFonts w:ascii="宋体" w:hAnsi="宋体"/>
          <w:color w:val="auto"/>
          <w:sz w:val="24"/>
          <w:highlight w:val="none"/>
        </w:rPr>
      </w:pPr>
    </w:p>
    <w:p w14:paraId="2613EAF7">
      <w:pPr>
        <w:spacing w:line="360" w:lineRule="auto"/>
        <w:ind w:firstLine="480"/>
        <w:jc w:val="left"/>
        <w:rPr>
          <w:rFonts w:ascii="宋体" w:hAnsi="宋体"/>
          <w:color w:val="auto"/>
          <w:sz w:val="24"/>
          <w:highlight w:val="none"/>
          <w:u w:val="single"/>
        </w:rPr>
      </w:pPr>
      <w:r>
        <w:rPr>
          <w:rFonts w:hint="eastAsia"/>
          <w:color w:val="auto"/>
          <w:sz w:val="24"/>
          <w:highlight w:val="none"/>
        </w:rPr>
        <w:br w:type="page" w:clear="all"/>
      </w:r>
    </w:p>
    <w:p w14:paraId="20A85246">
      <w:pPr>
        <w:spacing w:line="360" w:lineRule="auto"/>
        <w:ind w:firstLine="420"/>
        <w:rPr>
          <w:color w:val="auto"/>
          <w:szCs w:val="21"/>
          <w:highlight w:val="none"/>
        </w:rPr>
      </w:pPr>
    </w:p>
    <w:tbl>
      <w:tblPr>
        <w:tblStyle w:val="32"/>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1941"/>
        <w:gridCol w:w="2357"/>
        <w:gridCol w:w="2026"/>
        <w:gridCol w:w="2074"/>
      </w:tblGrid>
      <w:tr w14:paraId="6511738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5031" w:type="dxa"/>
            <w:gridSpan w:val="2"/>
            <w:tcBorders>
              <w:bottom w:val="single" w:color="000000" w:sz="2" w:space="0"/>
              <w:right w:val="single" w:color="000000" w:sz="2" w:space="0"/>
            </w:tcBorders>
            <w:noWrap w:val="0"/>
            <w:vAlign w:val="center"/>
          </w:tcPr>
          <w:p w14:paraId="31192D72">
            <w:pPr>
              <w:spacing w:line="360" w:lineRule="auto"/>
              <w:jc w:val="center"/>
              <w:rPr>
                <w:color w:val="auto"/>
                <w:sz w:val="24"/>
                <w:highlight w:val="none"/>
              </w:rPr>
            </w:pPr>
            <w:r>
              <w:rPr>
                <w:color w:val="auto"/>
                <w:sz w:val="24"/>
                <w:highlight w:val="none"/>
              </w:rPr>
              <w:t>甲方</w:t>
            </w:r>
            <w:r>
              <w:rPr>
                <w:rFonts w:hint="eastAsia"/>
                <w:color w:val="auto"/>
                <w:sz w:val="24"/>
                <w:highlight w:val="none"/>
              </w:rPr>
              <w:t>（采购人</w:t>
            </w:r>
            <w:r>
              <w:rPr>
                <w:rFonts w:hint="eastAsia" w:ascii="宋体" w:hAnsi="宋体"/>
                <w:color w:val="auto"/>
                <w:sz w:val="24"/>
                <w:highlight w:val="none"/>
              </w:rPr>
              <w:t>、受采购人委托签订合同的单位或谈判</w:t>
            </w:r>
            <w:r>
              <w:rPr>
                <w:rFonts w:hint="eastAsia"/>
                <w:color w:val="auto"/>
                <w:sz w:val="24"/>
                <w:highlight w:val="none"/>
              </w:rPr>
              <w:t>文件约定的合同甲方）</w:t>
            </w:r>
          </w:p>
        </w:tc>
        <w:tc>
          <w:tcPr>
            <w:tcW w:w="4789" w:type="dxa"/>
            <w:gridSpan w:val="2"/>
            <w:tcBorders>
              <w:left w:val="single" w:color="000000" w:sz="2" w:space="0"/>
              <w:bottom w:val="single" w:color="000000" w:sz="2" w:space="0"/>
            </w:tcBorders>
            <w:noWrap w:val="0"/>
            <w:vAlign w:val="center"/>
          </w:tcPr>
          <w:p w14:paraId="45A26728">
            <w:pPr>
              <w:spacing w:line="360" w:lineRule="auto"/>
              <w:jc w:val="center"/>
              <w:rPr>
                <w:color w:val="auto"/>
                <w:sz w:val="24"/>
                <w:highlight w:val="none"/>
              </w:rPr>
            </w:pPr>
            <w:r>
              <w:rPr>
                <w:color w:val="auto"/>
                <w:sz w:val="24"/>
                <w:highlight w:val="none"/>
              </w:rPr>
              <w:t>乙方</w:t>
            </w:r>
            <w:r>
              <w:rPr>
                <w:rFonts w:hint="eastAsia"/>
                <w:color w:val="auto"/>
                <w:sz w:val="24"/>
                <w:highlight w:val="none"/>
              </w:rPr>
              <w:t>（供应商）</w:t>
            </w:r>
          </w:p>
        </w:tc>
      </w:tr>
      <w:tr w14:paraId="38A423E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2211" w:type="dxa"/>
            <w:tcBorders>
              <w:top w:val="single" w:color="000000" w:sz="2" w:space="0"/>
              <w:bottom w:val="single" w:color="000000" w:sz="2" w:space="0"/>
              <w:right w:val="single" w:color="000000" w:sz="2" w:space="0"/>
            </w:tcBorders>
            <w:noWrap w:val="0"/>
            <w:vAlign w:val="center"/>
          </w:tcPr>
          <w:p w14:paraId="1CEAE7B1">
            <w:pPr>
              <w:spacing w:line="360" w:lineRule="auto"/>
              <w:jc w:val="center"/>
              <w:rPr>
                <w:color w:val="auto"/>
                <w:sz w:val="24"/>
                <w:highlight w:val="none"/>
              </w:rPr>
            </w:pPr>
            <w:r>
              <w:rPr>
                <w:color w:val="auto"/>
                <w:sz w:val="24"/>
                <w:highlight w:val="none"/>
              </w:rPr>
              <w:t>单位名称</w:t>
            </w:r>
            <w:r>
              <w:rPr>
                <w:rFonts w:hint="eastAsia"/>
                <w:color w:val="auto"/>
                <w:sz w:val="24"/>
                <w:highlight w:val="none"/>
              </w:rPr>
              <w:t>（公章或合同章）</w:t>
            </w: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4203E7A0">
            <w:pPr>
              <w:spacing w:line="360" w:lineRule="auto"/>
              <w:jc w:val="center"/>
              <w:rPr>
                <w:color w:val="auto"/>
                <w:sz w:val="24"/>
                <w:highlight w:val="none"/>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4BABB075">
            <w:pPr>
              <w:spacing w:line="360" w:lineRule="auto"/>
              <w:jc w:val="center"/>
              <w:rPr>
                <w:color w:val="auto"/>
                <w:sz w:val="24"/>
                <w:highlight w:val="none"/>
              </w:rPr>
            </w:pPr>
            <w:r>
              <w:rPr>
                <w:color w:val="auto"/>
                <w:sz w:val="24"/>
                <w:highlight w:val="none"/>
              </w:rPr>
              <w:t>单位名称</w:t>
            </w:r>
            <w:r>
              <w:rPr>
                <w:rFonts w:hint="eastAsia"/>
                <w:color w:val="auto"/>
                <w:sz w:val="24"/>
                <w:highlight w:val="none"/>
              </w:rPr>
              <w:t>（公章或合同章）</w:t>
            </w:r>
          </w:p>
        </w:tc>
        <w:tc>
          <w:tcPr>
            <w:tcW w:w="2475" w:type="dxa"/>
            <w:tcBorders>
              <w:top w:val="single" w:color="000000" w:sz="2" w:space="0"/>
              <w:left w:val="single" w:color="000000" w:sz="2" w:space="0"/>
              <w:bottom w:val="single" w:color="000000" w:sz="2" w:space="0"/>
            </w:tcBorders>
            <w:noWrap w:val="0"/>
            <w:vAlign w:val="center"/>
          </w:tcPr>
          <w:p w14:paraId="00E828C8">
            <w:pPr>
              <w:spacing w:line="360" w:lineRule="auto"/>
              <w:jc w:val="center"/>
              <w:rPr>
                <w:color w:val="auto"/>
                <w:spacing w:val="20"/>
                <w:sz w:val="24"/>
                <w:highlight w:val="none"/>
              </w:rPr>
            </w:pPr>
          </w:p>
        </w:tc>
      </w:tr>
      <w:tr w14:paraId="7D5233C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1171" w:hRule="atLeast"/>
        </w:trPr>
        <w:tc>
          <w:tcPr>
            <w:tcW w:w="2211" w:type="dxa"/>
            <w:vMerge w:val="restart"/>
            <w:tcBorders>
              <w:top w:val="single" w:color="000000" w:sz="2" w:space="0"/>
              <w:right w:val="single" w:color="000000" w:sz="2" w:space="0"/>
            </w:tcBorders>
            <w:noWrap w:val="0"/>
            <w:vAlign w:val="center"/>
          </w:tcPr>
          <w:p w14:paraId="7639FD81">
            <w:pPr>
              <w:spacing w:line="360" w:lineRule="auto"/>
              <w:jc w:val="center"/>
              <w:rPr>
                <w:color w:val="auto"/>
                <w:sz w:val="24"/>
                <w:highlight w:val="none"/>
              </w:rPr>
            </w:pPr>
            <w:r>
              <w:rPr>
                <w:color w:val="auto"/>
                <w:sz w:val="24"/>
                <w:highlight w:val="none"/>
              </w:rPr>
              <w:t>法定代表人</w:t>
            </w:r>
          </w:p>
          <w:p w14:paraId="65D837E2">
            <w:pPr>
              <w:spacing w:line="360" w:lineRule="auto"/>
              <w:ind w:firstLine="115"/>
              <w:jc w:val="center"/>
              <w:rPr>
                <w:color w:val="auto"/>
                <w:sz w:val="24"/>
                <w:highlight w:val="none"/>
              </w:rPr>
            </w:pPr>
            <w:r>
              <w:rPr>
                <w:rFonts w:hint="eastAsia"/>
                <w:color w:val="auto"/>
                <w:sz w:val="24"/>
                <w:highlight w:val="none"/>
              </w:rPr>
              <w:t>或其</w:t>
            </w:r>
            <w:r>
              <w:rPr>
                <w:color w:val="auto"/>
                <w:sz w:val="24"/>
                <w:highlight w:val="none"/>
              </w:rPr>
              <w:t>委托代理人</w:t>
            </w:r>
            <w:r>
              <w:rPr>
                <w:rFonts w:hint="eastAsia"/>
                <w:color w:val="auto"/>
                <w:sz w:val="24"/>
                <w:highlight w:val="none"/>
              </w:rPr>
              <w:t>（签章）</w:t>
            </w:r>
          </w:p>
        </w:tc>
        <w:tc>
          <w:tcPr>
            <w:tcW w:w="2820" w:type="dxa"/>
            <w:vMerge w:val="restart"/>
            <w:tcBorders>
              <w:top w:val="single" w:color="000000" w:sz="2" w:space="0"/>
              <w:left w:val="single" w:color="000000" w:sz="2" w:space="0"/>
              <w:right w:val="single" w:color="000000" w:sz="2" w:space="0"/>
            </w:tcBorders>
            <w:noWrap w:val="0"/>
            <w:vAlign w:val="center"/>
          </w:tcPr>
          <w:p w14:paraId="2577DFB2">
            <w:pPr>
              <w:spacing w:line="360" w:lineRule="auto"/>
              <w:jc w:val="center"/>
              <w:rPr>
                <w:color w:val="auto"/>
                <w:sz w:val="24"/>
                <w:highlight w:val="none"/>
              </w:rPr>
            </w:pPr>
          </w:p>
        </w:tc>
        <w:tc>
          <w:tcPr>
            <w:tcW w:w="2314" w:type="dxa"/>
            <w:tcBorders>
              <w:top w:val="single" w:color="000000" w:sz="2" w:space="0"/>
              <w:left w:val="single" w:color="000000" w:sz="2" w:space="0"/>
              <w:right w:val="single" w:color="000000" w:sz="2" w:space="0"/>
            </w:tcBorders>
            <w:noWrap w:val="0"/>
            <w:vAlign w:val="center"/>
          </w:tcPr>
          <w:p w14:paraId="364E77DA">
            <w:pPr>
              <w:spacing w:line="360" w:lineRule="auto"/>
              <w:jc w:val="center"/>
              <w:rPr>
                <w:color w:val="auto"/>
                <w:sz w:val="24"/>
                <w:highlight w:val="none"/>
              </w:rPr>
            </w:pPr>
            <w:r>
              <w:rPr>
                <w:color w:val="auto"/>
                <w:sz w:val="24"/>
                <w:highlight w:val="none"/>
              </w:rPr>
              <w:t>法定代表人</w:t>
            </w:r>
          </w:p>
          <w:p w14:paraId="281FE42B">
            <w:pPr>
              <w:spacing w:line="360" w:lineRule="auto"/>
              <w:jc w:val="center"/>
              <w:rPr>
                <w:color w:val="auto"/>
                <w:sz w:val="24"/>
                <w:highlight w:val="none"/>
              </w:rPr>
            </w:pPr>
            <w:r>
              <w:rPr>
                <w:rFonts w:hint="eastAsia"/>
                <w:color w:val="auto"/>
                <w:sz w:val="24"/>
                <w:highlight w:val="none"/>
              </w:rPr>
              <w:t>或其</w:t>
            </w:r>
            <w:r>
              <w:rPr>
                <w:color w:val="auto"/>
                <w:sz w:val="24"/>
                <w:highlight w:val="none"/>
              </w:rPr>
              <w:t>委托代理人</w:t>
            </w:r>
            <w:r>
              <w:rPr>
                <w:rFonts w:hint="eastAsia"/>
                <w:color w:val="auto"/>
                <w:sz w:val="24"/>
                <w:highlight w:val="none"/>
              </w:rPr>
              <w:t>（签章）</w:t>
            </w:r>
          </w:p>
        </w:tc>
        <w:tc>
          <w:tcPr>
            <w:tcW w:w="2475" w:type="dxa"/>
            <w:tcBorders>
              <w:top w:val="single" w:color="000000" w:sz="2" w:space="0"/>
              <w:left w:val="single" w:color="000000" w:sz="2" w:space="0"/>
              <w:bottom w:val="single" w:color="000000" w:sz="2" w:space="0"/>
            </w:tcBorders>
            <w:noWrap w:val="0"/>
            <w:vAlign w:val="center"/>
          </w:tcPr>
          <w:p w14:paraId="00804FE8">
            <w:pPr>
              <w:spacing w:line="360" w:lineRule="auto"/>
              <w:jc w:val="center"/>
              <w:rPr>
                <w:color w:val="auto"/>
                <w:sz w:val="24"/>
                <w:highlight w:val="none"/>
              </w:rPr>
            </w:pPr>
          </w:p>
        </w:tc>
      </w:tr>
      <w:tr w14:paraId="23979ED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483" w:hRule="atLeast"/>
        </w:trPr>
        <w:tc>
          <w:tcPr>
            <w:tcW w:w="2211" w:type="dxa"/>
            <w:vMerge w:val="continue"/>
            <w:tcBorders>
              <w:bottom w:val="single" w:color="000000" w:sz="2" w:space="0"/>
              <w:right w:val="single" w:color="000000" w:sz="2" w:space="0"/>
            </w:tcBorders>
            <w:noWrap w:val="0"/>
            <w:vAlign w:val="center"/>
          </w:tcPr>
          <w:p w14:paraId="5B1B29CC">
            <w:pPr>
              <w:spacing w:line="360" w:lineRule="auto"/>
              <w:jc w:val="center"/>
              <w:rPr>
                <w:color w:val="auto"/>
                <w:sz w:val="24"/>
                <w:highlight w:val="none"/>
              </w:rPr>
            </w:pPr>
          </w:p>
        </w:tc>
        <w:tc>
          <w:tcPr>
            <w:tcW w:w="2820" w:type="dxa"/>
            <w:vMerge w:val="continue"/>
            <w:tcBorders>
              <w:left w:val="single" w:color="000000" w:sz="2" w:space="0"/>
              <w:bottom w:val="single" w:color="000000" w:sz="2" w:space="0"/>
              <w:right w:val="single" w:color="000000" w:sz="2" w:space="0"/>
            </w:tcBorders>
            <w:noWrap w:val="0"/>
            <w:vAlign w:val="center"/>
          </w:tcPr>
          <w:p w14:paraId="5C793792">
            <w:pPr>
              <w:spacing w:line="360" w:lineRule="auto"/>
              <w:jc w:val="center"/>
              <w:rPr>
                <w:color w:val="auto"/>
                <w:sz w:val="24"/>
                <w:highlight w:val="none"/>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7EEDB425">
            <w:pPr>
              <w:spacing w:line="360" w:lineRule="auto"/>
              <w:jc w:val="center"/>
              <w:rPr>
                <w:color w:val="auto"/>
                <w:sz w:val="24"/>
                <w:highlight w:val="none"/>
              </w:rPr>
            </w:pPr>
            <w:r>
              <w:rPr>
                <w:rFonts w:hint="eastAsia"/>
                <w:color w:val="auto"/>
                <w:sz w:val="24"/>
                <w:highlight w:val="none"/>
              </w:rPr>
              <w:t>拥有者性别</w:t>
            </w:r>
          </w:p>
        </w:tc>
        <w:tc>
          <w:tcPr>
            <w:tcW w:w="2475" w:type="dxa"/>
            <w:tcBorders>
              <w:top w:val="single" w:color="000000" w:sz="2" w:space="0"/>
              <w:left w:val="single" w:color="000000" w:sz="2" w:space="0"/>
              <w:bottom w:val="single" w:color="000000" w:sz="2" w:space="0"/>
            </w:tcBorders>
            <w:noWrap w:val="0"/>
            <w:vAlign w:val="center"/>
          </w:tcPr>
          <w:p w14:paraId="3166F0A6">
            <w:pPr>
              <w:spacing w:line="360" w:lineRule="auto"/>
              <w:jc w:val="center"/>
              <w:rPr>
                <w:color w:val="auto"/>
                <w:spacing w:val="20"/>
                <w:sz w:val="24"/>
                <w:highlight w:val="none"/>
              </w:rPr>
            </w:pPr>
          </w:p>
        </w:tc>
      </w:tr>
      <w:tr w14:paraId="1C48582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3D9AB307">
            <w:pPr>
              <w:spacing w:line="360" w:lineRule="auto"/>
              <w:jc w:val="center"/>
              <w:rPr>
                <w:color w:val="auto"/>
                <w:sz w:val="24"/>
                <w:highlight w:val="none"/>
              </w:rPr>
            </w:pPr>
            <w:r>
              <w:rPr>
                <w:rFonts w:hint="eastAsia"/>
                <w:color w:val="auto"/>
                <w:sz w:val="24"/>
                <w:highlight w:val="none"/>
              </w:rPr>
              <w:t>住所</w:t>
            </w: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6D3A884A">
            <w:pPr>
              <w:spacing w:line="360" w:lineRule="auto"/>
              <w:jc w:val="center"/>
              <w:rPr>
                <w:color w:val="auto"/>
                <w:sz w:val="24"/>
                <w:highlight w:val="none"/>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54DAC062">
            <w:pPr>
              <w:spacing w:line="360" w:lineRule="auto"/>
              <w:jc w:val="center"/>
              <w:rPr>
                <w:color w:val="auto"/>
                <w:sz w:val="24"/>
                <w:highlight w:val="none"/>
              </w:rPr>
            </w:pPr>
            <w:r>
              <w:rPr>
                <w:rFonts w:hint="eastAsia"/>
                <w:color w:val="auto"/>
                <w:sz w:val="24"/>
                <w:highlight w:val="none"/>
              </w:rPr>
              <w:t>住所</w:t>
            </w:r>
          </w:p>
        </w:tc>
        <w:tc>
          <w:tcPr>
            <w:tcW w:w="2475" w:type="dxa"/>
            <w:tcBorders>
              <w:top w:val="single" w:color="000000" w:sz="2" w:space="0"/>
              <w:left w:val="single" w:color="000000" w:sz="2" w:space="0"/>
              <w:bottom w:val="single" w:color="000000" w:sz="2" w:space="0"/>
            </w:tcBorders>
            <w:noWrap w:val="0"/>
            <w:vAlign w:val="center"/>
          </w:tcPr>
          <w:p w14:paraId="2A25723D">
            <w:pPr>
              <w:spacing w:line="360" w:lineRule="auto"/>
              <w:jc w:val="center"/>
              <w:rPr>
                <w:color w:val="auto"/>
                <w:spacing w:val="20"/>
                <w:sz w:val="24"/>
                <w:highlight w:val="none"/>
              </w:rPr>
            </w:pPr>
          </w:p>
        </w:tc>
      </w:tr>
      <w:tr w14:paraId="79D92D9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144D0B0E">
            <w:pPr>
              <w:spacing w:line="360" w:lineRule="auto"/>
              <w:jc w:val="center"/>
              <w:rPr>
                <w:color w:val="auto"/>
                <w:sz w:val="24"/>
                <w:highlight w:val="none"/>
              </w:rPr>
            </w:pPr>
            <w:r>
              <w:rPr>
                <w:color w:val="auto"/>
                <w:sz w:val="24"/>
                <w:highlight w:val="none"/>
              </w:rPr>
              <w:t>联 系 人</w:t>
            </w: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2B6923F6">
            <w:pPr>
              <w:spacing w:line="360" w:lineRule="auto"/>
              <w:jc w:val="center"/>
              <w:rPr>
                <w:color w:val="auto"/>
                <w:sz w:val="24"/>
                <w:highlight w:val="none"/>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2D01C3AD">
            <w:pPr>
              <w:spacing w:line="360" w:lineRule="auto"/>
              <w:jc w:val="center"/>
              <w:rPr>
                <w:color w:val="auto"/>
                <w:sz w:val="24"/>
                <w:highlight w:val="none"/>
              </w:rPr>
            </w:pPr>
            <w:r>
              <w:rPr>
                <w:color w:val="auto"/>
                <w:sz w:val="24"/>
                <w:highlight w:val="none"/>
              </w:rPr>
              <w:t>联 系 人</w:t>
            </w:r>
          </w:p>
        </w:tc>
        <w:tc>
          <w:tcPr>
            <w:tcW w:w="2475" w:type="dxa"/>
            <w:tcBorders>
              <w:top w:val="single" w:color="000000" w:sz="2" w:space="0"/>
              <w:left w:val="single" w:color="000000" w:sz="2" w:space="0"/>
              <w:bottom w:val="single" w:color="000000" w:sz="2" w:space="0"/>
            </w:tcBorders>
            <w:noWrap w:val="0"/>
            <w:vAlign w:val="center"/>
          </w:tcPr>
          <w:p w14:paraId="6BE40910">
            <w:pPr>
              <w:spacing w:line="360" w:lineRule="auto"/>
              <w:jc w:val="center"/>
              <w:rPr>
                <w:color w:val="auto"/>
                <w:spacing w:val="20"/>
                <w:sz w:val="24"/>
                <w:highlight w:val="none"/>
              </w:rPr>
            </w:pPr>
          </w:p>
        </w:tc>
      </w:tr>
      <w:tr w14:paraId="4BE6E44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07E045F4">
            <w:pPr>
              <w:spacing w:line="360" w:lineRule="auto"/>
              <w:jc w:val="center"/>
              <w:rPr>
                <w:color w:val="auto"/>
                <w:sz w:val="24"/>
                <w:highlight w:val="none"/>
              </w:rPr>
            </w:pPr>
            <w:r>
              <w:rPr>
                <w:color w:val="auto"/>
                <w:sz w:val="24"/>
                <w:highlight w:val="none"/>
              </w:rPr>
              <w:t>联系电话</w:t>
            </w: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17F504DF">
            <w:pPr>
              <w:spacing w:line="360" w:lineRule="auto"/>
              <w:jc w:val="center"/>
              <w:rPr>
                <w:color w:val="auto"/>
                <w:sz w:val="24"/>
                <w:highlight w:val="none"/>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793CEBD5">
            <w:pPr>
              <w:spacing w:line="360" w:lineRule="auto"/>
              <w:jc w:val="center"/>
              <w:rPr>
                <w:color w:val="auto"/>
                <w:sz w:val="24"/>
                <w:highlight w:val="none"/>
              </w:rPr>
            </w:pPr>
            <w:r>
              <w:rPr>
                <w:color w:val="auto"/>
                <w:sz w:val="24"/>
                <w:highlight w:val="none"/>
              </w:rPr>
              <w:t>联系电话</w:t>
            </w:r>
          </w:p>
        </w:tc>
        <w:tc>
          <w:tcPr>
            <w:tcW w:w="2475" w:type="dxa"/>
            <w:tcBorders>
              <w:top w:val="single" w:color="000000" w:sz="2" w:space="0"/>
              <w:left w:val="single" w:color="000000" w:sz="2" w:space="0"/>
              <w:bottom w:val="single" w:color="000000" w:sz="2" w:space="0"/>
            </w:tcBorders>
            <w:noWrap w:val="0"/>
            <w:vAlign w:val="center"/>
          </w:tcPr>
          <w:p w14:paraId="44A0B902">
            <w:pPr>
              <w:spacing w:line="360" w:lineRule="auto"/>
              <w:jc w:val="center"/>
              <w:rPr>
                <w:color w:val="auto"/>
                <w:spacing w:val="20"/>
                <w:sz w:val="24"/>
                <w:highlight w:val="none"/>
              </w:rPr>
            </w:pPr>
          </w:p>
        </w:tc>
      </w:tr>
      <w:tr w14:paraId="1D0F568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7445FA89">
            <w:pPr>
              <w:spacing w:line="360" w:lineRule="auto"/>
              <w:jc w:val="center"/>
              <w:rPr>
                <w:color w:val="auto"/>
                <w:sz w:val="24"/>
                <w:highlight w:val="none"/>
              </w:rPr>
            </w:pPr>
            <w:r>
              <w:rPr>
                <w:rFonts w:hint="eastAsia"/>
                <w:color w:val="auto"/>
                <w:sz w:val="24"/>
                <w:highlight w:val="none"/>
              </w:rPr>
              <w:t>通信地址</w:t>
            </w: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22BBBC95">
            <w:pPr>
              <w:spacing w:line="360" w:lineRule="auto"/>
              <w:jc w:val="center"/>
              <w:rPr>
                <w:color w:val="auto"/>
                <w:sz w:val="24"/>
                <w:highlight w:val="none"/>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09125DDA">
            <w:pPr>
              <w:spacing w:line="360" w:lineRule="auto"/>
              <w:jc w:val="center"/>
              <w:rPr>
                <w:color w:val="auto"/>
                <w:sz w:val="24"/>
                <w:highlight w:val="none"/>
              </w:rPr>
            </w:pPr>
            <w:r>
              <w:rPr>
                <w:rFonts w:hint="eastAsia"/>
                <w:color w:val="auto"/>
                <w:sz w:val="24"/>
                <w:highlight w:val="none"/>
              </w:rPr>
              <w:t>通信地址</w:t>
            </w:r>
          </w:p>
        </w:tc>
        <w:tc>
          <w:tcPr>
            <w:tcW w:w="2475" w:type="dxa"/>
            <w:tcBorders>
              <w:top w:val="single" w:color="000000" w:sz="2" w:space="0"/>
              <w:left w:val="single" w:color="000000" w:sz="2" w:space="0"/>
              <w:bottom w:val="single" w:color="000000" w:sz="2" w:space="0"/>
            </w:tcBorders>
            <w:noWrap w:val="0"/>
            <w:vAlign w:val="center"/>
          </w:tcPr>
          <w:p w14:paraId="541983F9">
            <w:pPr>
              <w:spacing w:line="360" w:lineRule="auto"/>
              <w:jc w:val="center"/>
              <w:rPr>
                <w:color w:val="auto"/>
                <w:spacing w:val="20"/>
                <w:sz w:val="24"/>
                <w:highlight w:val="none"/>
              </w:rPr>
            </w:pPr>
          </w:p>
        </w:tc>
      </w:tr>
      <w:tr w14:paraId="5631A4A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753EB77D">
            <w:pPr>
              <w:spacing w:line="360" w:lineRule="auto"/>
              <w:jc w:val="center"/>
              <w:rPr>
                <w:color w:val="auto"/>
                <w:sz w:val="24"/>
                <w:highlight w:val="none"/>
              </w:rPr>
            </w:pPr>
            <w:r>
              <w:rPr>
                <w:color w:val="auto"/>
                <w:sz w:val="24"/>
                <w:highlight w:val="none"/>
              </w:rPr>
              <w:t>邮政编码</w:t>
            </w: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0AB11E33">
            <w:pPr>
              <w:spacing w:line="360" w:lineRule="auto"/>
              <w:jc w:val="center"/>
              <w:rPr>
                <w:color w:val="auto"/>
                <w:sz w:val="24"/>
                <w:highlight w:val="none"/>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391145C2">
            <w:pPr>
              <w:spacing w:line="360" w:lineRule="auto"/>
              <w:jc w:val="center"/>
              <w:rPr>
                <w:color w:val="auto"/>
                <w:sz w:val="24"/>
                <w:highlight w:val="none"/>
              </w:rPr>
            </w:pPr>
            <w:r>
              <w:rPr>
                <w:color w:val="auto"/>
                <w:sz w:val="24"/>
                <w:highlight w:val="none"/>
              </w:rPr>
              <w:t>邮政编码</w:t>
            </w:r>
          </w:p>
        </w:tc>
        <w:tc>
          <w:tcPr>
            <w:tcW w:w="2475" w:type="dxa"/>
            <w:tcBorders>
              <w:top w:val="single" w:color="000000" w:sz="2" w:space="0"/>
              <w:left w:val="single" w:color="000000" w:sz="2" w:space="0"/>
              <w:bottom w:val="single" w:color="000000" w:sz="2" w:space="0"/>
            </w:tcBorders>
            <w:noWrap w:val="0"/>
            <w:vAlign w:val="center"/>
          </w:tcPr>
          <w:p w14:paraId="0092CA16">
            <w:pPr>
              <w:spacing w:line="360" w:lineRule="auto"/>
              <w:jc w:val="center"/>
              <w:rPr>
                <w:color w:val="auto"/>
                <w:spacing w:val="20"/>
                <w:sz w:val="24"/>
                <w:highlight w:val="none"/>
              </w:rPr>
            </w:pPr>
          </w:p>
        </w:tc>
      </w:tr>
      <w:tr w14:paraId="77402B4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2F80E7BF">
            <w:pPr>
              <w:spacing w:line="360" w:lineRule="auto"/>
              <w:jc w:val="center"/>
              <w:rPr>
                <w:color w:val="auto"/>
                <w:sz w:val="24"/>
                <w:highlight w:val="none"/>
              </w:rPr>
            </w:pPr>
            <w:r>
              <w:rPr>
                <w:rFonts w:hint="eastAsia"/>
                <w:color w:val="auto"/>
                <w:sz w:val="24"/>
                <w:highlight w:val="none"/>
              </w:rPr>
              <w:t>电子邮箱</w:t>
            </w: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048AA3AD">
            <w:pPr>
              <w:spacing w:line="360" w:lineRule="auto"/>
              <w:jc w:val="center"/>
              <w:rPr>
                <w:color w:val="auto"/>
                <w:sz w:val="24"/>
                <w:highlight w:val="none"/>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3C5EE44A">
            <w:pPr>
              <w:spacing w:line="360" w:lineRule="auto"/>
              <w:jc w:val="center"/>
              <w:rPr>
                <w:color w:val="auto"/>
                <w:sz w:val="24"/>
                <w:highlight w:val="none"/>
              </w:rPr>
            </w:pPr>
            <w:r>
              <w:rPr>
                <w:rFonts w:hint="eastAsia"/>
                <w:color w:val="auto"/>
                <w:sz w:val="24"/>
                <w:highlight w:val="none"/>
              </w:rPr>
              <w:t>电子邮箱</w:t>
            </w:r>
          </w:p>
        </w:tc>
        <w:tc>
          <w:tcPr>
            <w:tcW w:w="2475" w:type="dxa"/>
            <w:tcBorders>
              <w:top w:val="single" w:color="000000" w:sz="2" w:space="0"/>
              <w:left w:val="single" w:color="000000" w:sz="2" w:space="0"/>
              <w:bottom w:val="single" w:color="000000" w:sz="2" w:space="0"/>
            </w:tcBorders>
            <w:noWrap w:val="0"/>
            <w:vAlign w:val="center"/>
          </w:tcPr>
          <w:p w14:paraId="609EE4B1">
            <w:pPr>
              <w:spacing w:line="360" w:lineRule="auto"/>
              <w:jc w:val="center"/>
              <w:rPr>
                <w:color w:val="auto"/>
                <w:spacing w:val="20"/>
                <w:sz w:val="24"/>
                <w:highlight w:val="none"/>
              </w:rPr>
            </w:pPr>
          </w:p>
        </w:tc>
      </w:tr>
      <w:tr w14:paraId="766FADB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6ADA77A0">
            <w:pPr>
              <w:spacing w:line="360" w:lineRule="auto"/>
              <w:jc w:val="center"/>
              <w:rPr>
                <w:color w:val="auto"/>
                <w:sz w:val="24"/>
                <w:highlight w:val="none"/>
              </w:rPr>
            </w:pPr>
            <w:r>
              <w:rPr>
                <w:rFonts w:hint="eastAsia"/>
                <w:color w:val="auto"/>
                <w:sz w:val="24"/>
                <w:highlight w:val="none"/>
              </w:rPr>
              <w:t>统一社会信用代码</w:t>
            </w: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196FDC62">
            <w:pPr>
              <w:spacing w:line="360" w:lineRule="auto"/>
              <w:jc w:val="center"/>
              <w:rPr>
                <w:color w:val="auto"/>
                <w:sz w:val="24"/>
                <w:highlight w:val="none"/>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0B2A7E04">
            <w:pPr>
              <w:spacing w:line="360" w:lineRule="auto"/>
              <w:jc w:val="center"/>
              <w:rPr>
                <w:color w:val="auto"/>
                <w:sz w:val="24"/>
                <w:highlight w:val="none"/>
              </w:rPr>
            </w:pPr>
            <w:r>
              <w:rPr>
                <w:rFonts w:hint="eastAsia"/>
                <w:color w:val="auto"/>
                <w:sz w:val="24"/>
                <w:highlight w:val="none"/>
              </w:rPr>
              <w:t>统一社会信用代码</w:t>
            </w:r>
          </w:p>
        </w:tc>
        <w:tc>
          <w:tcPr>
            <w:tcW w:w="2475" w:type="dxa"/>
            <w:tcBorders>
              <w:top w:val="single" w:color="000000" w:sz="2" w:space="0"/>
              <w:left w:val="single" w:color="000000" w:sz="2" w:space="0"/>
              <w:bottom w:val="single" w:color="000000" w:sz="2" w:space="0"/>
            </w:tcBorders>
            <w:noWrap w:val="0"/>
            <w:vAlign w:val="center"/>
          </w:tcPr>
          <w:p w14:paraId="1F72382F">
            <w:pPr>
              <w:spacing w:line="360" w:lineRule="auto"/>
              <w:jc w:val="center"/>
              <w:rPr>
                <w:color w:val="auto"/>
                <w:spacing w:val="20"/>
                <w:sz w:val="24"/>
                <w:highlight w:val="none"/>
              </w:rPr>
            </w:pPr>
          </w:p>
        </w:tc>
      </w:tr>
      <w:tr w14:paraId="454EDCB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398FCC85">
            <w:pPr>
              <w:spacing w:line="360" w:lineRule="auto"/>
              <w:jc w:val="center"/>
              <w:rPr>
                <w:color w:val="auto"/>
                <w:sz w:val="24"/>
                <w:highlight w:val="none"/>
              </w:rPr>
            </w:pP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59FD5D7A">
            <w:pPr>
              <w:spacing w:line="360" w:lineRule="auto"/>
              <w:jc w:val="center"/>
              <w:rPr>
                <w:color w:val="auto"/>
                <w:sz w:val="24"/>
                <w:highlight w:val="none"/>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4610CFC5">
            <w:pPr>
              <w:spacing w:line="360" w:lineRule="auto"/>
              <w:jc w:val="center"/>
              <w:rPr>
                <w:color w:val="auto"/>
                <w:sz w:val="24"/>
                <w:highlight w:val="none"/>
              </w:rPr>
            </w:pPr>
            <w:r>
              <w:rPr>
                <w:color w:val="auto"/>
                <w:sz w:val="24"/>
                <w:highlight w:val="none"/>
              </w:rPr>
              <w:t>开户名称</w:t>
            </w:r>
          </w:p>
        </w:tc>
        <w:tc>
          <w:tcPr>
            <w:tcW w:w="2475" w:type="dxa"/>
            <w:tcBorders>
              <w:top w:val="single" w:color="000000" w:sz="2" w:space="0"/>
              <w:left w:val="single" w:color="000000" w:sz="2" w:space="0"/>
              <w:bottom w:val="single" w:color="000000" w:sz="2" w:space="0"/>
            </w:tcBorders>
            <w:noWrap w:val="0"/>
            <w:vAlign w:val="center"/>
          </w:tcPr>
          <w:p w14:paraId="0B4C850B">
            <w:pPr>
              <w:spacing w:line="360" w:lineRule="auto"/>
              <w:jc w:val="center"/>
              <w:rPr>
                <w:color w:val="auto"/>
                <w:spacing w:val="20"/>
                <w:sz w:val="24"/>
                <w:highlight w:val="none"/>
              </w:rPr>
            </w:pPr>
          </w:p>
        </w:tc>
      </w:tr>
      <w:tr w14:paraId="0BBEFAB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738B952D">
            <w:pPr>
              <w:spacing w:line="360" w:lineRule="auto"/>
              <w:jc w:val="center"/>
              <w:rPr>
                <w:color w:val="auto"/>
                <w:sz w:val="24"/>
                <w:highlight w:val="none"/>
              </w:rPr>
            </w:pP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23DD8093">
            <w:pPr>
              <w:spacing w:line="360" w:lineRule="auto"/>
              <w:jc w:val="center"/>
              <w:rPr>
                <w:color w:val="auto"/>
                <w:sz w:val="24"/>
                <w:highlight w:val="none"/>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6364C307">
            <w:pPr>
              <w:spacing w:line="360" w:lineRule="auto"/>
              <w:jc w:val="center"/>
              <w:rPr>
                <w:color w:val="auto"/>
                <w:sz w:val="24"/>
                <w:highlight w:val="none"/>
              </w:rPr>
            </w:pPr>
            <w:r>
              <w:rPr>
                <w:color w:val="auto"/>
                <w:sz w:val="24"/>
                <w:highlight w:val="none"/>
              </w:rPr>
              <w:t>开户银行</w:t>
            </w:r>
          </w:p>
        </w:tc>
        <w:tc>
          <w:tcPr>
            <w:tcW w:w="2475" w:type="dxa"/>
            <w:tcBorders>
              <w:top w:val="single" w:color="000000" w:sz="2" w:space="0"/>
              <w:left w:val="single" w:color="000000" w:sz="2" w:space="0"/>
              <w:bottom w:val="single" w:color="000000" w:sz="2" w:space="0"/>
            </w:tcBorders>
            <w:noWrap w:val="0"/>
            <w:vAlign w:val="center"/>
          </w:tcPr>
          <w:p w14:paraId="6D5707A6">
            <w:pPr>
              <w:spacing w:line="360" w:lineRule="auto"/>
              <w:jc w:val="center"/>
              <w:rPr>
                <w:color w:val="auto"/>
                <w:spacing w:val="20"/>
                <w:sz w:val="24"/>
                <w:highlight w:val="none"/>
              </w:rPr>
            </w:pPr>
          </w:p>
        </w:tc>
      </w:tr>
      <w:tr w14:paraId="2D15B3A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1A2DCC4C">
            <w:pPr>
              <w:spacing w:line="360" w:lineRule="auto"/>
              <w:jc w:val="center"/>
              <w:rPr>
                <w:color w:val="auto"/>
                <w:sz w:val="24"/>
                <w:highlight w:val="none"/>
              </w:rPr>
            </w:pP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25E01F9F">
            <w:pPr>
              <w:spacing w:line="360" w:lineRule="auto"/>
              <w:jc w:val="center"/>
              <w:rPr>
                <w:color w:val="auto"/>
                <w:sz w:val="24"/>
                <w:highlight w:val="none"/>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198437B5">
            <w:pPr>
              <w:spacing w:line="360" w:lineRule="auto"/>
              <w:jc w:val="center"/>
              <w:rPr>
                <w:color w:val="auto"/>
                <w:sz w:val="24"/>
                <w:highlight w:val="none"/>
              </w:rPr>
            </w:pPr>
            <w:r>
              <w:rPr>
                <w:color w:val="auto"/>
                <w:sz w:val="24"/>
                <w:highlight w:val="none"/>
              </w:rPr>
              <w:t>银行账号</w:t>
            </w:r>
          </w:p>
        </w:tc>
        <w:tc>
          <w:tcPr>
            <w:tcW w:w="2475" w:type="dxa"/>
            <w:tcBorders>
              <w:top w:val="single" w:color="000000" w:sz="2" w:space="0"/>
              <w:left w:val="single" w:color="000000" w:sz="2" w:space="0"/>
              <w:bottom w:val="single" w:color="000000" w:sz="2" w:space="0"/>
            </w:tcBorders>
            <w:noWrap w:val="0"/>
            <w:vAlign w:val="center"/>
          </w:tcPr>
          <w:p w14:paraId="0425B627">
            <w:pPr>
              <w:spacing w:line="360" w:lineRule="auto"/>
              <w:jc w:val="center"/>
              <w:rPr>
                <w:color w:val="auto"/>
                <w:spacing w:val="20"/>
                <w:sz w:val="24"/>
                <w:highlight w:val="none"/>
              </w:rPr>
            </w:pPr>
          </w:p>
        </w:tc>
      </w:tr>
      <w:tr w14:paraId="142DBFB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9820" w:type="dxa"/>
            <w:gridSpan w:val="4"/>
            <w:tcBorders>
              <w:top w:val="single" w:color="000000" w:sz="2" w:space="0"/>
            </w:tcBorders>
            <w:noWrap w:val="0"/>
            <w:vAlign w:val="center"/>
          </w:tcPr>
          <w:p w14:paraId="3B049774">
            <w:pPr>
              <w:spacing w:line="360" w:lineRule="auto"/>
              <w:jc w:val="left"/>
              <w:rPr>
                <w:color w:val="auto"/>
                <w:spacing w:val="20"/>
                <w:sz w:val="24"/>
                <w:highlight w:val="none"/>
              </w:rPr>
            </w:pPr>
            <w:r>
              <w:rPr>
                <w:rFonts w:hint="eastAsia" w:ascii="宋体" w:hAnsi="宋体"/>
                <w:color w:val="auto"/>
                <w:sz w:val="24"/>
                <w:highlight w:val="none"/>
              </w:rPr>
              <w:t>注：涉及联合体或其他合同主体的信息应按上表格式加列。</w:t>
            </w:r>
          </w:p>
        </w:tc>
      </w:tr>
    </w:tbl>
    <w:p w14:paraId="3385D4A5">
      <w:pPr>
        <w:pStyle w:val="3"/>
        <w:spacing w:before="156"/>
        <w:jc w:val="center"/>
        <w:rPr>
          <w:rFonts w:ascii="黑体" w:hAnsi="黑体" w:eastAsia="黑体"/>
          <w:color w:val="auto"/>
          <w:sz w:val="28"/>
          <w:szCs w:val="28"/>
          <w:highlight w:val="none"/>
        </w:rPr>
      </w:pPr>
      <w:r>
        <w:rPr>
          <w:rFonts w:ascii="宋体" w:hAnsi="宋体"/>
          <w:color w:val="auto"/>
          <w:highlight w:val="none"/>
          <w:u w:val="single"/>
        </w:rPr>
        <w:br w:type="page" w:clear="all"/>
      </w:r>
      <w:bookmarkStart w:id="156" w:name="_Toc27624"/>
      <w:bookmarkStart w:id="157" w:name="_Toc20313"/>
      <w:r>
        <w:rPr>
          <w:rFonts w:hint="eastAsia" w:ascii="黑体" w:hAnsi="黑体" w:eastAsia="黑体"/>
          <w:b w:val="0"/>
          <w:bCs w:val="0"/>
          <w:color w:val="auto"/>
          <w:sz w:val="28"/>
          <w:szCs w:val="28"/>
          <w:highlight w:val="none"/>
        </w:rPr>
        <w:t>第二节 政府采购合同通用条款</w:t>
      </w:r>
      <w:bookmarkEnd w:id="156"/>
    </w:p>
    <w:p w14:paraId="7D313D36">
      <w:pPr>
        <w:tabs>
          <w:tab w:val="left" w:pos="8820"/>
          <w:tab w:val="left" w:pos="9345"/>
          <w:tab w:val="left" w:pos="9765"/>
        </w:tabs>
        <w:spacing w:line="400" w:lineRule="exact"/>
        <w:jc w:val="left"/>
        <w:rPr>
          <w:rFonts w:hint="eastAsia" w:ascii="宋体" w:hAnsi="宋体"/>
          <w:b/>
          <w:bCs/>
          <w:color w:val="auto"/>
          <w:sz w:val="24"/>
          <w:highlight w:val="none"/>
        </w:rPr>
      </w:pPr>
      <w:r>
        <w:rPr>
          <w:rFonts w:hint="eastAsia" w:ascii="宋体" w:hAnsi="宋体"/>
          <w:b/>
          <w:color w:val="auto"/>
          <w:sz w:val="24"/>
          <w:highlight w:val="none"/>
        </w:rPr>
        <w:t xml:space="preserve">1. </w:t>
      </w:r>
      <w:r>
        <w:rPr>
          <w:rFonts w:hint="eastAsia" w:ascii="宋体" w:hAnsi="宋体"/>
          <w:b/>
          <w:bCs/>
          <w:color w:val="auto"/>
          <w:sz w:val="24"/>
          <w:highlight w:val="none"/>
        </w:rPr>
        <w:t>定义</w:t>
      </w:r>
    </w:p>
    <w:p w14:paraId="3E5706AD">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1.1合同当事人</w:t>
      </w:r>
    </w:p>
    <w:p w14:paraId="2774D91B">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（1）采购人（以下称甲方）是指使用财政性资金，通过政府采购方式向供应商购买货物及其相关服务的国家机关、事业单位、团体组织。</w:t>
      </w:r>
    </w:p>
    <w:p w14:paraId="6A584F9C">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（2）供应商（以下称乙方）是指参加政府采购活动并且中标（成交），向采购人提供合同约定的货物及其相关服务的法人、非法人组织或者自然人。</w:t>
      </w:r>
    </w:p>
    <w:p w14:paraId="7DCB02B6">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（3）其他合同主体是指除采购人和供应商以外，</w:t>
      </w:r>
      <w:r>
        <w:rPr>
          <w:rFonts w:hint="eastAsia" w:ascii="宋体" w:hAnsi="宋体" w:cs="宋体"/>
          <w:bCs/>
          <w:color w:val="auto"/>
          <w:szCs w:val="21"/>
          <w:highlight w:val="none"/>
        </w:rPr>
        <w:t>依法参与合同缔结或履行，享有权利、承担义务的合同当事人</w:t>
      </w:r>
      <w:r>
        <w:rPr>
          <w:rFonts w:hint="eastAsia" w:ascii="宋体" w:hAnsi="宋体"/>
          <w:color w:val="auto"/>
          <w:szCs w:val="21"/>
          <w:highlight w:val="none"/>
        </w:rPr>
        <w:t>。</w:t>
      </w:r>
    </w:p>
    <w:p w14:paraId="5B77C5B8">
      <w:pPr>
        <w:tabs>
          <w:tab w:val="left" w:pos="570"/>
          <w:tab w:val="left" w:pos="9240"/>
          <w:tab w:val="left" w:pos="9555"/>
        </w:tabs>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1.2本合同下列术语应解释为：</w:t>
      </w:r>
    </w:p>
    <w:p w14:paraId="68AD9B1C">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（1）“合同”系指</w:t>
      </w:r>
      <w:r>
        <w:rPr>
          <w:rFonts w:hint="eastAsia" w:ascii="宋体" w:hAnsi="宋体" w:cs="宋体"/>
          <w:bCs/>
          <w:color w:val="auto"/>
          <w:szCs w:val="21"/>
          <w:highlight w:val="none"/>
        </w:rPr>
        <w:t>合同当事人意思表示达成一致的任何协议，包括签署的</w:t>
      </w:r>
      <w:r>
        <w:rPr>
          <w:rFonts w:hint="eastAsia" w:ascii="宋体" w:hAnsi="宋体"/>
          <w:color w:val="auto"/>
          <w:szCs w:val="21"/>
          <w:highlight w:val="none"/>
        </w:rPr>
        <w:t>政府采购合同协议书及其变更、补充协议，政府采购合同专用条款，政府采购合同通用条款，中标（成交）通知书，投标（响应）文件，谈判文件，有关技术文件和图纸，以及</w:t>
      </w:r>
      <w:r>
        <w:rPr>
          <w:rFonts w:hint="eastAsia" w:ascii="宋体" w:hAnsi="宋体" w:cs="宋体"/>
          <w:color w:val="auto"/>
          <w:szCs w:val="21"/>
          <w:highlight w:val="none"/>
        </w:rPr>
        <w:t>国家法律、行政法规和规章制度规定或合同约定的作为合同组成部分的其他文件</w:t>
      </w:r>
      <w:r>
        <w:rPr>
          <w:rFonts w:hint="eastAsia" w:ascii="宋体" w:hAnsi="宋体"/>
          <w:color w:val="auto"/>
          <w:szCs w:val="21"/>
          <w:highlight w:val="none"/>
        </w:rPr>
        <w:t>。</w:t>
      </w:r>
    </w:p>
    <w:p w14:paraId="204C302E">
      <w:pPr>
        <w:tabs>
          <w:tab w:val="left" w:pos="570"/>
          <w:tab w:val="left" w:pos="9240"/>
          <w:tab w:val="left" w:pos="9555"/>
        </w:tabs>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（2）“合同价款”系指根据本合同规定乙方在全面履行合同义务后甲方应支付给乙方的价款。</w:t>
      </w:r>
    </w:p>
    <w:p w14:paraId="19DFDB00">
      <w:pPr>
        <w:tabs>
          <w:tab w:val="left" w:pos="570"/>
          <w:tab w:val="left" w:pos="9240"/>
          <w:tab w:val="left" w:pos="9555"/>
        </w:tabs>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（3）“货物”系指乙方根据本合同规定须向甲方提供的各种形态和种类的物品，包括原材料、设备、产品（包括软件）及相关的备品备件、工具、手册及</w:t>
      </w:r>
      <w:r>
        <w:rPr>
          <w:rFonts w:hint="eastAsia" w:ascii="宋体" w:hAnsi="宋体"/>
          <w:color w:val="auto"/>
          <w:szCs w:val="21"/>
          <w:highlight w:val="none"/>
          <w:lang w:val="en"/>
        </w:rPr>
        <w:t>其他</w:t>
      </w:r>
      <w:r>
        <w:rPr>
          <w:rFonts w:hint="eastAsia" w:ascii="宋体" w:hAnsi="宋体"/>
          <w:color w:val="auto"/>
          <w:szCs w:val="21"/>
          <w:highlight w:val="none"/>
        </w:rPr>
        <w:t>技术资料和材料等。</w:t>
      </w:r>
    </w:p>
    <w:p w14:paraId="1D2E0AB0">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（4）“相关服务”系指根据合同规定，乙方应提供的与货物有关的技术、管理和</w:t>
      </w:r>
      <w:r>
        <w:rPr>
          <w:rFonts w:hint="eastAsia" w:ascii="宋体" w:hAnsi="宋体"/>
          <w:color w:val="auto"/>
          <w:szCs w:val="21"/>
          <w:highlight w:val="none"/>
          <w:lang w:val="en"/>
        </w:rPr>
        <w:t>其他</w:t>
      </w:r>
      <w:r>
        <w:rPr>
          <w:rFonts w:hint="eastAsia" w:ascii="宋体" w:hAnsi="宋体"/>
          <w:color w:val="auto"/>
          <w:szCs w:val="21"/>
          <w:highlight w:val="none"/>
        </w:rPr>
        <w:t>服务，包括但不限于：管理和质量保证、运输、保险、检验、现场准备、安装、集成、调试、培训、维修、废弃处置、技术支持等以及合同中规定乙方应承担的</w:t>
      </w:r>
      <w:r>
        <w:rPr>
          <w:rFonts w:hint="eastAsia" w:ascii="宋体" w:hAnsi="宋体"/>
          <w:color w:val="auto"/>
          <w:szCs w:val="21"/>
          <w:highlight w:val="none"/>
          <w:lang w:val="en"/>
        </w:rPr>
        <w:t>其他</w:t>
      </w:r>
      <w:r>
        <w:rPr>
          <w:rFonts w:hint="eastAsia" w:ascii="宋体" w:hAnsi="宋体"/>
          <w:color w:val="auto"/>
          <w:szCs w:val="21"/>
          <w:highlight w:val="none"/>
        </w:rPr>
        <w:t>义务。</w:t>
      </w:r>
    </w:p>
    <w:p w14:paraId="2FB323A3">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（5）“分包”系指中标（成交）供应商按谈判文件、投标（响应）文件的规定，根据分包意向协议，将中标（成交）项目中的部分履约内容，分给具有相应资质条件的供应商履行合同的行为。</w:t>
      </w:r>
    </w:p>
    <w:p w14:paraId="2E55552B">
      <w:pPr>
        <w:tabs>
          <w:tab w:val="left" w:pos="570"/>
          <w:tab w:val="left" w:pos="9240"/>
          <w:tab w:val="left" w:pos="9555"/>
        </w:tabs>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政府采购合同专用条款</w:t>
      </w:r>
      <w:r>
        <w:rPr>
          <w:rFonts w:hint="eastAsia" w:ascii="宋体" w:hAnsi="宋体"/>
          <w:color w:val="auto"/>
          <w:szCs w:val="21"/>
          <w:highlight w:val="none"/>
        </w:rPr>
        <w:t>】。</w:t>
      </w:r>
    </w:p>
    <w:p w14:paraId="450B7D4C">
      <w:pPr>
        <w:tabs>
          <w:tab w:val="left" w:pos="570"/>
          <w:tab w:val="left" w:pos="9240"/>
          <w:tab w:val="left" w:pos="9555"/>
        </w:tabs>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（7）其他术语解释，见【</w:t>
      </w:r>
      <w:r>
        <w:rPr>
          <w:rFonts w:hint="eastAsia" w:ascii="宋体" w:hAnsi="宋体"/>
          <w:b/>
          <w:bCs/>
          <w:color w:val="auto"/>
          <w:szCs w:val="21"/>
          <w:highlight w:val="none"/>
        </w:rPr>
        <w:t>政府采购合同专用条款</w:t>
      </w:r>
      <w:r>
        <w:rPr>
          <w:rFonts w:hint="eastAsia" w:ascii="宋体" w:hAnsi="宋体"/>
          <w:color w:val="auto"/>
          <w:szCs w:val="21"/>
          <w:highlight w:val="none"/>
        </w:rPr>
        <w:t>】。</w:t>
      </w:r>
    </w:p>
    <w:p w14:paraId="4618DDC1">
      <w:pPr>
        <w:numPr>
          <w:ilvl w:val="0"/>
          <w:numId w:val="5"/>
        </w:numPr>
        <w:spacing w:line="400" w:lineRule="exact"/>
        <w:jc w:val="left"/>
        <w:rPr>
          <w:rFonts w:hint="eastAsia" w:ascii="宋体" w:hAnsi="宋体"/>
          <w:b/>
          <w:bCs/>
          <w:color w:val="auto"/>
          <w:sz w:val="24"/>
          <w:highlight w:val="none"/>
        </w:rPr>
      </w:pPr>
      <w:r>
        <w:rPr>
          <w:rFonts w:hint="eastAsia" w:ascii="宋体" w:hAnsi="宋体"/>
          <w:b/>
          <w:color w:val="auto"/>
          <w:sz w:val="24"/>
          <w:highlight w:val="none"/>
        </w:rPr>
        <w:t>合同标的及金额</w:t>
      </w:r>
    </w:p>
    <w:p w14:paraId="07DE07D6">
      <w:pPr>
        <w:spacing w:line="400" w:lineRule="exact"/>
        <w:ind w:firstLine="420"/>
        <w:jc w:val="left"/>
        <w:rPr>
          <w:rFonts w:hint="eastAsia" w:ascii="宋体" w:hAnsi="宋体"/>
          <w:b/>
          <w:bCs/>
          <w:i/>
          <w:iCs/>
          <w:color w:val="auto"/>
          <w:szCs w:val="21"/>
          <w:highlight w:val="none"/>
        </w:rPr>
      </w:pPr>
      <w:r>
        <w:rPr>
          <w:rFonts w:hint="eastAsia" w:ascii="宋体" w:hAnsi="宋体"/>
          <w:color w:val="auto"/>
          <w:szCs w:val="21"/>
          <w:highlight w:val="none"/>
        </w:rPr>
        <w:t>2.1 合同标的及金额应与中标（成交）结果一致。乙方为履行本合同而发生的所有费用均应包含在合同价款中，甲方不再另行支付</w:t>
      </w:r>
      <w:r>
        <w:rPr>
          <w:rFonts w:hint="eastAsia" w:ascii="宋体" w:hAnsi="宋体"/>
          <w:color w:val="auto"/>
          <w:szCs w:val="21"/>
          <w:highlight w:val="none"/>
          <w:lang w:val="en"/>
        </w:rPr>
        <w:t>其他</w:t>
      </w:r>
      <w:r>
        <w:rPr>
          <w:rFonts w:hint="eastAsia" w:ascii="宋体" w:hAnsi="宋体"/>
          <w:color w:val="auto"/>
          <w:szCs w:val="21"/>
          <w:highlight w:val="none"/>
        </w:rPr>
        <w:t>任何费用。</w:t>
      </w:r>
    </w:p>
    <w:p w14:paraId="1320F346">
      <w:pPr>
        <w:spacing w:line="400" w:lineRule="exact"/>
        <w:jc w:val="left"/>
        <w:rPr>
          <w:rFonts w:hint="eastAsia" w:ascii="宋体" w:hAnsi="宋体"/>
          <w:b/>
          <w:color w:val="auto"/>
          <w:sz w:val="24"/>
          <w:highlight w:val="none"/>
        </w:rPr>
      </w:pPr>
      <w:r>
        <w:rPr>
          <w:rFonts w:hint="eastAsia" w:ascii="宋体" w:hAnsi="宋体"/>
          <w:b/>
          <w:color w:val="auto"/>
          <w:sz w:val="24"/>
          <w:highlight w:val="none"/>
        </w:rPr>
        <w:t>3. 履行合同的时间、地点和方式</w:t>
      </w:r>
    </w:p>
    <w:p w14:paraId="40F3EF53">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乙方应当在约定的时间、地点，按照约定方式履行合同。</w:t>
      </w:r>
    </w:p>
    <w:p w14:paraId="6CA7D362">
      <w:p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4. 甲方的权利和义务</w:t>
      </w:r>
    </w:p>
    <w:p w14:paraId="79096A3C">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46D67F69">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4.2 甲方有权要求乙方按时提交各阶段有关安排计划，并有权定期核对乙方提供货物数量、规格、质量等内容。甲方有权督促乙方工作并要求乙方更换不符合要求的货物。</w:t>
      </w:r>
    </w:p>
    <w:p w14:paraId="3BA481A0">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4.3 甲方有权要求乙方对缺陷部分予以修复，并按合同约定享有货物保修及其他合同约定的权利。</w:t>
      </w:r>
    </w:p>
    <w:p w14:paraId="15664B8E">
      <w:pPr>
        <w:spacing w:line="400" w:lineRule="exact"/>
        <w:ind w:firstLine="420"/>
        <w:rPr>
          <w:rFonts w:hint="eastAsia" w:eastAsia="华文楷体"/>
          <w:color w:val="auto"/>
          <w:highlight w:val="none"/>
        </w:rPr>
      </w:pPr>
      <w:r>
        <w:rPr>
          <w:rFonts w:hint="eastAsia" w:ascii="宋体" w:hAnsi="宋体"/>
          <w:color w:val="auto"/>
          <w:szCs w:val="21"/>
          <w:highlight w:val="none"/>
        </w:rPr>
        <w:t>4.4 甲方应当按照合同约定及时对交付的货物进行验收，</w:t>
      </w:r>
      <w:r>
        <w:rPr>
          <w:rFonts w:hint="eastAsia" w:ascii="宋体" w:hAnsi="宋体" w:cs="宋体"/>
          <w:color w:val="auto"/>
          <w:szCs w:val="21"/>
          <w:highlight w:val="none"/>
        </w:rPr>
        <w:t>未</w:t>
      </w:r>
      <w:r>
        <w:rPr>
          <w:rFonts w:hint="eastAsia" w:ascii="宋体" w:hAnsi="宋体"/>
          <w:color w:val="auto"/>
          <w:szCs w:val="21"/>
          <w:highlight w:val="none"/>
        </w:rPr>
        <w:t>在</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约定的期限内对乙方履约提出任何异议或者向乙方作出任何说明的，</w:t>
      </w:r>
      <w:r>
        <w:rPr>
          <w:rFonts w:hint="eastAsia" w:ascii="宋体" w:hAnsi="宋体"/>
          <w:color w:val="auto"/>
          <w:szCs w:val="21"/>
          <w:highlight w:val="none"/>
        </w:rPr>
        <w:t>视为验收通过。</w:t>
      </w:r>
    </w:p>
    <w:p w14:paraId="275576F8">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4.5 甲方应当根据合同约定及时向乙方支付合同价款，不得以内部人员变更、履行内部付款流程等为由，拒绝或迟延支付。</w:t>
      </w:r>
    </w:p>
    <w:p w14:paraId="0CA00B31">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4.6 国家法律法规规定及</w:t>
      </w:r>
      <w:r>
        <w:rPr>
          <w:rFonts w:hint="eastAsia" w:ascii="宋体" w:hAnsi="宋体" w:cs="宋体"/>
          <w:b/>
          <w:bCs/>
          <w:color w:val="auto"/>
          <w:szCs w:val="21"/>
          <w:highlight w:val="none"/>
        </w:rPr>
        <w:t>【政府采购合同专用条款】</w:t>
      </w:r>
      <w:r>
        <w:rPr>
          <w:rFonts w:hint="eastAsia" w:ascii="宋体" w:hAnsi="宋体"/>
          <w:color w:val="auto"/>
          <w:szCs w:val="21"/>
          <w:highlight w:val="none"/>
        </w:rPr>
        <w:t>约定应由甲方承担的其他义务和责任。</w:t>
      </w:r>
    </w:p>
    <w:p w14:paraId="574D8EA0">
      <w:p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5. 乙方的权利和义务</w:t>
      </w:r>
    </w:p>
    <w:p w14:paraId="61F6B0CF">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5.1 签署合同后，乙方应确定项目负责人（或项目联系人），负责与本合同有关的事务。</w:t>
      </w:r>
    </w:p>
    <w:p w14:paraId="098E1CD7">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02E91748">
      <w:pPr>
        <w:pStyle w:val="14"/>
        <w:spacing w:after="0" w:line="400" w:lineRule="exact"/>
        <w:ind w:firstLine="369"/>
        <w:rPr>
          <w:rFonts w:hint="eastAsia" w:ascii="宋体" w:hAnsi="宋体" w:cs="宋体"/>
          <w:color w:val="auto"/>
          <w:szCs w:val="21"/>
          <w:highlight w:val="none"/>
        </w:rPr>
      </w:pPr>
      <w:r>
        <w:rPr>
          <w:rFonts w:hint="eastAsia" w:ascii="宋体" w:hAnsi="宋体"/>
          <w:color w:val="auto"/>
          <w:szCs w:val="21"/>
          <w:highlight w:val="none"/>
        </w:rPr>
        <w:t>5.3乙方有权</w:t>
      </w:r>
      <w:r>
        <w:rPr>
          <w:rFonts w:hint="eastAsia" w:ascii="宋体" w:hAnsi="宋体" w:cs="宋体"/>
          <w:color w:val="auto"/>
          <w:szCs w:val="21"/>
          <w:highlight w:val="none"/>
        </w:rPr>
        <w:t>根据合同约定向甲方收取合同价款。</w:t>
      </w:r>
    </w:p>
    <w:p w14:paraId="7DA90BC1">
      <w:pPr>
        <w:pStyle w:val="14"/>
        <w:spacing w:after="0" w:line="400" w:lineRule="exact"/>
        <w:ind w:firstLine="369"/>
        <w:rPr>
          <w:rFonts w:hint="eastAsia" w:ascii="宋体" w:hAnsi="宋体" w:cs="宋体"/>
          <w:color w:val="auto"/>
          <w:szCs w:val="21"/>
          <w:highlight w:val="none"/>
        </w:rPr>
      </w:pPr>
      <w:r>
        <w:rPr>
          <w:rFonts w:hint="eastAsia" w:ascii="宋体" w:hAnsi="宋体"/>
          <w:color w:val="auto"/>
          <w:szCs w:val="21"/>
          <w:highlight w:val="none"/>
        </w:rPr>
        <w:t>5.4</w:t>
      </w:r>
      <w:r>
        <w:rPr>
          <w:rFonts w:hint="eastAsia" w:ascii="宋体" w:hAnsi="宋体" w:cs="宋体"/>
          <w:color w:val="auto"/>
          <w:szCs w:val="21"/>
          <w:highlight w:val="none"/>
        </w:rPr>
        <w:t>国家法律法规规定</w:t>
      </w:r>
      <w:r>
        <w:rPr>
          <w:rFonts w:hint="eastAsia" w:ascii="宋体" w:hAnsi="宋体"/>
          <w:color w:val="auto"/>
          <w:szCs w:val="21"/>
          <w:highlight w:val="none"/>
        </w:rPr>
        <w:t>及</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约定应由乙方承担的其他义务和责任。</w:t>
      </w:r>
    </w:p>
    <w:p w14:paraId="3431DCD3">
      <w:pPr>
        <w:numPr>
          <w:ilvl w:val="0"/>
          <w:numId w:val="6"/>
        </w:num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合同履行</w:t>
      </w:r>
    </w:p>
    <w:p w14:paraId="51C4B781">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6.1 甲乙双方应当按照</w:t>
      </w:r>
      <w:r>
        <w:rPr>
          <w:rFonts w:hint="eastAsia" w:ascii="宋体" w:hAnsi="宋体" w:cs="宋体"/>
          <w:b/>
          <w:bCs/>
          <w:color w:val="auto"/>
          <w:szCs w:val="21"/>
          <w:highlight w:val="none"/>
        </w:rPr>
        <w:t>【政府采购合同专用条款】</w:t>
      </w:r>
      <w:r>
        <w:rPr>
          <w:rFonts w:hint="eastAsia" w:ascii="宋体" w:hAnsi="宋体"/>
          <w:color w:val="auto"/>
          <w:szCs w:val="21"/>
          <w:highlight w:val="none"/>
        </w:rPr>
        <w:t>约定顺序履行合同义务；如果没有先后顺序的，应当同时履行。</w:t>
      </w:r>
    </w:p>
    <w:p w14:paraId="52A2447E">
      <w:pPr>
        <w:spacing w:line="400" w:lineRule="exact"/>
        <w:ind w:firstLine="420"/>
        <w:jc w:val="left"/>
        <w:rPr>
          <w:rFonts w:hint="eastAsia"/>
          <w:color w:val="auto"/>
          <w:highlight w:val="none"/>
        </w:rPr>
      </w:pPr>
      <w:r>
        <w:rPr>
          <w:rFonts w:hint="eastAsia" w:ascii="宋体" w:hAnsi="宋体"/>
          <w:color w:val="auto"/>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61F5FA09">
      <w:pPr>
        <w:spacing w:line="400" w:lineRule="exact"/>
        <w:jc w:val="left"/>
        <w:rPr>
          <w:rFonts w:ascii="宋体" w:hAnsi="宋体"/>
          <w:b/>
          <w:bCs/>
          <w:color w:val="auto"/>
          <w:sz w:val="24"/>
          <w:highlight w:val="none"/>
        </w:rPr>
      </w:pPr>
      <w:r>
        <w:rPr>
          <w:rFonts w:hint="eastAsia" w:ascii="宋体" w:hAnsi="宋体"/>
          <w:b/>
          <w:bCs/>
          <w:color w:val="auto"/>
          <w:sz w:val="24"/>
          <w:highlight w:val="none"/>
        </w:rPr>
        <w:t>7. 货物包装、运输、保险和交付要求</w:t>
      </w:r>
    </w:p>
    <w:p w14:paraId="5AE9A3B3">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7.1 本合同</w:t>
      </w:r>
      <w:r>
        <w:rPr>
          <w:rFonts w:hint="eastAsia" w:ascii="宋体" w:hAnsi="宋体"/>
          <w:bCs/>
          <w:color w:val="auto"/>
          <w:szCs w:val="21"/>
          <w:highlight w:val="none"/>
        </w:rPr>
        <w:t>涉及商品包装、快递包装的，</w:t>
      </w:r>
      <w:r>
        <w:rPr>
          <w:rFonts w:hint="eastAsia" w:ascii="宋体" w:hAnsi="宋体"/>
          <w:color w:val="auto"/>
          <w:szCs w:val="21"/>
          <w:highlight w:val="none"/>
        </w:rPr>
        <w:t>除</w:t>
      </w:r>
      <w:r>
        <w:rPr>
          <w:rFonts w:hint="eastAsia" w:ascii="宋体" w:hAnsi="宋体"/>
          <w:b/>
          <w:color w:val="auto"/>
          <w:szCs w:val="21"/>
          <w:highlight w:val="none"/>
        </w:rPr>
        <w:t>【政府采购合同专用条款】</w:t>
      </w:r>
      <w:r>
        <w:rPr>
          <w:rFonts w:hint="eastAsia" w:ascii="宋体" w:hAnsi="宋体"/>
          <w:bCs/>
          <w:color w:val="auto"/>
          <w:szCs w:val="21"/>
          <w:highlight w:val="none"/>
        </w:rPr>
        <w:t>另有约定外，</w:t>
      </w:r>
      <w:r>
        <w:rPr>
          <w:rFonts w:hint="eastAsia" w:ascii="宋体" w:hAnsi="宋体"/>
          <w:color w:val="auto"/>
          <w:szCs w:val="21"/>
          <w:highlight w:val="none"/>
        </w:rPr>
        <w:t>包装应适应远距离运输、防潮、防震、防锈和防野蛮装卸等要求，确保货物安全无损地运抵</w:t>
      </w:r>
      <w:r>
        <w:rPr>
          <w:rFonts w:hint="eastAsia" w:ascii="宋体" w:hAnsi="宋体"/>
          <w:b/>
          <w:color w:val="auto"/>
          <w:szCs w:val="21"/>
          <w:highlight w:val="none"/>
        </w:rPr>
        <w:t>【政府采购合同专用条款】</w:t>
      </w:r>
      <w:r>
        <w:rPr>
          <w:rFonts w:hint="eastAsia" w:ascii="宋体" w:hAnsi="宋体"/>
          <w:bCs/>
          <w:color w:val="auto"/>
          <w:szCs w:val="21"/>
          <w:highlight w:val="none"/>
        </w:rPr>
        <w:t>约定的</w:t>
      </w:r>
      <w:r>
        <w:rPr>
          <w:rFonts w:hint="eastAsia" w:ascii="宋体" w:hAnsi="宋体"/>
          <w:color w:val="auto"/>
          <w:szCs w:val="21"/>
          <w:highlight w:val="none"/>
        </w:rPr>
        <w:t>指定现场。</w:t>
      </w:r>
    </w:p>
    <w:p w14:paraId="256C1EBE">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7.2 除</w:t>
      </w:r>
      <w:r>
        <w:rPr>
          <w:rFonts w:hint="eastAsia" w:ascii="宋体" w:hAnsi="宋体"/>
          <w:b/>
          <w:color w:val="auto"/>
          <w:szCs w:val="21"/>
          <w:highlight w:val="none"/>
        </w:rPr>
        <w:t>【政府采购合同专用条款】</w:t>
      </w:r>
      <w:r>
        <w:rPr>
          <w:rFonts w:hint="eastAsia" w:ascii="宋体" w:hAnsi="宋体"/>
          <w:bCs/>
          <w:color w:val="auto"/>
          <w:szCs w:val="21"/>
          <w:highlight w:val="none"/>
        </w:rPr>
        <w:t>另有约定外，</w:t>
      </w:r>
      <w:r>
        <w:rPr>
          <w:rFonts w:hint="eastAsia" w:ascii="宋体" w:hAnsi="宋体"/>
          <w:color w:val="auto"/>
          <w:szCs w:val="21"/>
          <w:highlight w:val="none"/>
        </w:rPr>
        <w:t>乙方负责办理将货物运抵本合同规定的交货地点，并装卸、交付至甲方的一切运输事项，相关费用应包含在合同价款中。</w:t>
      </w:r>
    </w:p>
    <w:p w14:paraId="67D55D7F">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7.3 货物保险要求按</w:t>
      </w:r>
      <w:r>
        <w:rPr>
          <w:rFonts w:hint="eastAsia" w:ascii="宋体" w:hAnsi="宋体"/>
          <w:b/>
          <w:color w:val="auto"/>
          <w:szCs w:val="21"/>
          <w:highlight w:val="none"/>
        </w:rPr>
        <w:t>【政府采购合同专用条款】</w:t>
      </w:r>
      <w:r>
        <w:rPr>
          <w:rFonts w:hint="eastAsia" w:ascii="宋体" w:hAnsi="宋体"/>
          <w:bCs/>
          <w:color w:val="auto"/>
          <w:szCs w:val="21"/>
          <w:highlight w:val="none"/>
        </w:rPr>
        <w:t>规定执行</w:t>
      </w:r>
      <w:r>
        <w:rPr>
          <w:rFonts w:hint="eastAsia" w:ascii="宋体" w:hAnsi="宋体"/>
          <w:color w:val="auto"/>
          <w:szCs w:val="21"/>
          <w:highlight w:val="none"/>
        </w:rPr>
        <w:t>。</w:t>
      </w:r>
    </w:p>
    <w:p w14:paraId="13281C37">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F576BB7">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乙方在运输到达之前应提前通知甲方，并提示货物运输装卸的注意事项，甲方配合乙方做好货物的接收工作。</w:t>
      </w:r>
    </w:p>
    <w:p w14:paraId="43934054">
      <w:pPr>
        <w:pStyle w:val="188"/>
        <w:ind w:firstLine="420"/>
        <w:rPr>
          <w:rFonts w:hint="eastAsia"/>
          <w:color w:val="auto"/>
          <w:sz w:val="21"/>
          <w:highlight w:val="none"/>
        </w:rPr>
      </w:pPr>
      <w:r>
        <w:rPr>
          <w:rFonts w:hint="eastAsia" w:ascii="宋体" w:hAnsi="宋体" w:eastAsia="宋体" w:cs="Times New Roman"/>
          <w:color w:val="auto"/>
          <w:sz w:val="21"/>
          <w:highlight w:val="none"/>
        </w:rPr>
        <w:t>7.6 如因包装、运输问题导致货物损毁、丢失或者品质下降，甲方有权要求降价、换货、拒收部分或整批货物，由此产生的费用和损失，均由乙方承担。</w:t>
      </w:r>
    </w:p>
    <w:p w14:paraId="3B7431DB">
      <w:pPr>
        <w:spacing w:line="400" w:lineRule="exact"/>
        <w:jc w:val="left"/>
        <w:rPr>
          <w:rFonts w:hint="eastAsia" w:ascii="宋体" w:hAnsi="宋体"/>
          <w:b/>
          <w:color w:val="auto"/>
          <w:sz w:val="24"/>
          <w:highlight w:val="none"/>
        </w:rPr>
      </w:pPr>
      <w:r>
        <w:rPr>
          <w:rFonts w:hint="eastAsia" w:ascii="宋体" w:hAnsi="宋体"/>
          <w:b/>
          <w:color w:val="auto"/>
          <w:sz w:val="24"/>
          <w:highlight w:val="none"/>
        </w:rPr>
        <w:t>8. 质量标准和保证</w:t>
      </w:r>
    </w:p>
    <w:p w14:paraId="617D0973">
      <w:pPr>
        <w:pStyle w:val="17"/>
        <w:spacing w:line="400" w:lineRule="exact"/>
        <w:ind w:firstLine="420"/>
        <w:jc w:val="left"/>
        <w:rPr>
          <w:rFonts w:hint="eastAsia" w:hAnsi="宋体"/>
          <w:b/>
          <w:color w:val="auto"/>
          <w:highlight w:val="none"/>
        </w:rPr>
      </w:pPr>
      <w:r>
        <w:rPr>
          <w:rFonts w:hint="eastAsia" w:hAnsi="宋体"/>
          <w:color w:val="auto"/>
          <w:highlight w:val="none"/>
        </w:rPr>
        <w:t>8.1 质量标准</w:t>
      </w:r>
    </w:p>
    <w:p w14:paraId="66F049D7">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（1）本合同下提供的货物应符合合同</w:t>
      </w:r>
      <w:r>
        <w:rPr>
          <w:rFonts w:hint="eastAsia" w:ascii="宋体" w:hAnsi="宋体" w:cs="宋体"/>
          <w:color w:val="auto"/>
          <w:szCs w:val="21"/>
          <w:highlight w:val="none"/>
        </w:rPr>
        <w:t>约定的品牌、规格型号、技术性能、配置、质量、数量等要求。</w:t>
      </w:r>
      <w:r>
        <w:rPr>
          <w:rFonts w:hint="eastAsia" w:ascii="宋体" w:hAnsi="宋体"/>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24891148">
      <w:pPr>
        <w:pStyle w:val="17"/>
        <w:spacing w:line="400" w:lineRule="exact"/>
        <w:ind w:firstLine="420"/>
        <w:jc w:val="left"/>
        <w:rPr>
          <w:rFonts w:hint="eastAsia" w:hAnsi="宋体"/>
          <w:color w:val="auto"/>
          <w:highlight w:val="none"/>
        </w:rPr>
      </w:pPr>
      <w:r>
        <w:rPr>
          <w:rFonts w:hint="eastAsia" w:hAnsi="宋体"/>
          <w:color w:val="auto"/>
          <w:highlight w:val="none"/>
        </w:rPr>
        <w:t>（2）采用中华人民共和国法定计量单位。</w:t>
      </w:r>
    </w:p>
    <w:p w14:paraId="0AA2A7FF">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（3）乙方所提供的货物应符合国家有关安全、环保、卫生的规定。</w:t>
      </w:r>
    </w:p>
    <w:p w14:paraId="69561B7F">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（4）乙方应向甲方提交所提供货物的技术文件，包括相应的中文技术文件，如：产品目录、图纸、操作手册、使用说明、维护手册或服务指南等。上述文件应包装好随货物一同发运。</w:t>
      </w:r>
    </w:p>
    <w:p w14:paraId="2190D2A7">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8.2 保证</w:t>
      </w:r>
    </w:p>
    <w:p w14:paraId="521385C6">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（1）乙方应保证提供的货物完全符合合同规定的质量、规格和性能要求。乙方应保证货物在正确安装、正常使用和保养条件下，</w:t>
      </w:r>
      <w:r>
        <w:rPr>
          <w:rFonts w:hint="eastAsia" w:ascii="宋体" w:hAnsi="宋体" w:cs="宋体"/>
          <w:color w:val="auto"/>
          <w:szCs w:val="21"/>
          <w:highlight w:val="none"/>
        </w:rPr>
        <w:t>在其使用寿命期内具备合同约定的性能</w:t>
      </w:r>
      <w:r>
        <w:rPr>
          <w:rFonts w:hint="eastAsia" w:ascii="宋体" w:hAnsi="宋体"/>
          <w:color w:val="auto"/>
          <w:szCs w:val="21"/>
          <w:highlight w:val="none"/>
        </w:rPr>
        <w:t>。存在质量保证期的，货物最终交付验收合格后在</w:t>
      </w:r>
      <w:r>
        <w:rPr>
          <w:rFonts w:hint="eastAsia" w:ascii="宋体" w:hAnsi="宋体"/>
          <w:b/>
          <w:color w:val="auto"/>
          <w:szCs w:val="21"/>
          <w:highlight w:val="none"/>
        </w:rPr>
        <w:t>【政府采购合同专用条款】</w:t>
      </w:r>
      <w:r>
        <w:rPr>
          <w:rFonts w:hint="eastAsia" w:ascii="宋体" w:hAnsi="宋体"/>
          <w:color w:val="auto"/>
          <w:szCs w:val="21"/>
          <w:highlight w:val="none"/>
        </w:rPr>
        <w:t>规定或乙方书面承诺（两者以较长的为准）的质量保证期内，本保证保持有效。</w:t>
      </w:r>
    </w:p>
    <w:p w14:paraId="1D9807BC">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（2）在质量保证期内所发现的缺陷，甲方应尽快以书面形式通知乙方。</w:t>
      </w:r>
    </w:p>
    <w:p w14:paraId="36B6B675">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（3）乙方收到通知后，应在</w:t>
      </w:r>
      <w:r>
        <w:rPr>
          <w:rFonts w:hint="eastAsia" w:ascii="宋体" w:hAnsi="宋体"/>
          <w:b/>
          <w:color w:val="auto"/>
          <w:szCs w:val="21"/>
          <w:highlight w:val="none"/>
        </w:rPr>
        <w:t>【政府采购合同专用条款】</w:t>
      </w:r>
      <w:r>
        <w:rPr>
          <w:rFonts w:hint="eastAsia" w:ascii="宋体" w:hAnsi="宋体"/>
          <w:color w:val="auto"/>
          <w:szCs w:val="21"/>
          <w:highlight w:val="none"/>
        </w:rPr>
        <w:t>规定的响应时间内以合理的速度免费维修或更换有缺陷的货物或部件。</w:t>
      </w:r>
    </w:p>
    <w:p w14:paraId="6561FCC6">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4586205E">
      <w:pPr>
        <w:spacing w:line="400" w:lineRule="exact"/>
        <w:ind w:firstLine="420"/>
        <w:jc w:val="left"/>
        <w:rPr>
          <w:rFonts w:hint="eastAsia"/>
          <w:color w:val="auto"/>
          <w:highlight w:val="none"/>
        </w:rPr>
      </w:pPr>
      <w:r>
        <w:rPr>
          <w:rFonts w:hint="eastAsia" w:ascii="宋体" w:hAnsi="宋体"/>
          <w:color w:val="auto"/>
          <w:szCs w:val="21"/>
          <w:highlight w:val="none"/>
        </w:rPr>
        <w:t>（5）乙方在约定的时间内未能弥补缺陷，甲方可采取必要的补救措施，但其风险和费用将由乙方承担，甲方根据合同约定对乙方行使的其他权利不受影响。</w:t>
      </w:r>
    </w:p>
    <w:p w14:paraId="5293C885">
      <w:pPr>
        <w:spacing w:line="400" w:lineRule="exact"/>
        <w:jc w:val="left"/>
        <w:rPr>
          <w:rFonts w:ascii="宋体" w:hAnsi="宋体"/>
          <w:b/>
          <w:bCs/>
          <w:color w:val="auto"/>
          <w:sz w:val="24"/>
          <w:highlight w:val="none"/>
        </w:rPr>
      </w:pPr>
      <w:r>
        <w:rPr>
          <w:rFonts w:hint="eastAsia" w:ascii="宋体" w:hAnsi="宋体"/>
          <w:b/>
          <w:bCs/>
          <w:color w:val="auto"/>
          <w:sz w:val="24"/>
          <w:highlight w:val="none"/>
        </w:rPr>
        <w:t>9. 权利瑕疵担保</w:t>
      </w:r>
    </w:p>
    <w:p w14:paraId="16AB76CC">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9.1 乙方保证对其出售的货物享有合法的权利。</w:t>
      </w:r>
    </w:p>
    <w:p w14:paraId="5805FCB7">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乙方保证在交付的货物上不存在抵押权等担保物权。</w:t>
      </w:r>
    </w:p>
    <w:p w14:paraId="53E94D3D">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9.3 如甲方使用上述货物构成对第三人侵权的，则由乙方承担全部责任。</w:t>
      </w:r>
    </w:p>
    <w:p w14:paraId="2E0804B2">
      <w:p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10. 知识产权保护</w:t>
      </w:r>
    </w:p>
    <w:p w14:paraId="7670920C">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10.1 乙方对其所销售的货物应当享有知识产权或经权利人合法授权，保证没有侵犯任何第三人的知识产权等权利。</w:t>
      </w:r>
      <w:bookmarkStart w:id="158" w:name="_Hlk163047038"/>
      <w:r>
        <w:rPr>
          <w:rFonts w:hint="eastAsia" w:ascii="宋体" w:hAnsi="宋体" w:cs="宋体"/>
          <w:color w:val="auto"/>
          <w:szCs w:val="15"/>
          <w:highlight w:val="none"/>
        </w:rPr>
        <w:t>因违反前述约定对第三人构成侵权的，应当由乙方向第三人承担法律责任；甲方依法向第三人赔偿后，有权向乙方追偿。甲方有其他损失的，乙方应当赔偿</w:t>
      </w:r>
      <w:bookmarkEnd w:id="158"/>
      <w:r>
        <w:rPr>
          <w:rFonts w:hint="eastAsia" w:ascii="宋体" w:hAnsi="宋体"/>
          <w:color w:val="auto"/>
          <w:szCs w:val="21"/>
          <w:highlight w:val="none"/>
        </w:rPr>
        <w:t>。</w:t>
      </w:r>
    </w:p>
    <w:p w14:paraId="27B990C7">
      <w:p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11. 保密义务</w:t>
      </w:r>
    </w:p>
    <w:p w14:paraId="12F72116">
      <w:pPr>
        <w:spacing w:line="400" w:lineRule="exact"/>
        <w:ind w:firstLine="420"/>
        <w:jc w:val="left"/>
        <w:rPr>
          <w:rFonts w:hint="eastAsia" w:ascii="宋体" w:hAnsi="宋体" w:cs="宋体"/>
          <w:color w:val="auto"/>
          <w:szCs w:val="15"/>
          <w:highlight w:val="none"/>
        </w:rPr>
      </w:pPr>
      <w:r>
        <w:rPr>
          <w:rFonts w:hint="eastAsia" w:ascii="宋体" w:hAnsi="宋体" w:cs="宋体"/>
          <w:color w:val="auto"/>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【政府采购合同专用条款】</w:t>
      </w:r>
      <w:r>
        <w:rPr>
          <w:rFonts w:hint="eastAsia" w:ascii="宋体" w:hAnsi="宋体" w:cs="宋体"/>
          <w:color w:val="auto"/>
          <w:szCs w:val="15"/>
          <w:highlight w:val="none"/>
        </w:rPr>
        <w:t>中约定。</w:t>
      </w:r>
    </w:p>
    <w:p w14:paraId="03185F45">
      <w:p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12. 合同价款支付</w:t>
      </w:r>
    </w:p>
    <w:p w14:paraId="1E756B5C">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12.1 合同价款支付按照国库集中支付制度及财政管理相关规定执行。</w:t>
      </w:r>
    </w:p>
    <w:p w14:paraId="52D57ACC">
      <w:pPr>
        <w:pStyle w:val="3"/>
        <w:spacing w:line="400" w:lineRule="exact"/>
        <w:ind w:firstLine="420"/>
        <w:rPr>
          <w:rFonts w:hint="eastAsia"/>
          <w:color w:val="auto"/>
          <w:highlight w:val="none"/>
        </w:rPr>
      </w:pPr>
      <w:r>
        <w:rPr>
          <w:rFonts w:hint="eastAsia" w:ascii="宋体" w:hAnsi="宋体"/>
          <w:b w:val="0"/>
          <w:bCs w:val="0"/>
          <w:color w:val="auto"/>
          <w:sz w:val="21"/>
          <w:szCs w:val="21"/>
          <w:highlight w:val="none"/>
        </w:rPr>
        <w:t>12.2 对于满足合同约定支付条件的，甲方原则上应当自收到发票后10个工作日内将资金支付到合同约定的乙方账户，不得以机构变动、人员更替、政策调整等为由迟延付款，不得将谈判文件和合同中未规定的义务作为向乙方付款的条件。具体合同价款支付时间在【</w:t>
      </w:r>
      <w:r>
        <w:rPr>
          <w:rFonts w:hint="eastAsia" w:ascii="宋体" w:hAnsi="宋体"/>
          <w:color w:val="auto"/>
          <w:sz w:val="21"/>
          <w:szCs w:val="21"/>
          <w:highlight w:val="none"/>
        </w:rPr>
        <w:t>政府采购合同专用条款</w:t>
      </w:r>
      <w:r>
        <w:rPr>
          <w:rFonts w:hint="eastAsia" w:ascii="宋体" w:hAnsi="宋体"/>
          <w:b w:val="0"/>
          <w:bCs w:val="0"/>
          <w:color w:val="auto"/>
          <w:sz w:val="21"/>
          <w:szCs w:val="21"/>
          <w:highlight w:val="none"/>
        </w:rPr>
        <w:t>】中约定。</w:t>
      </w:r>
    </w:p>
    <w:p w14:paraId="5EA26A9D">
      <w:pPr>
        <w:pStyle w:val="14"/>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13. 履约保证金</w:t>
      </w:r>
    </w:p>
    <w:p w14:paraId="04227D4E">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乙方应当以支票、汇票、本票或者金融机构、担保机构出具的保函等非现金形式提交。</w:t>
      </w:r>
    </w:p>
    <w:p w14:paraId="37616A62">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13.2 如果乙方出现</w:t>
      </w:r>
      <w:r>
        <w:rPr>
          <w:rFonts w:hint="eastAsia" w:ascii="宋体" w:hAnsi="宋体" w:cs="宋体"/>
          <w:b/>
          <w:bCs/>
          <w:color w:val="auto"/>
          <w:szCs w:val="15"/>
          <w:highlight w:val="none"/>
        </w:rPr>
        <w:t>【政府采购合同专用条款】</w:t>
      </w:r>
      <w:r>
        <w:rPr>
          <w:rFonts w:hint="eastAsia" w:ascii="宋体" w:hAnsi="宋体" w:cs="宋体"/>
          <w:color w:val="auto"/>
          <w:szCs w:val="15"/>
          <w:highlight w:val="none"/>
        </w:rPr>
        <w:t>约定情形的</w:t>
      </w:r>
      <w:r>
        <w:rPr>
          <w:rFonts w:hint="eastAsia" w:ascii="宋体" w:hAnsi="宋体"/>
          <w:color w:val="auto"/>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4211445B">
      <w:pPr>
        <w:spacing w:line="400" w:lineRule="exact"/>
        <w:ind w:firstLine="420"/>
        <w:rPr>
          <w:rFonts w:hint="eastAsia"/>
          <w:color w:val="auto"/>
          <w:highlight w:val="none"/>
        </w:rPr>
      </w:pPr>
      <w:r>
        <w:rPr>
          <w:rFonts w:hint="eastAsia" w:ascii="宋体" w:hAnsi="宋体"/>
          <w:color w:val="auto"/>
          <w:szCs w:val="21"/>
          <w:highlight w:val="none"/>
        </w:rPr>
        <w:t>13.3 甲方在项目通过验收后按照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规定的时间内将履约保证金退还乙方；逾期退还的，乙方可要求甲方支付违约金，违约金按照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规定支付。</w:t>
      </w:r>
    </w:p>
    <w:p w14:paraId="4CE0D044">
      <w:pPr>
        <w:spacing w:line="400" w:lineRule="exact"/>
        <w:jc w:val="left"/>
        <w:rPr>
          <w:rFonts w:ascii="宋体" w:hAnsi="宋体"/>
          <w:b/>
          <w:color w:val="auto"/>
          <w:sz w:val="24"/>
          <w:highlight w:val="none"/>
        </w:rPr>
      </w:pPr>
      <w:r>
        <w:rPr>
          <w:rFonts w:hint="eastAsia" w:ascii="宋体" w:hAnsi="宋体"/>
          <w:b/>
          <w:bCs/>
          <w:color w:val="auto"/>
          <w:sz w:val="24"/>
          <w:highlight w:val="none"/>
        </w:rPr>
        <w:t xml:space="preserve">14. </w:t>
      </w:r>
      <w:r>
        <w:rPr>
          <w:rFonts w:hint="eastAsia"/>
          <w:b/>
          <w:color w:val="auto"/>
          <w:sz w:val="24"/>
          <w:highlight w:val="none"/>
        </w:rPr>
        <w:t>售后</w:t>
      </w:r>
      <w:r>
        <w:rPr>
          <w:rFonts w:hint="eastAsia" w:ascii="宋体" w:hAnsi="宋体"/>
          <w:b/>
          <w:color w:val="auto"/>
          <w:sz w:val="24"/>
          <w:highlight w:val="none"/>
        </w:rPr>
        <w:t>服务</w:t>
      </w:r>
    </w:p>
    <w:p w14:paraId="3AC2B28B">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14.1 除项目不涉及或采购活动中明确约定无须承担外，乙方还应提供下列服务：</w:t>
      </w:r>
    </w:p>
    <w:p w14:paraId="66786709">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（1）货物的现场移动、安装、调试、启动监督及技术支持；</w:t>
      </w:r>
    </w:p>
    <w:p w14:paraId="79E1F598">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（2）提供货物组装和维修所需的专用工具和辅助材料；</w:t>
      </w:r>
    </w:p>
    <w:p w14:paraId="7DFC9D8E">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（3）在</w:t>
      </w:r>
      <w:r>
        <w:rPr>
          <w:rFonts w:hint="eastAsia" w:ascii="宋体" w:hAnsi="宋体" w:cs="宋体"/>
          <w:b/>
          <w:bCs/>
          <w:color w:val="auto"/>
          <w:szCs w:val="15"/>
          <w:highlight w:val="none"/>
        </w:rPr>
        <w:t>【政府采购合同专用条款】</w:t>
      </w:r>
      <w:r>
        <w:rPr>
          <w:rFonts w:hint="eastAsia" w:ascii="宋体" w:hAnsi="宋体"/>
          <w:color w:val="auto"/>
          <w:szCs w:val="21"/>
          <w:highlight w:val="none"/>
        </w:rPr>
        <w:t>约定的期限内对所有的货物实施运行监督、维修，但前提条件是该服务并不能免除乙方在质量保证期内所承担的义务；</w:t>
      </w:r>
    </w:p>
    <w:p w14:paraId="47E1BDF0">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（4）在制造商所在地或指定现场就货物的安装、启动、运营、维护、废弃处置等对甲方操作人员进行培训</w:t>
      </w:r>
      <w:r>
        <w:rPr>
          <w:rFonts w:hint="eastAsia" w:ascii="宋体" w:hAnsi="宋体" w:cs="宋体"/>
          <w:color w:val="auto"/>
          <w:szCs w:val="15"/>
          <w:highlight w:val="none"/>
        </w:rPr>
        <w:t>；</w:t>
      </w:r>
    </w:p>
    <w:p w14:paraId="4F20BF1D">
      <w:pPr>
        <w:pStyle w:val="188"/>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（5）依照法律、行政法规的规定或者按照</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约定，货物在有效使用年限届满后应予回收的，乙方负有自行或者委托第三人对货物予以回收的义务；</w:t>
      </w:r>
    </w:p>
    <w:p w14:paraId="3738588E">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（6）</w:t>
      </w:r>
      <w:r>
        <w:rPr>
          <w:rFonts w:hint="eastAsia" w:ascii="宋体" w:hAnsi="宋体"/>
          <w:b/>
          <w:color w:val="auto"/>
          <w:szCs w:val="21"/>
          <w:highlight w:val="none"/>
        </w:rPr>
        <w:t>【政府采购合同专用条款】</w:t>
      </w:r>
      <w:r>
        <w:rPr>
          <w:rFonts w:hint="eastAsia" w:ascii="宋体" w:hAnsi="宋体"/>
          <w:color w:val="auto"/>
          <w:szCs w:val="21"/>
          <w:highlight w:val="none"/>
        </w:rPr>
        <w:t>规定由乙方提供的其他服务。</w:t>
      </w:r>
    </w:p>
    <w:p w14:paraId="45671149">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14.2 乙方提供的售后服务的费用已包含在合同价款中，甲方不再另行支付。</w:t>
      </w:r>
    </w:p>
    <w:p w14:paraId="24EDF08D">
      <w:p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15. 违约责任</w:t>
      </w:r>
    </w:p>
    <w:p w14:paraId="5602A9FD">
      <w:pPr>
        <w:spacing w:line="400" w:lineRule="exact"/>
        <w:ind w:firstLine="420"/>
        <w:jc w:val="left"/>
        <w:rPr>
          <w:rFonts w:hint="eastAsia" w:ascii="宋体" w:hAnsi="宋体"/>
          <w:bCs/>
          <w:color w:val="auto"/>
          <w:szCs w:val="21"/>
          <w:highlight w:val="none"/>
        </w:rPr>
      </w:pPr>
      <w:r>
        <w:rPr>
          <w:rFonts w:hint="eastAsia" w:ascii="宋体" w:hAnsi="宋体"/>
          <w:bCs/>
          <w:color w:val="auto"/>
          <w:szCs w:val="21"/>
          <w:highlight w:val="none"/>
        </w:rPr>
        <w:t>15.1质量瑕疵的违约责任</w:t>
      </w:r>
    </w:p>
    <w:p w14:paraId="6039EDB5">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乙方提供的产品不符合合同约定的质量标准或存在产品质量缺陷，甲方有权要求乙方根据</w:t>
      </w:r>
      <w:r>
        <w:rPr>
          <w:rFonts w:hint="eastAsia" w:ascii="宋体" w:hAnsi="宋体"/>
          <w:b/>
          <w:color w:val="auto"/>
          <w:szCs w:val="21"/>
          <w:highlight w:val="none"/>
        </w:rPr>
        <w:t>【政府采购合同专用条款】</w:t>
      </w:r>
      <w:r>
        <w:rPr>
          <w:rFonts w:hint="eastAsia" w:ascii="宋体" w:hAnsi="宋体"/>
          <w:bCs/>
          <w:color w:val="auto"/>
          <w:szCs w:val="21"/>
          <w:highlight w:val="none"/>
        </w:rPr>
        <w:t>要求</w:t>
      </w:r>
      <w:r>
        <w:rPr>
          <w:rFonts w:hint="eastAsia" w:ascii="宋体" w:hAnsi="宋体"/>
          <w:color w:val="auto"/>
          <w:szCs w:val="21"/>
          <w:highlight w:val="none"/>
        </w:rPr>
        <w:t>及时修理、重作、更换，并承担由此给甲方造成的损失。</w:t>
      </w:r>
    </w:p>
    <w:p w14:paraId="0BBABF99">
      <w:pPr>
        <w:spacing w:line="400" w:lineRule="exact"/>
        <w:ind w:firstLine="420"/>
        <w:jc w:val="left"/>
        <w:rPr>
          <w:rFonts w:hint="eastAsia" w:ascii="宋体" w:hAnsi="宋体"/>
          <w:bCs/>
          <w:color w:val="auto"/>
          <w:szCs w:val="21"/>
          <w:highlight w:val="none"/>
        </w:rPr>
      </w:pPr>
      <w:r>
        <w:rPr>
          <w:rFonts w:hint="eastAsia" w:ascii="宋体" w:hAnsi="宋体"/>
          <w:bCs/>
          <w:color w:val="auto"/>
          <w:szCs w:val="21"/>
          <w:highlight w:val="none"/>
        </w:rPr>
        <w:t>15.2 迟延交货的违约责任</w:t>
      </w:r>
    </w:p>
    <w:p w14:paraId="448721B2">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1E45EA0F">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【政府采购合同专用条款】</w:t>
      </w:r>
      <w:r>
        <w:rPr>
          <w:rFonts w:hint="eastAsia" w:ascii="宋体" w:hAnsi="宋体"/>
          <w:color w:val="auto"/>
          <w:szCs w:val="21"/>
          <w:highlight w:val="none"/>
        </w:rPr>
        <w:t>规定执行。如果涉及公共利益，且赔偿金额无法弥补公共利益损失，甲方可要求继续履行或者采取其他补救措施。</w:t>
      </w:r>
    </w:p>
    <w:p w14:paraId="280E617E">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15.3 迟延支付的违约责任</w:t>
      </w:r>
    </w:p>
    <w:p w14:paraId="0E91A7FD">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甲方存在迟延支付乙方合同款项的，应当承担</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规定的逾期付款利息。</w:t>
      </w:r>
    </w:p>
    <w:p w14:paraId="74476187">
      <w:pPr>
        <w:spacing w:line="400" w:lineRule="exact"/>
        <w:ind w:firstLine="420"/>
        <w:jc w:val="left"/>
        <w:rPr>
          <w:rFonts w:hint="eastAsia" w:ascii="宋体" w:hAnsi="宋体"/>
          <w:color w:val="auto"/>
          <w:szCs w:val="21"/>
          <w:highlight w:val="none"/>
        </w:rPr>
      </w:pPr>
      <w:r>
        <w:rPr>
          <w:rFonts w:hint="eastAsia" w:ascii="宋体" w:hAnsi="宋体"/>
          <w:bCs/>
          <w:color w:val="auto"/>
          <w:szCs w:val="21"/>
          <w:highlight w:val="none"/>
        </w:rPr>
        <w:t>15.4其他违约责任根据项目实际需要按</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规定执行。</w:t>
      </w:r>
    </w:p>
    <w:p w14:paraId="6F25243E">
      <w:pPr>
        <w:numPr>
          <w:ilvl w:val="0"/>
          <w:numId w:val="7"/>
        </w:numPr>
        <w:spacing w:line="400" w:lineRule="exact"/>
        <w:jc w:val="left"/>
        <w:rPr>
          <w:rFonts w:hint="eastAsia" w:ascii="宋体" w:hAnsi="宋体"/>
          <w:b/>
          <w:color w:val="auto"/>
          <w:sz w:val="24"/>
          <w:highlight w:val="none"/>
        </w:rPr>
      </w:pPr>
      <w:r>
        <w:rPr>
          <w:rFonts w:hint="eastAsia" w:ascii="宋体" w:hAnsi="宋体"/>
          <w:b/>
          <w:color w:val="auto"/>
          <w:sz w:val="24"/>
          <w:highlight w:val="none"/>
        </w:rPr>
        <w:t>合同变更、中止与终止</w:t>
      </w:r>
    </w:p>
    <w:p w14:paraId="53634BDA">
      <w:pPr>
        <w:spacing w:line="400" w:lineRule="exact"/>
        <w:jc w:val="left"/>
        <w:rPr>
          <w:rFonts w:hint="eastAsia" w:ascii="宋体" w:hAnsi="宋体"/>
          <w:color w:val="auto"/>
          <w:szCs w:val="21"/>
          <w:highlight w:val="none"/>
        </w:rPr>
      </w:pPr>
      <w:r>
        <w:rPr>
          <w:rFonts w:hint="eastAsia" w:ascii="宋体" w:hAnsi="宋体"/>
          <w:color w:val="auto"/>
          <w:szCs w:val="21"/>
          <w:highlight w:val="none"/>
        </w:rPr>
        <w:t xml:space="preserve">    16.1合同的变更</w:t>
      </w:r>
    </w:p>
    <w:p w14:paraId="4FD538A4">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政府采购合同履行中，在不改变合同其他条款的前提下，甲方可以在合同价款10%的范围内追加与合同标的相同的货物，并就此与乙方协商一致后签订补充协议。</w:t>
      </w:r>
    </w:p>
    <w:p w14:paraId="3C4049C9">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16.2合同的中止</w:t>
      </w:r>
    </w:p>
    <w:p w14:paraId="72907442">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（1）合同履行过程中因供应商就谈判文件、采购过程或结果提起投诉的，甲方认为有必要的，可以中止合同的履行。</w:t>
      </w:r>
    </w:p>
    <w:p w14:paraId="4C9B4D5B">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5CBBEB0">
      <w:pPr>
        <w:pStyle w:val="188"/>
        <w:ind w:firstLine="420"/>
        <w:jc w:val="both"/>
        <w:rPr>
          <w:rFonts w:hint="eastAsia"/>
          <w:color w:val="auto"/>
          <w:sz w:val="21"/>
          <w:highlight w:val="none"/>
        </w:rPr>
      </w:pPr>
      <w:r>
        <w:rPr>
          <w:rFonts w:hint="eastAsia" w:ascii="宋体" w:hAnsi="宋体" w:eastAsia="宋体" w:cs="宋体"/>
          <w:color w:val="auto"/>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1ADCB318">
      <w:pPr>
        <w:spacing w:line="400" w:lineRule="exact"/>
        <w:ind w:firstLine="420"/>
        <w:jc w:val="left"/>
        <w:rPr>
          <w:rFonts w:hint="eastAsia"/>
          <w:color w:val="auto"/>
          <w:highlight w:val="none"/>
        </w:rPr>
      </w:pPr>
      <w:r>
        <w:rPr>
          <w:rFonts w:hint="eastAsia" w:ascii="宋体" w:hAnsi="宋体"/>
          <w:color w:val="auto"/>
          <w:szCs w:val="21"/>
          <w:highlight w:val="none"/>
        </w:rPr>
        <w:t>（4）甲方不得以行政区划调整、政府换届、机构或者职能调整以及相关责任人更替为由中止合同。</w:t>
      </w:r>
    </w:p>
    <w:p w14:paraId="6B411103">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16.3合同的终止</w:t>
      </w:r>
    </w:p>
    <w:p w14:paraId="3EA4F1F2">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（1）合同因有效期限届满而终止；</w:t>
      </w:r>
    </w:p>
    <w:p w14:paraId="0BEBD3D6">
      <w:pPr>
        <w:spacing w:line="400" w:lineRule="exact"/>
        <w:ind w:firstLine="420"/>
        <w:rPr>
          <w:rFonts w:hint="eastAsia" w:ascii="宋体" w:hAnsi="宋体" w:cs="宋体"/>
          <w:color w:val="auto"/>
          <w:szCs w:val="21"/>
          <w:highlight w:val="none"/>
        </w:rPr>
      </w:pPr>
      <w:r>
        <w:rPr>
          <w:rFonts w:hint="eastAsia" w:ascii="宋体" w:hAnsi="宋体"/>
          <w:color w:val="auto"/>
          <w:szCs w:val="21"/>
          <w:highlight w:val="none"/>
        </w:rPr>
        <w:t>（2）乙方未按合同约定履行，构成根本性违约的，甲方有权终止合同，</w:t>
      </w:r>
      <w:r>
        <w:rPr>
          <w:rFonts w:hint="eastAsia" w:ascii="宋体" w:hAnsi="宋体" w:cs="宋体"/>
          <w:color w:val="auto"/>
          <w:szCs w:val="21"/>
          <w:highlight w:val="none"/>
        </w:rPr>
        <w:t>并追究乙方的违约责任</w:t>
      </w:r>
      <w:r>
        <w:rPr>
          <w:rFonts w:hint="eastAsia" w:ascii="宋体" w:hAnsi="宋体"/>
          <w:color w:val="auto"/>
          <w:szCs w:val="21"/>
          <w:highlight w:val="none"/>
        </w:rPr>
        <w:t>。</w:t>
      </w:r>
    </w:p>
    <w:p w14:paraId="664771A4">
      <w:pPr>
        <w:pStyle w:val="188"/>
        <w:rPr>
          <w:rFonts w:hint="eastAsia" w:ascii="宋体" w:hAnsi="宋体"/>
          <w:color w:val="auto"/>
          <w:highlight w:val="none"/>
        </w:rPr>
      </w:pPr>
      <w:r>
        <w:rPr>
          <w:rFonts w:hint="eastAsia" w:ascii="宋体" w:hAnsi="宋体"/>
          <w:color w:val="auto"/>
          <w:highlight w:val="none"/>
        </w:rPr>
        <w:t xml:space="preserve">16.4 </w:t>
      </w:r>
      <w:r>
        <w:rPr>
          <w:rFonts w:hint="eastAsia" w:ascii="宋体" w:hAnsi="宋体" w:eastAsia="宋体" w:cs="Times New Roman"/>
          <w:color w:val="auto"/>
          <w:sz w:val="21"/>
          <w:highlight w:val="none"/>
        </w:rPr>
        <w:t>涉及国家利益、社会公共利益的情形</w:t>
      </w:r>
    </w:p>
    <w:p w14:paraId="24299CB9">
      <w:pPr>
        <w:pStyle w:val="188"/>
        <w:ind w:firstLine="420"/>
        <w:jc w:val="both"/>
        <w:rPr>
          <w:rFonts w:hint="eastAsia"/>
          <w:color w:val="auto"/>
          <w:sz w:val="21"/>
          <w:highlight w:val="none"/>
        </w:rPr>
      </w:pPr>
      <w:r>
        <w:rPr>
          <w:rFonts w:hint="eastAsia" w:ascii="宋体" w:hAnsi="宋体" w:eastAsia="宋体" w:cs="宋体"/>
          <w:color w:val="auto"/>
          <w:sz w:val="21"/>
          <w:highlight w:val="none"/>
        </w:rPr>
        <w:t>政府采购合同继续履行将损害国家利益和社会公共利益的，双方当事人应当变更、中止或者终止合同。有过错的一方应当承担赔偿责任，双方都有过错的，各自承担相应的责任。</w:t>
      </w:r>
    </w:p>
    <w:p w14:paraId="4EBB3831">
      <w:p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17. 合同分包</w:t>
      </w:r>
    </w:p>
    <w:p w14:paraId="1DE0C4C7">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17.1 乙方不得将合同转包给其他供应商。涉及合同分包的，乙方应根据谈判文件和投标（响应）文件规定进行合同分包。</w:t>
      </w:r>
    </w:p>
    <w:p w14:paraId="3C6F2424">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17.2 乙方执行政府采购政策向中小企业依法分包的，乙方应当按谈判文件和投标（响应）文件签订分包意向协议，分包意向协议属于本合同组成部分。</w:t>
      </w:r>
    </w:p>
    <w:p w14:paraId="07B6B8A5">
      <w:p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18. 不可抗力</w:t>
      </w:r>
    </w:p>
    <w:p w14:paraId="2BCD6763">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18.1 不可抗力是指合同双方不能预见、不能避免且不能克服的客观情况。</w:t>
      </w:r>
    </w:p>
    <w:p w14:paraId="7C8315CF">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18.2 任何一方对由于不可抗力造成的部分或全部不能履行合同不承担违约责任。但迟延履行后发生不可抗力的，不能免除责任。</w:t>
      </w:r>
    </w:p>
    <w:p w14:paraId="2645BF0A">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6A923103">
      <w:p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19. 解决争议的方法</w:t>
      </w:r>
    </w:p>
    <w:p w14:paraId="35188347">
      <w:pPr>
        <w:pStyle w:val="18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2BC04F91">
      <w:pPr>
        <w:pStyle w:val="18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19.2 选择仲裁的，应在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中明确仲裁机构及仲裁地；通过诉讼方式解决的，可以在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中进一步约定选择与争议有实际联系的地点的人民法院管辖，但管辖法院的约定不得违反级别管辖和专属管辖的规定。</w:t>
      </w:r>
    </w:p>
    <w:p w14:paraId="223C14FE">
      <w:pPr>
        <w:pStyle w:val="18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19.3 如甲乙双方有争议的事项不影响合同其他部分的履行，在争议解决期间，合同其他部分应当继续履行。</w:t>
      </w:r>
    </w:p>
    <w:p w14:paraId="1440C589">
      <w:pPr>
        <w:spacing w:line="400" w:lineRule="exact"/>
        <w:jc w:val="left"/>
        <w:rPr>
          <w:rFonts w:hint="eastAsia" w:ascii="宋体" w:hAnsi="宋体"/>
          <w:color w:val="auto"/>
          <w:sz w:val="24"/>
          <w:highlight w:val="none"/>
        </w:rPr>
      </w:pPr>
      <w:r>
        <w:rPr>
          <w:rFonts w:hint="eastAsia" w:ascii="宋体" w:hAnsi="宋体"/>
          <w:b/>
          <w:color w:val="auto"/>
          <w:sz w:val="24"/>
          <w:highlight w:val="none"/>
        </w:rPr>
        <w:t>20. 政府采购政策</w:t>
      </w:r>
    </w:p>
    <w:p w14:paraId="3E9DCA41">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highlight w:val="none"/>
          <w:lang w:val="en-GB"/>
        </w:rPr>
        <w:t>本合同应当按照规定执行政府采购政策。</w:t>
      </w:r>
    </w:p>
    <w:p w14:paraId="4FF9A277">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20.2 本合同依法执行政府采购政策的方式和内容，属于合同履约验收的范围。</w:t>
      </w:r>
      <w:r>
        <w:rPr>
          <w:rFonts w:hint="eastAsia" w:ascii="宋体" w:hAnsi="宋体" w:cs="宋体"/>
          <w:color w:val="auto"/>
          <w:highlight w:val="none"/>
        </w:rPr>
        <w:t>甲乙双方</w:t>
      </w:r>
      <w:r>
        <w:rPr>
          <w:rFonts w:hint="eastAsia" w:ascii="宋体" w:hAnsi="宋体" w:cs="宋体"/>
          <w:color w:val="auto"/>
          <w:highlight w:val="none"/>
          <w:lang w:val="en-GB"/>
        </w:rPr>
        <w:t>未按规定要求执行政府采购政策造成损失的</w:t>
      </w:r>
      <w:r>
        <w:rPr>
          <w:rFonts w:hint="eastAsia" w:ascii="宋体" w:hAnsi="宋体"/>
          <w:color w:val="auto"/>
          <w:szCs w:val="21"/>
          <w:highlight w:val="none"/>
        </w:rPr>
        <w:t>，有过错的一方应当承担赔偿责任，双方都有过错的，各自承担相应的责任。</w:t>
      </w:r>
    </w:p>
    <w:p w14:paraId="1CA5B04E">
      <w:pPr>
        <w:pStyle w:val="14"/>
        <w:spacing w:after="0" w:line="400" w:lineRule="exact"/>
        <w:ind w:firstLine="420"/>
        <w:rPr>
          <w:rFonts w:hint="eastAsia"/>
          <w:color w:val="auto"/>
          <w:highlight w:val="none"/>
        </w:rPr>
      </w:pPr>
      <w:r>
        <w:rPr>
          <w:rFonts w:hint="eastAsia" w:ascii="宋体" w:hAnsi="宋体"/>
          <w:color w:val="auto"/>
          <w:szCs w:val="21"/>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BB849BD">
      <w:pPr>
        <w:spacing w:line="400" w:lineRule="exact"/>
        <w:jc w:val="left"/>
        <w:rPr>
          <w:rFonts w:ascii="宋体" w:hAnsi="宋体"/>
          <w:b/>
          <w:color w:val="auto"/>
          <w:sz w:val="24"/>
          <w:highlight w:val="none"/>
        </w:rPr>
      </w:pPr>
      <w:r>
        <w:rPr>
          <w:rFonts w:hint="eastAsia" w:ascii="宋体" w:hAnsi="宋体"/>
          <w:b/>
          <w:color w:val="auto"/>
          <w:sz w:val="24"/>
          <w:highlight w:val="none"/>
        </w:rPr>
        <w:t>21. 法律适用</w:t>
      </w:r>
    </w:p>
    <w:p w14:paraId="20D63E4A">
      <w:pPr>
        <w:pStyle w:val="18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21.1 本合同的订立、生效、解释、履行及与本合同有关的争议解决，均适用法律、行政法规。</w:t>
      </w:r>
    </w:p>
    <w:p w14:paraId="26B9210B">
      <w:pPr>
        <w:pStyle w:val="18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21.2 本合同条款与法律、行政法规的强制性规定不一致的，双方当事人应按照法律、行政法规的强制性规定修改本合同的相关条款。</w:t>
      </w:r>
    </w:p>
    <w:p w14:paraId="25C045BC">
      <w:pPr>
        <w:spacing w:line="400" w:lineRule="exact"/>
        <w:jc w:val="left"/>
        <w:rPr>
          <w:rFonts w:hint="eastAsia" w:ascii="宋体" w:hAnsi="宋体"/>
          <w:b/>
          <w:color w:val="auto"/>
          <w:sz w:val="24"/>
          <w:highlight w:val="none"/>
        </w:rPr>
      </w:pPr>
      <w:r>
        <w:rPr>
          <w:rFonts w:hint="eastAsia" w:ascii="宋体" w:hAnsi="宋体"/>
          <w:b/>
          <w:color w:val="auto"/>
          <w:sz w:val="24"/>
          <w:highlight w:val="none"/>
        </w:rPr>
        <w:t>22. 通知</w:t>
      </w:r>
    </w:p>
    <w:p w14:paraId="71C98659">
      <w:pPr>
        <w:pStyle w:val="18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22.1 本合同任何一方向对方发出的通知、信件、数据电文等，应当发送至本合同第一部分《政府采购合同协议书》所约定的通讯地址、联系人、联系电话或电子邮箱。</w:t>
      </w:r>
    </w:p>
    <w:p w14:paraId="42668A7D">
      <w:pPr>
        <w:pStyle w:val="188"/>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p>
    <w:p w14:paraId="4BD550E0">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22.3本合同一方给另一方的通知均应采用书面形式，传真或快递送到本合同中规定的对方的地址和办理签收手续。</w:t>
      </w:r>
    </w:p>
    <w:p w14:paraId="0090CF53">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22.4通知以送达之日或通知书中规定的生效之日起生效，两者中以较迟之日为准。</w:t>
      </w:r>
    </w:p>
    <w:p w14:paraId="2C10C798">
      <w:pPr>
        <w:numPr>
          <w:ilvl w:val="0"/>
          <w:numId w:val="8"/>
        </w:num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合同未尽事项</w:t>
      </w:r>
    </w:p>
    <w:p w14:paraId="3800F9DD">
      <w:pPr>
        <w:spacing w:line="400" w:lineRule="exact"/>
        <w:ind w:firstLine="420"/>
        <w:jc w:val="left"/>
        <w:rPr>
          <w:rFonts w:hint="eastAsia" w:ascii="宋体" w:hAnsi="宋体"/>
          <w:bCs/>
          <w:color w:val="auto"/>
          <w:szCs w:val="21"/>
          <w:highlight w:val="none"/>
        </w:rPr>
      </w:pPr>
      <w:r>
        <w:rPr>
          <w:rFonts w:hint="eastAsia" w:ascii="宋体" w:hAnsi="宋体"/>
          <w:bCs/>
          <w:color w:val="auto"/>
          <w:szCs w:val="21"/>
          <w:highlight w:val="none"/>
        </w:rPr>
        <w:t>23.1合同未尽事项见</w:t>
      </w:r>
      <w:r>
        <w:rPr>
          <w:rFonts w:hint="eastAsia" w:ascii="宋体" w:hAnsi="宋体"/>
          <w:b/>
          <w:color w:val="auto"/>
          <w:szCs w:val="21"/>
          <w:highlight w:val="none"/>
        </w:rPr>
        <w:t>【政府采购合同专用条款】</w:t>
      </w:r>
      <w:r>
        <w:rPr>
          <w:rFonts w:hint="eastAsia" w:ascii="宋体" w:hAnsi="宋体"/>
          <w:bCs/>
          <w:color w:val="auto"/>
          <w:szCs w:val="21"/>
          <w:highlight w:val="none"/>
        </w:rPr>
        <w:t>。</w:t>
      </w:r>
    </w:p>
    <w:p w14:paraId="52DFDFD2">
      <w:pPr>
        <w:spacing w:line="400" w:lineRule="exact"/>
        <w:jc w:val="left"/>
        <w:rPr>
          <w:rFonts w:hint="eastAsia" w:ascii="黑体" w:hAnsi="华文中宋" w:eastAsia="黑体"/>
          <w:color w:val="auto"/>
          <w:sz w:val="28"/>
          <w:szCs w:val="28"/>
          <w:highlight w:val="none"/>
        </w:rPr>
      </w:pPr>
      <w:r>
        <w:rPr>
          <w:rFonts w:hint="eastAsia" w:ascii="宋体" w:hAnsi="宋体"/>
          <w:bCs/>
          <w:color w:val="auto"/>
          <w:szCs w:val="21"/>
          <w:highlight w:val="none"/>
        </w:rPr>
        <w:t xml:space="preserve">    23.2 合同附件与合同正文具有同等的法律效力。</w:t>
      </w:r>
    </w:p>
    <w:p w14:paraId="5320B1D9">
      <w:pPr>
        <w:keepNext/>
        <w:keepLines/>
        <w:spacing w:line="360" w:lineRule="auto"/>
        <w:jc w:val="center"/>
        <w:outlineLvl w:val="1"/>
        <w:rPr>
          <w:rFonts w:ascii="黑体" w:hAnsi="华文中宋" w:eastAsia="黑体"/>
          <w:color w:val="auto"/>
          <w:sz w:val="24"/>
          <w:highlight w:val="none"/>
        </w:rPr>
      </w:pPr>
      <w:r>
        <w:rPr>
          <w:rFonts w:hint="eastAsia" w:ascii="黑体" w:hAnsi="华文中宋" w:eastAsia="黑体"/>
          <w:color w:val="auto"/>
          <w:sz w:val="24"/>
          <w:highlight w:val="none"/>
        </w:rPr>
        <w:br w:type="page" w:clear="all"/>
      </w:r>
    </w:p>
    <w:p w14:paraId="5AB26DE2">
      <w:pPr>
        <w:keepNext/>
        <w:keepLines/>
        <w:spacing w:line="360" w:lineRule="auto"/>
        <w:jc w:val="center"/>
        <w:outlineLvl w:val="1"/>
        <w:rPr>
          <w:rFonts w:ascii="黑体" w:hAnsi="华文中宋" w:eastAsia="黑体"/>
          <w:color w:val="auto"/>
          <w:sz w:val="24"/>
          <w:highlight w:val="none"/>
        </w:rPr>
      </w:pPr>
      <w:r>
        <w:rPr>
          <w:rFonts w:hint="eastAsia" w:ascii="黑体" w:hAnsi="华文中宋" w:eastAsia="黑体"/>
          <w:color w:val="auto"/>
          <w:sz w:val="24"/>
          <w:highlight w:val="none"/>
        </w:rPr>
        <w:t>第三节 政府采购合同专用条款</w:t>
      </w:r>
      <w:bookmarkEnd w:id="157"/>
    </w:p>
    <w:tbl>
      <w:tblPr>
        <w:tblStyle w:val="32"/>
        <w:tblW w:w="851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top w:w="0" w:type="dxa"/>
          <w:left w:w="108" w:type="dxa"/>
          <w:bottom w:w="0" w:type="dxa"/>
          <w:right w:w="108" w:type="dxa"/>
        </w:tblCellMar>
      </w:tblPr>
      <w:tblGrid>
        <w:gridCol w:w="969"/>
        <w:gridCol w:w="1280"/>
        <w:gridCol w:w="6270"/>
      </w:tblGrid>
      <w:tr w14:paraId="2D0A43D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0" w:type="auto"/>
            <w:noWrap w:val="0"/>
            <w:vAlign w:val="center"/>
          </w:tcPr>
          <w:p w14:paraId="74B3CF0B">
            <w:pPr>
              <w:snapToGrid w:val="0"/>
              <w:spacing w:line="240" w:lineRule="auto"/>
              <w:jc w:val="center"/>
              <w:rPr>
                <w:rFonts w:ascii="宋体" w:hAnsi="宋体"/>
                <w:color w:val="auto"/>
                <w:sz w:val="24"/>
                <w:highlight w:val="none"/>
              </w:rPr>
            </w:pPr>
            <w:r>
              <w:rPr>
                <w:rFonts w:hint="eastAsia" w:ascii="宋体" w:hAnsi="宋体"/>
                <w:color w:val="auto"/>
                <w:sz w:val="24"/>
                <w:highlight w:val="none"/>
              </w:rPr>
              <w:t>第二节</w:t>
            </w:r>
          </w:p>
          <w:p w14:paraId="69711A72">
            <w:pPr>
              <w:snapToGrid w:val="0"/>
              <w:spacing w:line="240" w:lineRule="auto"/>
              <w:jc w:val="center"/>
              <w:rPr>
                <w:rFonts w:ascii="宋体" w:hAnsi="宋体"/>
                <w:color w:val="auto"/>
                <w:sz w:val="24"/>
                <w:highlight w:val="none"/>
              </w:rPr>
            </w:pPr>
            <w:r>
              <w:rPr>
                <w:rFonts w:hint="eastAsia" w:ascii="宋体" w:hAnsi="宋体"/>
                <w:color w:val="auto"/>
                <w:sz w:val="24"/>
                <w:highlight w:val="none"/>
              </w:rPr>
              <w:t>第1.2（6）项</w:t>
            </w:r>
          </w:p>
        </w:tc>
        <w:tc>
          <w:tcPr>
            <w:tcW w:w="0" w:type="auto"/>
            <w:noWrap w:val="0"/>
            <w:vAlign w:val="center"/>
          </w:tcPr>
          <w:p w14:paraId="6B2F79AF">
            <w:pPr>
              <w:snapToGrid w:val="0"/>
              <w:spacing w:line="240" w:lineRule="auto"/>
              <w:jc w:val="left"/>
              <w:rPr>
                <w:rFonts w:ascii="宋体" w:hAnsi="宋体"/>
                <w:color w:val="auto"/>
                <w:sz w:val="24"/>
                <w:highlight w:val="none"/>
              </w:rPr>
            </w:pPr>
            <w:r>
              <w:rPr>
                <w:rFonts w:hint="eastAsia" w:ascii="宋体" w:hAnsi="宋体"/>
                <w:color w:val="auto"/>
                <w:sz w:val="24"/>
                <w:highlight w:val="none"/>
              </w:rPr>
              <w:t>联合体具体要求</w:t>
            </w:r>
          </w:p>
        </w:tc>
        <w:tc>
          <w:tcPr>
            <w:tcW w:w="6270" w:type="dxa"/>
            <w:noWrap w:val="0"/>
            <w:vAlign w:val="center"/>
          </w:tcPr>
          <w:p w14:paraId="77454B83">
            <w:pPr>
              <w:snapToGrid w:val="0"/>
              <w:spacing w:line="240" w:lineRule="auto"/>
              <w:jc w:val="left"/>
              <w:rPr>
                <w:rFonts w:ascii="宋体" w:hAnsi="宋体"/>
                <w:color w:val="auto"/>
                <w:sz w:val="24"/>
                <w:highlight w:val="none"/>
              </w:rPr>
            </w:pPr>
          </w:p>
        </w:tc>
      </w:tr>
      <w:tr w14:paraId="2F15A36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0" w:type="auto"/>
            <w:noWrap w:val="0"/>
            <w:vAlign w:val="center"/>
          </w:tcPr>
          <w:p w14:paraId="09B742A7">
            <w:pPr>
              <w:snapToGrid w:val="0"/>
              <w:spacing w:line="240" w:lineRule="auto"/>
              <w:jc w:val="center"/>
              <w:rPr>
                <w:rFonts w:ascii="宋体" w:hAnsi="宋体"/>
                <w:color w:val="auto"/>
                <w:sz w:val="24"/>
                <w:highlight w:val="none"/>
              </w:rPr>
            </w:pPr>
            <w:r>
              <w:rPr>
                <w:rFonts w:hint="eastAsia" w:ascii="宋体" w:hAnsi="宋体"/>
                <w:color w:val="auto"/>
                <w:sz w:val="24"/>
                <w:highlight w:val="none"/>
              </w:rPr>
              <w:t>第二节</w:t>
            </w:r>
          </w:p>
          <w:p w14:paraId="6376D2A4">
            <w:pPr>
              <w:snapToGrid w:val="0"/>
              <w:spacing w:line="240" w:lineRule="auto"/>
              <w:jc w:val="center"/>
              <w:rPr>
                <w:rFonts w:ascii="宋体" w:hAnsi="宋体"/>
                <w:color w:val="auto"/>
                <w:sz w:val="24"/>
                <w:highlight w:val="none"/>
              </w:rPr>
            </w:pPr>
            <w:r>
              <w:rPr>
                <w:rFonts w:hint="eastAsia" w:ascii="宋体" w:hAnsi="宋体"/>
                <w:color w:val="auto"/>
                <w:sz w:val="24"/>
                <w:highlight w:val="none"/>
              </w:rPr>
              <w:t>第1.2（7）项</w:t>
            </w:r>
          </w:p>
        </w:tc>
        <w:tc>
          <w:tcPr>
            <w:tcW w:w="0" w:type="auto"/>
            <w:noWrap w:val="0"/>
            <w:vAlign w:val="center"/>
          </w:tcPr>
          <w:p w14:paraId="1C4A6D9C">
            <w:pPr>
              <w:snapToGrid w:val="0"/>
              <w:spacing w:line="240" w:lineRule="auto"/>
              <w:jc w:val="left"/>
              <w:rPr>
                <w:rFonts w:ascii="宋体" w:hAnsi="宋体"/>
                <w:color w:val="auto"/>
                <w:sz w:val="24"/>
                <w:highlight w:val="none"/>
              </w:rPr>
            </w:pPr>
            <w:r>
              <w:rPr>
                <w:rFonts w:hint="eastAsia" w:ascii="宋体" w:hAnsi="宋体"/>
                <w:color w:val="auto"/>
                <w:sz w:val="24"/>
                <w:highlight w:val="none"/>
              </w:rPr>
              <w:t>其他术语解释</w:t>
            </w:r>
          </w:p>
        </w:tc>
        <w:tc>
          <w:tcPr>
            <w:tcW w:w="6270" w:type="dxa"/>
            <w:noWrap w:val="0"/>
            <w:vAlign w:val="center"/>
          </w:tcPr>
          <w:p w14:paraId="067168DA">
            <w:pPr>
              <w:snapToGrid w:val="0"/>
              <w:spacing w:line="240" w:lineRule="auto"/>
              <w:jc w:val="left"/>
              <w:rPr>
                <w:rFonts w:ascii="宋体" w:hAnsi="宋体"/>
                <w:color w:val="auto"/>
                <w:sz w:val="24"/>
                <w:highlight w:val="none"/>
              </w:rPr>
            </w:pPr>
          </w:p>
        </w:tc>
      </w:tr>
      <w:tr w14:paraId="570C8EB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0" w:type="auto"/>
            <w:noWrap w:val="0"/>
            <w:vAlign w:val="center"/>
          </w:tcPr>
          <w:p w14:paraId="6FF62E0D">
            <w:pPr>
              <w:snapToGrid w:val="0"/>
              <w:spacing w:line="240" w:lineRule="auto"/>
              <w:jc w:val="center"/>
              <w:rPr>
                <w:rFonts w:ascii="宋体" w:hAnsi="宋体"/>
                <w:color w:val="auto"/>
                <w:sz w:val="24"/>
                <w:highlight w:val="none"/>
              </w:rPr>
            </w:pPr>
            <w:r>
              <w:rPr>
                <w:rFonts w:hint="eastAsia" w:ascii="宋体" w:hAnsi="宋体"/>
                <w:color w:val="auto"/>
                <w:sz w:val="24"/>
                <w:highlight w:val="none"/>
              </w:rPr>
              <w:t>第二节</w:t>
            </w:r>
          </w:p>
          <w:p w14:paraId="15CC6333">
            <w:pPr>
              <w:snapToGrid w:val="0"/>
              <w:spacing w:line="240" w:lineRule="auto"/>
              <w:jc w:val="center"/>
              <w:rPr>
                <w:rFonts w:ascii="宋体" w:hAnsi="宋体"/>
                <w:color w:val="auto"/>
                <w:sz w:val="24"/>
                <w:highlight w:val="none"/>
              </w:rPr>
            </w:pPr>
            <w:r>
              <w:rPr>
                <w:rFonts w:hint="eastAsia" w:ascii="宋体" w:hAnsi="宋体"/>
                <w:color w:val="auto"/>
                <w:sz w:val="24"/>
                <w:highlight w:val="none"/>
              </w:rPr>
              <w:t>第4.4款</w:t>
            </w:r>
          </w:p>
        </w:tc>
        <w:tc>
          <w:tcPr>
            <w:tcW w:w="0" w:type="auto"/>
            <w:noWrap w:val="0"/>
            <w:vAlign w:val="center"/>
          </w:tcPr>
          <w:p w14:paraId="5EBBFD5E">
            <w:pPr>
              <w:snapToGrid w:val="0"/>
              <w:spacing w:line="240" w:lineRule="auto"/>
              <w:jc w:val="left"/>
              <w:rPr>
                <w:rFonts w:ascii="宋体" w:hAnsi="宋体"/>
                <w:color w:val="auto"/>
                <w:sz w:val="24"/>
                <w:highlight w:val="none"/>
              </w:rPr>
            </w:pPr>
            <w:r>
              <w:rPr>
                <w:rFonts w:hint="eastAsia" w:ascii="宋体" w:hAnsi="宋体"/>
                <w:color w:val="auto"/>
                <w:sz w:val="24"/>
                <w:highlight w:val="none"/>
              </w:rPr>
              <w:t>履约验收中甲方提出异议或作出说明的期限</w:t>
            </w:r>
          </w:p>
        </w:tc>
        <w:tc>
          <w:tcPr>
            <w:tcW w:w="6270" w:type="dxa"/>
            <w:noWrap w:val="0"/>
            <w:vAlign w:val="center"/>
          </w:tcPr>
          <w:p w14:paraId="67AACBF6">
            <w:pPr>
              <w:snapToGrid w:val="0"/>
              <w:spacing w:line="240" w:lineRule="auto"/>
              <w:jc w:val="left"/>
              <w:rPr>
                <w:rFonts w:ascii="宋体" w:hAnsi="宋体"/>
                <w:color w:val="auto"/>
                <w:sz w:val="24"/>
                <w:highlight w:val="none"/>
              </w:rPr>
            </w:pPr>
          </w:p>
        </w:tc>
      </w:tr>
      <w:tr w14:paraId="006C3F7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0" w:type="auto"/>
            <w:noWrap w:val="0"/>
            <w:vAlign w:val="center"/>
          </w:tcPr>
          <w:p w14:paraId="41E20E9A">
            <w:pPr>
              <w:snapToGrid w:val="0"/>
              <w:spacing w:line="240" w:lineRule="auto"/>
              <w:jc w:val="center"/>
              <w:rPr>
                <w:rFonts w:ascii="宋体" w:hAnsi="宋体"/>
                <w:color w:val="auto"/>
                <w:sz w:val="24"/>
                <w:highlight w:val="none"/>
              </w:rPr>
            </w:pPr>
            <w:r>
              <w:rPr>
                <w:rFonts w:hint="eastAsia" w:ascii="宋体" w:hAnsi="宋体"/>
                <w:color w:val="auto"/>
                <w:sz w:val="24"/>
                <w:highlight w:val="none"/>
              </w:rPr>
              <w:t>第二节</w:t>
            </w:r>
          </w:p>
          <w:p w14:paraId="24756CBE">
            <w:pPr>
              <w:snapToGrid w:val="0"/>
              <w:spacing w:line="240" w:lineRule="auto"/>
              <w:jc w:val="center"/>
              <w:rPr>
                <w:rFonts w:ascii="宋体" w:hAnsi="宋体"/>
                <w:color w:val="auto"/>
                <w:sz w:val="24"/>
                <w:highlight w:val="none"/>
              </w:rPr>
            </w:pPr>
            <w:r>
              <w:rPr>
                <w:rFonts w:hint="eastAsia" w:ascii="宋体" w:hAnsi="宋体"/>
                <w:color w:val="auto"/>
                <w:sz w:val="24"/>
                <w:highlight w:val="none"/>
              </w:rPr>
              <w:t>第4.6款</w:t>
            </w:r>
          </w:p>
        </w:tc>
        <w:tc>
          <w:tcPr>
            <w:tcW w:w="0" w:type="auto"/>
            <w:noWrap w:val="0"/>
            <w:vAlign w:val="center"/>
          </w:tcPr>
          <w:p w14:paraId="109BF114">
            <w:pPr>
              <w:snapToGrid w:val="0"/>
              <w:spacing w:line="240" w:lineRule="auto"/>
              <w:jc w:val="left"/>
              <w:rPr>
                <w:rFonts w:ascii="宋体" w:hAnsi="宋体"/>
                <w:color w:val="auto"/>
                <w:sz w:val="24"/>
                <w:highlight w:val="none"/>
              </w:rPr>
            </w:pPr>
            <w:r>
              <w:rPr>
                <w:rFonts w:hint="eastAsia" w:ascii="宋体" w:hAnsi="宋体"/>
                <w:color w:val="auto"/>
                <w:sz w:val="24"/>
                <w:highlight w:val="none"/>
              </w:rPr>
              <w:t>约定甲方承担的其他义务和责任</w:t>
            </w:r>
          </w:p>
        </w:tc>
        <w:tc>
          <w:tcPr>
            <w:tcW w:w="6270" w:type="dxa"/>
            <w:noWrap w:val="0"/>
            <w:vAlign w:val="center"/>
          </w:tcPr>
          <w:p w14:paraId="0B6B0BD7">
            <w:pPr>
              <w:snapToGrid w:val="0"/>
              <w:spacing w:line="240" w:lineRule="auto"/>
              <w:jc w:val="left"/>
              <w:rPr>
                <w:rFonts w:ascii="宋体" w:hAnsi="宋体"/>
                <w:color w:val="auto"/>
                <w:sz w:val="24"/>
                <w:highlight w:val="none"/>
              </w:rPr>
            </w:pPr>
          </w:p>
        </w:tc>
      </w:tr>
      <w:tr w14:paraId="5FF4866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0" w:type="auto"/>
            <w:noWrap w:val="0"/>
            <w:vAlign w:val="center"/>
          </w:tcPr>
          <w:p w14:paraId="25D6B247">
            <w:pPr>
              <w:snapToGrid w:val="0"/>
              <w:spacing w:line="240" w:lineRule="auto"/>
              <w:jc w:val="center"/>
              <w:rPr>
                <w:rFonts w:ascii="宋体" w:hAnsi="宋体"/>
                <w:color w:val="auto"/>
                <w:sz w:val="24"/>
                <w:highlight w:val="none"/>
              </w:rPr>
            </w:pPr>
            <w:r>
              <w:rPr>
                <w:rFonts w:hint="eastAsia" w:ascii="宋体" w:hAnsi="宋体"/>
                <w:color w:val="auto"/>
                <w:sz w:val="24"/>
                <w:highlight w:val="none"/>
              </w:rPr>
              <w:t>第二节</w:t>
            </w:r>
          </w:p>
          <w:p w14:paraId="30ACED9B">
            <w:pPr>
              <w:snapToGrid w:val="0"/>
              <w:spacing w:line="240" w:lineRule="auto"/>
              <w:jc w:val="center"/>
              <w:rPr>
                <w:color w:val="auto"/>
                <w:sz w:val="24"/>
                <w:highlight w:val="none"/>
              </w:rPr>
            </w:pPr>
            <w:r>
              <w:rPr>
                <w:rFonts w:hint="eastAsia" w:ascii="宋体" w:hAnsi="宋体"/>
                <w:color w:val="auto"/>
                <w:sz w:val="24"/>
                <w:highlight w:val="none"/>
              </w:rPr>
              <w:t>第5.4款</w:t>
            </w:r>
          </w:p>
        </w:tc>
        <w:tc>
          <w:tcPr>
            <w:tcW w:w="0" w:type="auto"/>
            <w:noWrap w:val="0"/>
            <w:vAlign w:val="center"/>
          </w:tcPr>
          <w:p w14:paraId="6F18DFB0">
            <w:pPr>
              <w:snapToGrid w:val="0"/>
              <w:spacing w:line="240" w:lineRule="auto"/>
              <w:jc w:val="left"/>
              <w:rPr>
                <w:rFonts w:ascii="宋体" w:hAnsi="宋体"/>
                <w:color w:val="auto"/>
                <w:sz w:val="24"/>
                <w:highlight w:val="none"/>
              </w:rPr>
            </w:pPr>
            <w:r>
              <w:rPr>
                <w:rFonts w:hint="eastAsia" w:ascii="宋体" w:hAnsi="宋体"/>
                <w:color w:val="auto"/>
                <w:sz w:val="24"/>
                <w:highlight w:val="none"/>
              </w:rPr>
              <w:t>约定乙方承担的其他义务和责任</w:t>
            </w:r>
          </w:p>
        </w:tc>
        <w:tc>
          <w:tcPr>
            <w:tcW w:w="6270" w:type="dxa"/>
            <w:noWrap w:val="0"/>
            <w:vAlign w:val="center"/>
          </w:tcPr>
          <w:p w14:paraId="332BB6A2">
            <w:pPr>
              <w:snapToGrid w:val="0"/>
              <w:spacing w:line="240" w:lineRule="auto"/>
              <w:jc w:val="left"/>
              <w:rPr>
                <w:rFonts w:ascii="宋体" w:hAnsi="宋体"/>
                <w:color w:val="auto"/>
                <w:sz w:val="24"/>
                <w:highlight w:val="none"/>
              </w:rPr>
            </w:pPr>
          </w:p>
        </w:tc>
      </w:tr>
      <w:tr w14:paraId="58A893A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0" w:type="auto"/>
            <w:noWrap w:val="0"/>
            <w:vAlign w:val="center"/>
          </w:tcPr>
          <w:p w14:paraId="0C03D0E2">
            <w:pPr>
              <w:snapToGrid w:val="0"/>
              <w:spacing w:line="240" w:lineRule="auto"/>
              <w:jc w:val="center"/>
              <w:rPr>
                <w:rFonts w:ascii="宋体" w:hAnsi="宋体"/>
                <w:color w:val="auto"/>
                <w:sz w:val="24"/>
                <w:highlight w:val="none"/>
              </w:rPr>
            </w:pPr>
            <w:r>
              <w:rPr>
                <w:rFonts w:hint="eastAsia" w:ascii="宋体" w:hAnsi="宋体"/>
                <w:color w:val="auto"/>
                <w:sz w:val="24"/>
                <w:highlight w:val="none"/>
              </w:rPr>
              <w:t>第二节</w:t>
            </w:r>
          </w:p>
          <w:p w14:paraId="65F5644F">
            <w:pPr>
              <w:snapToGrid w:val="0"/>
              <w:spacing w:line="240" w:lineRule="auto"/>
              <w:jc w:val="center"/>
              <w:rPr>
                <w:rFonts w:ascii="宋体" w:hAnsi="宋体"/>
                <w:color w:val="auto"/>
                <w:sz w:val="24"/>
                <w:highlight w:val="none"/>
              </w:rPr>
            </w:pPr>
            <w:r>
              <w:rPr>
                <w:rFonts w:hint="eastAsia" w:ascii="宋体" w:hAnsi="宋体"/>
                <w:color w:val="auto"/>
                <w:sz w:val="24"/>
                <w:highlight w:val="none"/>
              </w:rPr>
              <w:t>第6.1款</w:t>
            </w:r>
          </w:p>
        </w:tc>
        <w:tc>
          <w:tcPr>
            <w:tcW w:w="0" w:type="auto"/>
            <w:noWrap w:val="0"/>
            <w:vAlign w:val="center"/>
          </w:tcPr>
          <w:p w14:paraId="20485BCB">
            <w:pPr>
              <w:snapToGrid w:val="0"/>
              <w:spacing w:line="240" w:lineRule="auto"/>
              <w:jc w:val="left"/>
              <w:rPr>
                <w:rFonts w:ascii="宋体" w:hAnsi="宋体"/>
                <w:color w:val="auto"/>
                <w:sz w:val="24"/>
                <w:highlight w:val="none"/>
              </w:rPr>
            </w:pPr>
            <w:r>
              <w:rPr>
                <w:rFonts w:hint="eastAsia" w:ascii="宋体" w:hAnsi="宋体"/>
                <w:color w:val="auto"/>
                <w:sz w:val="24"/>
                <w:highlight w:val="none"/>
              </w:rPr>
              <w:t>履行合同义务的顺序</w:t>
            </w:r>
          </w:p>
        </w:tc>
        <w:tc>
          <w:tcPr>
            <w:tcW w:w="6270" w:type="dxa"/>
            <w:noWrap w:val="0"/>
            <w:vAlign w:val="center"/>
          </w:tcPr>
          <w:p w14:paraId="6488A585">
            <w:pPr>
              <w:snapToGrid w:val="0"/>
              <w:spacing w:line="240" w:lineRule="auto"/>
              <w:jc w:val="left"/>
              <w:rPr>
                <w:rFonts w:ascii="宋体" w:hAnsi="宋体"/>
                <w:color w:val="auto"/>
                <w:sz w:val="24"/>
                <w:highlight w:val="none"/>
              </w:rPr>
            </w:pPr>
          </w:p>
        </w:tc>
      </w:tr>
      <w:tr w14:paraId="696D02D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0" w:type="auto"/>
            <w:vMerge w:val="restart"/>
            <w:noWrap w:val="0"/>
            <w:vAlign w:val="center"/>
          </w:tcPr>
          <w:p w14:paraId="1D2263F1">
            <w:pPr>
              <w:snapToGrid w:val="0"/>
              <w:spacing w:line="240" w:lineRule="auto"/>
              <w:jc w:val="center"/>
              <w:rPr>
                <w:rFonts w:ascii="宋体" w:hAnsi="宋体"/>
                <w:color w:val="auto"/>
                <w:sz w:val="24"/>
                <w:highlight w:val="none"/>
              </w:rPr>
            </w:pPr>
            <w:r>
              <w:rPr>
                <w:rFonts w:hint="eastAsia" w:ascii="宋体" w:hAnsi="宋体"/>
                <w:color w:val="auto"/>
                <w:sz w:val="24"/>
                <w:highlight w:val="none"/>
              </w:rPr>
              <w:t>第二节</w:t>
            </w:r>
          </w:p>
          <w:p w14:paraId="1363B858">
            <w:pPr>
              <w:snapToGrid w:val="0"/>
              <w:spacing w:line="240" w:lineRule="auto"/>
              <w:jc w:val="center"/>
              <w:rPr>
                <w:rFonts w:ascii="宋体" w:hAnsi="宋体"/>
                <w:color w:val="auto"/>
                <w:sz w:val="24"/>
                <w:highlight w:val="none"/>
              </w:rPr>
            </w:pPr>
            <w:r>
              <w:rPr>
                <w:rFonts w:hint="eastAsia" w:ascii="宋体" w:hAnsi="宋体"/>
                <w:color w:val="auto"/>
                <w:sz w:val="24"/>
                <w:highlight w:val="none"/>
              </w:rPr>
              <w:t>第7.1款</w:t>
            </w:r>
          </w:p>
        </w:tc>
        <w:tc>
          <w:tcPr>
            <w:tcW w:w="0" w:type="auto"/>
            <w:noWrap w:val="0"/>
            <w:vAlign w:val="center"/>
          </w:tcPr>
          <w:p w14:paraId="210C7B29">
            <w:pPr>
              <w:snapToGrid w:val="0"/>
              <w:spacing w:line="240" w:lineRule="auto"/>
              <w:jc w:val="left"/>
              <w:rPr>
                <w:rFonts w:ascii="宋体" w:hAnsi="宋体"/>
                <w:color w:val="auto"/>
                <w:sz w:val="24"/>
                <w:highlight w:val="none"/>
              </w:rPr>
            </w:pPr>
            <w:r>
              <w:rPr>
                <w:rFonts w:hint="eastAsia" w:ascii="宋体" w:hAnsi="宋体"/>
                <w:color w:val="auto"/>
                <w:sz w:val="24"/>
                <w:highlight w:val="none"/>
              </w:rPr>
              <w:t>包装特殊要求</w:t>
            </w:r>
          </w:p>
        </w:tc>
        <w:tc>
          <w:tcPr>
            <w:tcW w:w="6270" w:type="dxa"/>
            <w:noWrap w:val="0"/>
            <w:vAlign w:val="center"/>
          </w:tcPr>
          <w:p w14:paraId="08BE5F82">
            <w:pPr>
              <w:snapToGrid w:val="0"/>
              <w:spacing w:line="240" w:lineRule="auto"/>
              <w:rPr>
                <w:color w:val="auto"/>
                <w:sz w:val="24"/>
                <w:highlight w:val="none"/>
              </w:rPr>
            </w:pPr>
            <w:r>
              <w:rPr>
                <w:rFonts w:hint="eastAsia"/>
                <w:color w:val="auto"/>
                <w:sz w:val="24"/>
                <w:highlight w:val="none"/>
              </w:rPr>
              <w:t>本项目中涉及商品包装和快递包装的，金属件</w:t>
            </w:r>
            <w:r>
              <w:rPr>
                <w:rFonts w:hint="eastAsia"/>
                <w:color w:val="auto"/>
                <w:sz w:val="24"/>
                <w:highlight w:val="none"/>
                <w:lang w:eastAsia="zh-CN"/>
              </w:rPr>
              <w:t>：</w:t>
            </w:r>
            <w:r>
              <w:rPr>
                <w:rFonts w:hint="eastAsia"/>
                <w:color w:val="auto"/>
                <w:sz w:val="24"/>
                <w:highlight w:val="none"/>
              </w:rPr>
              <w:t>使用泡泡纸覆盖包装 防止碰撞；板式件</w:t>
            </w:r>
            <w:r>
              <w:rPr>
                <w:rFonts w:hint="eastAsia"/>
                <w:color w:val="auto"/>
                <w:sz w:val="24"/>
                <w:highlight w:val="none"/>
                <w:lang w:eastAsia="zh-CN"/>
              </w:rPr>
              <w:t>：</w:t>
            </w:r>
            <w:r>
              <w:rPr>
                <w:rFonts w:hint="eastAsia"/>
                <w:color w:val="auto"/>
                <w:sz w:val="24"/>
                <w:highlight w:val="none"/>
              </w:rPr>
              <w:t xml:space="preserve"> 不同板件用捆扎带分类打包，边角处用瓦楞纸覆盖，防止损坏；塑料件和五金件</w:t>
            </w:r>
            <w:r>
              <w:rPr>
                <w:rFonts w:hint="eastAsia"/>
                <w:color w:val="auto"/>
                <w:sz w:val="24"/>
                <w:highlight w:val="none"/>
                <w:lang w:eastAsia="zh-CN"/>
              </w:rPr>
              <w:t>：</w:t>
            </w:r>
            <w:r>
              <w:rPr>
                <w:rFonts w:hint="eastAsia"/>
                <w:color w:val="auto"/>
                <w:sz w:val="24"/>
                <w:highlight w:val="none"/>
              </w:rPr>
              <w:t xml:space="preserve"> 使用瓦楞纸箱包装。使用包装材料应达参考《财政部办公厅关于印发《商品包装政府采购需求标准（试行）》《快递包装政府采购需求标准（试行）》的通知》（财办库〔2020〕123号）规定的包装需求标准，现场包装物有供应商负责清理，做到：</w:t>
            </w:r>
          </w:p>
          <w:p w14:paraId="270AA712">
            <w:pPr>
              <w:snapToGrid w:val="0"/>
              <w:spacing w:line="240" w:lineRule="auto"/>
              <w:rPr>
                <w:color w:val="auto"/>
                <w:sz w:val="24"/>
                <w:highlight w:val="none"/>
              </w:rPr>
            </w:pPr>
            <w:r>
              <w:rPr>
                <w:rFonts w:hint="eastAsia"/>
                <w:color w:val="auto"/>
                <w:sz w:val="24"/>
                <w:highlight w:val="none"/>
              </w:rPr>
              <w:t>1.商品包装层数不得超过3 层，空隙率不大于40%；</w:t>
            </w:r>
          </w:p>
          <w:p w14:paraId="32663785">
            <w:pPr>
              <w:snapToGrid w:val="0"/>
              <w:spacing w:line="240" w:lineRule="auto"/>
              <w:rPr>
                <w:color w:val="auto"/>
                <w:sz w:val="24"/>
                <w:highlight w:val="none"/>
              </w:rPr>
            </w:pPr>
            <w:r>
              <w:rPr>
                <w:rFonts w:hint="eastAsia"/>
                <w:color w:val="auto"/>
                <w:sz w:val="24"/>
                <w:highlight w:val="none"/>
              </w:rPr>
              <w:t>2.商品包装尽可能使用单一材质的包装材料，如因功能需求必需使用不同材质，不同材质间应便于分离；</w:t>
            </w:r>
          </w:p>
          <w:p w14:paraId="78AAE4D6">
            <w:pPr>
              <w:snapToGrid w:val="0"/>
              <w:spacing w:line="240" w:lineRule="auto"/>
              <w:rPr>
                <w:color w:val="auto"/>
                <w:sz w:val="24"/>
                <w:highlight w:val="none"/>
              </w:rPr>
            </w:pPr>
            <w:r>
              <w:rPr>
                <w:rFonts w:hint="eastAsia"/>
                <w:color w:val="auto"/>
                <w:sz w:val="24"/>
                <w:highlight w:val="none"/>
              </w:rPr>
              <w:t>3.商品包装中铅、汞、镉、六价铬的总含量应不大于100mg/kg；</w:t>
            </w:r>
          </w:p>
          <w:p w14:paraId="0FB4AD53">
            <w:pPr>
              <w:snapToGrid w:val="0"/>
              <w:spacing w:line="240" w:lineRule="auto"/>
              <w:rPr>
                <w:color w:val="auto"/>
                <w:sz w:val="24"/>
                <w:highlight w:val="none"/>
              </w:rPr>
            </w:pPr>
            <w:r>
              <w:rPr>
                <w:rFonts w:hint="eastAsia"/>
                <w:color w:val="auto"/>
                <w:sz w:val="24"/>
                <w:highlight w:val="none"/>
              </w:rPr>
              <w:t>4.商品包装印刷使用的油墨中挥发性有机化合物</w:t>
            </w:r>
            <w:r>
              <w:rPr>
                <w:rFonts w:hint="eastAsia"/>
                <w:color w:val="auto"/>
                <w:sz w:val="24"/>
                <w:highlight w:val="none"/>
                <w:lang w:eastAsia="zh-CN"/>
              </w:rPr>
              <w:t>（</w:t>
            </w:r>
            <w:r>
              <w:rPr>
                <w:rFonts w:hint="eastAsia"/>
                <w:color w:val="auto"/>
                <w:sz w:val="24"/>
                <w:highlight w:val="none"/>
              </w:rPr>
              <w:t>VOCs</w:t>
            </w:r>
            <w:r>
              <w:rPr>
                <w:rFonts w:hint="eastAsia"/>
                <w:color w:val="auto"/>
                <w:sz w:val="24"/>
                <w:highlight w:val="none"/>
                <w:lang w:eastAsia="zh-CN"/>
              </w:rPr>
              <w:t>）</w:t>
            </w:r>
            <w:r>
              <w:rPr>
                <w:rFonts w:hint="eastAsia"/>
                <w:color w:val="auto"/>
                <w:sz w:val="24"/>
                <w:highlight w:val="none"/>
              </w:rPr>
              <w:t>含量应不大于 5%（以重量计）；</w:t>
            </w:r>
          </w:p>
          <w:p w14:paraId="3FB1553C">
            <w:pPr>
              <w:snapToGrid w:val="0"/>
              <w:spacing w:line="240" w:lineRule="auto"/>
              <w:rPr>
                <w:color w:val="auto"/>
                <w:sz w:val="24"/>
                <w:highlight w:val="none"/>
              </w:rPr>
            </w:pPr>
            <w:r>
              <w:rPr>
                <w:rFonts w:hint="eastAsia"/>
                <w:color w:val="auto"/>
                <w:sz w:val="24"/>
                <w:highlight w:val="none"/>
              </w:rPr>
              <w:t>5.塑料材质商品包装上呈现的印刷颜色不得超过6色；</w:t>
            </w:r>
          </w:p>
          <w:p w14:paraId="42C3AFDA">
            <w:pPr>
              <w:snapToGrid w:val="0"/>
              <w:spacing w:line="240" w:lineRule="auto"/>
              <w:rPr>
                <w:color w:val="auto"/>
                <w:sz w:val="24"/>
                <w:highlight w:val="none"/>
              </w:rPr>
            </w:pPr>
            <w:r>
              <w:rPr>
                <w:rFonts w:hint="eastAsia"/>
                <w:color w:val="auto"/>
                <w:sz w:val="24"/>
                <w:highlight w:val="none"/>
              </w:rPr>
              <w:t>6.纸质商品包装应使用75%以上的可再生纤维原料生产；</w:t>
            </w:r>
          </w:p>
          <w:p w14:paraId="1DEAAED9">
            <w:pPr>
              <w:snapToGrid w:val="0"/>
              <w:spacing w:line="240" w:lineRule="auto"/>
              <w:rPr>
                <w:color w:val="auto"/>
                <w:sz w:val="24"/>
                <w:highlight w:val="none"/>
              </w:rPr>
            </w:pPr>
            <w:r>
              <w:rPr>
                <w:rFonts w:hint="eastAsia"/>
                <w:color w:val="auto"/>
                <w:sz w:val="24"/>
                <w:highlight w:val="none"/>
              </w:rPr>
              <w:t>7.木质商品包装的原料应来源于可持续性森林。</w:t>
            </w:r>
          </w:p>
          <w:p w14:paraId="3FC1816E">
            <w:pPr>
              <w:snapToGrid w:val="0"/>
              <w:spacing w:line="240" w:lineRule="auto"/>
              <w:rPr>
                <w:color w:val="auto"/>
                <w:sz w:val="24"/>
                <w:highlight w:val="none"/>
              </w:rPr>
            </w:pPr>
            <w:r>
              <w:rPr>
                <w:rFonts w:hint="eastAsia"/>
                <w:color w:val="auto"/>
                <w:sz w:val="24"/>
                <w:highlight w:val="none"/>
              </w:rPr>
              <w:t>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14:paraId="3E0870F4">
            <w:pPr>
              <w:snapToGrid w:val="0"/>
              <w:spacing w:line="240" w:lineRule="auto"/>
              <w:rPr>
                <w:color w:val="auto"/>
                <w:sz w:val="24"/>
                <w:highlight w:val="none"/>
              </w:rPr>
            </w:pPr>
            <w:r>
              <w:rPr>
                <w:rFonts w:hint="eastAsia"/>
                <w:color w:val="auto"/>
                <w:sz w:val="24"/>
                <w:highlight w:val="none"/>
              </w:rPr>
              <w:t>9每件包装箱内应附一份详细装箱单和质量合格凭证。</w:t>
            </w:r>
          </w:p>
          <w:p w14:paraId="47AB51F9">
            <w:pPr>
              <w:snapToGrid w:val="0"/>
              <w:spacing w:line="240" w:lineRule="auto"/>
              <w:rPr>
                <w:color w:val="auto"/>
                <w:sz w:val="24"/>
                <w:highlight w:val="none"/>
              </w:rPr>
            </w:pPr>
          </w:p>
        </w:tc>
      </w:tr>
      <w:tr w14:paraId="30611B3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504A1ACD">
            <w:pPr>
              <w:snapToGrid w:val="0"/>
              <w:jc w:val="center"/>
              <w:rPr>
                <w:rFonts w:ascii="宋体" w:hAnsi="宋体"/>
                <w:color w:val="auto"/>
                <w:sz w:val="24"/>
                <w:highlight w:val="none"/>
              </w:rPr>
            </w:pPr>
          </w:p>
        </w:tc>
        <w:tc>
          <w:tcPr>
            <w:tcW w:w="0" w:type="auto"/>
            <w:noWrap w:val="0"/>
            <w:vAlign w:val="center"/>
          </w:tcPr>
          <w:p w14:paraId="27DF4D00">
            <w:pPr>
              <w:snapToGrid w:val="0"/>
              <w:jc w:val="left"/>
              <w:rPr>
                <w:rFonts w:ascii="宋体" w:hAnsi="宋体"/>
                <w:color w:val="auto"/>
                <w:sz w:val="24"/>
                <w:highlight w:val="none"/>
              </w:rPr>
            </w:pPr>
            <w:r>
              <w:rPr>
                <w:rFonts w:hint="eastAsia" w:ascii="宋体" w:hAnsi="宋体"/>
                <w:color w:val="auto"/>
                <w:sz w:val="24"/>
                <w:highlight w:val="none"/>
              </w:rPr>
              <w:t>指定现场</w:t>
            </w:r>
          </w:p>
        </w:tc>
        <w:tc>
          <w:tcPr>
            <w:tcW w:w="6270" w:type="dxa"/>
            <w:noWrap w:val="0"/>
            <w:vAlign w:val="center"/>
          </w:tcPr>
          <w:p w14:paraId="1F429181">
            <w:pPr>
              <w:snapToGrid w:val="0"/>
              <w:jc w:val="left"/>
              <w:rPr>
                <w:color w:val="auto"/>
                <w:sz w:val="24"/>
                <w:highlight w:val="none"/>
              </w:rPr>
            </w:pPr>
          </w:p>
        </w:tc>
      </w:tr>
      <w:tr w14:paraId="42CAA18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0" w:type="auto"/>
            <w:noWrap w:val="0"/>
            <w:vAlign w:val="center"/>
          </w:tcPr>
          <w:p w14:paraId="6838B843">
            <w:pPr>
              <w:snapToGrid w:val="0"/>
              <w:jc w:val="center"/>
              <w:rPr>
                <w:rFonts w:ascii="宋体" w:hAnsi="宋体"/>
                <w:color w:val="auto"/>
                <w:sz w:val="24"/>
                <w:highlight w:val="none"/>
              </w:rPr>
            </w:pPr>
            <w:r>
              <w:rPr>
                <w:rFonts w:hint="eastAsia" w:ascii="宋体" w:hAnsi="宋体"/>
                <w:color w:val="auto"/>
                <w:sz w:val="24"/>
                <w:highlight w:val="none"/>
              </w:rPr>
              <w:t>第二节</w:t>
            </w:r>
          </w:p>
          <w:p w14:paraId="549A21B9">
            <w:pPr>
              <w:snapToGrid w:val="0"/>
              <w:jc w:val="center"/>
              <w:rPr>
                <w:rFonts w:ascii="宋体" w:hAnsi="宋体"/>
                <w:color w:val="auto"/>
                <w:sz w:val="24"/>
                <w:highlight w:val="none"/>
              </w:rPr>
            </w:pPr>
            <w:r>
              <w:rPr>
                <w:rFonts w:hint="eastAsia" w:ascii="宋体" w:hAnsi="宋体"/>
                <w:color w:val="auto"/>
                <w:sz w:val="24"/>
                <w:highlight w:val="none"/>
              </w:rPr>
              <w:t>第7.2款</w:t>
            </w:r>
          </w:p>
        </w:tc>
        <w:tc>
          <w:tcPr>
            <w:tcW w:w="0" w:type="auto"/>
            <w:noWrap w:val="0"/>
            <w:vAlign w:val="center"/>
          </w:tcPr>
          <w:p w14:paraId="7AB68832">
            <w:pPr>
              <w:snapToGrid w:val="0"/>
              <w:jc w:val="left"/>
              <w:rPr>
                <w:rFonts w:ascii="宋体" w:hAnsi="宋体"/>
                <w:color w:val="auto"/>
                <w:sz w:val="24"/>
                <w:highlight w:val="none"/>
              </w:rPr>
            </w:pPr>
            <w:r>
              <w:rPr>
                <w:rFonts w:hint="eastAsia" w:ascii="宋体" w:hAnsi="宋体"/>
                <w:color w:val="auto"/>
                <w:sz w:val="24"/>
                <w:highlight w:val="none"/>
              </w:rPr>
              <w:t>运输特殊要求</w:t>
            </w:r>
          </w:p>
        </w:tc>
        <w:tc>
          <w:tcPr>
            <w:tcW w:w="6270" w:type="dxa"/>
            <w:noWrap w:val="0"/>
            <w:vAlign w:val="center"/>
          </w:tcPr>
          <w:p w14:paraId="64A37436">
            <w:pPr>
              <w:snapToGrid w:val="0"/>
              <w:rPr>
                <w:color w:val="auto"/>
                <w:sz w:val="24"/>
                <w:highlight w:val="none"/>
              </w:rPr>
            </w:pPr>
            <w:r>
              <w:rPr>
                <w:rFonts w:hint="eastAsia"/>
                <w:color w:val="auto"/>
                <w:sz w:val="24"/>
                <w:highlight w:val="none"/>
              </w:rPr>
              <w:t>1.货物验收合格、交付使用并提供所需单据的日期视为交货日期。</w:t>
            </w:r>
          </w:p>
          <w:p w14:paraId="0584C070">
            <w:pPr>
              <w:pStyle w:val="188"/>
              <w:snapToGrid w:val="0"/>
              <w:ind w:firstLine="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2.乙方在货物发运手续办理完毕后24小时内或货到48小时前通知甲方，以准备接货。（具体时间根据双方实际需求调整）</w:t>
            </w:r>
          </w:p>
          <w:p w14:paraId="3380B54A">
            <w:pPr>
              <w:snapToGrid w:val="0"/>
              <w:rPr>
                <w:color w:val="auto"/>
                <w:sz w:val="24"/>
                <w:highlight w:val="none"/>
              </w:rPr>
            </w:pPr>
            <w:r>
              <w:rPr>
                <w:rFonts w:hint="eastAsia"/>
                <w:color w:val="auto"/>
                <w:sz w:val="24"/>
                <w:highlight w:val="none"/>
              </w:rPr>
              <w:t>3.乙方装运的货物不应超过合同规定的数量或重量。乙方应对超交数量或超重而产生的一切后果负责。</w:t>
            </w:r>
          </w:p>
          <w:p w14:paraId="7C48D314">
            <w:pPr>
              <w:pStyle w:val="188"/>
              <w:snapToGrid w:val="0"/>
              <w:ind w:firstLine="0"/>
              <w:rPr>
                <w:color w:val="auto"/>
                <w:highlight w:val="none"/>
              </w:rPr>
            </w:pPr>
            <w:r>
              <w:rPr>
                <w:rFonts w:hint="eastAsia" w:ascii="Times New Roman" w:hAnsi="Times New Roman" w:eastAsia="宋体" w:cs="Times New Roman"/>
                <w:color w:val="auto"/>
                <w:sz w:val="24"/>
                <w:szCs w:val="24"/>
                <w:highlight w:val="none"/>
              </w:rPr>
              <w:t>4.货物在交付甲方前发生的风险均由乙方负责。</w:t>
            </w:r>
          </w:p>
        </w:tc>
      </w:tr>
      <w:tr w14:paraId="03579D3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0" w:type="auto"/>
            <w:noWrap w:val="0"/>
            <w:vAlign w:val="center"/>
          </w:tcPr>
          <w:p w14:paraId="12061623">
            <w:pPr>
              <w:snapToGrid w:val="0"/>
              <w:jc w:val="center"/>
              <w:rPr>
                <w:rFonts w:ascii="宋体" w:hAnsi="宋体"/>
                <w:color w:val="auto"/>
                <w:sz w:val="24"/>
                <w:highlight w:val="none"/>
              </w:rPr>
            </w:pPr>
            <w:r>
              <w:rPr>
                <w:rFonts w:hint="eastAsia" w:ascii="宋体" w:hAnsi="宋体"/>
                <w:color w:val="auto"/>
                <w:sz w:val="24"/>
                <w:highlight w:val="none"/>
              </w:rPr>
              <w:t>第二节</w:t>
            </w:r>
          </w:p>
          <w:p w14:paraId="0CEDFA2A">
            <w:pPr>
              <w:snapToGrid w:val="0"/>
              <w:jc w:val="center"/>
              <w:rPr>
                <w:rFonts w:ascii="宋体" w:hAnsi="宋体"/>
                <w:color w:val="auto"/>
                <w:sz w:val="24"/>
                <w:highlight w:val="none"/>
              </w:rPr>
            </w:pPr>
            <w:r>
              <w:rPr>
                <w:rFonts w:hint="eastAsia" w:ascii="宋体" w:hAnsi="宋体"/>
                <w:color w:val="auto"/>
                <w:sz w:val="24"/>
                <w:highlight w:val="none"/>
              </w:rPr>
              <w:t>第7.3款</w:t>
            </w:r>
          </w:p>
        </w:tc>
        <w:tc>
          <w:tcPr>
            <w:tcW w:w="0" w:type="auto"/>
            <w:noWrap w:val="0"/>
            <w:vAlign w:val="center"/>
          </w:tcPr>
          <w:p w14:paraId="023CBC29">
            <w:pPr>
              <w:snapToGrid w:val="0"/>
              <w:jc w:val="left"/>
              <w:rPr>
                <w:rFonts w:ascii="宋体" w:hAnsi="宋体"/>
                <w:color w:val="auto"/>
                <w:sz w:val="24"/>
                <w:highlight w:val="none"/>
              </w:rPr>
            </w:pPr>
            <w:r>
              <w:rPr>
                <w:rFonts w:hint="eastAsia" w:ascii="宋体" w:hAnsi="宋体"/>
                <w:color w:val="auto"/>
                <w:sz w:val="24"/>
                <w:highlight w:val="none"/>
              </w:rPr>
              <w:t>保险要求</w:t>
            </w:r>
          </w:p>
        </w:tc>
        <w:tc>
          <w:tcPr>
            <w:tcW w:w="6270" w:type="dxa"/>
            <w:noWrap w:val="0"/>
            <w:vAlign w:val="center"/>
          </w:tcPr>
          <w:p w14:paraId="3D8E44D0">
            <w:pPr>
              <w:snapToGrid w:val="0"/>
              <w:rPr>
                <w:color w:val="auto"/>
                <w:sz w:val="24"/>
                <w:highlight w:val="none"/>
              </w:rPr>
            </w:pPr>
            <w:r>
              <w:rPr>
                <w:color w:val="auto"/>
                <w:sz w:val="24"/>
                <w:highlight w:val="none"/>
              </w:rPr>
              <w:t>货物交货前由乙方承担保险义务</w:t>
            </w:r>
          </w:p>
        </w:tc>
      </w:tr>
      <w:tr w14:paraId="5DE84CD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0" w:type="auto"/>
            <w:noWrap w:val="0"/>
            <w:vAlign w:val="center"/>
          </w:tcPr>
          <w:p w14:paraId="3EA064DE">
            <w:pPr>
              <w:snapToGrid w:val="0"/>
              <w:jc w:val="center"/>
              <w:rPr>
                <w:rFonts w:ascii="宋体" w:hAnsi="宋体"/>
                <w:color w:val="auto"/>
                <w:sz w:val="24"/>
                <w:highlight w:val="none"/>
              </w:rPr>
            </w:pPr>
            <w:r>
              <w:rPr>
                <w:rFonts w:hint="eastAsia" w:ascii="宋体" w:hAnsi="宋体"/>
                <w:color w:val="auto"/>
                <w:sz w:val="24"/>
                <w:highlight w:val="none"/>
              </w:rPr>
              <w:t>第二节</w:t>
            </w:r>
          </w:p>
          <w:p w14:paraId="1E04D47C">
            <w:pPr>
              <w:snapToGrid w:val="0"/>
              <w:jc w:val="center"/>
              <w:rPr>
                <w:rFonts w:ascii="宋体" w:hAnsi="宋体"/>
                <w:color w:val="auto"/>
                <w:sz w:val="24"/>
                <w:highlight w:val="none"/>
              </w:rPr>
            </w:pPr>
            <w:r>
              <w:rPr>
                <w:rFonts w:hint="eastAsia" w:ascii="宋体" w:hAnsi="宋体"/>
                <w:color w:val="auto"/>
                <w:sz w:val="24"/>
                <w:highlight w:val="none"/>
              </w:rPr>
              <w:t>第8.2（1）项</w:t>
            </w:r>
          </w:p>
        </w:tc>
        <w:tc>
          <w:tcPr>
            <w:tcW w:w="0" w:type="auto"/>
            <w:noWrap w:val="0"/>
            <w:vAlign w:val="center"/>
          </w:tcPr>
          <w:p w14:paraId="0A8A9E16">
            <w:pPr>
              <w:snapToGrid w:val="0"/>
              <w:jc w:val="left"/>
              <w:rPr>
                <w:rFonts w:ascii="宋体" w:hAnsi="宋体"/>
                <w:color w:val="auto"/>
                <w:sz w:val="24"/>
                <w:highlight w:val="none"/>
              </w:rPr>
            </w:pPr>
            <w:r>
              <w:rPr>
                <w:rFonts w:hint="eastAsia" w:ascii="宋体" w:hAnsi="宋体"/>
                <w:color w:val="auto"/>
                <w:sz w:val="24"/>
                <w:highlight w:val="none"/>
              </w:rPr>
              <w:t>质量保证期</w:t>
            </w:r>
          </w:p>
        </w:tc>
        <w:tc>
          <w:tcPr>
            <w:tcW w:w="6270" w:type="dxa"/>
            <w:noWrap w:val="0"/>
            <w:vAlign w:val="center"/>
          </w:tcPr>
          <w:p w14:paraId="6841B9FE">
            <w:pPr>
              <w:pStyle w:val="30"/>
              <w:snapToGrid w:val="0"/>
              <w:spacing w:before="120" w:beforeAutospacing="0" w:after="120" w:afterAutospacing="0"/>
              <w:ind w:left="480" w:hanging="480"/>
              <w:jc w:val="both"/>
              <w:rPr>
                <w:rFonts w:ascii="宋体" w:hAnsi="宋体"/>
                <w:color w:val="auto"/>
                <w:highlight w:val="none"/>
              </w:rPr>
            </w:pPr>
            <w:r>
              <w:rPr>
                <w:rFonts w:hint="eastAsia" w:ascii="宋体" w:hAnsi="宋体"/>
                <w:color w:val="auto"/>
                <w:highlight w:val="none"/>
              </w:rPr>
              <w:t>1.货物免费质保期</w:t>
            </w:r>
            <w:r>
              <w:rPr>
                <w:rFonts w:hint="eastAsia" w:ascii="宋体" w:hAnsi="宋体"/>
                <w:color w:val="auto"/>
                <w:highlight w:val="none"/>
                <w:u w:val="single"/>
                <w:lang w:val="en-US" w:eastAsia="zh-CN"/>
              </w:rPr>
              <w:t>1</w:t>
            </w:r>
            <w:r>
              <w:rPr>
                <w:rFonts w:hint="eastAsia" w:ascii="宋体" w:hAnsi="宋体"/>
                <w:color w:val="auto"/>
                <w:highlight w:val="none"/>
                <w:u w:val="single"/>
              </w:rPr>
              <w:t>年</w:t>
            </w:r>
            <w:r>
              <w:rPr>
                <w:rFonts w:hint="eastAsia" w:ascii="宋体" w:hAnsi="宋体"/>
                <w:color w:val="auto"/>
                <w:highlight w:val="none"/>
              </w:rPr>
              <w:t>。（</w:t>
            </w:r>
            <w:r>
              <w:rPr>
                <w:rFonts w:hint="eastAsia" w:ascii="宋体" w:hAnsi="宋体" w:cs="宋体"/>
                <w:color w:val="auto"/>
                <w:highlight w:val="none"/>
              </w:rPr>
              <w:t>自交货验收合格之日起计），因人为因素出现的故障不在免费保修范围内。超过保修期的机器设备，</w:t>
            </w:r>
            <w:r>
              <w:rPr>
                <w:rFonts w:hint="eastAsia" w:ascii="宋体" w:hAnsi="宋体" w:cs="宋体"/>
                <w:color w:val="auto"/>
                <w:highlight w:val="none"/>
                <w:lang w:eastAsia="zh-CN"/>
              </w:rPr>
              <w:t>终身维修</w:t>
            </w:r>
            <w:r>
              <w:rPr>
                <w:rFonts w:hint="eastAsia" w:ascii="宋体" w:hAnsi="宋体" w:cs="宋体"/>
                <w:color w:val="auto"/>
                <w:highlight w:val="none"/>
              </w:rPr>
              <w:t>，维修时只收部件成本费。</w:t>
            </w:r>
          </w:p>
        </w:tc>
      </w:tr>
      <w:tr w14:paraId="02E5853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0" w:type="auto"/>
            <w:noWrap w:val="0"/>
            <w:vAlign w:val="center"/>
          </w:tcPr>
          <w:p w14:paraId="25AA0F17">
            <w:pPr>
              <w:snapToGrid w:val="0"/>
              <w:jc w:val="center"/>
              <w:rPr>
                <w:rFonts w:ascii="宋体" w:hAnsi="宋体"/>
                <w:color w:val="auto"/>
                <w:sz w:val="24"/>
                <w:highlight w:val="none"/>
              </w:rPr>
            </w:pPr>
            <w:r>
              <w:rPr>
                <w:rFonts w:hint="eastAsia" w:ascii="宋体" w:hAnsi="宋体"/>
                <w:color w:val="auto"/>
                <w:sz w:val="24"/>
                <w:highlight w:val="none"/>
              </w:rPr>
              <w:t>第二节</w:t>
            </w:r>
          </w:p>
          <w:p w14:paraId="7C768807">
            <w:pPr>
              <w:snapToGrid w:val="0"/>
              <w:jc w:val="center"/>
              <w:rPr>
                <w:rFonts w:ascii="宋体" w:hAnsi="宋体"/>
                <w:color w:val="auto"/>
                <w:sz w:val="24"/>
                <w:highlight w:val="none"/>
              </w:rPr>
            </w:pPr>
            <w:r>
              <w:rPr>
                <w:rFonts w:hint="eastAsia" w:ascii="宋体" w:hAnsi="宋体"/>
                <w:color w:val="auto"/>
                <w:sz w:val="24"/>
                <w:highlight w:val="none"/>
              </w:rPr>
              <w:t>第8.2（3）项</w:t>
            </w:r>
          </w:p>
        </w:tc>
        <w:tc>
          <w:tcPr>
            <w:tcW w:w="0" w:type="auto"/>
            <w:noWrap w:val="0"/>
            <w:vAlign w:val="center"/>
          </w:tcPr>
          <w:p w14:paraId="29637046">
            <w:pPr>
              <w:snapToGrid w:val="0"/>
              <w:jc w:val="left"/>
              <w:rPr>
                <w:rFonts w:ascii="宋体" w:hAnsi="宋体"/>
                <w:color w:val="auto"/>
                <w:sz w:val="24"/>
                <w:highlight w:val="none"/>
              </w:rPr>
            </w:pPr>
            <w:r>
              <w:rPr>
                <w:rFonts w:hint="eastAsia" w:ascii="宋体" w:hAnsi="宋体"/>
                <w:color w:val="auto"/>
                <w:sz w:val="24"/>
                <w:highlight w:val="none"/>
              </w:rPr>
              <w:t>货物质量缺陷</w:t>
            </w:r>
          </w:p>
          <w:p w14:paraId="440E6C2F">
            <w:pPr>
              <w:snapToGrid w:val="0"/>
              <w:jc w:val="left"/>
              <w:rPr>
                <w:rFonts w:ascii="宋体" w:hAnsi="宋体"/>
                <w:color w:val="auto"/>
                <w:sz w:val="24"/>
                <w:highlight w:val="none"/>
              </w:rPr>
            </w:pPr>
            <w:r>
              <w:rPr>
                <w:rFonts w:hint="eastAsia" w:ascii="宋体" w:hAnsi="宋体"/>
                <w:color w:val="auto"/>
                <w:sz w:val="24"/>
                <w:highlight w:val="none"/>
              </w:rPr>
              <w:t>响应时间</w:t>
            </w:r>
          </w:p>
        </w:tc>
        <w:tc>
          <w:tcPr>
            <w:tcW w:w="6270" w:type="dxa"/>
            <w:noWrap w:val="0"/>
            <w:vAlign w:val="center"/>
          </w:tcPr>
          <w:p w14:paraId="17372414">
            <w:pPr>
              <w:snapToGrid w:val="0"/>
              <w:jc w:val="left"/>
              <w:rPr>
                <w:rFonts w:ascii="宋体" w:hAnsi="宋体"/>
                <w:color w:val="auto"/>
                <w:sz w:val="24"/>
                <w:highlight w:val="none"/>
              </w:rPr>
            </w:pPr>
            <w:r>
              <w:rPr>
                <w:rFonts w:hint="eastAsia" w:ascii="宋体" w:hAnsi="宋体"/>
                <w:color w:val="auto"/>
                <w:sz w:val="24"/>
                <w:highlight w:val="none"/>
              </w:rPr>
              <w:t xml:space="preserve"> 如在使用过程中发生质量问题，乙方在接到甲方通知后在</w:t>
            </w:r>
            <w:r>
              <w:rPr>
                <w:rFonts w:hint="eastAsia" w:ascii="宋体" w:hAnsi="宋体"/>
                <w:color w:val="auto"/>
                <w:sz w:val="24"/>
                <w:highlight w:val="none"/>
                <w:lang w:val="en-US" w:eastAsia="zh-CN"/>
              </w:rPr>
              <w:t>48</w:t>
            </w:r>
            <w:r>
              <w:rPr>
                <w:rFonts w:hint="eastAsia" w:ascii="宋体" w:hAnsi="宋体"/>
                <w:color w:val="auto"/>
                <w:sz w:val="24"/>
                <w:highlight w:val="none"/>
              </w:rPr>
              <w:t>小时内到达甲方现场。</w:t>
            </w:r>
          </w:p>
        </w:tc>
      </w:tr>
      <w:tr w14:paraId="61E06EB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0" w:type="auto"/>
            <w:noWrap w:val="0"/>
            <w:vAlign w:val="center"/>
          </w:tcPr>
          <w:p w14:paraId="7C328A45">
            <w:pPr>
              <w:snapToGrid w:val="0"/>
              <w:jc w:val="center"/>
              <w:rPr>
                <w:rFonts w:ascii="宋体" w:hAnsi="宋体"/>
                <w:color w:val="auto"/>
                <w:sz w:val="24"/>
                <w:highlight w:val="none"/>
              </w:rPr>
            </w:pPr>
            <w:r>
              <w:rPr>
                <w:rFonts w:hint="eastAsia" w:ascii="宋体" w:hAnsi="宋体"/>
                <w:color w:val="auto"/>
                <w:sz w:val="24"/>
                <w:highlight w:val="none"/>
              </w:rPr>
              <w:t>第二节</w:t>
            </w:r>
          </w:p>
          <w:p w14:paraId="769EC260">
            <w:pPr>
              <w:snapToGrid w:val="0"/>
              <w:jc w:val="center"/>
              <w:rPr>
                <w:rFonts w:hint="eastAsia" w:ascii="宋体" w:hAnsi="宋体"/>
                <w:color w:val="auto"/>
                <w:sz w:val="24"/>
                <w:highlight w:val="none"/>
              </w:rPr>
            </w:pPr>
            <w:r>
              <w:rPr>
                <w:rFonts w:hint="eastAsia" w:ascii="宋体" w:hAnsi="宋体"/>
                <w:color w:val="auto"/>
                <w:sz w:val="24"/>
                <w:highlight w:val="none"/>
              </w:rPr>
              <w:t>第8款补充</w:t>
            </w:r>
          </w:p>
        </w:tc>
        <w:tc>
          <w:tcPr>
            <w:tcW w:w="0" w:type="auto"/>
            <w:noWrap w:val="0"/>
            <w:vAlign w:val="center"/>
          </w:tcPr>
          <w:p w14:paraId="5B3B560D">
            <w:pPr>
              <w:snapToGrid w:val="0"/>
              <w:jc w:val="left"/>
              <w:rPr>
                <w:rFonts w:hint="eastAsia" w:ascii="宋体" w:hAnsi="宋体"/>
                <w:color w:val="auto"/>
                <w:sz w:val="24"/>
                <w:highlight w:val="none"/>
              </w:rPr>
            </w:pPr>
            <w:r>
              <w:rPr>
                <w:rFonts w:hint="eastAsia" w:ascii="宋体" w:hAnsi="宋体"/>
                <w:color w:val="auto"/>
                <w:sz w:val="24"/>
                <w:highlight w:val="none"/>
              </w:rPr>
              <w:t>质量保证要求</w:t>
            </w:r>
          </w:p>
        </w:tc>
        <w:tc>
          <w:tcPr>
            <w:tcW w:w="6270" w:type="dxa"/>
            <w:noWrap w:val="0"/>
            <w:vAlign w:val="center"/>
          </w:tcPr>
          <w:p w14:paraId="013E8F2D">
            <w:pPr>
              <w:snapToGrid w:val="0"/>
              <w:jc w:val="left"/>
              <w:rPr>
                <w:rFonts w:ascii="宋体" w:hAnsi="宋体"/>
                <w:color w:val="auto"/>
                <w:sz w:val="24"/>
                <w:highlight w:val="none"/>
              </w:rPr>
            </w:pPr>
            <w:r>
              <w:rPr>
                <w:rFonts w:hint="eastAsia" w:ascii="宋体" w:hAnsi="宋体"/>
                <w:color w:val="auto"/>
                <w:sz w:val="24"/>
                <w:highlight w:val="none"/>
              </w:rPr>
              <w:t>1. 在质保期内，乙方应对货物出现的质量及安全问题负责处理解决并承担一切费用（因甲方不当使用的除外）。</w:t>
            </w:r>
          </w:p>
          <w:p w14:paraId="25980C1F">
            <w:pPr>
              <w:snapToGrid w:val="0"/>
              <w:jc w:val="left"/>
              <w:rPr>
                <w:rFonts w:ascii="宋体" w:hAnsi="宋体"/>
                <w:color w:val="auto"/>
                <w:sz w:val="24"/>
                <w:highlight w:val="none"/>
              </w:rPr>
            </w:pPr>
            <w:r>
              <w:rPr>
                <w:rFonts w:hint="eastAsia" w:ascii="宋体" w:hAnsi="宋体"/>
                <w:color w:val="auto"/>
                <w:sz w:val="24"/>
                <w:highlight w:val="none"/>
              </w:rPr>
              <w:t>2.乙方应按照国家有关法律法规规章和“三包”规定以及</w:t>
            </w:r>
            <w:r>
              <w:rPr>
                <w:rFonts w:hint="eastAsia" w:ascii="宋体" w:hAnsi="宋体"/>
                <w:color w:val="auto"/>
                <w:sz w:val="24"/>
                <w:highlight w:val="none"/>
                <w:lang w:val="en-US" w:eastAsia="zh-CN"/>
              </w:rPr>
              <w:t>谈判</w:t>
            </w:r>
            <w:r>
              <w:rPr>
                <w:rFonts w:hint="eastAsia" w:ascii="宋体" w:hAnsi="宋体"/>
                <w:color w:val="auto"/>
                <w:sz w:val="24"/>
                <w:highlight w:val="none"/>
              </w:rPr>
              <w:t>文件售后服务要求及</w:t>
            </w:r>
            <w:r>
              <w:rPr>
                <w:rFonts w:hint="eastAsia" w:ascii="宋体" w:hAnsi="宋体"/>
                <w:color w:val="auto"/>
                <w:sz w:val="24"/>
                <w:highlight w:val="none"/>
                <w:lang w:val="en-US" w:eastAsia="zh-CN"/>
              </w:rPr>
              <w:t>响应</w:t>
            </w:r>
            <w:r>
              <w:rPr>
                <w:rFonts w:hint="eastAsia" w:ascii="宋体" w:hAnsi="宋体"/>
                <w:color w:val="auto"/>
                <w:sz w:val="24"/>
                <w:highlight w:val="none"/>
              </w:rPr>
              <w:t>文件售后服务承诺提供售后服务。</w:t>
            </w:r>
          </w:p>
          <w:p w14:paraId="235EBA62">
            <w:pPr>
              <w:snapToGrid w:val="0"/>
              <w:jc w:val="left"/>
              <w:rPr>
                <w:rFonts w:ascii="宋体" w:hAnsi="宋体"/>
                <w:color w:val="auto"/>
                <w:sz w:val="24"/>
                <w:highlight w:val="none"/>
              </w:rPr>
            </w:pPr>
            <w:r>
              <w:rPr>
                <w:rFonts w:hint="eastAsia" w:ascii="宋体" w:hAnsi="宋体"/>
                <w:color w:val="auto"/>
                <w:sz w:val="24"/>
                <w:highlight w:val="none"/>
              </w:rPr>
              <w:t>3.所有货物保修服务方式均为乙方上门保修，由乙方派员到货物使用现场维修，所产生的一切费用由乙方承担（双方视项目情况调整）。</w:t>
            </w:r>
          </w:p>
          <w:p w14:paraId="100E974D">
            <w:pPr>
              <w:snapToGrid w:val="0"/>
              <w:jc w:val="left"/>
              <w:rPr>
                <w:rFonts w:ascii="宋体" w:hAnsi="宋体"/>
                <w:color w:val="auto"/>
                <w:sz w:val="24"/>
                <w:highlight w:val="none"/>
              </w:rPr>
            </w:pPr>
            <w:r>
              <w:rPr>
                <w:rFonts w:hint="eastAsia" w:ascii="宋体" w:hAnsi="宋体"/>
                <w:color w:val="auto"/>
                <w:sz w:val="24"/>
                <w:highlight w:val="none"/>
              </w:rPr>
              <w:t>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p>
          <w:p w14:paraId="4FD9E626">
            <w:pPr>
              <w:snapToGrid w:val="0"/>
              <w:jc w:val="left"/>
              <w:rPr>
                <w:rFonts w:ascii="宋体" w:hAnsi="宋体"/>
                <w:color w:val="auto"/>
                <w:sz w:val="24"/>
                <w:highlight w:val="none"/>
              </w:rPr>
            </w:pPr>
            <w:r>
              <w:rPr>
                <w:rFonts w:hint="eastAsia" w:ascii="宋体" w:hAnsi="宋体"/>
                <w:color w:val="auto"/>
                <w:sz w:val="24"/>
                <w:highlight w:val="none"/>
              </w:rPr>
              <w:t>5.甲方有权对乙方进行飞行检查，如果发现任何问题乙方必须无条件返工，甚至可以终止合同，乙方需赔偿甲方因此而造成的所有损失，飞行检查过程中发生的食宿、交通等费用由甲方自行承担。</w:t>
            </w:r>
          </w:p>
          <w:p w14:paraId="60246BFF">
            <w:pPr>
              <w:snapToGrid w:val="0"/>
              <w:jc w:val="left"/>
              <w:rPr>
                <w:rFonts w:ascii="宋体" w:hAnsi="宋体"/>
                <w:color w:val="auto"/>
                <w:sz w:val="24"/>
                <w:highlight w:val="none"/>
              </w:rPr>
            </w:pPr>
            <w:r>
              <w:rPr>
                <w:rFonts w:hint="eastAsia" w:ascii="宋体" w:hAnsi="宋体"/>
                <w:color w:val="auto"/>
                <w:sz w:val="24"/>
                <w:highlight w:val="none"/>
              </w:rPr>
              <w:t>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p>
          <w:p w14:paraId="7C37DBD0">
            <w:pPr>
              <w:snapToGrid w:val="0"/>
              <w:jc w:val="left"/>
              <w:rPr>
                <w:rFonts w:ascii="宋体" w:hAnsi="宋体"/>
                <w:color w:val="auto"/>
                <w:sz w:val="24"/>
                <w:highlight w:val="none"/>
              </w:rPr>
            </w:pPr>
            <w:r>
              <w:rPr>
                <w:rFonts w:hint="eastAsia" w:ascii="宋体" w:hAnsi="宋体"/>
                <w:color w:val="auto"/>
                <w:sz w:val="24"/>
                <w:highlight w:val="none"/>
              </w:rPr>
              <w:t>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p>
          <w:p w14:paraId="300D6C04">
            <w:pPr>
              <w:pStyle w:val="30"/>
              <w:snapToGrid w:val="0"/>
              <w:spacing w:before="120" w:beforeAutospacing="0" w:after="120" w:afterAutospacing="0"/>
              <w:ind w:left="480" w:hanging="480"/>
              <w:rPr>
                <w:rFonts w:hint="eastAsia" w:ascii="宋体" w:hAnsi="宋体"/>
                <w:color w:val="auto"/>
                <w:highlight w:val="none"/>
              </w:rPr>
            </w:pPr>
            <w:r>
              <w:rPr>
                <w:rFonts w:hint="eastAsia" w:ascii="宋体" w:hAnsi="宋体"/>
                <w:color w:val="auto"/>
                <w:highlight w:val="none"/>
              </w:rPr>
              <w:t>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p>
        </w:tc>
      </w:tr>
      <w:tr w14:paraId="69B5F60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0" w:type="auto"/>
            <w:noWrap w:val="0"/>
            <w:vAlign w:val="center"/>
          </w:tcPr>
          <w:p w14:paraId="71BBF213">
            <w:pPr>
              <w:snapToGrid w:val="0"/>
              <w:jc w:val="center"/>
              <w:rPr>
                <w:rFonts w:ascii="宋体" w:hAnsi="宋体" w:cs="宋体"/>
                <w:color w:val="auto"/>
                <w:sz w:val="24"/>
                <w:highlight w:val="none"/>
              </w:rPr>
            </w:pPr>
            <w:r>
              <w:rPr>
                <w:rFonts w:hint="eastAsia" w:ascii="宋体" w:hAnsi="宋体" w:cs="宋体"/>
                <w:color w:val="auto"/>
                <w:sz w:val="24"/>
                <w:highlight w:val="none"/>
              </w:rPr>
              <w:t>第二节</w:t>
            </w:r>
          </w:p>
          <w:p w14:paraId="4C49024D">
            <w:pPr>
              <w:widowControl/>
              <w:snapToGrid w:val="0"/>
              <w:spacing w:line="400" w:lineRule="exact"/>
              <w:jc w:val="center"/>
              <w:rPr>
                <w:rFonts w:ascii="华文楷体" w:hAnsi="华文楷体" w:eastAsia="华文楷体" w:cs="华文楷体"/>
                <w:color w:val="auto"/>
                <w:sz w:val="24"/>
                <w:highlight w:val="none"/>
              </w:rPr>
            </w:pPr>
            <w:r>
              <w:rPr>
                <w:rFonts w:hint="eastAsia" w:ascii="宋体" w:hAnsi="宋体" w:cs="宋体"/>
                <w:color w:val="auto"/>
                <w:sz w:val="24"/>
                <w:highlight w:val="none"/>
              </w:rPr>
              <w:t>第11.1款</w:t>
            </w:r>
          </w:p>
        </w:tc>
        <w:tc>
          <w:tcPr>
            <w:tcW w:w="0" w:type="auto"/>
            <w:noWrap w:val="0"/>
            <w:vAlign w:val="center"/>
          </w:tcPr>
          <w:p w14:paraId="5C7B46E2">
            <w:pPr>
              <w:snapToGrid w:val="0"/>
              <w:rPr>
                <w:rFonts w:ascii="宋体" w:hAnsi="宋体"/>
                <w:color w:val="auto"/>
                <w:sz w:val="24"/>
                <w:highlight w:val="none"/>
              </w:rPr>
            </w:pPr>
            <w:r>
              <w:rPr>
                <w:rFonts w:hint="eastAsia" w:ascii="宋体" w:hAnsi="宋体"/>
                <w:color w:val="auto"/>
                <w:sz w:val="24"/>
                <w:highlight w:val="none"/>
              </w:rPr>
              <w:t>其他应当保密的信息</w:t>
            </w:r>
          </w:p>
        </w:tc>
        <w:tc>
          <w:tcPr>
            <w:tcW w:w="6270" w:type="dxa"/>
            <w:noWrap w:val="0"/>
            <w:vAlign w:val="center"/>
          </w:tcPr>
          <w:p w14:paraId="07A4E5D7">
            <w:pPr>
              <w:snapToGrid w:val="0"/>
              <w:jc w:val="left"/>
              <w:rPr>
                <w:rFonts w:ascii="宋体" w:hAnsi="宋体"/>
                <w:color w:val="auto"/>
                <w:sz w:val="24"/>
                <w:highlight w:val="none"/>
              </w:rPr>
            </w:pPr>
          </w:p>
        </w:tc>
      </w:tr>
      <w:tr w14:paraId="49B9AC8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0" w:type="auto"/>
            <w:noWrap w:val="0"/>
            <w:vAlign w:val="center"/>
          </w:tcPr>
          <w:p w14:paraId="1AB4749A">
            <w:pPr>
              <w:snapToGrid w:val="0"/>
              <w:jc w:val="center"/>
              <w:rPr>
                <w:rFonts w:ascii="宋体" w:hAnsi="宋体"/>
                <w:color w:val="auto"/>
                <w:sz w:val="24"/>
                <w:highlight w:val="none"/>
              </w:rPr>
            </w:pPr>
            <w:r>
              <w:rPr>
                <w:rFonts w:hint="eastAsia" w:ascii="宋体" w:hAnsi="宋体"/>
                <w:color w:val="auto"/>
                <w:sz w:val="24"/>
                <w:highlight w:val="none"/>
              </w:rPr>
              <w:t>第二节</w:t>
            </w:r>
          </w:p>
          <w:p w14:paraId="1D1862A1">
            <w:pPr>
              <w:snapToGrid w:val="0"/>
              <w:jc w:val="center"/>
              <w:rPr>
                <w:rFonts w:ascii="宋体" w:hAnsi="宋体"/>
                <w:color w:val="auto"/>
                <w:sz w:val="24"/>
                <w:highlight w:val="none"/>
              </w:rPr>
            </w:pPr>
            <w:r>
              <w:rPr>
                <w:rFonts w:hint="eastAsia" w:ascii="宋体" w:hAnsi="宋体"/>
                <w:color w:val="auto"/>
                <w:sz w:val="24"/>
                <w:highlight w:val="none"/>
              </w:rPr>
              <w:t>第12.2款</w:t>
            </w:r>
          </w:p>
        </w:tc>
        <w:tc>
          <w:tcPr>
            <w:tcW w:w="0" w:type="auto"/>
            <w:noWrap w:val="0"/>
            <w:vAlign w:val="center"/>
          </w:tcPr>
          <w:p w14:paraId="7C94FDCC">
            <w:pPr>
              <w:snapToGrid w:val="0"/>
              <w:jc w:val="left"/>
              <w:rPr>
                <w:rFonts w:ascii="宋体" w:hAnsi="宋体"/>
                <w:color w:val="auto"/>
                <w:sz w:val="24"/>
                <w:highlight w:val="none"/>
              </w:rPr>
            </w:pPr>
            <w:r>
              <w:rPr>
                <w:rFonts w:hint="eastAsia" w:ascii="宋体" w:hAnsi="宋体"/>
                <w:color w:val="auto"/>
                <w:sz w:val="24"/>
                <w:highlight w:val="none"/>
              </w:rPr>
              <w:t>合同价款支付时间及要求</w:t>
            </w:r>
          </w:p>
        </w:tc>
        <w:tc>
          <w:tcPr>
            <w:tcW w:w="6270" w:type="dxa"/>
            <w:noWrap w:val="0"/>
            <w:vAlign w:val="center"/>
          </w:tcPr>
          <w:p w14:paraId="127FA365">
            <w:pPr>
              <w:snapToGrid w:val="0"/>
              <w:jc w:val="left"/>
              <w:rPr>
                <w:rFonts w:ascii="宋体" w:hAnsi="宋体"/>
                <w:color w:val="auto"/>
                <w:sz w:val="24"/>
                <w:highlight w:val="none"/>
              </w:rPr>
            </w:pPr>
            <w:r>
              <w:rPr>
                <w:rFonts w:hint="eastAsia" w:ascii="宋体" w:hAnsi="宋体"/>
                <w:color w:val="auto"/>
                <w:sz w:val="24"/>
                <w:highlight w:val="none"/>
              </w:rPr>
              <w:t>1.合同款项的支付方式及进度安排：</w:t>
            </w:r>
          </w:p>
          <w:p w14:paraId="6B0050FE">
            <w:pPr>
              <w:snapToGrid w:val="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自合同签订生效之日起，收到乙方发票10个工作日内，甲方向乙方支付合同总价的</w:t>
            </w:r>
            <w:r>
              <w:rPr>
                <w:rFonts w:hint="eastAsia" w:ascii="宋体" w:hAnsi="宋体"/>
                <w:color w:val="000000" w:themeColor="text1"/>
                <w:sz w:val="24"/>
                <w:highlight w:val="none"/>
                <w:lang w:val="en-US" w:eastAsia="zh-CN"/>
                <w14:textFill>
                  <w14:solidFill>
                    <w14:schemeClr w14:val="tx1"/>
                  </w14:solidFill>
                </w14:textFill>
              </w:rPr>
              <w:t>30%</w:t>
            </w:r>
            <w:r>
              <w:rPr>
                <w:rFonts w:hint="eastAsia" w:ascii="宋体" w:hAnsi="宋体"/>
                <w:color w:val="000000" w:themeColor="text1"/>
                <w:sz w:val="24"/>
                <w:highlight w:val="none"/>
                <w14:textFill>
                  <w14:solidFill>
                    <w14:schemeClr w14:val="tx1"/>
                  </w14:solidFill>
                </w14:textFill>
              </w:rPr>
              <w:t>款项作为预付款；</w:t>
            </w:r>
          </w:p>
          <w:p w14:paraId="7C553DE5">
            <w:pPr>
              <w:snapToGrid w:val="0"/>
              <w:jc w:val="left"/>
              <w:rPr>
                <w:color w:val="000000" w:themeColor="text1"/>
                <w:highlight w:val="none"/>
                <w14:textFill>
                  <w14:solidFill>
                    <w14:schemeClr w14:val="tx1"/>
                  </w14:solidFill>
                </w14:textFill>
              </w:rPr>
            </w:pPr>
            <w:r>
              <w:rPr>
                <w:rFonts w:hint="eastAsia" w:ascii="宋体" w:hAnsi="宋体" w:eastAsia="宋体"/>
                <w:color w:val="000000" w:themeColor="text1"/>
                <w:sz w:val="24"/>
                <w:highlight w:val="none"/>
                <w:lang w:val="en-US" w:eastAsia="zh-CN"/>
                <w14:textFill>
                  <w14:solidFill>
                    <w14:schemeClr w14:val="tx1"/>
                  </w14:solidFill>
                </w14:textFill>
              </w:rPr>
              <w:t>采购合同生效后，</w:t>
            </w:r>
            <w:r>
              <w:rPr>
                <w:rFonts w:ascii="宋体" w:hAnsi="宋体" w:eastAsia="宋体" w:cs="宋体"/>
                <w:color w:val="000000" w:themeColor="text1"/>
                <w:sz w:val="24"/>
                <w:highlight w:val="none"/>
                <w14:textFill>
                  <w14:solidFill>
                    <w14:schemeClr w14:val="tx1"/>
                  </w14:solidFill>
                </w14:textFill>
              </w:rPr>
              <w:t>以次为单位进行结算（按照每次实际供油吨位数量），结算价=（1-优惠率）*当日江苏省发展和改革委员会公布的江苏省成品油最高零售价格表中的0号柴油最高价，若遇市场价格波动，成交折扣不变，按所报优惠进行供货。货款结算：在每次购买前甲乙双方确定吨数和金额之后，甲方将该批次购买的油款汇入乙方指定账户，乙方收到油款核实无误后，甲方即可提油。</w:t>
            </w:r>
          </w:p>
          <w:p w14:paraId="3BC4206E">
            <w:pPr>
              <w:snapToGrid w:val="0"/>
              <w:jc w:val="left"/>
              <w:rPr>
                <w:rFonts w:ascii="宋体" w:hAnsi="宋体"/>
                <w:color w:val="auto"/>
                <w:sz w:val="24"/>
                <w:highlight w:val="none"/>
              </w:rPr>
            </w:pPr>
            <w:r>
              <w:rPr>
                <w:rFonts w:hint="eastAsia" w:ascii="宋体" w:hAnsi="宋体"/>
                <w:color w:val="auto"/>
                <w:sz w:val="24"/>
                <w:highlight w:val="none"/>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14:paraId="604B4D9D">
            <w:pPr>
              <w:snapToGrid w:val="0"/>
              <w:jc w:val="left"/>
              <w:rPr>
                <w:rFonts w:ascii="宋体" w:hAnsi="宋体"/>
                <w:color w:val="auto"/>
                <w:sz w:val="24"/>
                <w:highlight w:val="none"/>
              </w:rPr>
            </w:pPr>
            <w:r>
              <w:rPr>
                <w:rFonts w:hint="eastAsia" w:ascii="宋体" w:hAnsi="宋体"/>
                <w:color w:val="auto"/>
                <w:sz w:val="24"/>
                <w:highlight w:val="none"/>
              </w:rPr>
              <w:t>(1) 发票；</w:t>
            </w:r>
          </w:p>
          <w:p w14:paraId="4D6FD9E2">
            <w:pPr>
              <w:snapToGrid w:val="0"/>
              <w:jc w:val="left"/>
              <w:rPr>
                <w:rFonts w:ascii="宋体" w:hAnsi="宋体"/>
                <w:color w:val="auto"/>
                <w:sz w:val="24"/>
                <w:highlight w:val="none"/>
              </w:rPr>
            </w:pPr>
            <w:r>
              <w:rPr>
                <w:rFonts w:hint="eastAsia" w:ascii="宋体" w:hAnsi="宋体"/>
                <w:color w:val="auto"/>
                <w:sz w:val="24"/>
                <w:highlight w:val="none"/>
              </w:rPr>
              <w:t>(2) 制造厂家出具的质量检验证书等；</w:t>
            </w:r>
          </w:p>
          <w:p w14:paraId="3180EBEE">
            <w:pPr>
              <w:snapToGrid w:val="0"/>
              <w:jc w:val="left"/>
              <w:rPr>
                <w:rFonts w:ascii="宋体" w:hAnsi="宋体"/>
                <w:color w:val="auto"/>
                <w:sz w:val="24"/>
                <w:highlight w:val="none"/>
              </w:rPr>
            </w:pPr>
            <w:r>
              <w:rPr>
                <w:rFonts w:hint="eastAsia" w:ascii="宋体" w:hAnsi="宋体"/>
                <w:color w:val="auto"/>
                <w:sz w:val="24"/>
                <w:highlight w:val="none"/>
              </w:rPr>
              <w:t>(3) 装箱单；</w:t>
            </w:r>
          </w:p>
          <w:p w14:paraId="7EE49BFB">
            <w:pPr>
              <w:snapToGrid w:val="0"/>
              <w:jc w:val="left"/>
              <w:rPr>
                <w:color w:val="auto"/>
                <w:sz w:val="24"/>
                <w:highlight w:val="none"/>
              </w:rPr>
            </w:pPr>
            <w:r>
              <w:rPr>
                <w:rFonts w:hint="eastAsia" w:ascii="宋体" w:hAnsi="宋体"/>
                <w:color w:val="auto"/>
                <w:sz w:val="24"/>
                <w:highlight w:val="none"/>
              </w:rPr>
              <w:t>(4) 甲方加盖公章证明交付使用合格的验收单。</w:t>
            </w:r>
          </w:p>
        </w:tc>
      </w:tr>
      <w:tr w14:paraId="3386CA7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0" w:type="auto"/>
            <w:noWrap w:val="0"/>
            <w:vAlign w:val="center"/>
          </w:tcPr>
          <w:p w14:paraId="28B1F163">
            <w:pPr>
              <w:snapToGrid w:val="0"/>
              <w:jc w:val="center"/>
              <w:rPr>
                <w:rFonts w:ascii="宋体" w:hAnsi="宋体"/>
                <w:color w:val="auto"/>
                <w:sz w:val="24"/>
                <w:highlight w:val="none"/>
              </w:rPr>
            </w:pPr>
            <w:r>
              <w:rPr>
                <w:rFonts w:hint="eastAsia" w:ascii="宋体" w:hAnsi="宋体"/>
                <w:color w:val="auto"/>
                <w:sz w:val="24"/>
                <w:highlight w:val="none"/>
              </w:rPr>
              <w:t>第二节</w:t>
            </w:r>
          </w:p>
          <w:p w14:paraId="04A89BB9">
            <w:pPr>
              <w:snapToGrid w:val="0"/>
              <w:jc w:val="center"/>
              <w:rPr>
                <w:rFonts w:ascii="宋体" w:hAnsi="宋体"/>
                <w:color w:val="auto"/>
                <w:sz w:val="24"/>
                <w:highlight w:val="none"/>
              </w:rPr>
            </w:pPr>
            <w:r>
              <w:rPr>
                <w:rFonts w:hint="eastAsia" w:ascii="宋体" w:hAnsi="宋体"/>
                <w:color w:val="auto"/>
                <w:sz w:val="24"/>
                <w:highlight w:val="none"/>
              </w:rPr>
              <w:t>第13.2款</w:t>
            </w:r>
          </w:p>
        </w:tc>
        <w:tc>
          <w:tcPr>
            <w:tcW w:w="0" w:type="auto"/>
            <w:noWrap w:val="0"/>
            <w:vAlign w:val="center"/>
          </w:tcPr>
          <w:p w14:paraId="1494BAEC">
            <w:pPr>
              <w:snapToGrid w:val="0"/>
              <w:jc w:val="left"/>
              <w:rPr>
                <w:rFonts w:ascii="宋体" w:hAnsi="宋体"/>
                <w:color w:val="auto"/>
                <w:sz w:val="24"/>
                <w:highlight w:val="none"/>
              </w:rPr>
            </w:pPr>
            <w:r>
              <w:rPr>
                <w:rFonts w:hint="eastAsia" w:ascii="宋体" w:hAnsi="宋体"/>
                <w:color w:val="auto"/>
                <w:sz w:val="24"/>
                <w:highlight w:val="none"/>
              </w:rPr>
              <w:t>履约保证金不予退还的情形</w:t>
            </w:r>
          </w:p>
        </w:tc>
        <w:tc>
          <w:tcPr>
            <w:tcW w:w="6270" w:type="dxa"/>
            <w:noWrap w:val="0"/>
            <w:vAlign w:val="center"/>
          </w:tcPr>
          <w:p w14:paraId="63452721">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除不可抗力情况外，投标人出现下列情形之一的，其履约保证金，招标人将视情节决定不予退还或部分不予退还。</w:t>
            </w:r>
          </w:p>
          <w:p w14:paraId="0D465CFE">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（1）中标人无正当理由拒绝签订合同的，或者在签订合同时向采购人提出附加条件或者更改合同实质性内容要求的；</w:t>
            </w:r>
          </w:p>
          <w:p w14:paraId="143D7966">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（2）中标人不履行与采购人订立的合同的；</w:t>
            </w:r>
          </w:p>
          <w:p w14:paraId="75512948">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（3）中标人所供货物或服务不符合谈判文件规定要求的；</w:t>
            </w:r>
          </w:p>
          <w:p w14:paraId="374D080D">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（4）中标人采取欺骗、弄虚作假方式投标的或与其他投标人串通投标的；</w:t>
            </w:r>
          </w:p>
          <w:p w14:paraId="25939A8A">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（5）中标人将合同内容转包、违法分包的；</w:t>
            </w:r>
          </w:p>
          <w:p w14:paraId="7E16E86A">
            <w:pPr>
              <w:snapToGrid w:val="0"/>
              <w:spacing w:line="360" w:lineRule="auto"/>
              <w:rPr>
                <w:rFonts w:ascii="宋体" w:hAnsi="宋体"/>
                <w:color w:val="auto"/>
                <w:sz w:val="24"/>
                <w:highlight w:val="none"/>
              </w:rPr>
            </w:pPr>
            <w:r>
              <w:rPr>
                <w:rFonts w:hint="eastAsia" w:ascii="宋体" w:hAnsi="宋体" w:cs="宋体"/>
                <w:color w:val="auto"/>
                <w:sz w:val="24"/>
                <w:highlight w:val="none"/>
              </w:rPr>
              <w:t>（6）中标人故意捏造事实或伪造证明材料，进行虚假恶意投诉或反映的。</w:t>
            </w:r>
          </w:p>
        </w:tc>
      </w:tr>
      <w:tr w14:paraId="6CA4502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0" w:type="auto"/>
            <w:noWrap w:val="0"/>
            <w:vAlign w:val="center"/>
          </w:tcPr>
          <w:p w14:paraId="5740B7AB">
            <w:pPr>
              <w:snapToGrid w:val="0"/>
              <w:jc w:val="center"/>
              <w:rPr>
                <w:rFonts w:ascii="宋体" w:hAnsi="宋体"/>
                <w:color w:val="auto"/>
                <w:sz w:val="24"/>
                <w:highlight w:val="none"/>
              </w:rPr>
            </w:pPr>
            <w:r>
              <w:rPr>
                <w:rFonts w:hint="eastAsia" w:ascii="宋体" w:hAnsi="宋体"/>
                <w:color w:val="auto"/>
                <w:sz w:val="24"/>
                <w:highlight w:val="none"/>
              </w:rPr>
              <w:t>第二节</w:t>
            </w:r>
          </w:p>
          <w:p w14:paraId="2153877C">
            <w:pPr>
              <w:snapToGrid w:val="0"/>
              <w:jc w:val="center"/>
              <w:rPr>
                <w:rFonts w:ascii="宋体" w:hAnsi="宋体"/>
                <w:color w:val="auto"/>
                <w:sz w:val="24"/>
                <w:highlight w:val="none"/>
              </w:rPr>
            </w:pPr>
            <w:r>
              <w:rPr>
                <w:rFonts w:hint="eastAsia" w:ascii="宋体" w:hAnsi="宋体"/>
                <w:color w:val="auto"/>
                <w:sz w:val="24"/>
                <w:highlight w:val="none"/>
              </w:rPr>
              <w:t>第13.3款</w:t>
            </w:r>
          </w:p>
        </w:tc>
        <w:tc>
          <w:tcPr>
            <w:tcW w:w="0" w:type="auto"/>
            <w:noWrap w:val="0"/>
            <w:vAlign w:val="center"/>
          </w:tcPr>
          <w:p w14:paraId="752AD73C">
            <w:pPr>
              <w:snapToGrid w:val="0"/>
              <w:jc w:val="left"/>
              <w:rPr>
                <w:rFonts w:ascii="宋体" w:hAnsi="宋体" w:cs="宋体"/>
                <w:color w:val="auto"/>
                <w:sz w:val="24"/>
                <w:highlight w:val="none"/>
              </w:rPr>
            </w:pPr>
            <w:r>
              <w:rPr>
                <w:rFonts w:hint="eastAsia" w:ascii="宋体" w:hAnsi="宋体" w:cs="宋体"/>
                <w:color w:val="auto"/>
                <w:sz w:val="24"/>
                <w:highlight w:val="none"/>
              </w:rPr>
              <w:t>履约保证金退还时间及逾期退还的违约金</w:t>
            </w:r>
          </w:p>
        </w:tc>
        <w:tc>
          <w:tcPr>
            <w:tcW w:w="6270" w:type="dxa"/>
            <w:noWrap w:val="0"/>
            <w:vAlign w:val="center"/>
          </w:tcPr>
          <w:p w14:paraId="4728F2FF">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1、合同履行结束后，甲方应及时退还交纳的履约保证金。</w:t>
            </w:r>
          </w:p>
          <w:p w14:paraId="0F9867CF">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2、退还方式：退还至投标人缴纳履约保证金的账户</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有息）</w:t>
            </w:r>
            <w:r>
              <w:rPr>
                <w:rFonts w:hint="eastAsia" w:ascii="宋体" w:hAnsi="宋体" w:cs="宋体"/>
                <w:color w:val="auto"/>
                <w:sz w:val="24"/>
                <w:highlight w:val="none"/>
              </w:rPr>
              <w:t>。如为保函，在到期时自行失效。</w:t>
            </w:r>
          </w:p>
          <w:p w14:paraId="652FD0B3">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3、退还时间：验收合格且甲方收到发票后30日内。</w:t>
            </w:r>
          </w:p>
          <w:p w14:paraId="0BA56543">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4、退还条件：按合同要求全部履约完成并经采购人验收合格，且采购人收到中标人出具的发票。</w:t>
            </w:r>
          </w:p>
          <w:p w14:paraId="313A569F">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5、逾期退还的违约责任：采购人逾期无故未退还履约保证金的，按中国人民银行同期贷款基准利率上浮20%后的利率支付超期资金占用费，但因供应商自身原因导致无法及时退还的除外。</w:t>
            </w:r>
          </w:p>
        </w:tc>
      </w:tr>
      <w:tr w14:paraId="1FF80DF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0" w:type="auto"/>
            <w:noWrap w:val="0"/>
            <w:vAlign w:val="center"/>
          </w:tcPr>
          <w:p w14:paraId="4D72A401">
            <w:pPr>
              <w:snapToGrid w:val="0"/>
              <w:jc w:val="center"/>
              <w:rPr>
                <w:rFonts w:ascii="宋体" w:hAnsi="宋体"/>
                <w:color w:val="auto"/>
                <w:sz w:val="24"/>
                <w:highlight w:val="none"/>
              </w:rPr>
            </w:pPr>
            <w:r>
              <w:rPr>
                <w:rFonts w:hint="eastAsia" w:ascii="宋体" w:hAnsi="宋体"/>
                <w:color w:val="auto"/>
                <w:sz w:val="24"/>
                <w:highlight w:val="none"/>
              </w:rPr>
              <w:t>第二节</w:t>
            </w:r>
          </w:p>
          <w:p w14:paraId="4FF5372A">
            <w:pPr>
              <w:snapToGrid w:val="0"/>
              <w:jc w:val="center"/>
              <w:rPr>
                <w:rFonts w:ascii="宋体" w:hAnsi="宋体"/>
                <w:color w:val="auto"/>
                <w:sz w:val="24"/>
                <w:highlight w:val="none"/>
              </w:rPr>
            </w:pPr>
            <w:r>
              <w:rPr>
                <w:rFonts w:hint="eastAsia" w:ascii="宋体" w:hAnsi="宋体"/>
                <w:color w:val="auto"/>
                <w:sz w:val="24"/>
                <w:highlight w:val="none"/>
              </w:rPr>
              <w:t>第14.1（3）项</w:t>
            </w:r>
          </w:p>
        </w:tc>
        <w:tc>
          <w:tcPr>
            <w:tcW w:w="0" w:type="auto"/>
            <w:noWrap w:val="0"/>
            <w:vAlign w:val="center"/>
          </w:tcPr>
          <w:p w14:paraId="7482600C">
            <w:pPr>
              <w:snapToGrid w:val="0"/>
              <w:jc w:val="left"/>
              <w:rPr>
                <w:rFonts w:ascii="宋体" w:hAnsi="宋体"/>
                <w:color w:val="auto"/>
                <w:sz w:val="24"/>
                <w:highlight w:val="none"/>
              </w:rPr>
            </w:pPr>
            <w:r>
              <w:rPr>
                <w:rFonts w:hint="eastAsia" w:ascii="宋体" w:hAnsi="宋体"/>
                <w:color w:val="auto"/>
                <w:sz w:val="24"/>
                <w:highlight w:val="none"/>
              </w:rPr>
              <w:t>运行监督、维修期限</w:t>
            </w:r>
          </w:p>
        </w:tc>
        <w:tc>
          <w:tcPr>
            <w:tcW w:w="6270" w:type="dxa"/>
            <w:noWrap w:val="0"/>
            <w:vAlign w:val="center"/>
          </w:tcPr>
          <w:p w14:paraId="0720E108">
            <w:pPr>
              <w:snapToGrid w:val="0"/>
              <w:jc w:val="left"/>
              <w:rPr>
                <w:rFonts w:ascii="宋体" w:hAnsi="宋体"/>
                <w:color w:val="auto"/>
                <w:sz w:val="24"/>
                <w:highlight w:val="none"/>
              </w:rPr>
            </w:pPr>
          </w:p>
        </w:tc>
      </w:tr>
      <w:tr w14:paraId="00E4F85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0" w:type="auto"/>
            <w:noWrap w:val="0"/>
            <w:vAlign w:val="center"/>
          </w:tcPr>
          <w:p w14:paraId="6BD733DA">
            <w:pPr>
              <w:snapToGrid w:val="0"/>
              <w:jc w:val="center"/>
              <w:rPr>
                <w:rFonts w:ascii="宋体" w:hAnsi="宋体"/>
                <w:color w:val="auto"/>
                <w:sz w:val="24"/>
                <w:highlight w:val="none"/>
              </w:rPr>
            </w:pPr>
            <w:r>
              <w:rPr>
                <w:rFonts w:hint="eastAsia" w:ascii="宋体" w:hAnsi="宋体"/>
                <w:color w:val="auto"/>
                <w:sz w:val="24"/>
                <w:highlight w:val="none"/>
              </w:rPr>
              <w:t>第二节</w:t>
            </w:r>
          </w:p>
          <w:p w14:paraId="4A449054">
            <w:pPr>
              <w:snapToGrid w:val="0"/>
              <w:jc w:val="center"/>
              <w:rPr>
                <w:rFonts w:ascii="宋体" w:hAnsi="宋体"/>
                <w:color w:val="auto"/>
                <w:sz w:val="24"/>
                <w:highlight w:val="none"/>
              </w:rPr>
            </w:pPr>
            <w:r>
              <w:rPr>
                <w:rFonts w:hint="eastAsia" w:ascii="宋体" w:hAnsi="宋体"/>
                <w:color w:val="auto"/>
                <w:sz w:val="24"/>
                <w:highlight w:val="none"/>
              </w:rPr>
              <w:t>第14.1（5）项</w:t>
            </w:r>
          </w:p>
        </w:tc>
        <w:tc>
          <w:tcPr>
            <w:tcW w:w="0" w:type="auto"/>
            <w:noWrap w:val="0"/>
            <w:vAlign w:val="center"/>
          </w:tcPr>
          <w:p w14:paraId="57719468">
            <w:pPr>
              <w:snapToGrid w:val="0"/>
              <w:jc w:val="left"/>
              <w:rPr>
                <w:rFonts w:ascii="宋体" w:hAnsi="宋体"/>
                <w:color w:val="auto"/>
                <w:sz w:val="24"/>
                <w:highlight w:val="none"/>
              </w:rPr>
            </w:pPr>
            <w:r>
              <w:rPr>
                <w:rFonts w:hint="eastAsia" w:ascii="宋体" w:hAnsi="宋体"/>
                <w:color w:val="auto"/>
                <w:sz w:val="24"/>
                <w:highlight w:val="none"/>
              </w:rPr>
              <w:t>货物回收的约定</w:t>
            </w:r>
          </w:p>
        </w:tc>
        <w:tc>
          <w:tcPr>
            <w:tcW w:w="6270" w:type="dxa"/>
            <w:noWrap w:val="0"/>
            <w:vAlign w:val="center"/>
          </w:tcPr>
          <w:p w14:paraId="74BDB2AC">
            <w:pPr>
              <w:snapToGrid w:val="0"/>
              <w:jc w:val="left"/>
              <w:rPr>
                <w:rFonts w:ascii="宋体" w:hAnsi="宋体"/>
                <w:color w:val="auto"/>
                <w:sz w:val="24"/>
                <w:highlight w:val="none"/>
              </w:rPr>
            </w:pPr>
          </w:p>
        </w:tc>
      </w:tr>
      <w:tr w14:paraId="6DF1D4B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0" w:type="auto"/>
            <w:noWrap w:val="0"/>
            <w:vAlign w:val="center"/>
          </w:tcPr>
          <w:p w14:paraId="7CC6207B">
            <w:pPr>
              <w:snapToGrid w:val="0"/>
              <w:jc w:val="center"/>
              <w:rPr>
                <w:rFonts w:ascii="宋体" w:hAnsi="宋体"/>
                <w:color w:val="auto"/>
                <w:sz w:val="24"/>
                <w:highlight w:val="none"/>
              </w:rPr>
            </w:pPr>
            <w:r>
              <w:rPr>
                <w:rFonts w:hint="eastAsia" w:ascii="宋体" w:hAnsi="宋体"/>
                <w:color w:val="auto"/>
                <w:sz w:val="24"/>
                <w:highlight w:val="none"/>
              </w:rPr>
              <w:t>第二节</w:t>
            </w:r>
          </w:p>
          <w:p w14:paraId="6DFEA1E1">
            <w:pPr>
              <w:snapToGrid w:val="0"/>
              <w:jc w:val="center"/>
              <w:rPr>
                <w:rFonts w:ascii="宋体" w:hAnsi="宋体"/>
                <w:color w:val="auto"/>
                <w:sz w:val="24"/>
                <w:highlight w:val="none"/>
              </w:rPr>
            </w:pPr>
            <w:r>
              <w:rPr>
                <w:rFonts w:hint="eastAsia" w:ascii="宋体" w:hAnsi="宋体"/>
                <w:color w:val="auto"/>
                <w:sz w:val="24"/>
                <w:highlight w:val="none"/>
              </w:rPr>
              <w:t>第14.1（6）项</w:t>
            </w:r>
          </w:p>
        </w:tc>
        <w:tc>
          <w:tcPr>
            <w:tcW w:w="0" w:type="auto"/>
            <w:noWrap w:val="0"/>
            <w:vAlign w:val="center"/>
          </w:tcPr>
          <w:p w14:paraId="3F8858D8">
            <w:pPr>
              <w:snapToGrid w:val="0"/>
              <w:jc w:val="left"/>
              <w:rPr>
                <w:rFonts w:ascii="宋体" w:hAnsi="宋体"/>
                <w:color w:val="auto"/>
                <w:sz w:val="24"/>
                <w:highlight w:val="none"/>
              </w:rPr>
            </w:pPr>
            <w:r>
              <w:rPr>
                <w:rFonts w:hint="eastAsia" w:ascii="宋体" w:hAnsi="宋体"/>
                <w:color w:val="auto"/>
                <w:sz w:val="24"/>
                <w:highlight w:val="none"/>
              </w:rPr>
              <w:t>乙方提供的其他服务</w:t>
            </w:r>
          </w:p>
        </w:tc>
        <w:tc>
          <w:tcPr>
            <w:tcW w:w="6270" w:type="dxa"/>
            <w:noWrap w:val="0"/>
            <w:vAlign w:val="center"/>
          </w:tcPr>
          <w:p w14:paraId="3CF241C2">
            <w:pPr>
              <w:snapToGrid w:val="0"/>
              <w:jc w:val="left"/>
              <w:rPr>
                <w:rFonts w:ascii="宋体" w:hAnsi="宋体"/>
                <w:color w:val="auto"/>
                <w:sz w:val="24"/>
                <w:highlight w:val="none"/>
              </w:rPr>
            </w:pPr>
          </w:p>
        </w:tc>
      </w:tr>
      <w:tr w14:paraId="31C8D5B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0" w:type="auto"/>
            <w:noWrap w:val="0"/>
            <w:vAlign w:val="center"/>
          </w:tcPr>
          <w:p w14:paraId="205B937A">
            <w:pPr>
              <w:snapToGrid w:val="0"/>
              <w:jc w:val="center"/>
              <w:rPr>
                <w:rFonts w:ascii="宋体" w:hAnsi="宋体"/>
                <w:color w:val="auto"/>
                <w:sz w:val="24"/>
                <w:highlight w:val="none"/>
              </w:rPr>
            </w:pPr>
            <w:r>
              <w:rPr>
                <w:rFonts w:hint="eastAsia" w:ascii="宋体" w:hAnsi="宋体"/>
                <w:color w:val="auto"/>
                <w:sz w:val="24"/>
                <w:highlight w:val="none"/>
              </w:rPr>
              <w:t>第二节</w:t>
            </w:r>
          </w:p>
          <w:p w14:paraId="5DE1A3DB">
            <w:pPr>
              <w:snapToGrid w:val="0"/>
              <w:jc w:val="center"/>
              <w:rPr>
                <w:rFonts w:ascii="宋体" w:hAnsi="宋体"/>
                <w:color w:val="auto"/>
                <w:sz w:val="24"/>
                <w:highlight w:val="none"/>
              </w:rPr>
            </w:pPr>
            <w:r>
              <w:rPr>
                <w:rFonts w:hint="eastAsia" w:ascii="宋体" w:hAnsi="宋体"/>
                <w:color w:val="auto"/>
                <w:sz w:val="24"/>
                <w:highlight w:val="none"/>
              </w:rPr>
              <w:t>第15.1款</w:t>
            </w:r>
          </w:p>
        </w:tc>
        <w:tc>
          <w:tcPr>
            <w:tcW w:w="0" w:type="auto"/>
            <w:noWrap w:val="0"/>
            <w:vAlign w:val="center"/>
          </w:tcPr>
          <w:p w14:paraId="2514F37B">
            <w:pPr>
              <w:snapToGrid w:val="0"/>
              <w:jc w:val="left"/>
              <w:rPr>
                <w:rFonts w:ascii="宋体" w:hAnsi="宋体"/>
                <w:color w:val="auto"/>
                <w:sz w:val="24"/>
                <w:highlight w:val="none"/>
              </w:rPr>
            </w:pPr>
            <w:r>
              <w:rPr>
                <w:rFonts w:hint="eastAsia" w:ascii="宋体" w:hAnsi="宋体"/>
                <w:color w:val="auto"/>
                <w:sz w:val="24"/>
                <w:highlight w:val="none"/>
              </w:rPr>
              <w:t>修理、重做、更换相关具体规定</w:t>
            </w:r>
          </w:p>
        </w:tc>
        <w:tc>
          <w:tcPr>
            <w:tcW w:w="6270" w:type="dxa"/>
            <w:noWrap w:val="0"/>
            <w:vAlign w:val="center"/>
          </w:tcPr>
          <w:p w14:paraId="0F245186">
            <w:pPr>
              <w:numPr>
                <w:ilvl w:val="0"/>
                <w:numId w:val="9"/>
              </w:numPr>
              <w:snapToGrid w:val="0"/>
              <w:jc w:val="left"/>
              <w:rPr>
                <w:rFonts w:ascii="宋体" w:hAnsi="宋体"/>
                <w:color w:val="auto"/>
                <w:sz w:val="24"/>
                <w:highlight w:val="none"/>
              </w:rPr>
            </w:pPr>
            <w:r>
              <w:rPr>
                <w:rFonts w:hint="eastAsia" w:ascii="宋体" w:hAnsi="宋体"/>
                <w:color w:val="auto"/>
                <w:sz w:val="24"/>
                <w:highlight w:val="none"/>
              </w:rPr>
              <w:t>详见合同通用条款8.2条款、合同专用条款第二节第8款补充条款及合同专用条款中索赔条款。</w:t>
            </w:r>
          </w:p>
          <w:p w14:paraId="245E9A48">
            <w:pPr>
              <w:numPr>
                <w:ilvl w:val="0"/>
                <w:numId w:val="9"/>
              </w:numPr>
              <w:snapToGrid w:val="0"/>
              <w:jc w:val="left"/>
              <w:rPr>
                <w:rFonts w:ascii="宋体" w:hAnsi="宋体"/>
                <w:color w:val="auto"/>
                <w:sz w:val="24"/>
                <w:highlight w:val="none"/>
              </w:rPr>
            </w:pPr>
            <w:r>
              <w:rPr>
                <w:rFonts w:hint="eastAsia" w:ascii="宋体" w:hAnsi="宋体"/>
                <w:color w:val="auto"/>
                <w:sz w:val="24"/>
                <w:highlight w:val="none"/>
              </w:rPr>
              <w:t>乙方所交的货物品种、型号、规格、技术参数、质量不符合合同规定及谈判文件规定标准的，甲方有权拒收该货物，乙方愿意更换货物但逾期交货的，按乙方逾期交货处理。乙方拒绝更换货物的，甲方可单方面解除合同。</w:t>
            </w:r>
          </w:p>
        </w:tc>
      </w:tr>
      <w:tr w14:paraId="32018FF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3876" w:hRule="atLeast"/>
          <w:jc w:val="center"/>
        </w:trPr>
        <w:tc>
          <w:tcPr>
            <w:tcW w:w="0" w:type="auto"/>
            <w:noWrap w:val="0"/>
            <w:vAlign w:val="center"/>
          </w:tcPr>
          <w:p w14:paraId="34618905">
            <w:pPr>
              <w:snapToGrid w:val="0"/>
              <w:jc w:val="center"/>
              <w:rPr>
                <w:rFonts w:ascii="宋体" w:hAnsi="宋体"/>
                <w:color w:val="auto"/>
                <w:sz w:val="24"/>
                <w:highlight w:val="none"/>
              </w:rPr>
            </w:pPr>
            <w:r>
              <w:rPr>
                <w:rFonts w:hint="eastAsia" w:ascii="宋体" w:hAnsi="宋体"/>
                <w:color w:val="auto"/>
                <w:sz w:val="24"/>
                <w:highlight w:val="none"/>
              </w:rPr>
              <w:t>第二节</w:t>
            </w:r>
          </w:p>
          <w:p w14:paraId="0EF592B8">
            <w:pPr>
              <w:snapToGrid w:val="0"/>
              <w:jc w:val="center"/>
              <w:rPr>
                <w:rFonts w:ascii="宋体" w:hAnsi="宋体"/>
                <w:color w:val="auto"/>
                <w:sz w:val="24"/>
                <w:highlight w:val="none"/>
              </w:rPr>
            </w:pPr>
            <w:r>
              <w:rPr>
                <w:rFonts w:hint="eastAsia" w:ascii="宋体" w:hAnsi="宋体"/>
                <w:color w:val="auto"/>
                <w:sz w:val="24"/>
                <w:highlight w:val="none"/>
              </w:rPr>
              <w:t>第15.2（2）项</w:t>
            </w:r>
          </w:p>
        </w:tc>
        <w:tc>
          <w:tcPr>
            <w:tcW w:w="0" w:type="auto"/>
            <w:noWrap w:val="0"/>
            <w:vAlign w:val="center"/>
          </w:tcPr>
          <w:p w14:paraId="2F9D6AE6">
            <w:pPr>
              <w:snapToGrid w:val="0"/>
              <w:jc w:val="left"/>
              <w:rPr>
                <w:rFonts w:ascii="宋体" w:hAnsi="宋体"/>
                <w:color w:val="auto"/>
                <w:sz w:val="24"/>
                <w:highlight w:val="none"/>
              </w:rPr>
            </w:pPr>
            <w:r>
              <w:rPr>
                <w:rFonts w:hint="eastAsia" w:ascii="宋体" w:hAnsi="宋体"/>
                <w:color w:val="auto"/>
                <w:sz w:val="24"/>
                <w:highlight w:val="none"/>
              </w:rPr>
              <w:t>迟延交货赔偿费</w:t>
            </w:r>
          </w:p>
        </w:tc>
        <w:tc>
          <w:tcPr>
            <w:tcW w:w="6270" w:type="dxa"/>
            <w:noWrap w:val="0"/>
            <w:vAlign w:val="center"/>
          </w:tcPr>
          <w:p w14:paraId="253B3026">
            <w:pPr>
              <w:snapToGrid w:val="0"/>
              <w:jc w:val="left"/>
              <w:rPr>
                <w:rFonts w:ascii="宋体" w:hAnsi="宋体"/>
                <w:color w:val="auto"/>
                <w:sz w:val="24"/>
                <w:highlight w:val="none"/>
              </w:rPr>
            </w:pPr>
            <w:r>
              <w:rPr>
                <w:rFonts w:hint="eastAsia" w:ascii="宋体" w:hAnsi="宋体"/>
                <w:color w:val="auto"/>
                <w:sz w:val="24"/>
                <w:highlight w:val="none"/>
              </w:rPr>
              <w:t>1.乙方应按照“开标（报价）一览表”中规定的交货期或承诺交货和提供服务，并交付甲方验收使用。</w:t>
            </w:r>
          </w:p>
          <w:p w14:paraId="4A5CEB06">
            <w:pPr>
              <w:snapToGrid w:val="0"/>
              <w:jc w:val="left"/>
              <w:rPr>
                <w:rFonts w:ascii="宋体" w:hAnsi="宋体"/>
                <w:color w:val="auto"/>
                <w:sz w:val="24"/>
                <w:highlight w:val="none"/>
              </w:rPr>
            </w:pPr>
            <w:r>
              <w:rPr>
                <w:rFonts w:hint="eastAsia" w:ascii="宋体" w:hAnsi="宋体"/>
                <w:color w:val="auto"/>
                <w:sz w:val="24"/>
                <w:highlight w:val="none"/>
              </w:rPr>
              <w:t>2.如果乙方无正当理由拖延交货，将受到以下制裁：加收误期赔偿或终止合同。</w:t>
            </w:r>
          </w:p>
          <w:p w14:paraId="203D21ED">
            <w:pPr>
              <w:snapToGrid w:val="0"/>
              <w:jc w:val="left"/>
              <w:rPr>
                <w:rFonts w:ascii="宋体" w:hAnsi="宋体"/>
                <w:color w:val="auto"/>
                <w:sz w:val="24"/>
                <w:highlight w:val="none"/>
              </w:rPr>
            </w:pPr>
            <w:r>
              <w:rPr>
                <w:rFonts w:hint="eastAsia" w:ascii="宋体" w:hAnsi="宋体"/>
                <w:color w:val="auto"/>
                <w:sz w:val="24"/>
                <w:highlight w:val="none"/>
              </w:rPr>
              <w:t>3. 乙方逾期交付货物的，乙方应按逾期交货总额每日</w:t>
            </w:r>
            <w:r>
              <w:rPr>
                <w:rFonts w:hint="eastAsia" w:ascii="宋体" w:hAnsi="宋体"/>
                <w:color w:val="auto"/>
                <w:sz w:val="24"/>
                <w:highlight w:val="none"/>
                <w:u w:val="single"/>
              </w:rPr>
              <w:t xml:space="preserve">     </w:t>
            </w:r>
            <w:r>
              <w:rPr>
                <w:rFonts w:hint="eastAsia" w:ascii="宋体" w:hAnsi="宋体"/>
                <w:color w:val="auto"/>
                <w:sz w:val="24"/>
                <w:highlight w:val="none"/>
              </w:rPr>
              <w:t>向甲方支付违约金，由甲方从待付货款中扣除。逾期超过约定日期</w:t>
            </w:r>
            <w:r>
              <w:rPr>
                <w:rFonts w:hint="eastAsia" w:ascii="宋体" w:hAnsi="宋体"/>
                <w:color w:val="auto"/>
                <w:sz w:val="24"/>
                <w:highlight w:val="none"/>
                <w:u w:val="single"/>
              </w:rPr>
              <w:t xml:space="preserve">     </w:t>
            </w:r>
            <w:r>
              <w:rPr>
                <w:rFonts w:hint="eastAsia" w:ascii="宋体" w:hAnsi="宋体"/>
                <w:color w:val="auto"/>
                <w:sz w:val="24"/>
                <w:highlight w:val="none"/>
              </w:rPr>
              <w:t>个工作日不能交货的，甲方可解除本合同。乙方因逾期交货或因其他违约行为导致甲方解除合同的，乙方应向甲方支付合同总值</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的违约金，如造成甲方损失超过违约金的，超出部分由乙方继续承担赔偿责任。 </w:t>
            </w:r>
          </w:p>
          <w:p w14:paraId="4C27451D">
            <w:pPr>
              <w:snapToGrid w:val="0"/>
              <w:jc w:val="left"/>
              <w:rPr>
                <w:rFonts w:ascii="宋体" w:hAnsi="宋体"/>
                <w:color w:val="auto"/>
                <w:sz w:val="24"/>
                <w:highlight w:val="none"/>
                <w:u w:val="single"/>
              </w:rPr>
            </w:pPr>
            <w:r>
              <w:rPr>
                <w:rFonts w:hint="eastAsia" w:ascii="宋体" w:hAnsi="宋体"/>
                <w:color w:val="auto"/>
                <w:sz w:val="24"/>
                <w:highlight w:val="none"/>
              </w:rPr>
              <w:t>4.如乙方不能交付货物，或者有违法转包他人情形，乙方应向甲方支付合同总价</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w:t>
            </w:r>
            <w:r>
              <w:rPr>
                <w:rFonts w:hint="eastAsia" w:ascii="宋体" w:hAnsi="宋体"/>
                <w:color w:val="auto"/>
                <w:sz w:val="24"/>
                <w:highlight w:val="none"/>
                <w:u w:val="single"/>
              </w:rPr>
              <w:t xml:space="preserve">  </w:t>
            </w:r>
            <w:r>
              <w:rPr>
                <w:rFonts w:hint="eastAsia" w:ascii="宋体" w:hAnsi="宋体"/>
                <w:color w:val="auto"/>
                <w:sz w:val="24"/>
                <w:highlight w:val="none"/>
              </w:rPr>
              <w:t>的滞纳金。</w:t>
            </w:r>
          </w:p>
        </w:tc>
      </w:tr>
      <w:tr w14:paraId="1302EE1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0" w:type="auto"/>
            <w:noWrap w:val="0"/>
            <w:vAlign w:val="center"/>
          </w:tcPr>
          <w:p w14:paraId="1C23FEC5">
            <w:pPr>
              <w:snapToGrid w:val="0"/>
              <w:jc w:val="center"/>
              <w:rPr>
                <w:rFonts w:ascii="宋体" w:hAnsi="宋体"/>
                <w:color w:val="auto"/>
                <w:sz w:val="24"/>
                <w:highlight w:val="none"/>
              </w:rPr>
            </w:pPr>
            <w:r>
              <w:rPr>
                <w:rFonts w:hint="eastAsia" w:ascii="宋体" w:hAnsi="宋体"/>
                <w:color w:val="auto"/>
                <w:sz w:val="24"/>
                <w:highlight w:val="none"/>
              </w:rPr>
              <w:t>第二节</w:t>
            </w:r>
          </w:p>
          <w:p w14:paraId="21F7E022">
            <w:pPr>
              <w:snapToGrid w:val="0"/>
              <w:jc w:val="center"/>
              <w:rPr>
                <w:rFonts w:ascii="宋体" w:hAnsi="宋体"/>
                <w:color w:val="auto"/>
                <w:sz w:val="24"/>
                <w:highlight w:val="none"/>
              </w:rPr>
            </w:pPr>
            <w:r>
              <w:rPr>
                <w:rFonts w:hint="eastAsia" w:ascii="宋体" w:hAnsi="宋体"/>
                <w:color w:val="auto"/>
                <w:sz w:val="24"/>
                <w:highlight w:val="none"/>
              </w:rPr>
              <w:t>第15.3款</w:t>
            </w:r>
          </w:p>
        </w:tc>
        <w:tc>
          <w:tcPr>
            <w:tcW w:w="0" w:type="auto"/>
            <w:noWrap w:val="0"/>
            <w:vAlign w:val="center"/>
          </w:tcPr>
          <w:p w14:paraId="68EE0EDA">
            <w:pPr>
              <w:snapToGrid w:val="0"/>
              <w:jc w:val="left"/>
              <w:rPr>
                <w:rFonts w:ascii="宋体" w:hAnsi="宋体"/>
                <w:color w:val="auto"/>
                <w:sz w:val="24"/>
                <w:highlight w:val="none"/>
              </w:rPr>
            </w:pPr>
            <w:r>
              <w:rPr>
                <w:rFonts w:hint="eastAsia" w:ascii="宋体" w:hAnsi="宋体"/>
                <w:color w:val="auto"/>
                <w:sz w:val="24"/>
                <w:highlight w:val="none"/>
              </w:rPr>
              <w:t>逾期付款利息</w:t>
            </w:r>
          </w:p>
        </w:tc>
        <w:tc>
          <w:tcPr>
            <w:tcW w:w="6270" w:type="dxa"/>
            <w:noWrap w:val="0"/>
            <w:vAlign w:val="center"/>
          </w:tcPr>
          <w:p w14:paraId="6A8A4EFA">
            <w:pPr>
              <w:pStyle w:val="30"/>
              <w:snapToGrid w:val="0"/>
              <w:spacing w:before="120" w:beforeAutospacing="0" w:after="120" w:afterAutospacing="0"/>
              <w:ind w:left="410" w:hanging="410"/>
              <w:jc w:val="both"/>
              <w:rPr>
                <w:color w:val="auto"/>
                <w:highlight w:val="none"/>
              </w:rPr>
            </w:pPr>
            <w:r>
              <w:rPr>
                <w:rFonts w:hint="eastAsia" w:ascii="宋体" w:hAnsi="宋体" w:cs="宋体"/>
                <w:color w:val="auto"/>
                <w:highlight w:val="none"/>
              </w:rPr>
              <w:t>1.甲方无正当理由拒收货物的，甲方向乙方偿付拒收货款总值</w:t>
            </w:r>
            <w:r>
              <w:rPr>
                <w:rFonts w:hint="eastAsia" w:ascii="宋体" w:hAnsi="宋体" w:cs="宋体"/>
                <w:color w:val="auto"/>
                <w:highlight w:val="none"/>
                <w:u w:val="single"/>
              </w:rPr>
              <w:t>  </w:t>
            </w:r>
            <w:r>
              <w:rPr>
                <w:rFonts w:hint="eastAsia" w:ascii="宋体" w:hAnsi="宋体"/>
                <w:color w:val="auto"/>
                <w:sz w:val="24"/>
                <w:highlight w:val="none"/>
                <w:u w:val="single"/>
                <w:lang w:val="en-US" w:eastAsia="zh-CN"/>
              </w:rPr>
              <w:t>/</w:t>
            </w:r>
            <w:r>
              <w:rPr>
                <w:rFonts w:hint="eastAsia" w:ascii="宋体" w:hAnsi="宋体" w:cs="宋体"/>
                <w:color w:val="auto"/>
                <w:highlight w:val="none"/>
                <w:u w:val="single"/>
              </w:rPr>
              <w:t xml:space="preserve">  </w:t>
            </w:r>
            <w:r>
              <w:rPr>
                <w:rFonts w:hint="eastAsia" w:ascii="宋体" w:hAnsi="宋体" w:cs="宋体"/>
                <w:color w:val="auto"/>
                <w:highlight w:val="none"/>
              </w:rPr>
              <w:t>的违约金。</w:t>
            </w:r>
          </w:p>
          <w:p w14:paraId="3268440D">
            <w:pPr>
              <w:pStyle w:val="30"/>
              <w:snapToGrid w:val="0"/>
              <w:spacing w:before="120" w:beforeAutospacing="0" w:after="120" w:afterAutospacing="0"/>
              <w:ind w:left="410" w:hanging="410"/>
              <w:jc w:val="both"/>
              <w:rPr>
                <w:rFonts w:ascii="宋体" w:hAnsi="宋体"/>
                <w:color w:val="auto"/>
                <w:highlight w:val="none"/>
                <w:u w:val="single"/>
              </w:rPr>
            </w:pPr>
            <w:r>
              <w:rPr>
                <w:rFonts w:hint="eastAsia" w:ascii="宋体" w:hAnsi="宋体" w:cs="宋体"/>
                <w:color w:val="auto"/>
                <w:highlight w:val="none"/>
              </w:rPr>
              <w:t>2.甲方无故逾期验收和办理货款支付手续的</w:t>
            </w:r>
            <w:r>
              <w:rPr>
                <w:rFonts w:hint="eastAsia" w:ascii="宋体" w:hAnsi="宋体" w:cs="宋体"/>
                <w:color w:val="auto"/>
                <w:highlight w:val="none"/>
                <w:lang w:eastAsia="zh-CN"/>
              </w:rPr>
              <w:t>，</w:t>
            </w:r>
            <w:r>
              <w:rPr>
                <w:rFonts w:hint="eastAsia" w:ascii="宋体" w:hAnsi="宋体" w:cs="宋体"/>
                <w:color w:val="auto"/>
                <w:highlight w:val="none"/>
              </w:rPr>
              <w:t>甲方应按逾期付款总额每日</w:t>
            </w:r>
            <w:r>
              <w:rPr>
                <w:rFonts w:hint="eastAsia" w:ascii="宋体" w:hAnsi="宋体" w:cs="宋体"/>
                <w:color w:val="auto"/>
                <w:highlight w:val="none"/>
                <w:u w:val="single"/>
              </w:rPr>
              <w:t>  </w:t>
            </w:r>
            <w:r>
              <w:rPr>
                <w:rFonts w:hint="eastAsia" w:ascii="宋体" w:hAnsi="宋体"/>
                <w:color w:val="auto"/>
                <w:sz w:val="24"/>
                <w:highlight w:val="none"/>
                <w:u w:val="single"/>
                <w:lang w:val="en-US" w:eastAsia="zh-CN"/>
              </w:rPr>
              <w:t>/</w:t>
            </w:r>
            <w:r>
              <w:rPr>
                <w:rFonts w:hint="eastAsia" w:ascii="宋体" w:hAnsi="宋体" w:cs="宋体"/>
                <w:color w:val="auto"/>
                <w:highlight w:val="none"/>
                <w:u w:val="single"/>
              </w:rPr>
              <w:t xml:space="preserve">  </w:t>
            </w:r>
            <w:r>
              <w:rPr>
                <w:rFonts w:hint="eastAsia" w:ascii="宋体" w:hAnsi="宋体" w:cs="宋体"/>
                <w:color w:val="auto"/>
                <w:highlight w:val="none"/>
              </w:rPr>
              <w:t>向乙方支付违约金。</w:t>
            </w:r>
          </w:p>
        </w:tc>
      </w:tr>
      <w:tr w14:paraId="38DB1A8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0" w:type="auto"/>
            <w:tcBorders>
              <w:bottom w:val="single" w:color="000000" w:sz="2" w:space="0"/>
              <w:right w:val="single" w:color="000000" w:sz="2" w:space="0"/>
            </w:tcBorders>
            <w:noWrap w:val="0"/>
            <w:vAlign w:val="center"/>
          </w:tcPr>
          <w:p w14:paraId="723AC320">
            <w:pPr>
              <w:snapToGrid w:val="0"/>
              <w:jc w:val="center"/>
              <w:rPr>
                <w:rFonts w:ascii="宋体" w:hAnsi="宋体"/>
                <w:color w:val="auto"/>
                <w:sz w:val="24"/>
                <w:highlight w:val="none"/>
              </w:rPr>
            </w:pPr>
            <w:r>
              <w:rPr>
                <w:rFonts w:hint="eastAsia" w:ascii="宋体" w:hAnsi="宋体"/>
                <w:color w:val="auto"/>
                <w:sz w:val="24"/>
                <w:highlight w:val="none"/>
              </w:rPr>
              <w:t>第二节</w:t>
            </w:r>
          </w:p>
          <w:p w14:paraId="2C7F48BB">
            <w:pPr>
              <w:snapToGrid w:val="0"/>
              <w:jc w:val="center"/>
              <w:rPr>
                <w:rFonts w:ascii="宋体" w:hAnsi="宋体"/>
                <w:color w:val="auto"/>
                <w:sz w:val="24"/>
                <w:highlight w:val="none"/>
              </w:rPr>
            </w:pPr>
            <w:r>
              <w:rPr>
                <w:rFonts w:hint="eastAsia" w:ascii="宋体" w:hAnsi="宋体"/>
                <w:color w:val="auto"/>
                <w:sz w:val="24"/>
                <w:highlight w:val="none"/>
              </w:rPr>
              <w:t>第15.4款</w:t>
            </w:r>
          </w:p>
        </w:tc>
        <w:tc>
          <w:tcPr>
            <w:tcW w:w="0" w:type="auto"/>
            <w:tcBorders>
              <w:left w:val="single" w:color="000000" w:sz="2" w:space="0"/>
              <w:bottom w:val="single" w:color="000000" w:sz="2" w:space="0"/>
              <w:right w:val="single" w:color="000000" w:sz="2" w:space="0"/>
            </w:tcBorders>
            <w:noWrap w:val="0"/>
            <w:vAlign w:val="center"/>
          </w:tcPr>
          <w:p w14:paraId="6F41FACF">
            <w:pPr>
              <w:snapToGrid w:val="0"/>
              <w:jc w:val="left"/>
              <w:rPr>
                <w:rFonts w:ascii="宋体" w:hAnsi="宋体"/>
                <w:color w:val="auto"/>
                <w:sz w:val="24"/>
                <w:highlight w:val="none"/>
              </w:rPr>
            </w:pPr>
            <w:r>
              <w:rPr>
                <w:rFonts w:hint="eastAsia" w:ascii="宋体" w:hAnsi="宋体"/>
                <w:color w:val="auto"/>
                <w:sz w:val="24"/>
                <w:highlight w:val="none"/>
              </w:rPr>
              <w:t>其他违约责任</w:t>
            </w:r>
          </w:p>
        </w:tc>
        <w:tc>
          <w:tcPr>
            <w:tcW w:w="6270" w:type="dxa"/>
            <w:tcBorders>
              <w:left w:val="single" w:color="000000" w:sz="2" w:space="0"/>
              <w:bottom w:val="single" w:color="000000" w:sz="2" w:space="0"/>
            </w:tcBorders>
            <w:noWrap w:val="0"/>
            <w:vAlign w:val="center"/>
          </w:tcPr>
          <w:p w14:paraId="283445D8">
            <w:pPr>
              <w:snapToGrid w:val="0"/>
              <w:jc w:val="left"/>
              <w:rPr>
                <w:rFonts w:ascii="宋体" w:hAnsi="宋体"/>
                <w:color w:val="auto"/>
                <w:sz w:val="24"/>
                <w:highlight w:val="none"/>
                <w:u w:val="single"/>
              </w:rPr>
            </w:pPr>
          </w:p>
        </w:tc>
      </w:tr>
      <w:tr w14:paraId="270BB2D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0" w:type="auto"/>
            <w:tcBorders>
              <w:top w:val="single" w:color="000000" w:sz="2" w:space="0"/>
              <w:right w:val="single" w:color="000000" w:sz="2" w:space="0"/>
            </w:tcBorders>
            <w:noWrap w:val="0"/>
            <w:vAlign w:val="center"/>
          </w:tcPr>
          <w:p w14:paraId="2F5E9D7A">
            <w:pPr>
              <w:snapToGrid w:val="0"/>
              <w:jc w:val="center"/>
              <w:rPr>
                <w:rFonts w:ascii="宋体" w:hAnsi="宋体"/>
                <w:color w:val="auto"/>
                <w:sz w:val="24"/>
                <w:highlight w:val="none"/>
              </w:rPr>
            </w:pPr>
            <w:r>
              <w:rPr>
                <w:rFonts w:hint="eastAsia" w:ascii="宋体" w:hAnsi="宋体"/>
                <w:color w:val="auto"/>
                <w:sz w:val="24"/>
                <w:highlight w:val="none"/>
              </w:rPr>
              <w:t>第二节</w:t>
            </w:r>
          </w:p>
          <w:p w14:paraId="09DAED9A">
            <w:pPr>
              <w:snapToGrid w:val="0"/>
              <w:jc w:val="center"/>
              <w:rPr>
                <w:rFonts w:ascii="宋体" w:hAnsi="宋体"/>
                <w:color w:val="auto"/>
                <w:sz w:val="24"/>
                <w:highlight w:val="none"/>
              </w:rPr>
            </w:pPr>
            <w:r>
              <w:rPr>
                <w:rFonts w:hint="eastAsia" w:ascii="宋体" w:hAnsi="宋体"/>
                <w:color w:val="auto"/>
                <w:sz w:val="24"/>
                <w:highlight w:val="none"/>
              </w:rPr>
              <w:t>第19.2款</w:t>
            </w:r>
          </w:p>
        </w:tc>
        <w:tc>
          <w:tcPr>
            <w:tcW w:w="0" w:type="auto"/>
            <w:tcBorders>
              <w:top w:val="single" w:color="000000" w:sz="2" w:space="0"/>
              <w:left w:val="single" w:color="000000" w:sz="2" w:space="0"/>
              <w:right w:val="single" w:color="000000" w:sz="2" w:space="0"/>
            </w:tcBorders>
            <w:noWrap w:val="0"/>
            <w:vAlign w:val="center"/>
          </w:tcPr>
          <w:p w14:paraId="35E2EEA4">
            <w:pPr>
              <w:snapToGrid w:val="0"/>
              <w:jc w:val="left"/>
              <w:rPr>
                <w:rFonts w:ascii="宋体" w:hAnsi="宋体"/>
                <w:color w:val="auto"/>
                <w:sz w:val="24"/>
                <w:highlight w:val="none"/>
              </w:rPr>
            </w:pPr>
            <w:r>
              <w:rPr>
                <w:rFonts w:hint="eastAsia" w:ascii="宋体" w:hAnsi="宋体"/>
                <w:color w:val="auto"/>
                <w:sz w:val="24"/>
                <w:highlight w:val="none"/>
              </w:rPr>
              <w:t>解决争议的方法</w:t>
            </w:r>
          </w:p>
        </w:tc>
        <w:tc>
          <w:tcPr>
            <w:tcW w:w="6270" w:type="dxa"/>
            <w:tcBorders>
              <w:top w:val="single" w:color="000000" w:sz="2" w:space="0"/>
              <w:left w:val="single" w:color="000000" w:sz="2" w:space="0"/>
            </w:tcBorders>
            <w:noWrap w:val="0"/>
            <w:vAlign w:val="center"/>
          </w:tcPr>
          <w:p w14:paraId="4DA5065A">
            <w:pPr>
              <w:snapToGrid w:val="0"/>
              <w:jc w:val="left"/>
              <w:rPr>
                <w:rFonts w:ascii="宋体" w:hAnsi="宋体"/>
                <w:color w:val="auto"/>
                <w:sz w:val="24"/>
                <w:highlight w:val="none"/>
              </w:rPr>
            </w:pPr>
            <w:r>
              <w:rPr>
                <w:rFonts w:hint="eastAsia" w:ascii="宋体" w:hAnsi="宋体"/>
                <w:color w:val="auto"/>
                <w:sz w:val="24"/>
                <w:highlight w:val="none"/>
              </w:rPr>
              <w:t>1.因本合同及合同有关事项发生的争议，由双方协商解决，协商不成时，按下列第</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2</w:t>
            </w:r>
            <w:r>
              <w:rPr>
                <w:rFonts w:hint="eastAsia" w:ascii="宋体" w:hAnsi="宋体"/>
                <w:color w:val="auto"/>
                <w:sz w:val="24"/>
                <w:highlight w:val="none"/>
                <w:u w:val="single"/>
              </w:rPr>
              <w:t xml:space="preserve"> </w:t>
            </w:r>
            <w:r>
              <w:rPr>
                <w:rFonts w:hint="eastAsia" w:ascii="宋体" w:hAnsi="宋体"/>
                <w:color w:val="auto"/>
                <w:sz w:val="24"/>
                <w:highlight w:val="none"/>
              </w:rPr>
              <w:t>种方式解决：</w:t>
            </w:r>
          </w:p>
          <w:p w14:paraId="6E67BD05">
            <w:pPr>
              <w:snapToGrid w:val="0"/>
              <w:jc w:val="left"/>
              <w:rPr>
                <w:rFonts w:ascii="宋体" w:hAnsi="宋体"/>
                <w:color w:val="auto"/>
                <w:sz w:val="24"/>
                <w:highlight w:val="none"/>
              </w:rPr>
            </w:pPr>
            <w:r>
              <w:rPr>
                <w:rFonts w:hint="eastAsia" w:ascii="宋体" w:hAnsi="宋体"/>
                <w:color w:val="auto"/>
                <w:sz w:val="24"/>
                <w:highlight w:val="none"/>
              </w:rPr>
              <w:t>（1）向仲裁委员会申请仲裁，仲裁地点为</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EC2C477">
            <w:pPr>
              <w:snapToGrid w:val="0"/>
              <w:jc w:val="left"/>
              <w:rPr>
                <w:rFonts w:ascii="宋体" w:hAnsi="宋体"/>
                <w:color w:val="auto"/>
                <w:sz w:val="24"/>
                <w:highlight w:val="none"/>
              </w:rPr>
            </w:pPr>
            <w:r>
              <w:rPr>
                <w:rFonts w:hint="eastAsia" w:ascii="宋体" w:hAnsi="宋体"/>
                <w:color w:val="auto"/>
                <w:sz w:val="24"/>
                <w:highlight w:val="none"/>
              </w:rPr>
              <w:t>（2）向甲方所在地人民法院起诉。</w:t>
            </w:r>
          </w:p>
          <w:p w14:paraId="5D4D956B">
            <w:pPr>
              <w:snapToGrid w:val="0"/>
              <w:jc w:val="left"/>
              <w:rPr>
                <w:rFonts w:ascii="宋体" w:hAnsi="宋体"/>
                <w:color w:val="auto"/>
                <w:sz w:val="24"/>
                <w:highlight w:val="none"/>
              </w:rPr>
            </w:pPr>
            <w:r>
              <w:rPr>
                <w:rFonts w:hint="eastAsia" w:ascii="宋体" w:hAnsi="宋体"/>
                <w:color w:val="auto"/>
                <w:sz w:val="24"/>
                <w:highlight w:val="none"/>
              </w:rPr>
              <w:t>2. 纠纷解决办法</w:t>
            </w:r>
          </w:p>
          <w:p w14:paraId="5299F389">
            <w:pPr>
              <w:snapToGrid w:val="0"/>
              <w:jc w:val="left"/>
              <w:rPr>
                <w:rFonts w:ascii="宋体" w:hAnsi="宋体"/>
                <w:color w:val="auto"/>
                <w:sz w:val="24"/>
                <w:highlight w:val="none"/>
              </w:rPr>
            </w:pPr>
            <w:r>
              <w:rPr>
                <w:rFonts w:hint="eastAsia" w:ascii="宋体" w:hAnsi="宋体"/>
                <w:color w:val="auto"/>
                <w:sz w:val="24"/>
                <w:highlight w:val="none"/>
              </w:rPr>
              <w:t>2.1因货物的质量问题发生争议的，应当邀请国家认可的质量检测机构对货物质量进行鉴定。货物符合标准的，鉴定费由甲方承担；货物不符合质量标准的，鉴定费由乙方承担，并更换问题货物。</w:t>
            </w:r>
          </w:p>
        </w:tc>
      </w:tr>
      <w:tr w14:paraId="10D2D1F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2773" w:hRule="atLeast"/>
          <w:jc w:val="center"/>
        </w:trPr>
        <w:tc>
          <w:tcPr>
            <w:tcW w:w="0" w:type="auto"/>
            <w:noWrap w:val="0"/>
            <w:vAlign w:val="center"/>
          </w:tcPr>
          <w:p w14:paraId="7C2243DA">
            <w:pPr>
              <w:snapToGrid w:val="0"/>
              <w:jc w:val="center"/>
              <w:rPr>
                <w:rFonts w:ascii="宋体" w:hAnsi="宋体"/>
                <w:color w:val="auto"/>
                <w:sz w:val="24"/>
                <w:highlight w:val="none"/>
              </w:rPr>
            </w:pPr>
            <w:r>
              <w:rPr>
                <w:rFonts w:hint="eastAsia" w:ascii="宋体" w:hAnsi="宋体"/>
                <w:color w:val="auto"/>
                <w:sz w:val="24"/>
                <w:highlight w:val="none"/>
              </w:rPr>
              <w:t>第二节</w:t>
            </w:r>
          </w:p>
          <w:p w14:paraId="70F65E76">
            <w:pPr>
              <w:snapToGrid w:val="0"/>
              <w:jc w:val="center"/>
              <w:rPr>
                <w:rFonts w:ascii="宋体" w:hAnsi="宋体"/>
                <w:color w:val="auto"/>
                <w:sz w:val="24"/>
                <w:highlight w:val="none"/>
              </w:rPr>
            </w:pPr>
            <w:r>
              <w:rPr>
                <w:rFonts w:hint="eastAsia" w:ascii="宋体" w:hAnsi="宋体"/>
                <w:color w:val="auto"/>
                <w:sz w:val="24"/>
                <w:highlight w:val="none"/>
              </w:rPr>
              <w:t>第23.1款</w:t>
            </w:r>
          </w:p>
        </w:tc>
        <w:tc>
          <w:tcPr>
            <w:tcW w:w="0" w:type="auto"/>
            <w:noWrap w:val="0"/>
            <w:vAlign w:val="center"/>
          </w:tcPr>
          <w:p w14:paraId="0AC83FBA">
            <w:pPr>
              <w:snapToGrid w:val="0"/>
              <w:jc w:val="left"/>
              <w:rPr>
                <w:rFonts w:ascii="宋体" w:hAnsi="宋体"/>
                <w:color w:val="auto"/>
                <w:sz w:val="24"/>
                <w:highlight w:val="none"/>
              </w:rPr>
            </w:pPr>
            <w:r>
              <w:rPr>
                <w:rFonts w:hint="eastAsia" w:ascii="宋体" w:hAnsi="宋体"/>
                <w:bCs/>
                <w:color w:val="auto"/>
                <w:sz w:val="24"/>
                <w:highlight w:val="none"/>
              </w:rPr>
              <w:t>其他专用条款</w:t>
            </w:r>
          </w:p>
        </w:tc>
        <w:tc>
          <w:tcPr>
            <w:tcW w:w="6270" w:type="dxa"/>
            <w:noWrap w:val="0"/>
            <w:vAlign w:val="center"/>
          </w:tcPr>
          <w:p w14:paraId="100D87B9">
            <w:pPr>
              <w:snapToGrid w:val="0"/>
              <w:jc w:val="left"/>
              <w:rPr>
                <w:rFonts w:ascii="宋体" w:hAnsi="宋体"/>
                <w:color w:val="auto"/>
                <w:sz w:val="24"/>
                <w:highlight w:val="none"/>
              </w:rPr>
            </w:pPr>
            <w:r>
              <w:rPr>
                <w:rFonts w:hint="eastAsia" w:ascii="宋体" w:hAnsi="宋体"/>
                <w:color w:val="auto"/>
                <w:sz w:val="24"/>
                <w:highlight w:val="none"/>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0FEB6B6A">
            <w:pPr>
              <w:snapToGrid w:val="0"/>
              <w:jc w:val="left"/>
              <w:rPr>
                <w:rFonts w:ascii="宋体" w:hAnsi="宋体"/>
                <w:color w:val="auto"/>
                <w:sz w:val="24"/>
                <w:highlight w:val="none"/>
              </w:rPr>
            </w:pPr>
            <w:r>
              <w:rPr>
                <w:rFonts w:hint="eastAsia" w:ascii="宋体" w:hAnsi="宋体"/>
                <w:color w:val="auto"/>
                <w:sz w:val="24"/>
                <w:highlight w:val="none"/>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14:paraId="6CEF6CEF">
            <w:pPr>
              <w:snapToGrid w:val="0"/>
              <w:jc w:val="left"/>
              <w:rPr>
                <w:rFonts w:ascii="宋体" w:hAnsi="宋体"/>
                <w:color w:val="auto"/>
                <w:sz w:val="24"/>
                <w:highlight w:val="none"/>
              </w:rPr>
            </w:pPr>
            <w:r>
              <w:rPr>
                <w:rFonts w:hint="eastAsia" w:ascii="宋体" w:hAnsi="宋体"/>
                <w:color w:val="auto"/>
                <w:sz w:val="24"/>
                <w:highlight w:val="none"/>
              </w:rPr>
              <w:t>3.验收不合格的货物，乙方应在</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7</w:t>
            </w:r>
            <w:r>
              <w:rPr>
                <w:rFonts w:hint="eastAsia" w:ascii="宋体" w:hAnsi="宋体"/>
                <w:color w:val="auto"/>
                <w:sz w:val="24"/>
                <w:highlight w:val="none"/>
                <w:u w:val="single"/>
              </w:rPr>
              <w:t xml:space="preserve">  </w:t>
            </w:r>
            <w:r>
              <w:rPr>
                <w:rFonts w:hint="eastAsia" w:ascii="宋体" w:hAnsi="宋体"/>
                <w:color w:val="auto"/>
                <w:sz w:val="24"/>
                <w:highlight w:val="none"/>
              </w:rPr>
              <w:t>个工作日内予以更换，逾期按交货延误予以处罚。乙方所交付的货物品种、型号、规格不符合合同规定的，甲方有权拒收。甲方拒收的，乙方向甲方支付货款总额</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10</w:t>
            </w:r>
            <w:r>
              <w:rPr>
                <w:rFonts w:hint="eastAsia" w:ascii="宋体" w:hAnsi="宋体"/>
                <w:color w:val="auto"/>
                <w:sz w:val="24"/>
                <w:highlight w:val="none"/>
                <w:u w:val="single"/>
              </w:rPr>
              <w:t xml:space="preserve">  </w:t>
            </w:r>
            <w:r>
              <w:rPr>
                <w:rFonts w:hint="eastAsia" w:ascii="宋体" w:hAnsi="宋体"/>
                <w:color w:val="auto"/>
                <w:sz w:val="24"/>
                <w:highlight w:val="none"/>
              </w:rPr>
              <w:t>%的违约金。在乙方承诺的或国家规定的质量保证期内，若经乙方维修或更换，货物仍不能达到合同约定的质量标准，甲方有权退货，乙方应退回全部货款，同时，乙方还须赔偿甲方因此遭受的损失。</w:t>
            </w:r>
          </w:p>
          <w:p w14:paraId="6F4C7476">
            <w:pPr>
              <w:snapToGrid w:val="0"/>
              <w:jc w:val="left"/>
              <w:rPr>
                <w:rFonts w:ascii="宋体" w:hAnsi="宋体"/>
                <w:color w:val="auto"/>
                <w:sz w:val="24"/>
                <w:highlight w:val="none"/>
              </w:rPr>
            </w:pPr>
            <w:r>
              <w:rPr>
                <w:rFonts w:hint="eastAsia" w:ascii="宋体" w:hAnsi="宋体"/>
                <w:color w:val="auto"/>
                <w:sz w:val="24"/>
                <w:highlight w:val="none"/>
              </w:rPr>
              <w:t>4.货物验收要求</w:t>
            </w:r>
          </w:p>
          <w:p w14:paraId="0E1A3C92">
            <w:pPr>
              <w:snapToGrid w:val="0"/>
              <w:jc w:val="left"/>
              <w:rPr>
                <w:rFonts w:ascii="宋体" w:hAnsi="宋体"/>
                <w:color w:val="auto"/>
                <w:sz w:val="24"/>
                <w:highlight w:val="none"/>
              </w:rPr>
            </w:pPr>
            <w:r>
              <w:rPr>
                <w:rFonts w:hint="eastAsia" w:ascii="宋体" w:hAnsi="宋体"/>
                <w:color w:val="auto"/>
                <w:sz w:val="24"/>
                <w:highlight w:val="none"/>
              </w:rPr>
              <w:t>（1）依照谈判文件要求对全部货物、型号、规格、数量、外型、外观、包装及资料、文件（如装箱单、保修单、随箱介质等）进行验收。</w:t>
            </w:r>
          </w:p>
          <w:p w14:paraId="57BB0913">
            <w:pPr>
              <w:snapToGrid w:val="0"/>
              <w:jc w:val="left"/>
              <w:rPr>
                <w:rFonts w:ascii="宋体" w:hAnsi="宋体"/>
                <w:color w:val="auto"/>
                <w:sz w:val="24"/>
                <w:highlight w:val="none"/>
              </w:rPr>
            </w:pPr>
            <w:r>
              <w:rPr>
                <w:rFonts w:hint="eastAsia" w:ascii="宋体" w:hAnsi="宋体"/>
                <w:color w:val="auto"/>
                <w:sz w:val="24"/>
                <w:highlight w:val="none"/>
              </w:rPr>
              <w:t>（2）甲方与乙方对货物到货后共同进行开箱检查，出现损坏、数量不全或产品不对等问题时，由乙方负责解决。</w:t>
            </w:r>
          </w:p>
          <w:p w14:paraId="2F6FE622">
            <w:pPr>
              <w:snapToGrid w:val="0"/>
              <w:jc w:val="left"/>
              <w:rPr>
                <w:rFonts w:ascii="宋体" w:hAnsi="宋体"/>
                <w:color w:val="auto"/>
                <w:sz w:val="24"/>
                <w:highlight w:val="none"/>
              </w:rPr>
            </w:pPr>
            <w:r>
              <w:rPr>
                <w:rFonts w:hint="eastAsia" w:ascii="宋体" w:hAnsi="宋体"/>
                <w:color w:val="auto"/>
                <w:sz w:val="24"/>
                <w:highlight w:val="none"/>
              </w:rPr>
              <w:t>（3）甲方有权从乙方所送货物中任意抽出不同型号的产品送采购人所在地的质检部门检验，如果检验合格，检验费由甲方负担；如果检验不合格，则检验费由乙方负担。</w:t>
            </w:r>
          </w:p>
          <w:p w14:paraId="0F985121">
            <w:pPr>
              <w:snapToGrid w:val="0"/>
              <w:jc w:val="left"/>
              <w:rPr>
                <w:rFonts w:ascii="宋体" w:hAnsi="宋体"/>
                <w:color w:val="auto"/>
                <w:sz w:val="24"/>
                <w:highlight w:val="none"/>
              </w:rPr>
            </w:pPr>
            <w:r>
              <w:rPr>
                <w:rFonts w:hint="eastAsia" w:ascii="宋体" w:hAnsi="宋体"/>
                <w:color w:val="auto"/>
                <w:sz w:val="24"/>
                <w:highlight w:val="none"/>
              </w:rPr>
              <w:t>（4）乙方应按照本合同规定的时间、地点和方式向乙方交付货物。</w:t>
            </w:r>
          </w:p>
          <w:p w14:paraId="6964662F">
            <w:pPr>
              <w:snapToGrid w:val="0"/>
              <w:ind w:left="240" w:hanging="240"/>
              <w:jc w:val="left"/>
              <w:rPr>
                <w:rFonts w:ascii="宋体" w:hAnsi="宋体"/>
                <w:color w:val="auto"/>
                <w:sz w:val="24"/>
                <w:highlight w:val="none"/>
              </w:rPr>
            </w:pPr>
            <w:r>
              <w:rPr>
                <w:rFonts w:hint="eastAsia" w:ascii="宋体" w:hAnsi="宋体"/>
                <w:color w:val="auto"/>
                <w:sz w:val="24"/>
                <w:highlight w:val="none"/>
              </w:rPr>
              <w:t>交货时间：自合同签订之日至本次采购燃油供应完成为止。交货地点：</w:t>
            </w:r>
            <w:r>
              <w:rPr>
                <w:rFonts w:hint="eastAsia" w:ascii="宋体" w:hAnsi="宋体"/>
                <w:color w:val="auto"/>
                <w:sz w:val="24"/>
                <w:highlight w:val="none"/>
                <w:u w:val="single"/>
                <w:lang w:val="en-US" w:eastAsia="zh-CN"/>
              </w:rPr>
              <w:t>甲方指定地点</w:t>
            </w:r>
            <w:r>
              <w:rPr>
                <w:rFonts w:hint="eastAsia" w:ascii="宋体" w:hAnsi="宋体"/>
                <w:color w:val="auto"/>
                <w:sz w:val="24"/>
                <w:highlight w:val="none"/>
              </w:rPr>
              <w:t>。</w:t>
            </w:r>
          </w:p>
          <w:p w14:paraId="03DB4B2F">
            <w:pPr>
              <w:snapToGrid w:val="0"/>
              <w:jc w:val="left"/>
              <w:rPr>
                <w:rFonts w:ascii="宋体" w:hAnsi="宋体"/>
                <w:color w:val="auto"/>
                <w:sz w:val="24"/>
                <w:highlight w:val="none"/>
              </w:rPr>
            </w:pPr>
            <w:r>
              <w:rPr>
                <w:rFonts w:hint="eastAsia" w:ascii="宋体" w:hAnsi="宋体"/>
                <w:color w:val="auto"/>
                <w:sz w:val="24"/>
                <w:highlight w:val="none"/>
              </w:rPr>
              <w:t>（5）甲方应在全部货物到货安装完毕后的</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w:t>
            </w:r>
            <w:r>
              <w:rPr>
                <w:rFonts w:hint="eastAsia" w:ascii="宋体" w:hAnsi="宋体"/>
                <w:color w:val="auto"/>
                <w:sz w:val="24"/>
                <w:highlight w:val="none"/>
                <w:u w:val="single"/>
              </w:rPr>
              <w:t xml:space="preserve">  </w:t>
            </w:r>
            <w:r>
              <w:rPr>
                <w:rFonts w:hint="eastAsia" w:ascii="宋体" w:hAnsi="宋体"/>
                <w:color w:val="auto"/>
                <w:sz w:val="24"/>
                <w:highlight w:val="none"/>
              </w:rPr>
              <w:t>日内进行验收，验收包括：型号、规格、数量、外观是否完好，安装调试是否合格等。验收合格后甲方应在验收报告上签字盖章，初步验收合格且项目运行满</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w:t>
            </w:r>
            <w:r>
              <w:rPr>
                <w:rFonts w:hint="eastAsia" w:ascii="宋体" w:hAnsi="宋体"/>
                <w:color w:val="auto"/>
                <w:sz w:val="24"/>
                <w:highlight w:val="none"/>
                <w:u w:val="single"/>
              </w:rPr>
              <w:t xml:space="preserve">  </w:t>
            </w:r>
            <w:r>
              <w:rPr>
                <w:rFonts w:hint="eastAsia" w:ascii="宋体" w:hAnsi="宋体"/>
                <w:color w:val="auto"/>
                <w:sz w:val="24"/>
                <w:highlight w:val="none"/>
              </w:rPr>
              <w:t>个月后，甲方组织对货物的质量及使用状况等进行最终验收。</w:t>
            </w:r>
          </w:p>
          <w:p w14:paraId="1C2DDD31">
            <w:pPr>
              <w:snapToGrid w:val="0"/>
              <w:jc w:val="left"/>
              <w:rPr>
                <w:rFonts w:ascii="宋体" w:hAnsi="宋体"/>
                <w:color w:val="auto"/>
                <w:sz w:val="24"/>
                <w:highlight w:val="none"/>
              </w:rPr>
            </w:pPr>
            <w:r>
              <w:rPr>
                <w:rFonts w:hint="eastAsia" w:ascii="宋体" w:hAnsi="宋体"/>
                <w:color w:val="auto"/>
                <w:sz w:val="24"/>
                <w:highlight w:val="none"/>
              </w:rPr>
              <w:t>（6）货到现场后，甲方人员根据招标要求，对包装物进行视检和抽检，如包装物不符合招标要求，甲方有权将包装物送至市级及以上检测机构送检。因检测不合格延误了交付进度，乙方应承担相应的违约责任。</w:t>
            </w:r>
          </w:p>
          <w:p w14:paraId="2BEB8D50">
            <w:pPr>
              <w:snapToGrid w:val="0"/>
              <w:jc w:val="left"/>
              <w:rPr>
                <w:rFonts w:ascii="宋体" w:hAnsi="宋体"/>
                <w:color w:val="auto"/>
                <w:sz w:val="24"/>
                <w:highlight w:val="none"/>
              </w:rPr>
            </w:pPr>
          </w:p>
        </w:tc>
      </w:tr>
      <w:tr w14:paraId="5C7ADA0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0" w:type="auto"/>
            <w:noWrap w:val="0"/>
            <w:vAlign w:val="center"/>
          </w:tcPr>
          <w:p w14:paraId="7A07A037">
            <w:pPr>
              <w:snapToGrid w:val="0"/>
              <w:jc w:val="center"/>
              <w:rPr>
                <w:rFonts w:ascii="宋体" w:hAnsi="宋体"/>
                <w:color w:val="auto"/>
                <w:sz w:val="24"/>
                <w:highlight w:val="none"/>
              </w:rPr>
            </w:pPr>
          </w:p>
        </w:tc>
        <w:tc>
          <w:tcPr>
            <w:tcW w:w="0" w:type="auto"/>
            <w:noWrap w:val="0"/>
            <w:vAlign w:val="center"/>
          </w:tcPr>
          <w:p w14:paraId="293DA941">
            <w:pPr>
              <w:snapToGrid w:val="0"/>
              <w:jc w:val="left"/>
              <w:rPr>
                <w:rFonts w:ascii="宋体" w:hAnsi="宋体"/>
                <w:bCs/>
                <w:color w:val="auto"/>
                <w:sz w:val="24"/>
                <w:highlight w:val="none"/>
              </w:rPr>
            </w:pPr>
            <w:r>
              <w:rPr>
                <w:rFonts w:hint="eastAsia" w:ascii="宋体" w:hAnsi="宋体"/>
                <w:bCs/>
                <w:color w:val="auto"/>
                <w:sz w:val="24"/>
                <w:highlight w:val="none"/>
              </w:rPr>
              <w:t>税费</w:t>
            </w:r>
          </w:p>
        </w:tc>
        <w:tc>
          <w:tcPr>
            <w:tcW w:w="6270" w:type="dxa"/>
            <w:noWrap w:val="0"/>
            <w:vAlign w:val="center"/>
          </w:tcPr>
          <w:p w14:paraId="2940A1E5">
            <w:pPr>
              <w:snapToGrid w:val="0"/>
              <w:jc w:val="left"/>
              <w:rPr>
                <w:rFonts w:ascii="宋体" w:hAnsi="宋体"/>
                <w:color w:val="auto"/>
                <w:sz w:val="24"/>
                <w:highlight w:val="none"/>
              </w:rPr>
            </w:pPr>
            <w:r>
              <w:rPr>
                <w:rFonts w:hint="eastAsia" w:ascii="宋体" w:hAnsi="宋体"/>
                <w:color w:val="auto"/>
                <w:sz w:val="24"/>
                <w:highlight w:val="none"/>
              </w:rPr>
              <w:t>1.中国政府根据现行税法规定对甲方征收的与本合同有关的一切税费均由甲方负担（免税部分除外），招标文件另有规定的除外。</w:t>
            </w:r>
          </w:p>
          <w:p w14:paraId="2BF244A0">
            <w:pPr>
              <w:snapToGrid w:val="0"/>
              <w:jc w:val="left"/>
              <w:rPr>
                <w:rFonts w:ascii="宋体" w:hAnsi="宋体"/>
                <w:color w:val="auto"/>
                <w:sz w:val="24"/>
                <w:highlight w:val="none"/>
              </w:rPr>
            </w:pPr>
            <w:r>
              <w:rPr>
                <w:rFonts w:hint="eastAsia" w:ascii="宋体" w:hAnsi="宋体"/>
                <w:color w:val="auto"/>
                <w:sz w:val="24"/>
                <w:highlight w:val="none"/>
              </w:rPr>
              <w:t>2.中国政府根据现行税法规定对乙方征收的与本合同有关的一切税费均由乙方负担（免税部分除外）。</w:t>
            </w:r>
          </w:p>
        </w:tc>
      </w:tr>
      <w:tr w14:paraId="1CC8227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0" w:type="auto"/>
            <w:noWrap w:val="0"/>
            <w:vAlign w:val="center"/>
          </w:tcPr>
          <w:p w14:paraId="0E3C1142">
            <w:pPr>
              <w:snapToGrid w:val="0"/>
              <w:jc w:val="center"/>
              <w:rPr>
                <w:rFonts w:ascii="宋体" w:hAnsi="宋体"/>
                <w:color w:val="auto"/>
                <w:sz w:val="24"/>
                <w:highlight w:val="none"/>
              </w:rPr>
            </w:pPr>
          </w:p>
        </w:tc>
        <w:tc>
          <w:tcPr>
            <w:tcW w:w="0" w:type="auto"/>
            <w:noWrap w:val="0"/>
            <w:vAlign w:val="center"/>
          </w:tcPr>
          <w:p w14:paraId="373A5C0E">
            <w:pPr>
              <w:snapToGrid w:val="0"/>
              <w:jc w:val="left"/>
              <w:rPr>
                <w:rFonts w:ascii="宋体" w:hAnsi="宋体"/>
                <w:bCs/>
                <w:color w:val="auto"/>
                <w:sz w:val="24"/>
                <w:highlight w:val="none"/>
              </w:rPr>
            </w:pPr>
            <w:r>
              <w:rPr>
                <w:rFonts w:hint="eastAsia" w:ascii="宋体" w:hAnsi="宋体"/>
                <w:bCs/>
                <w:color w:val="auto"/>
                <w:sz w:val="24"/>
                <w:highlight w:val="none"/>
              </w:rPr>
              <w:t>伴随服务</w:t>
            </w:r>
          </w:p>
        </w:tc>
        <w:tc>
          <w:tcPr>
            <w:tcW w:w="6270" w:type="dxa"/>
            <w:noWrap w:val="0"/>
            <w:vAlign w:val="center"/>
          </w:tcPr>
          <w:p w14:paraId="2810DAE9">
            <w:pPr>
              <w:snapToGrid w:val="0"/>
              <w:jc w:val="left"/>
              <w:rPr>
                <w:rFonts w:ascii="宋体" w:hAnsi="宋体"/>
                <w:color w:val="auto"/>
                <w:sz w:val="24"/>
                <w:highlight w:val="none"/>
              </w:rPr>
            </w:pPr>
            <w:r>
              <w:rPr>
                <w:rFonts w:hint="eastAsia" w:ascii="宋体" w:hAnsi="宋体"/>
                <w:color w:val="auto"/>
                <w:sz w:val="24"/>
                <w:highlight w:val="none"/>
              </w:rPr>
              <w:t>1.乙方应按照国家</w:t>
            </w:r>
            <w:r>
              <w:rPr>
                <w:rFonts w:hint="eastAsia" w:ascii="宋体" w:hAnsi="宋体"/>
                <w:b/>
                <w:color w:val="auto"/>
                <w:sz w:val="24"/>
                <w:highlight w:val="none"/>
              </w:rPr>
              <w:t>“新三包”</w:t>
            </w:r>
            <w:r>
              <w:rPr>
                <w:rFonts w:hint="eastAsia" w:ascii="宋体" w:hAnsi="宋体"/>
                <w:color w:val="auto"/>
                <w:sz w:val="24"/>
                <w:highlight w:val="none"/>
              </w:rPr>
              <w:t>规定和合同中所附的服务承诺提供服务。</w:t>
            </w:r>
          </w:p>
          <w:p w14:paraId="6F6FEB23">
            <w:pPr>
              <w:snapToGrid w:val="0"/>
              <w:jc w:val="left"/>
              <w:rPr>
                <w:rFonts w:ascii="宋体" w:hAnsi="宋体"/>
                <w:color w:val="auto"/>
                <w:sz w:val="24"/>
                <w:highlight w:val="none"/>
              </w:rPr>
            </w:pPr>
            <w:r>
              <w:rPr>
                <w:rFonts w:hint="eastAsia" w:ascii="宋体" w:hAnsi="宋体"/>
                <w:color w:val="auto"/>
                <w:sz w:val="24"/>
                <w:highlight w:val="none"/>
              </w:rPr>
              <w:t>2.除第1条规定外，乙方还应提供下列服务：</w:t>
            </w:r>
          </w:p>
          <w:p w14:paraId="6EF65E1F">
            <w:pPr>
              <w:snapToGrid w:val="0"/>
              <w:jc w:val="left"/>
              <w:rPr>
                <w:rFonts w:ascii="宋体" w:hAnsi="宋体"/>
                <w:b/>
                <w:color w:val="auto"/>
                <w:sz w:val="24"/>
                <w:highlight w:val="none"/>
              </w:rPr>
            </w:pPr>
            <w:r>
              <w:rPr>
                <w:rFonts w:hint="eastAsia" w:ascii="宋体" w:hAnsi="宋体"/>
                <w:b/>
                <w:color w:val="auto"/>
                <w:sz w:val="24"/>
                <w:highlight w:val="none"/>
              </w:rPr>
              <w:t xml:space="preserve"> (1) 谈判文件中的“服务要求”所规定的服务内容以及响应文件承诺提供的其他服务内容；</w:t>
            </w:r>
          </w:p>
          <w:p w14:paraId="1DD30B74">
            <w:pPr>
              <w:snapToGrid w:val="0"/>
              <w:jc w:val="left"/>
              <w:rPr>
                <w:rFonts w:ascii="宋体" w:hAnsi="宋体"/>
                <w:color w:val="auto"/>
                <w:sz w:val="24"/>
                <w:highlight w:val="none"/>
              </w:rPr>
            </w:pPr>
            <w:r>
              <w:rPr>
                <w:rFonts w:hint="eastAsia" w:ascii="宋体" w:hAnsi="宋体"/>
                <w:color w:val="auto"/>
                <w:sz w:val="24"/>
                <w:highlight w:val="none"/>
              </w:rPr>
              <w:t xml:space="preserve"> (2) 负责货物的开孔，货物的现场安装；</w:t>
            </w:r>
          </w:p>
          <w:p w14:paraId="1E688ACA">
            <w:pPr>
              <w:snapToGrid w:val="0"/>
              <w:jc w:val="left"/>
              <w:rPr>
                <w:rFonts w:ascii="宋体" w:hAnsi="宋体"/>
                <w:color w:val="auto"/>
                <w:sz w:val="24"/>
                <w:highlight w:val="none"/>
              </w:rPr>
            </w:pPr>
            <w:r>
              <w:rPr>
                <w:rFonts w:hint="eastAsia" w:ascii="宋体" w:hAnsi="宋体"/>
                <w:color w:val="auto"/>
                <w:sz w:val="24"/>
                <w:highlight w:val="none"/>
              </w:rPr>
              <w:t xml:space="preserve"> (3) 提供货物组装和维修所需的工具；</w:t>
            </w:r>
          </w:p>
          <w:p w14:paraId="49C80007">
            <w:pPr>
              <w:snapToGrid w:val="0"/>
              <w:jc w:val="left"/>
              <w:rPr>
                <w:rFonts w:ascii="宋体" w:hAnsi="宋体"/>
                <w:color w:val="auto"/>
                <w:sz w:val="24"/>
                <w:highlight w:val="none"/>
              </w:rPr>
            </w:pPr>
            <w:r>
              <w:rPr>
                <w:rFonts w:hint="eastAsia" w:ascii="宋体" w:hAnsi="宋体"/>
                <w:color w:val="auto"/>
                <w:sz w:val="24"/>
                <w:highlight w:val="none"/>
              </w:rPr>
              <w:t xml:space="preserve"> (4) 在合同中乙方承诺的质保期限内对所提供货物正常使用实施监督、维修，但前提条件是该服务并不能免除乙方在质量保证期内应承担的义务；</w:t>
            </w:r>
          </w:p>
          <w:p w14:paraId="49945C02">
            <w:pPr>
              <w:snapToGrid w:val="0"/>
              <w:jc w:val="left"/>
              <w:rPr>
                <w:rFonts w:ascii="宋体" w:hAnsi="宋体"/>
                <w:color w:val="auto"/>
                <w:sz w:val="24"/>
                <w:highlight w:val="none"/>
              </w:rPr>
            </w:pPr>
            <w:r>
              <w:rPr>
                <w:rFonts w:hint="eastAsia" w:ascii="宋体" w:hAnsi="宋体"/>
                <w:color w:val="auto"/>
                <w:sz w:val="24"/>
                <w:highlight w:val="none"/>
              </w:rPr>
              <w:t xml:space="preserve"> (5) 在货物交货现场就货物的安装、启用、维护等对甲方人员进行培训。</w:t>
            </w:r>
          </w:p>
          <w:p w14:paraId="4ADC545B">
            <w:pPr>
              <w:snapToGrid w:val="0"/>
              <w:jc w:val="left"/>
              <w:rPr>
                <w:rFonts w:ascii="宋体" w:hAnsi="宋体"/>
                <w:color w:val="auto"/>
                <w:sz w:val="24"/>
                <w:highlight w:val="none"/>
              </w:rPr>
            </w:pPr>
            <w:r>
              <w:rPr>
                <w:rFonts w:hint="eastAsia" w:ascii="宋体" w:hAnsi="宋体"/>
                <w:color w:val="auto"/>
                <w:sz w:val="24"/>
                <w:highlight w:val="none"/>
              </w:rPr>
              <w:t>3.伴随服务的费用应含在合同价中，不单独进行支付。</w:t>
            </w:r>
          </w:p>
        </w:tc>
      </w:tr>
      <w:tr w14:paraId="109E4B0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0" w:type="auto"/>
            <w:noWrap w:val="0"/>
            <w:vAlign w:val="center"/>
          </w:tcPr>
          <w:p w14:paraId="3C640F01">
            <w:pPr>
              <w:snapToGrid w:val="0"/>
              <w:jc w:val="center"/>
              <w:rPr>
                <w:rFonts w:ascii="宋体" w:hAnsi="宋体"/>
                <w:color w:val="auto"/>
                <w:sz w:val="24"/>
                <w:highlight w:val="none"/>
              </w:rPr>
            </w:pPr>
          </w:p>
        </w:tc>
        <w:tc>
          <w:tcPr>
            <w:tcW w:w="0" w:type="auto"/>
            <w:noWrap w:val="0"/>
            <w:vAlign w:val="center"/>
          </w:tcPr>
          <w:p w14:paraId="2D930150">
            <w:pPr>
              <w:snapToGrid w:val="0"/>
              <w:jc w:val="left"/>
              <w:rPr>
                <w:rFonts w:ascii="宋体" w:hAnsi="宋体"/>
                <w:color w:val="auto"/>
                <w:sz w:val="24"/>
                <w:highlight w:val="none"/>
              </w:rPr>
            </w:pPr>
            <w:r>
              <w:rPr>
                <w:rFonts w:hint="eastAsia" w:ascii="宋体" w:hAnsi="宋体"/>
                <w:color w:val="auto"/>
                <w:sz w:val="24"/>
                <w:highlight w:val="none"/>
              </w:rPr>
              <w:t>索赔</w:t>
            </w:r>
          </w:p>
          <w:p w14:paraId="2605D3CD">
            <w:pPr>
              <w:snapToGrid w:val="0"/>
              <w:jc w:val="left"/>
              <w:rPr>
                <w:rFonts w:ascii="宋体" w:hAnsi="宋体"/>
                <w:color w:val="auto"/>
                <w:sz w:val="24"/>
                <w:highlight w:val="none"/>
              </w:rPr>
            </w:pPr>
          </w:p>
        </w:tc>
        <w:tc>
          <w:tcPr>
            <w:tcW w:w="6270" w:type="dxa"/>
            <w:noWrap w:val="0"/>
            <w:vAlign w:val="center"/>
          </w:tcPr>
          <w:p w14:paraId="7BC6EB19">
            <w:pPr>
              <w:snapToGrid w:val="0"/>
              <w:jc w:val="left"/>
              <w:rPr>
                <w:rFonts w:ascii="宋体" w:hAnsi="宋体"/>
                <w:color w:val="auto"/>
                <w:sz w:val="24"/>
                <w:highlight w:val="none"/>
              </w:rPr>
            </w:pPr>
            <w:r>
              <w:rPr>
                <w:rFonts w:hint="eastAsia" w:ascii="宋体" w:hAnsi="宋体"/>
                <w:color w:val="auto"/>
                <w:sz w:val="24"/>
                <w:highlight w:val="none"/>
              </w:rPr>
              <w:t>1.甲方有权根据当地质检部门出具的检验报告，向乙方提出索赔。</w:t>
            </w:r>
          </w:p>
          <w:p w14:paraId="50E2DC4D">
            <w:pPr>
              <w:snapToGrid w:val="0"/>
              <w:jc w:val="left"/>
              <w:rPr>
                <w:rFonts w:ascii="宋体" w:hAnsi="宋体"/>
                <w:color w:val="auto"/>
                <w:sz w:val="24"/>
                <w:highlight w:val="none"/>
              </w:rPr>
            </w:pPr>
            <w:r>
              <w:rPr>
                <w:rFonts w:hint="eastAsia" w:ascii="宋体" w:hAnsi="宋体"/>
                <w:color w:val="auto"/>
                <w:sz w:val="24"/>
                <w:highlight w:val="none"/>
              </w:rPr>
              <w:t>2.根据合同规定的检验期和质量保证期内，如果乙方对甲方提出的索赔和差异负有责任，乙方应按照甲方同意的下列一种或多种方式解决索赔事宜：</w:t>
            </w:r>
          </w:p>
          <w:p w14:paraId="5114DB77">
            <w:pPr>
              <w:snapToGrid w:val="0"/>
              <w:jc w:val="left"/>
              <w:rPr>
                <w:rFonts w:ascii="宋体" w:hAnsi="宋体"/>
                <w:color w:val="auto"/>
                <w:sz w:val="24"/>
                <w:highlight w:val="none"/>
              </w:rPr>
            </w:pPr>
            <w:r>
              <w:rPr>
                <w:rFonts w:hint="eastAsia" w:ascii="宋体" w:hAnsi="宋体"/>
                <w:color w:val="auto"/>
                <w:sz w:val="24"/>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p>
          <w:p w14:paraId="146EAA57">
            <w:pPr>
              <w:snapToGrid w:val="0"/>
              <w:jc w:val="left"/>
              <w:rPr>
                <w:rFonts w:ascii="宋体" w:hAnsi="宋体"/>
                <w:color w:val="auto"/>
                <w:sz w:val="24"/>
                <w:highlight w:val="none"/>
              </w:rPr>
            </w:pPr>
            <w:r>
              <w:rPr>
                <w:rFonts w:hint="eastAsia" w:ascii="宋体" w:hAnsi="宋体"/>
                <w:color w:val="auto"/>
                <w:sz w:val="24"/>
                <w:highlight w:val="none"/>
              </w:rPr>
              <w:t xml:space="preserve"> (2) 根据货物的低劣程度、损坏程度以及甲方所遭受损失的数额，乙方必须降低货物的价格。</w:t>
            </w:r>
          </w:p>
          <w:p w14:paraId="35E6B85F">
            <w:pPr>
              <w:snapToGrid w:val="0"/>
              <w:jc w:val="left"/>
              <w:rPr>
                <w:rFonts w:ascii="宋体" w:hAnsi="宋体"/>
                <w:color w:val="auto"/>
                <w:sz w:val="24"/>
                <w:highlight w:val="none"/>
              </w:rPr>
            </w:pPr>
            <w:r>
              <w:rPr>
                <w:rFonts w:hint="eastAsia" w:ascii="宋体" w:hAnsi="宋体"/>
                <w:color w:val="auto"/>
                <w:sz w:val="24"/>
                <w:highlight w:val="none"/>
              </w:rPr>
              <w:t>(3) 用符合合同规定的规格、质量和性能要求的新零件或部件来更换有缺陷的部分，乙方应承担一切费用和风险并负担甲方所蒙受的全部直接损失费用。同时，乙方应按合同规定，对更换件相应延长质量保证期。</w:t>
            </w:r>
          </w:p>
          <w:p w14:paraId="2FA2A39D">
            <w:pPr>
              <w:snapToGrid w:val="0"/>
              <w:jc w:val="left"/>
              <w:rPr>
                <w:rFonts w:ascii="宋体" w:hAnsi="宋体"/>
                <w:color w:val="auto"/>
                <w:sz w:val="24"/>
                <w:highlight w:val="none"/>
              </w:rPr>
            </w:pPr>
            <w:r>
              <w:rPr>
                <w:rFonts w:hint="eastAsia" w:ascii="宋体" w:hAnsi="宋体"/>
                <w:color w:val="auto"/>
                <w:sz w:val="24"/>
                <w:highlight w:val="none"/>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14:paraId="293F415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969" w:type="dxa"/>
            <w:noWrap w:val="0"/>
            <w:vAlign w:val="center"/>
          </w:tcPr>
          <w:p w14:paraId="288DAEE3">
            <w:pPr>
              <w:snapToGrid w:val="0"/>
              <w:jc w:val="center"/>
              <w:rPr>
                <w:rFonts w:ascii="宋体" w:hAnsi="宋体"/>
                <w:color w:val="auto"/>
                <w:sz w:val="24"/>
                <w:highlight w:val="none"/>
              </w:rPr>
            </w:pPr>
          </w:p>
        </w:tc>
        <w:tc>
          <w:tcPr>
            <w:tcW w:w="1280" w:type="dxa"/>
            <w:noWrap w:val="0"/>
            <w:vAlign w:val="center"/>
          </w:tcPr>
          <w:p w14:paraId="1C379529">
            <w:pPr>
              <w:snapToGrid w:val="0"/>
              <w:jc w:val="left"/>
              <w:rPr>
                <w:rFonts w:ascii="宋体" w:hAnsi="宋体"/>
                <w:color w:val="auto"/>
                <w:sz w:val="24"/>
                <w:highlight w:val="none"/>
              </w:rPr>
            </w:pPr>
            <w:r>
              <w:rPr>
                <w:rFonts w:hint="eastAsia" w:ascii="宋体" w:hAnsi="宋体"/>
                <w:color w:val="auto"/>
                <w:sz w:val="24"/>
                <w:highlight w:val="none"/>
              </w:rPr>
              <w:t>合同生效及其它</w:t>
            </w:r>
          </w:p>
          <w:p w14:paraId="5EF7F468">
            <w:pPr>
              <w:snapToGrid w:val="0"/>
              <w:jc w:val="left"/>
              <w:rPr>
                <w:rFonts w:ascii="宋体" w:hAnsi="宋体"/>
                <w:bCs/>
                <w:color w:val="auto"/>
                <w:sz w:val="24"/>
                <w:highlight w:val="none"/>
              </w:rPr>
            </w:pPr>
          </w:p>
        </w:tc>
        <w:tc>
          <w:tcPr>
            <w:tcW w:w="6270" w:type="dxa"/>
            <w:noWrap w:val="0"/>
            <w:vAlign w:val="center"/>
          </w:tcPr>
          <w:p w14:paraId="511FDF13">
            <w:pPr>
              <w:snapToGrid w:val="0"/>
              <w:jc w:val="left"/>
              <w:rPr>
                <w:rFonts w:ascii="宋体" w:hAnsi="宋体"/>
                <w:color w:val="auto"/>
                <w:sz w:val="24"/>
                <w:highlight w:val="none"/>
              </w:rPr>
            </w:pPr>
            <w:r>
              <w:rPr>
                <w:rFonts w:hint="eastAsia" w:ascii="宋体" w:hAnsi="宋体"/>
                <w:color w:val="auto"/>
                <w:sz w:val="24"/>
                <w:highlight w:val="none"/>
              </w:rPr>
              <w:t>1. 合同经甲方、乙方盖章后生效。</w:t>
            </w:r>
          </w:p>
          <w:p w14:paraId="01AFF3A6">
            <w:pPr>
              <w:snapToGrid w:val="0"/>
              <w:jc w:val="left"/>
              <w:rPr>
                <w:rFonts w:ascii="宋体" w:hAnsi="宋体"/>
                <w:color w:val="auto"/>
                <w:sz w:val="24"/>
                <w:highlight w:val="none"/>
              </w:rPr>
            </w:pPr>
            <w:r>
              <w:rPr>
                <w:rFonts w:hint="eastAsia" w:ascii="宋体" w:hAnsi="宋体"/>
                <w:color w:val="auto"/>
                <w:sz w:val="24"/>
                <w:highlight w:val="none"/>
              </w:rPr>
              <w:t>2. 货物交付使用后所发生的合同纠纷，由甲方与乙方协商处理。</w:t>
            </w:r>
          </w:p>
          <w:p w14:paraId="7C4D255E">
            <w:pPr>
              <w:snapToGrid w:val="0"/>
              <w:jc w:val="left"/>
              <w:rPr>
                <w:rFonts w:ascii="宋体" w:hAnsi="宋体"/>
                <w:color w:val="auto"/>
                <w:sz w:val="24"/>
                <w:highlight w:val="none"/>
              </w:rPr>
            </w:pPr>
            <w:r>
              <w:rPr>
                <w:rFonts w:hint="eastAsia" w:ascii="宋体" w:hAnsi="宋体"/>
                <w:color w:val="auto"/>
                <w:sz w:val="24"/>
                <w:highlight w:val="none"/>
              </w:rPr>
              <w:t>3.如需修改（指非主要合同条款）或补充合同内容，应经甲方、乙方协商，且修改及补充内容不得对本合同主要条款、谈判文件和中标人的</w:t>
            </w:r>
            <w:r>
              <w:rPr>
                <w:rFonts w:hint="eastAsia" w:ascii="宋体" w:hAnsi="宋体"/>
                <w:color w:val="auto"/>
                <w:sz w:val="24"/>
                <w:highlight w:val="none"/>
                <w:lang w:val="en-US" w:eastAsia="zh-CN"/>
              </w:rPr>
              <w:t>响应</w:t>
            </w:r>
            <w:r>
              <w:rPr>
                <w:rFonts w:hint="eastAsia" w:ascii="宋体" w:hAnsi="宋体"/>
                <w:color w:val="auto"/>
                <w:sz w:val="24"/>
                <w:highlight w:val="none"/>
              </w:rPr>
              <w:t>文件作实质性修改，并签署书面修改或补充协议。该协议将作为本合同不可分割的一部分。</w:t>
            </w:r>
          </w:p>
          <w:p w14:paraId="203A3EA4">
            <w:pPr>
              <w:snapToGrid w:val="0"/>
              <w:jc w:val="left"/>
              <w:rPr>
                <w:rFonts w:ascii="宋体" w:hAnsi="宋体"/>
                <w:color w:val="auto"/>
                <w:sz w:val="24"/>
                <w:highlight w:val="none"/>
              </w:rPr>
            </w:pPr>
            <w:r>
              <w:rPr>
                <w:rFonts w:hint="eastAsia" w:ascii="宋体" w:hAnsi="宋体"/>
                <w:color w:val="auto"/>
                <w:sz w:val="24"/>
                <w:highlight w:val="none"/>
              </w:rPr>
              <w:t>4.本合同应按照中华人民共和国的现行法律进行解释。本合同未尽事宜，遵照《民法典》、《政府采购法》等有关条文执行。</w:t>
            </w:r>
          </w:p>
        </w:tc>
      </w:tr>
    </w:tbl>
    <w:p w14:paraId="53C55C45">
      <w:pPr>
        <w:pStyle w:val="30"/>
        <w:spacing w:before="120" w:beforeAutospacing="0" w:after="120" w:afterAutospacing="0" w:line="0" w:lineRule="atLeast"/>
        <w:jc w:val="center"/>
        <w:rPr>
          <w:rFonts w:hint="eastAsia" w:ascii="黑体" w:hAnsi="宋体" w:eastAsia="黑体" w:cs="黑体"/>
          <w:color w:val="auto"/>
          <w:sz w:val="44"/>
          <w:szCs w:val="44"/>
          <w:highlight w:val="none"/>
        </w:rPr>
      </w:pPr>
    </w:p>
    <w:p w14:paraId="1624E839">
      <w:pPr>
        <w:pStyle w:val="30"/>
        <w:spacing w:before="120" w:beforeAutospacing="0" w:after="120" w:afterAutospacing="0" w:line="0" w:lineRule="atLeast"/>
        <w:jc w:val="center"/>
        <w:rPr>
          <w:rFonts w:hint="eastAsia" w:ascii="黑体" w:hAnsi="宋体" w:eastAsia="黑体" w:cs="黑体"/>
          <w:color w:val="auto"/>
          <w:sz w:val="44"/>
          <w:szCs w:val="44"/>
          <w:highlight w:val="none"/>
        </w:rPr>
      </w:pPr>
    </w:p>
    <w:p w14:paraId="483D917D">
      <w:pPr>
        <w:pStyle w:val="30"/>
        <w:spacing w:before="120" w:beforeAutospacing="0" w:after="120" w:afterAutospacing="0" w:line="0" w:lineRule="atLeast"/>
        <w:jc w:val="center"/>
        <w:rPr>
          <w:rFonts w:hint="eastAsia" w:ascii="黑体" w:hAnsi="宋体" w:eastAsia="黑体" w:cs="黑体"/>
          <w:color w:val="auto"/>
          <w:sz w:val="44"/>
          <w:szCs w:val="44"/>
          <w:highlight w:val="none"/>
        </w:rPr>
      </w:pPr>
    </w:p>
    <w:p w14:paraId="22B206A8">
      <w:pPr>
        <w:pStyle w:val="30"/>
        <w:spacing w:before="120" w:beforeAutospacing="0" w:after="120" w:afterAutospacing="0" w:line="0" w:lineRule="atLeast"/>
        <w:jc w:val="center"/>
        <w:rPr>
          <w:rFonts w:hint="eastAsia" w:ascii="黑体" w:hAnsi="宋体" w:eastAsia="黑体" w:cs="黑体"/>
          <w:color w:val="auto"/>
          <w:sz w:val="44"/>
          <w:szCs w:val="44"/>
          <w:highlight w:val="none"/>
        </w:rPr>
      </w:pPr>
    </w:p>
    <w:p w14:paraId="54B03AFC">
      <w:pPr>
        <w:pStyle w:val="30"/>
        <w:spacing w:before="120" w:beforeAutospacing="0" w:after="120" w:afterAutospacing="0" w:line="0" w:lineRule="atLeast"/>
        <w:jc w:val="center"/>
        <w:rPr>
          <w:rFonts w:hint="eastAsia" w:ascii="黑体" w:hAnsi="宋体" w:eastAsia="黑体" w:cs="黑体"/>
          <w:color w:val="auto"/>
          <w:sz w:val="44"/>
          <w:szCs w:val="44"/>
          <w:highlight w:val="none"/>
        </w:rPr>
      </w:pPr>
    </w:p>
    <w:p w14:paraId="54886551">
      <w:pPr>
        <w:pStyle w:val="30"/>
        <w:spacing w:before="120" w:beforeAutospacing="0" w:after="120" w:afterAutospacing="0" w:line="0" w:lineRule="atLeast"/>
        <w:jc w:val="center"/>
        <w:rPr>
          <w:rFonts w:hint="eastAsia" w:ascii="黑体" w:hAnsi="宋体" w:eastAsia="黑体" w:cs="黑体"/>
          <w:color w:val="auto"/>
          <w:sz w:val="44"/>
          <w:szCs w:val="44"/>
          <w:highlight w:val="none"/>
        </w:rPr>
      </w:pPr>
    </w:p>
    <w:p w14:paraId="5818EF58">
      <w:pPr>
        <w:pStyle w:val="30"/>
        <w:spacing w:before="120" w:beforeAutospacing="0" w:after="120" w:afterAutospacing="0" w:line="0" w:lineRule="atLeast"/>
        <w:jc w:val="center"/>
        <w:rPr>
          <w:rFonts w:hint="eastAsia" w:ascii="黑体" w:hAnsi="宋体" w:eastAsia="黑体" w:cs="黑体"/>
          <w:color w:val="auto"/>
          <w:sz w:val="44"/>
          <w:szCs w:val="44"/>
          <w:highlight w:val="none"/>
        </w:rPr>
      </w:pPr>
    </w:p>
    <w:p w14:paraId="3DD44019">
      <w:pPr>
        <w:pStyle w:val="30"/>
        <w:spacing w:before="120" w:beforeAutospacing="0" w:after="120" w:afterAutospacing="0" w:line="0" w:lineRule="atLeast"/>
        <w:jc w:val="center"/>
        <w:rPr>
          <w:rFonts w:hint="eastAsia" w:ascii="黑体" w:hAnsi="宋体" w:eastAsia="黑体" w:cs="黑体"/>
          <w:color w:val="auto"/>
          <w:sz w:val="44"/>
          <w:szCs w:val="44"/>
          <w:highlight w:val="none"/>
        </w:rPr>
      </w:pPr>
    </w:p>
    <w:p w14:paraId="352BDAB8">
      <w:pPr>
        <w:pStyle w:val="30"/>
        <w:spacing w:before="120" w:beforeAutospacing="0" w:after="120" w:afterAutospacing="0" w:line="0" w:lineRule="atLeast"/>
        <w:jc w:val="center"/>
        <w:rPr>
          <w:rFonts w:hint="eastAsia" w:ascii="黑体" w:hAnsi="宋体" w:eastAsia="黑体" w:cs="黑体"/>
          <w:color w:val="auto"/>
          <w:sz w:val="44"/>
          <w:szCs w:val="44"/>
          <w:highlight w:val="none"/>
        </w:rPr>
      </w:pPr>
    </w:p>
    <w:p w14:paraId="335B286C">
      <w:pPr>
        <w:pStyle w:val="30"/>
        <w:spacing w:before="120" w:beforeAutospacing="0" w:after="120" w:afterAutospacing="0" w:line="0" w:lineRule="atLeast"/>
        <w:jc w:val="center"/>
        <w:rPr>
          <w:rFonts w:hint="eastAsia" w:ascii="黑体" w:hAnsi="宋体" w:eastAsia="黑体" w:cs="黑体"/>
          <w:color w:val="auto"/>
          <w:sz w:val="44"/>
          <w:szCs w:val="44"/>
          <w:highlight w:val="none"/>
        </w:rPr>
      </w:pPr>
    </w:p>
    <w:p w14:paraId="3CEC52B7">
      <w:pPr>
        <w:pStyle w:val="30"/>
        <w:spacing w:before="120" w:beforeAutospacing="0" w:after="120" w:afterAutospacing="0" w:line="0" w:lineRule="atLeast"/>
        <w:jc w:val="center"/>
        <w:rPr>
          <w:rFonts w:hint="eastAsia" w:ascii="黑体" w:hAnsi="宋体" w:eastAsia="黑体" w:cs="黑体"/>
          <w:color w:val="auto"/>
          <w:sz w:val="44"/>
          <w:szCs w:val="44"/>
          <w:highlight w:val="none"/>
        </w:rPr>
      </w:pPr>
    </w:p>
    <w:p w14:paraId="3E971038">
      <w:pPr>
        <w:pStyle w:val="30"/>
        <w:spacing w:before="120" w:beforeAutospacing="0" w:after="120" w:afterAutospacing="0" w:line="0" w:lineRule="atLeast"/>
        <w:jc w:val="center"/>
        <w:rPr>
          <w:rFonts w:hint="eastAsia" w:ascii="黑体" w:hAnsi="宋体" w:eastAsia="黑体" w:cs="黑体"/>
          <w:color w:val="auto"/>
          <w:sz w:val="44"/>
          <w:szCs w:val="44"/>
          <w:highlight w:val="none"/>
        </w:rPr>
      </w:pPr>
    </w:p>
    <w:p w14:paraId="4AB2FB67">
      <w:pPr>
        <w:pStyle w:val="30"/>
        <w:spacing w:before="120" w:beforeAutospacing="0" w:after="120" w:afterAutospacing="0" w:line="0" w:lineRule="atLeast"/>
        <w:jc w:val="center"/>
        <w:rPr>
          <w:rFonts w:hint="eastAsia" w:ascii="黑体" w:hAnsi="宋体" w:eastAsia="黑体" w:cs="黑体"/>
          <w:color w:val="auto"/>
          <w:sz w:val="44"/>
          <w:szCs w:val="44"/>
          <w:highlight w:val="none"/>
        </w:rPr>
      </w:pPr>
    </w:p>
    <w:p w14:paraId="7B004F39">
      <w:pPr>
        <w:pStyle w:val="30"/>
        <w:spacing w:before="120" w:beforeAutospacing="0" w:after="120" w:afterAutospacing="0" w:line="0" w:lineRule="atLeast"/>
        <w:jc w:val="center"/>
        <w:rPr>
          <w:rFonts w:hint="eastAsia" w:ascii="黑体" w:hAnsi="宋体" w:eastAsia="黑体" w:cs="黑体"/>
          <w:color w:val="auto"/>
          <w:sz w:val="44"/>
          <w:szCs w:val="44"/>
          <w:highlight w:val="none"/>
        </w:rPr>
      </w:pPr>
    </w:p>
    <w:p w14:paraId="28C4EFD8">
      <w:pPr>
        <w:pStyle w:val="30"/>
        <w:spacing w:before="120" w:beforeAutospacing="0" w:after="120" w:afterAutospacing="0" w:line="0" w:lineRule="atLeast"/>
        <w:jc w:val="center"/>
        <w:rPr>
          <w:rFonts w:hint="eastAsia" w:ascii="黑体" w:hAnsi="宋体" w:eastAsia="黑体" w:cs="黑体"/>
          <w:color w:val="auto"/>
          <w:sz w:val="44"/>
          <w:szCs w:val="44"/>
          <w:highlight w:val="none"/>
        </w:rPr>
      </w:pPr>
    </w:p>
    <w:p w14:paraId="40810489">
      <w:pPr>
        <w:pStyle w:val="30"/>
        <w:spacing w:before="120" w:beforeAutospacing="0" w:after="120" w:afterAutospacing="0" w:line="0" w:lineRule="atLeast"/>
        <w:jc w:val="center"/>
        <w:rPr>
          <w:rFonts w:hint="eastAsia" w:ascii="黑体" w:hAnsi="宋体" w:eastAsia="黑体" w:cs="黑体"/>
          <w:color w:val="auto"/>
          <w:sz w:val="44"/>
          <w:szCs w:val="44"/>
          <w:highlight w:val="none"/>
        </w:rPr>
      </w:pPr>
    </w:p>
    <w:p w14:paraId="256D8871">
      <w:pPr>
        <w:pStyle w:val="30"/>
        <w:spacing w:before="120" w:beforeAutospacing="0" w:after="120" w:afterAutospacing="0" w:line="0" w:lineRule="atLeast"/>
        <w:jc w:val="center"/>
        <w:rPr>
          <w:rFonts w:hint="eastAsia" w:ascii="黑体" w:hAnsi="宋体" w:eastAsia="黑体" w:cs="黑体"/>
          <w:color w:val="auto"/>
          <w:sz w:val="44"/>
          <w:szCs w:val="44"/>
          <w:highlight w:val="none"/>
        </w:rPr>
      </w:pPr>
    </w:p>
    <w:p w14:paraId="45AD2BD1">
      <w:pPr>
        <w:pStyle w:val="30"/>
        <w:spacing w:before="120" w:beforeAutospacing="0" w:after="120" w:afterAutospacing="0" w:line="0" w:lineRule="atLeast"/>
        <w:jc w:val="center"/>
        <w:rPr>
          <w:rFonts w:hint="eastAsia" w:ascii="黑体" w:hAnsi="宋体" w:eastAsia="黑体" w:cs="黑体"/>
          <w:color w:val="auto"/>
          <w:sz w:val="44"/>
          <w:szCs w:val="44"/>
          <w:highlight w:val="none"/>
        </w:rPr>
      </w:pPr>
    </w:p>
    <w:p w14:paraId="5AD58D28">
      <w:pPr>
        <w:pStyle w:val="30"/>
        <w:spacing w:before="120" w:beforeAutospacing="0" w:after="120" w:afterAutospacing="0" w:line="0" w:lineRule="atLeast"/>
        <w:jc w:val="center"/>
        <w:rPr>
          <w:color w:val="auto"/>
          <w:highlight w:val="none"/>
        </w:rPr>
      </w:pPr>
      <w:r>
        <w:rPr>
          <w:rFonts w:hint="eastAsia" w:ascii="黑体" w:hAnsi="宋体" w:eastAsia="黑体" w:cs="黑体"/>
          <w:color w:val="auto"/>
          <w:sz w:val="44"/>
          <w:szCs w:val="44"/>
          <w:highlight w:val="none"/>
        </w:rPr>
        <w:t>第</w:t>
      </w:r>
      <w:bookmarkEnd w:id="146"/>
      <w:r>
        <w:rPr>
          <w:rFonts w:hint="eastAsia" w:ascii="黑体" w:hAnsi="宋体" w:eastAsia="黑体" w:cs="黑体"/>
          <w:color w:val="auto"/>
          <w:sz w:val="44"/>
          <w:szCs w:val="44"/>
          <w:highlight w:val="none"/>
        </w:rPr>
        <w:t>四章 采购需求</w:t>
      </w:r>
      <w:bookmarkEnd w:id="147"/>
      <w:bookmarkEnd w:id="148"/>
      <w:bookmarkEnd w:id="149"/>
      <w:bookmarkEnd w:id="150"/>
      <w:bookmarkStart w:id="159" w:name="_Toc26554093"/>
      <w:bookmarkEnd w:id="159"/>
      <w:bookmarkStart w:id="160" w:name="_Toc49090575"/>
      <w:bookmarkEnd w:id="160"/>
    </w:p>
    <w:p w14:paraId="2F94D19B">
      <w:pPr>
        <w:pStyle w:val="30"/>
        <w:spacing w:before="120" w:beforeAutospacing="0" w:after="120" w:afterAutospacing="0" w:line="0" w:lineRule="atLeast"/>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项目属性：货物类项目</w:t>
      </w:r>
    </w:p>
    <w:p w14:paraId="5CDCF920">
      <w:pPr>
        <w:pBdr>
          <w:top w:val="none" w:color="000000" w:sz="0" w:space="0"/>
          <w:left w:val="none" w:color="000000" w:sz="0" w:space="0"/>
          <w:bottom w:val="none" w:color="000000" w:sz="0" w:space="0"/>
          <w:right w:val="none" w:color="000000" w:sz="0" w:space="0"/>
        </w:pBdr>
        <w:spacing w:before="240" w:after="240" w:line="85" w:lineRule="atLeast"/>
        <w:ind w:left="0" w:right="0" w:firstLine="482"/>
        <w:jc w:val="both"/>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一、项目概况</w:t>
      </w:r>
    </w:p>
    <w:p w14:paraId="1707C10B">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1.项目背景</w:t>
      </w:r>
    </w:p>
    <w:p w14:paraId="76A03E36">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渔政执法船燃油采购项目为保障执法船燃油储备充足、配送及时，确保随时遂行执法巡航任务，现根据年度预算安排，采购船用0号柴油及供油服务，在合同期内根据实际需求分批次供应燃油。</w:t>
      </w:r>
    </w:p>
    <w:p w14:paraId="09DE2139">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2.质量标准</w:t>
      </w:r>
    </w:p>
    <w:p w14:paraId="39C543BF">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供应商须保证提供的0号柴油是合格正品，符合国家有关质量、规格和性能标准（现行国家标准GB19147-2016）。</w:t>
      </w:r>
    </w:p>
    <w:p w14:paraId="2418C177">
      <w:pPr>
        <w:pBdr>
          <w:top w:val="none" w:color="000000" w:sz="0" w:space="0"/>
          <w:left w:val="none" w:color="000000" w:sz="0" w:space="0"/>
          <w:bottom w:val="none" w:color="000000" w:sz="0" w:space="0"/>
          <w:right w:val="none" w:color="000000" w:sz="0" w:space="0"/>
        </w:pBdr>
        <w:spacing w:before="240" w:after="240" w:line="85" w:lineRule="atLeast"/>
        <w:ind w:left="0" w:right="0" w:firstLine="482"/>
        <w:jc w:val="both"/>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二、采购需求</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61"/>
        <w:gridCol w:w="1902"/>
        <w:gridCol w:w="1626"/>
        <w:gridCol w:w="2541"/>
        <w:gridCol w:w="1596"/>
      </w:tblGrid>
      <w:tr w14:paraId="7F5DF59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4" w:hRule="atLeast"/>
        </w:trPr>
        <w:tc>
          <w:tcPr>
            <w:tcW w:w="727"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EA8BB78">
            <w:pPr>
              <w:pStyle w:val="30"/>
              <w:spacing w:beforeAutospacing="0" w:afterAutospacing="0" w:line="360" w:lineRule="auto"/>
              <w:jc w:val="center"/>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序号</w:t>
            </w:r>
          </w:p>
        </w:tc>
        <w:tc>
          <w:tcPr>
            <w:tcW w:w="2130"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2B2DBF2C">
            <w:pPr>
              <w:pStyle w:val="30"/>
              <w:spacing w:beforeAutospacing="0" w:afterAutospacing="0" w:line="360" w:lineRule="auto"/>
              <w:jc w:val="center"/>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产品名称</w:t>
            </w:r>
          </w:p>
        </w:tc>
        <w:tc>
          <w:tcPr>
            <w:tcW w:w="1849"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51C61764">
            <w:pPr>
              <w:pStyle w:val="30"/>
              <w:spacing w:beforeAutospacing="0" w:afterAutospacing="0" w:line="360" w:lineRule="auto"/>
              <w:jc w:val="center"/>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数量</w:t>
            </w:r>
          </w:p>
        </w:tc>
        <w:tc>
          <w:tcPr>
            <w:tcW w:w="2873"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0D8AF09F">
            <w:pPr>
              <w:pStyle w:val="30"/>
              <w:spacing w:beforeAutospacing="0" w:afterAutospacing="0" w:line="360" w:lineRule="auto"/>
              <w:jc w:val="center"/>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供货服务期</w:t>
            </w:r>
          </w:p>
        </w:tc>
        <w:tc>
          <w:tcPr>
            <w:tcW w:w="1774"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4D576CDF">
            <w:pPr>
              <w:pStyle w:val="30"/>
              <w:spacing w:beforeAutospacing="0" w:afterAutospacing="0" w:line="360" w:lineRule="auto"/>
              <w:jc w:val="center"/>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承包方式</w:t>
            </w:r>
          </w:p>
        </w:tc>
      </w:tr>
      <w:tr w14:paraId="001619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33" w:hRule="atLeast"/>
        </w:trPr>
        <w:tc>
          <w:tcPr>
            <w:tcW w:w="72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A73389C">
            <w:pPr>
              <w:pStyle w:val="30"/>
              <w:spacing w:beforeAutospacing="0" w:afterAutospacing="0" w:line="360" w:lineRule="auto"/>
              <w:jc w:val="center"/>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1</w:t>
            </w:r>
          </w:p>
        </w:tc>
        <w:tc>
          <w:tcPr>
            <w:tcW w:w="2130"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63A533A4">
            <w:pPr>
              <w:pStyle w:val="30"/>
              <w:spacing w:beforeAutospacing="0" w:afterAutospacing="0" w:line="360" w:lineRule="auto"/>
              <w:jc w:val="center"/>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0号柴油（国VI）</w:t>
            </w:r>
          </w:p>
          <w:p w14:paraId="0C7BE764">
            <w:pPr>
              <w:pStyle w:val="30"/>
              <w:spacing w:beforeAutospacing="0" w:afterAutospacing="0" w:line="360" w:lineRule="auto"/>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及供油服务</w:t>
            </w:r>
          </w:p>
        </w:tc>
        <w:tc>
          <w:tcPr>
            <w:tcW w:w="1849"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5C8D3175">
            <w:pPr>
              <w:pStyle w:val="30"/>
              <w:spacing w:beforeAutospacing="0" w:afterAutospacing="0" w:line="360" w:lineRule="auto"/>
              <w:jc w:val="center"/>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按实际采购数量计算</w:t>
            </w:r>
          </w:p>
        </w:tc>
        <w:tc>
          <w:tcPr>
            <w:tcW w:w="2873"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3D3AE7DB">
            <w:pPr>
              <w:pStyle w:val="30"/>
              <w:spacing w:beforeAutospacing="0" w:afterAutospacing="0" w:line="360" w:lineRule="auto"/>
              <w:jc w:val="center"/>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自合同签订之日至本次采购燃油供应完成为止。</w:t>
            </w:r>
          </w:p>
        </w:tc>
        <w:tc>
          <w:tcPr>
            <w:tcW w:w="1774"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6661A996">
            <w:pPr>
              <w:pStyle w:val="30"/>
              <w:spacing w:beforeAutospacing="0" w:afterAutospacing="0" w:line="360" w:lineRule="auto"/>
              <w:jc w:val="center"/>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总承包，不得分拆转让。</w:t>
            </w:r>
          </w:p>
        </w:tc>
      </w:tr>
    </w:tbl>
    <w:p w14:paraId="56EA0DD2">
      <w:pPr>
        <w:pBdr>
          <w:top w:val="none" w:color="000000" w:sz="0" w:space="0"/>
          <w:left w:val="none" w:color="000000" w:sz="0" w:space="0"/>
          <w:bottom w:val="none" w:color="000000" w:sz="0" w:space="0"/>
          <w:right w:val="none" w:color="000000" w:sz="0" w:space="0"/>
        </w:pBdr>
        <w:spacing w:before="240" w:after="240" w:line="85" w:lineRule="atLeast"/>
        <w:ind w:left="0" w:right="0" w:firstLine="482"/>
        <w:jc w:val="both"/>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三、合同价格</w:t>
      </w:r>
    </w:p>
    <w:p w14:paraId="28C28748">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合同总价（大写）：</w:t>
      </w:r>
      <w:r>
        <w:rPr>
          <w:rFonts w:hint="eastAsia" w:ascii="宋体" w:hAnsi="宋体" w:cstheme="minorBidi"/>
          <w:color w:val="auto"/>
          <w:sz w:val="24"/>
          <w:szCs w:val="24"/>
          <w:highlight w:val="none"/>
          <w:u w:val="single"/>
          <w:lang w:val="en-US" w:eastAsia="zh-CN" w:bidi="ar-SA"/>
        </w:rPr>
        <w:t xml:space="preserve">   </w:t>
      </w:r>
      <w:r>
        <w:rPr>
          <w:rFonts w:hint="eastAsia" w:ascii="宋体" w:hAnsi="宋体" w:eastAsiaTheme="minorEastAsia" w:cstheme="minorBidi"/>
          <w:color w:val="auto"/>
          <w:sz w:val="24"/>
          <w:szCs w:val="24"/>
          <w:highlight w:val="none"/>
          <w:u w:val="single"/>
          <w:lang w:val="en-US" w:eastAsia="zh-CN" w:bidi="ar-SA"/>
        </w:rPr>
        <w:t>元整</w:t>
      </w:r>
      <w:r>
        <w:rPr>
          <w:rFonts w:hint="eastAsia" w:ascii="宋体" w:hAnsi="宋体" w:eastAsiaTheme="minorEastAsia" w:cstheme="minorBidi"/>
          <w:color w:val="auto"/>
          <w:sz w:val="24"/>
          <w:szCs w:val="24"/>
          <w:highlight w:val="none"/>
          <w:lang w:val="en-US" w:eastAsia="zh-CN" w:bidi="ar-SA"/>
        </w:rPr>
        <w:t>（</w:t>
      </w:r>
      <w:r>
        <w:rPr>
          <w:rFonts w:hint="eastAsia" w:ascii="宋体" w:hAnsi="宋体" w:cstheme="minorBidi"/>
          <w:color w:val="auto"/>
          <w:sz w:val="24"/>
          <w:szCs w:val="24"/>
          <w:highlight w:val="none"/>
          <w:lang w:val="en-US" w:eastAsia="zh-CN" w:bidi="ar-SA"/>
        </w:rPr>
        <w:t>¥：</w:t>
      </w:r>
      <w:r>
        <w:rPr>
          <w:rFonts w:hint="eastAsia" w:ascii="宋体" w:hAnsi="宋体" w:cstheme="minorBidi"/>
          <w:color w:val="auto"/>
          <w:sz w:val="24"/>
          <w:szCs w:val="24"/>
          <w:highlight w:val="none"/>
          <w:u w:val="single"/>
          <w:lang w:val="en-US" w:eastAsia="zh-CN" w:bidi="ar-SA"/>
        </w:rPr>
        <w:t xml:space="preserve">  </w:t>
      </w:r>
      <w:r>
        <w:rPr>
          <w:rFonts w:hint="eastAsia" w:ascii="宋体" w:hAnsi="宋体" w:eastAsiaTheme="minorEastAsia" w:cstheme="minorBidi"/>
          <w:color w:val="auto"/>
          <w:sz w:val="24"/>
          <w:szCs w:val="24"/>
          <w:highlight w:val="none"/>
          <w:u w:val="single"/>
          <w:lang w:val="en-US" w:eastAsia="zh-CN" w:bidi="ar-SA"/>
        </w:rPr>
        <w:t>万元</w:t>
      </w:r>
      <w:r>
        <w:rPr>
          <w:rFonts w:hint="eastAsia" w:ascii="宋体" w:hAnsi="宋体" w:eastAsiaTheme="minorEastAsia" w:cstheme="minorBidi"/>
          <w:color w:val="auto"/>
          <w:sz w:val="24"/>
          <w:szCs w:val="24"/>
          <w:highlight w:val="none"/>
          <w:lang w:val="en-US" w:eastAsia="zh-CN" w:bidi="ar-SA"/>
        </w:rPr>
        <w:t>），本项目报价方式为</w:t>
      </w:r>
      <w:r>
        <w:rPr>
          <w:rFonts w:hint="eastAsia" w:ascii="宋体" w:hAnsi="宋体" w:eastAsiaTheme="minorEastAsia" w:cstheme="minorBidi"/>
          <w:b/>
          <w:bCs/>
          <w:color w:val="auto"/>
          <w:sz w:val="24"/>
          <w:szCs w:val="24"/>
          <w:highlight w:val="none"/>
          <w:lang w:val="en-US" w:eastAsia="zh-CN" w:bidi="ar-SA"/>
        </w:rPr>
        <w:t>优惠率</w:t>
      </w:r>
      <w:r>
        <w:rPr>
          <w:rFonts w:hint="eastAsia" w:ascii="宋体" w:hAnsi="宋体" w:eastAsiaTheme="minorEastAsia" w:cstheme="minorBidi"/>
          <w:color w:val="auto"/>
          <w:sz w:val="24"/>
          <w:szCs w:val="24"/>
          <w:highlight w:val="none"/>
          <w:lang w:val="en-US" w:eastAsia="zh-CN" w:bidi="ar-SA"/>
        </w:rPr>
        <w:t>报价，采购数量具体以实际采购额为准，结算方式以次为单位进行结算（按照每次实际供油吨位数量），供应商根据当日江苏省发展和改革委员会公布的江苏省成品油最高零售价格表中的0号柴油最高价基础上进行下浮的比例，结算价=（1-优惠率）*当日江苏省发展和改革委员会公布的江苏省成品油最高零售价格表中的0号柴油最高价。</w:t>
      </w:r>
    </w:p>
    <w:p w14:paraId="00A93D3A">
      <w:pPr>
        <w:pBdr>
          <w:top w:val="none" w:color="000000" w:sz="0" w:space="0"/>
          <w:left w:val="none" w:color="000000" w:sz="0" w:space="0"/>
          <w:bottom w:val="none" w:color="000000" w:sz="0" w:space="0"/>
          <w:right w:val="none" w:color="000000" w:sz="0" w:space="0"/>
        </w:pBdr>
        <w:spacing w:before="240" w:after="240" w:line="85" w:lineRule="atLeast"/>
        <w:ind w:left="0" w:right="0" w:firstLine="482"/>
        <w:jc w:val="both"/>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四、供货时间及地点</w:t>
      </w:r>
    </w:p>
    <w:p w14:paraId="4E2EB1A7">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自合同签订之日至本次采购燃油供应完成为止。招标人提前1～2天（日历天）与供应商确定单次供油数量、价格、供油时间和地点等事项，供应商在约定时间陆路用油槽车、水域用加油船将指定数量的柴油送至招标人指定地点并加油完成，不需另行付费。</w:t>
      </w:r>
    </w:p>
    <w:p w14:paraId="39EE4998">
      <w:pPr>
        <w:pBdr>
          <w:top w:val="none" w:color="000000" w:sz="0" w:space="0"/>
          <w:left w:val="none" w:color="000000" w:sz="0" w:space="0"/>
          <w:bottom w:val="none" w:color="000000" w:sz="0" w:space="0"/>
          <w:right w:val="none" w:color="000000" w:sz="0" w:space="0"/>
        </w:pBdr>
        <w:spacing w:before="240" w:after="240" w:line="85" w:lineRule="atLeast"/>
        <w:ind w:left="0" w:right="0" w:firstLine="482"/>
        <w:jc w:val="both"/>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五、质量及验收方法</w:t>
      </w:r>
    </w:p>
    <w:p w14:paraId="2EB83C18">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1.乙方在交货时，货物的品牌型号必须与报价表保持一致，必须保证品牌正宗。</w:t>
      </w:r>
    </w:p>
    <w:p w14:paraId="58A1BA13">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2.加油完毕后，乙方将出具数量确认书和加油凭证，由甲方轮机长（或代表）确认签字（盖章）。</w:t>
      </w:r>
    </w:p>
    <w:p w14:paraId="412E201D">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3.验收方法：由需方按国家或行业标准监督验收，并取样封存，各自保管，提出异议期限为三个月。</w:t>
      </w:r>
    </w:p>
    <w:p w14:paraId="0FC8905B">
      <w:pPr>
        <w:pBdr>
          <w:top w:val="none" w:color="000000" w:sz="0" w:space="0"/>
          <w:left w:val="none" w:color="000000" w:sz="0" w:space="0"/>
          <w:bottom w:val="none" w:color="000000" w:sz="0" w:space="0"/>
          <w:right w:val="none" w:color="000000" w:sz="0" w:space="0"/>
        </w:pBdr>
        <w:spacing w:before="240" w:after="240" w:line="85" w:lineRule="atLeast"/>
        <w:ind w:left="0" w:right="0" w:firstLine="482"/>
        <w:jc w:val="both"/>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六、甲方的责任和义务 </w:t>
      </w:r>
    </w:p>
    <w:p w14:paraId="0BBBDB69">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1.甲方采购船用燃油时，需提前1～2天（日历天）通知乙方，双方确认价格、数量、供油时间和地点等事项。</w:t>
      </w:r>
    </w:p>
    <w:p w14:paraId="011B0484">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2.加油完毕后，乙方将出具数量确认书和加油凭证，由甲方轮机长（或代表）确认签字（盖章）。</w:t>
      </w:r>
    </w:p>
    <w:p w14:paraId="63E79000">
      <w:pPr>
        <w:pBdr>
          <w:top w:val="none" w:color="000000" w:sz="0" w:space="0"/>
          <w:left w:val="none" w:color="000000" w:sz="0" w:space="0"/>
          <w:bottom w:val="none" w:color="000000" w:sz="0" w:space="0"/>
          <w:right w:val="none" w:color="000000" w:sz="0" w:space="0"/>
        </w:pBdr>
        <w:spacing w:before="240" w:after="240" w:line="85" w:lineRule="atLeast"/>
        <w:ind w:left="0" w:right="0" w:firstLine="482"/>
        <w:jc w:val="both"/>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七、乙方的责任和义务</w:t>
      </w:r>
    </w:p>
    <w:p w14:paraId="4B774465">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1.在本服务期内，无论油品资源是否紧张，乙方确保正常供应甲方需求燃油。</w:t>
      </w:r>
    </w:p>
    <w:p w14:paraId="12FA287A">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2.0号柴油必须达到国家现行相关标准（GB19147-2016）。</w:t>
      </w:r>
    </w:p>
    <w:p w14:paraId="45ADB98A">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3.乙方在约定时间陆路用油槽车、水域用加油船将指定数量的柴油送至甲方指定码头或其他区域。</w:t>
      </w:r>
    </w:p>
    <w:p w14:paraId="3CCCACD1">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4.因乙方油品质量问题导致甲方公务船不能正常执行公务，所供应的该批油样由双方共同认可的检验机构送验，经检验确认后，确是乙方油品的质量问题，损失由乙方承担。</w:t>
      </w:r>
    </w:p>
    <w:p w14:paraId="0E4C52E7">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5.乙方应采取必要的安全措施保证燃油运输及驳运的安全，并承担运输及驳运过程中产生的风险。</w:t>
      </w:r>
    </w:p>
    <w:p w14:paraId="5DBDE28B">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6.每月5日前将上月甲方加油数量、频次、库存数量等相关数据生成月报表送达甲方，并与甲方核对一致。</w:t>
      </w:r>
    </w:p>
    <w:p w14:paraId="0373DB2A">
      <w:pPr>
        <w:pBdr>
          <w:top w:val="none" w:color="000000" w:sz="0" w:space="0"/>
          <w:left w:val="none" w:color="000000" w:sz="0" w:space="0"/>
          <w:bottom w:val="none" w:color="000000" w:sz="0" w:space="0"/>
          <w:right w:val="none" w:color="000000" w:sz="0" w:space="0"/>
        </w:pBdr>
        <w:spacing w:before="240" w:after="240" w:line="85" w:lineRule="atLeast"/>
        <w:ind w:left="0" w:right="0" w:firstLine="482"/>
        <w:jc w:val="both"/>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八、其他事项</w:t>
      </w:r>
    </w:p>
    <w:p w14:paraId="3A4B8B21">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1.运输方式及费用负担：油价已包含运费等一切应有费用，供方自行运输并配送至加油完成，需方不再承担其他费用。</w:t>
      </w:r>
    </w:p>
    <w:p w14:paraId="656DBE76">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2.合理损耗及计算方法：以供方的流量计、舱容为计量标准，流量计、舱容必须是经过国家强检合格，并在合格期内。柴油合理损耗控制在3‰以内，如超过，超出部分由供方负责。</w:t>
      </w:r>
    </w:p>
    <w:p w14:paraId="378E1D5F">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3.争议解决：在合同的履行过程中对0号柴油的质量发生争议时，以质量技术监督部门的鉴定结果为准，检测费用由过错方承担。</w:t>
      </w:r>
    </w:p>
    <w:p w14:paraId="0334FBF6">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4.廉政条款：供方保证不向需方人员行贿，并承诺一旦需方人员向供方索贿，供方会及时向需方领导举报。如果在合同执行过程中需方发现供方向需方人员行贿，或需方人员向供方索贿供方不举报的，需方有权立即终止该合同，并取消供方的合格供方资格，供方应承担因此给需方造成的全部损失。</w:t>
      </w:r>
    </w:p>
    <w:p w14:paraId="076C8400">
      <w:pPr>
        <w:pBdr>
          <w:top w:val="none" w:color="000000" w:sz="0" w:space="0"/>
          <w:left w:val="none" w:color="000000" w:sz="0" w:space="0"/>
          <w:bottom w:val="none" w:color="000000" w:sz="0" w:space="0"/>
          <w:right w:val="none" w:color="000000" w:sz="0" w:space="0"/>
        </w:pBdr>
        <w:spacing w:before="240" w:after="240" w:line="85" w:lineRule="atLeast"/>
        <w:ind w:left="0" w:right="0" w:firstLine="482"/>
        <w:jc w:val="both"/>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九、政府采购政策功能落实</w:t>
      </w:r>
    </w:p>
    <w:p w14:paraId="71676832">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1、小微型企业价格扣除</w:t>
      </w:r>
    </w:p>
    <w:p w14:paraId="4D5DDF8D">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（1）本项目对小型和微型企业产品给予20%的扣除价格，用扣除后的价格参与评审。</w:t>
      </w:r>
    </w:p>
    <w:p w14:paraId="3BBB344C">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（2）供应商需按照采购文件的要求提供相应的《小微企业声明函》。</w:t>
      </w:r>
    </w:p>
    <w:p w14:paraId="303A6C5A">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（3）企业标准请参照《关于印发中小企业划型标准规定的通知》（工信部联企业[2011]300号）文件规定自行填写。</w:t>
      </w:r>
    </w:p>
    <w:p w14:paraId="31D0062C">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2、残疾人福利单位价格扣除</w:t>
      </w:r>
    </w:p>
    <w:p w14:paraId="30AD2978">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（1）本项目对残疾人福利性单位视同小型、微型企业，给予20%</w:t>
      </w:r>
    </w:p>
    <w:p w14:paraId="06D1A1F0">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（2）残疾人福利单位需按照采购文件的要求提供《残疾人福利性单位声明函》。</w:t>
      </w:r>
    </w:p>
    <w:p w14:paraId="3C591333">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（3）残疾人福利单位标准请参照《关于促进残疾人就业政府采购政策的通知》（财库〔2017〕141号）。</w:t>
      </w:r>
    </w:p>
    <w:p w14:paraId="2CE94D41">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3、监狱和戒毒企业价格扣除</w:t>
      </w:r>
    </w:p>
    <w:p w14:paraId="20A7E106">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（1）本项目对监狱和戒毒企业（简称监狱企业）视同小型、微型企业，给予20%</w:t>
      </w:r>
    </w:p>
    <w:p w14:paraId="07E9379D">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（2）监狱企业参加政府采购活动时，需提供由省级以上监狱管理局、戒毒管理局（含新疆生产建设兵团）出具的属于监狱企业的证明文件。供应商如不提供上述证明文件，价格将不做相应扣除。</w:t>
      </w:r>
    </w:p>
    <w:p w14:paraId="7938A2EB">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（3）监狱企业标准请参照《关于政府采购支持监狱企业发展有关问题的通知》（财库[2014]68号）。</w:t>
      </w:r>
    </w:p>
    <w:p w14:paraId="207879F2">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4、残疾人福利单位、监狱企业属于小型、微型企业的，不重复享受政策。</w:t>
      </w:r>
    </w:p>
    <w:p w14:paraId="267C4B12">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1616B14D">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6、联合体各方均为小型、微型企业（残疾人福利单位、监狱企业）的，联合体享受20%。</w:t>
      </w:r>
    </w:p>
    <w:p w14:paraId="5610E7AF">
      <w:pPr>
        <w:keepNext w:val="0"/>
        <w:keepLines w:val="0"/>
        <w:pageBreakBefore w:val="0"/>
        <w:widowControl w:val="0"/>
        <w:spacing w:before="79" w:after="79" w:line="400" w:lineRule="exact"/>
        <w:ind w:left="0"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7、采购本国产品的支持政策</w:t>
      </w:r>
    </w:p>
    <w:p w14:paraId="1042878A">
      <w:pPr>
        <w:keepNext w:val="0"/>
        <w:keepLines w:val="0"/>
        <w:pageBreakBefore w:val="0"/>
        <w:widowControl w:val="0"/>
        <w:spacing w:before="79" w:after="79" w:line="400" w:lineRule="exact"/>
        <w:ind w:left="0"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 本项目政府采购活动中既有本国产品又有非本国产品参与竞争的，依法对本国产品给予价格评审优惠，对本国产品的报价给予 </w:t>
      </w:r>
      <w:r>
        <w:rPr>
          <w:rFonts w:hint="eastAsia" w:ascii="宋体" w:hAnsi="宋体" w:eastAsia="宋体" w:cs="宋体"/>
          <w:color w:val="000000" w:themeColor="text1"/>
          <w:sz w:val="24"/>
          <w:szCs w:val="24"/>
          <w:highlight w:val="none"/>
          <w:u w:val="single"/>
          <w14:textFill>
            <w14:solidFill>
              <w14:schemeClr w14:val="tx1"/>
            </w14:solidFill>
          </w14:textFill>
        </w:rPr>
        <w:t>20%</w:t>
      </w:r>
      <w:r>
        <w:rPr>
          <w:rFonts w:hint="eastAsia" w:ascii="宋体" w:hAnsi="宋体" w:eastAsia="宋体" w:cs="宋体"/>
          <w:color w:val="000000" w:themeColor="text1"/>
          <w:sz w:val="24"/>
          <w:szCs w:val="24"/>
          <w:highlight w:val="none"/>
          <w14:textFill>
            <w14:solidFill>
              <w14:schemeClr w14:val="tx1"/>
            </w14:solidFill>
          </w14:textFill>
        </w:rPr>
        <w:t>的价格扣除，用扣除后的价格参与评审。</w:t>
      </w:r>
    </w:p>
    <w:p w14:paraId="24EDC8A6">
      <w:pPr>
        <w:keepNext w:val="0"/>
        <w:keepLines w:val="0"/>
        <w:pageBreakBefore w:val="0"/>
        <w:widowControl w:val="0"/>
        <w:spacing w:before="79" w:after="79" w:line="400" w:lineRule="exact"/>
        <w:ind w:left="0"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themeColor="text1"/>
          <w:sz w:val="24"/>
          <w:szCs w:val="24"/>
          <w:highlight w:val="none"/>
          <w:u w:val="single"/>
          <w14:textFill>
            <w14:solidFill>
              <w14:schemeClr w14:val="tx1"/>
            </w14:solidFill>
          </w14:textFill>
        </w:rPr>
        <w:t>80%</w:t>
      </w:r>
      <w:r>
        <w:rPr>
          <w:rFonts w:hint="eastAsia" w:ascii="宋体" w:hAnsi="宋体" w:eastAsia="宋体" w:cs="宋体"/>
          <w:color w:val="000000" w:themeColor="text1"/>
          <w:sz w:val="24"/>
          <w:szCs w:val="24"/>
          <w:highlight w:val="none"/>
          <w14:textFill>
            <w14:solidFill>
              <w14:schemeClr w14:val="tx1"/>
            </w14:solidFill>
          </w14:textFill>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000000" w:themeColor="text1"/>
          <w:sz w:val="24"/>
          <w:szCs w:val="24"/>
          <w:highlight w:val="none"/>
          <w:u w:val="single"/>
          <w14:textFill>
            <w14:solidFill>
              <w14:schemeClr w14:val="tx1"/>
            </w14:solidFill>
          </w14:textFill>
        </w:rPr>
        <w:t>20%</w:t>
      </w:r>
      <w:r>
        <w:rPr>
          <w:rFonts w:hint="eastAsia" w:ascii="宋体" w:hAnsi="宋体" w:eastAsia="宋体" w:cs="宋体"/>
          <w:color w:val="000000" w:themeColor="text1"/>
          <w:sz w:val="24"/>
          <w:szCs w:val="24"/>
          <w:highlight w:val="none"/>
          <w14:textFill>
            <w14:solidFill>
              <w14:schemeClr w14:val="tx1"/>
            </w14:solidFill>
          </w14:textFill>
        </w:rPr>
        <w:t>的价格扣除，用扣除后的价格参与评审。供应商未填写比例数值，或比例数值未达到80%的，将不享受本国产品价格评审优惠。</w:t>
      </w:r>
    </w:p>
    <w:p w14:paraId="2838A043">
      <w:pPr>
        <w:keepNext w:val="0"/>
        <w:keepLines w:val="0"/>
        <w:pageBreakBefore w:val="0"/>
        <w:widowControl w:val="0"/>
        <w:spacing w:before="79" w:after="79" w:line="400" w:lineRule="exact"/>
        <w:ind w:left="0"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7.3 供应商需按照招标文件的要求提供《关于符合本国产品标准的声明函》（以下简称《声明函》），如不提供将不享受本国产品价格评审优惠。</w:t>
      </w:r>
    </w:p>
    <w:p w14:paraId="5703AC09">
      <w:pPr>
        <w:keepNext w:val="0"/>
        <w:keepLines w:val="0"/>
        <w:pageBreakBefore w:val="0"/>
        <w:widowControl w:val="0"/>
        <w:spacing w:before="79" w:after="79" w:line="400" w:lineRule="exact"/>
        <w:ind w:left="0"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7.4 供应商需在《声明函》中逐一、准确填写产品名称、厂名、生产厂址三项信息（《声明函》中用</w:t>
      </w:r>
      <w:r>
        <w:rPr>
          <w:rFonts w:hint="eastAsia" w:ascii="宋体" w:hAnsi="宋体" w:eastAsia="宋体" w:cs="宋体"/>
          <w:color w:val="000000" w:themeColor="text1"/>
          <w:sz w:val="24"/>
          <w:szCs w:val="24"/>
          <w:highlight w:val="none"/>
          <w:lang w:val="en-US" w:eastAsia="zh-CN"/>
          <w14:textFill>
            <w14:solidFill>
              <w14:schemeClr w14:val="tx1"/>
            </w14:solidFill>
          </w14:textFill>
        </w:rPr>
        <w:t>横</w:t>
      </w:r>
      <w:r>
        <w:rPr>
          <w:rFonts w:hint="eastAsia" w:ascii="宋体" w:hAnsi="宋体" w:eastAsia="宋体" w:cs="宋体"/>
          <w:color w:val="000000" w:themeColor="text1"/>
          <w:sz w:val="24"/>
          <w:szCs w:val="24"/>
          <w:highlight w:val="none"/>
          <w14:textFill>
            <w14:solidFill>
              <w14:schemeClr w14:val="tx1"/>
            </w14:solidFill>
          </w14:textFill>
        </w:rPr>
        <w:t>线划除的地方无需填写），三项信息中任意一项未填写的视为该项产品不符合本国产品标准，不享受本国产品价格评审优惠。</w:t>
      </w:r>
    </w:p>
    <w:p w14:paraId="71312E76">
      <w:pPr>
        <w:keepNext w:val="0"/>
        <w:keepLines w:val="0"/>
        <w:pageBreakBefore w:val="0"/>
        <w:widowControl w:val="0"/>
        <w:spacing w:before="79" w:after="79" w:line="400" w:lineRule="exact"/>
        <w:ind w:left="0" w:firstLine="480"/>
        <w:jc w:val="left"/>
        <w:rPr>
          <w:rFonts w:hint="eastAsia" w:ascii="宋体" w:hAnsi="宋体" w:eastAsia="宋体" w:cs="宋体"/>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7.5 评标过程中，如发现供应商在《声明函》内容含义不明确、同类事项与投标（响应）文件表述不一致或者有明显文字错误等情况的，评标委员会应当</w:t>
      </w:r>
      <w:r>
        <w:rPr>
          <w:rFonts w:hint="eastAsia" w:ascii="宋体" w:hAnsi="宋体" w:eastAsia="宋体" w:cs="宋体"/>
          <w:color w:val="000000" w:themeColor="text1"/>
          <w:sz w:val="24"/>
          <w:szCs w:val="24"/>
          <w:highlight w:val="none"/>
          <w:lang w:val="en-US" w:eastAsia="zh-CN"/>
          <w14:textFill>
            <w14:solidFill>
              <w14:schemeClr w14:val="tx1"/>
            </w14:solidFill>
          </w14:textFill>
        </w:rPr>
        <w:t>在苏采云系统</w:t>
      </w:r>
      <w:r>
        <w:rPr>
          <w:rFonts w:hint="eastAsia" w:ascii="宋体" w:hAnsi="宋体" w:eastAsia="宋体" w:cs="宋体"/>
          <w:color w:val="000000" w:themeColor="text1"/>
          <w:sz w:val="24"/>
          <w:szCs w:val="24"/>
          <w:highlight w:val="none"/>
          <w14:textFill>
            <w14:solidFill>
              <w14:schemeClr w14:val="tx1"/>
            </w14:solidFill>
          </w14:textFill>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F507E2F">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p>
    <w:p w14:paraId="62C2130A">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cstheme="minorBidi"/>
          <w:color w:val="auto"/>
          <w:sz w:val="24"/>
          <w:szCs w:val="24"/>
          <w:highlight w:val="none"/>
          <w:lang w:val="en-US" w:eastAsia="zh-CN" w:bidi="ar-SA"/>
        </w:rPr>
        <w:t>8</w:t>
      </w:r>
      <w:r>
        <w:rPr>
          <w:rFonts w:hint="eastAsia" w:ascii="宋体" w:hAnsi="宋体" w:eastAsiaTheme="minorEastAsia" w:cstheme="minorBidi"/>
          <w:color w:val="auto"/>
          <w:sz w:val="24"/>
          <w:szCs w:val="24"/>
          <w:highlight w:val="none"/>
          <w:lang w:val="en-US" w:eastAsia="zh-CN" w:bidi="ar-SA"/>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14D53848">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cstheme="minorBidi"/>
          <w:color w:val="auto"/>
          <w:sz w:val="24"/>
          <w:szCs w:val="24"/>
          <w:highlight w:val="none"/>
          <w:lang w:val="en-US" w:eastAsia="zh-CN" w:bidi="ar-SA"/>
        </w:rPr>
        <w:t>9</w:t>
      </w:r>
      <w:r>
        <w:rPr>
          <w:rFonts w:hint="eastAsia" w:ascii="宋体" w:hAnsi="宋体" w:eastAsiaTheme="minorEastAsia" w:cstheme="minorBidi"/>
          <w:color w:val="auto"/>
          <w:sz w:val="24"/>
          <w:szCs w:val="24"/>
          <w:highlight w:val="none"/>
          <w:lang w:val="en-US" w:eastAsia="zh-CN" w:bidi="ar-SA"/>
        </w:rPr>
        <w:t>、供应商对于投标产品的商品包装、快递包装应按照《关于印发《商品包装政府采购需求标准（试行）》、《快递包装政府采购需求标准（试行）》的通知》（财办库〔2020〕123号）执行。</w:t>
      </w:r>
    </w:p>
    <w:p w14:paraId="76F6BB97">
      <w:pPr>
        <w:pStyle w:val="30"/>
        <w:spacing w:beforeAutospacing="0" w:afterAutospacing="0" w:line="360" w:lineRule="auto"/>
        <w:ind w:firstLine="480"/>
        <w:jc w:val="both"/>
        <w:rPr>
          <w:rFonts w:hint="eastAsia" w:ascii="宋体" w:hAnsi="宋体" w:eastAsiaTheme="minorEastAsia" w:cstheme="minorBidi"/>
          <w:color w:val="auto"/>
          <w:sz w:val="24"/>
          <w:szCs w:val="24"/>
          <w:highlight w:val="none"/>
          <w:lang w:val="en-US" w:eastAsia="zh-CN" w:bidi="ar-SA"/>
        </w:rPr>
      </w:pPr>
      <w:r>
        <w:rPr>
          <w:rFonts w:hint="eastAsia" w:ascii="宋体" w:hAnsi="宋体" w:cstheme="minorBidi"/>
          <w:color w:val="auto"/>
          <w:sz w:val="24"/>
          <w:szCs w:val="24"/>
          <w:highlight w:val="none"/>
          <w:lang w:val="en-US" w:eastAsia="zh-CN" w:bidi="ar-SA"/>
        </w:rPr>
        <w:t>10</w:t>
      </w:r>
      <w:r>
        <w:rPr>
          <w:rFonts w:hint="eastAsia" w:ascii="宋体" w:hAnsi="宋体" w:eastAsiaTheme="minorEastAsia" w:cstheme="minorBidi"/>
          <w:color w:val="auto"/>
          <w:sz w:val="24"/>
          <w:szCs w:val="24"/>
          <w:highlight w:val="none"/>
          <w:lang w:val="en-US" w:eastAsia="zh-CN" w:bidi="ar-SA"/>
        </w:rPr>
        <w:t>、本文件中若涉及到数据中心采购，应按照《〈绿色数据中心政府采购需求标准（试行）〉的通知》（财库〔2023〕7号）执行。</w:t>
      </w:r>
    </w:p>
    <w:p w14:paraId="0CCB652C">
      <w:pPr>
        <w:pBdr>
          <w:top w:val="none" w:color="000000" w:sz="0" w:space="0"/>
          <w:left w:val="none" w:color="000000" w:sz="0" w:space="0"/>
          <w:bottom w:val="none" w:color="000000" w:sz="0" w:space="0"/>
          <w:right w:val="none" w:color="000000" w:sz="0" w:space="0"/>
        </w:pBdr>
        <w:spacing w:before="240" w:after="240" w:line="85" w:lineRule="atLeast"/>
        <w:ind w:left="0" w:right="0" w:firstLine="482"/>
        <w:jc w:val="both"/>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十、采购标的对应的中小企业划分标准所属行业一览表</w:t>
      </w:r>
    </w:p>
    <w:tbl>
      <w:tblPr>
        <w:tblStyle w:val="32"/>
        <w:tblW w:w="7123" w:type="dxa"/>
        <w:jc w:val="center"/>
        <w:tblCellSpacing w:w="0" w:type="dxa"/>
        <w:tblLayout w:type="fixed"/>
        <w:tblCellMar>
          <w:top w:w="0" w:type="dxa"/>
          <w:left w:w="108" w:type="dxa"/>
          <w:bottom w:w="0" w:type="dxa"/>
          <w:right w:w="108" w:type="dxa"/>
        </w:tblCellMar>
      </w:tblPr>
      <w:tblGrid>
        <w:gridCol w:w="922"/>
        <w:gridCol w:w="3349"/>
        <w:gridCol w:w="2852"/>
      </w:tblGrid>
      <w:tr w14:paraId="7645B336">
        <w:tblPrEx>
          <w:tblCellMar>
            <w:top w:w="0" w:type="dxa"/>
            <w:left w:w="108" w:type="dxa"/>
            <w:bottom w:w="0" w:type="dxa"/>
            <w:right w:w="108" w:type="dxa"/>
          </w:tblCellMar>
        </w:tblPrEx>
        <w:trPr>
          <w:trHeight w:val="878" w:hRule="atLeast"/>
          <w:tblCellSpacing w:w="0" w:type="dxa"/>
          <w:jc w:val="center"/>
        </w:trPr>
        <w:tc>
          <w:tcPr>
            <w:tcW w:w="9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C8C0D2">
            <w:pPr>
              <w:pStyle w:val="30"/>
              <w:spacing w:beforeAutospacing="0" w:afterAutospacing="0" w:line="360" w:lineRule="auto"/>
              <w:jc w:val="center"/>
              <w:rPr>
                <w:rFonts w:hint="default" w:ascii="宋体" w:hAnsi="宋体" w:eastAsiaTheme="minorEastAsia" w:cstheme="minorBidi"/>
                <w:color w:val="auto"/>
                <w:sz w:val="24"/>
                <w:szCs w:val="24"/>
                <w:highlight w:val="none"/>
                <w:lang w:val="en-US" w:eastAsia="zh-CN" w:bidi="ar-SA"/>
              </w:rPr>
            </w:pPr>
            <w:r>
              <w:rPr>
                <w:rFonts w:hint="eastAsia" w:ascii="宋体" w:hAnsi="宋体" w:cstheme="minorBidi"/>
                <w:color w:val="auto"/>
                <w:sz w:val="24"/>
                <w:szCs w:val="24"/>
                <w:highlight w:val="none"/>
                <w:lang w:val="en-US" w:eastAsia="zh-CN" w:bidi="ar-SA"/>
              </w:rPr>
              <w:t>序号</w:t>
            </w:r>
          </w:p>
        </w:tc>
        <w:tc>
          <w:tcPr>
            <w:tcW w:w="33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126DCB">
            <w:pPr>
              <w:pStyle w:val="30"/>
              <w:spacing w:beforeAutospacing="0" w:afterAutospacing="0" w:line="360" w:lineRule="auto"/>
              <w:jc w:val="center"/>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采购标的</w:t>
            </w:r>
          </w:p>
        </w:tc>
        <w:tc>
          <w:tcPr>
            <w:tcW w:w="285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A940EA">
            <w:pPr>
              <w:pStyle w:val="30"/>
              <w:spacing w:beforeAutospacing="0" w:afterAutospacing="0" w:line="360" w:lineRule="auto"/>
              <w:jc w:val="center"/>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对应中小企业划分标准所属行业</w:t>
            </w:r>
          </w:p>
        </w:tc>
      </w:tr>
      <w:tr w14:paraId="3E19E235">
        <w:tblPrEx>
          <w:tblCellMar>
            <w:top w:w="0" w:type="dxa"/>
            <w:left w:w="108" w:type="dxa"/>
            <w:bottom w:w="0" w:type="dxa"/>
            <w:right w:w="108" w:type="dxa"/>
          </w:tblCellMar>
        </w:tblPrEx>
        <w:trPr>
          <w:trHeight w:val="291" w:hRule="atLeast"/>
          <w:tblCellSpacing w:w="0" w:type="dxa"/>
          <w:jc w:val="center"/>
        </w:trPr>
        <w:tc>
          <w:tcPr>
            <w:tcW w:w="9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A0F366">
            <w:pPr>
              <w:pStyle w:val="30"/>
              <w:spacing w:beforeAutospacing="0" w:afterAutospacing="0" w:line="360" w:lineRule="auto"/>
              <w:jc w:val="center"/>
              <w:rPr>
                <w:rFonts w:hint="eastAsia" w:ascii="宋体" w:hAnsi="宋体" w:eastAsiaTheme="minorEastAsia" w:cstheme="minorBidi"/>
                <w:color w:val="auto"/>
                <w:sz w:val="24"/>
                <w:szCs w:val="24"/>
                <w:highlight w:val="none"/>
                <w:lang w:val="en-US" w:eastAsia="zh-CN" w:bidi="ar-SA"/>
              </w:rPr>
            </w:pPr>
            <w:r>
              <w:rPr>
                <w:rFonts w:hint="eastAsia" w:ascii="宋体" w:hAnsi="宋体" w:cstheme="minorBidi"/>
                <w:color w:val="auto"/>
                <w:sz w:val="24"/>
                <w:szCs w:val="24"/>
                <w:highlight w:val="none"/>
                <w:lang w:val="en-US" w:eastAsia="zh-CN" w:bidi="ar-SA"/>
              </w:rPr>
              <w:t>1</w:t>
            </w:r>
          </w:p>
        </w:tc>
        <w:tc>
          <w:tcPr>
            <w:tcW w:w="33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72EEB5">
            <w:pPr>
              <w:pStyle w:val="30"/>
              <w:spacing w:beforeAutospacing="0" w:afterAutospacing="0" w:line="360" w:lineRule="auto"/>
              <w:jc w:val="center"/>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渔政执法船采购燃油项目</w:t>
            </w:r>
          </w:p>
        </w:tc>
        <w:tc>
          <w:tcPr>
            <w:tcW w:w="285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AFAE58">
            <w:pPr>
              <w:pStyle w:val="30"/>
              <w:spacing w:beforeAutospacing="0" w:afterAutospacing="0" w:line="360" w:lineRule="auto"/>
              <w:jc w:val="center"/>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工业</w:t>
            </w:r>
          </w:p>
        </w:tc>
      </w:tr>
    </w:tbl>
    <w:p w14:paraId="2EDCDD1A">
      <w:pPr>
        <w:pStyle w:val="30"/>
        <w:spacing w:beforeAutospacing="0" w:afterAutospacing="0"/>
        <w:jc w:val="both"/>
        <w:rPr>
          <w:rFonts w:hint="eastAsia" w:ascii="宋体" w:hAnsi="宋体" w:eastAsia="宋体" w:cs="宋体"/>
          <w:b/>
          <w:color w:val="auto"/>
          <w:sz w:val="72"/>
          <w:szCs w:val="72"/>
          <w:highlight w:val="yellow"/>
        </w:rPr>
      </w:pPr>
      <w:bookmarkStart w:id="161" w:name="_Toc49090576"/>
      <w:bookmarkEnd w:id="161"/>
      <w:bookmarkStart w:id="162" w:name="_Toc120614282"/>
      <w:bookmarkEnd w:id="162"/>
      <w:bookmarkStart w:id="163" w:name="_Hlt26955039"/>
      <w:bookmarkStart w:id="164" w:name="_Hlt26671244"/>
      <w:bookmarkStart w:id="165" w:name="_Toc26554094"/>
    </w:p>
    <w:p w14:paraId="0ABA0C12">
      <w:pPr>
        <w:pStyle w:val="30"/>
        <w:spacing w:beforeAutospacing="0" w:afterAutospacing="0"/>
        <w:jc w:val="center"/>
        <w:rPr>
          <w:rFonts w:hint="eastAsia" w:ascii="黑体" w:hAnsi="宋体" w:eastAsia="黑体" w:cs="黑体"/>
          <w:color w:val="auto"/>
          <w:sz w:val="44"/>
          <w:szCs w:val="44"/>
          <w:highlight w:val="none"/>
        </w:rPr>
      </w:pPr>
    </w:p>
    <w:p w14:paraId="0F2646B1">
      <w:pPr>
        <w:pStyle w:val="30"/>
        <w:spacing w:beforeAutospacing="0" w:afterAutospacing="0"/>
        <w:jc w:val="center"/>
        <w:rPr>
          <w:rFonts w:hint="eastAsia" w:ascii="黑体" w:hAnsi="宋体" w:eastAsia="黑体" w:cs="黑体"/>
          <w:color w:val="auto"/>
          <w:sz w:val="44"/>
          <w:szCs w:val="44"/>
          <w:highlight w:val="none"/>
        </w:rPr>
      </w:pPr>
    </w:p>
    <w:p w14:paraId="2A79FEE1">
      <w:pPr>
        <w:pStyle w:val="30"/>
        <w:spacing w:beforeAutospacing="0" w:afterAutospacing="0"/>
        <w:jc w:val="center"/>
        <w:rPr>
          <w:rFonts w:hint="eastAsia" w:ascii="黑体" w:hAnsi="宋体" w:eastAsia="黑体" w:cs="黑体"/>
          <w:color w:val="auto"/>
          <w:sz w:val="44"/>
          <w:szCs w:val="44"/>
          <w:highlight w:val="none"/>
        </w:rPr>
      </w:pPr>
    </w:p>
    <w:p w14:paraId="4B360568">
      <w:pPr>
        <w:pStyle w:val="30"/>
        <w:spacing w:beforeAutospacing="0" w:afterAutospacing="0"/>
        <w:jc w:val="center"/>
        <w:rPr>
          <w:rFonts w:hint="eastAsia" w:ascii="黑体" w:hAnsi="宋体" w:eastAsia="黑体" w:cs="黑体"/>
          <w:color w:val="auto"/>
          <w:sz w:val="44"/>
          <w:szCs w:val="44"/>
          <w:highlight w:val="none"/>
        </w:rPr>
      </w:pPr>
    </w:p>
    <w:p w14:paraId="58157D3E">
      <w:pPr>
        <w:pStyle w:val="30"/>
        <w:spacing w:beforeAutospacing="0" w:afterAutospacing="0"/>
        <w:jc w:val="center"/>
        <w:rPr>
          <w:rFonts w:hint="eastAsia" w:ascii="黑体" w:hAnsi="宋体" w:eastAsia="黑体" w:cs="黑体"/>
          <w:color w:val="auto"/>
          <w:sz w:val="44"/>
          <w:szCs w:val="44"/>
          <w:highlight w:val="none"/>
        </w:rPr>
      </w:pPr>
    </w:p>
    <w:p w14:paraId="046E8F1D">
      <w:pPr>
        <w:pStyle w:val="30"/>
        <w:spacing w:beforeAutospacing="0" w:afterAutospacing="0"/>
        <w:jc w:val="center"/>
        <w:rPr>
          <w:rFonts w:hint="eastAsia" w:ascii="黑体" w:hAnsi="宋体" w:eastAsia="黑体" w:cs="黑体"/>
          <w:color w:val="auto"/>
          <w:sz w:val="44"/>
          <w:szCs w:val="44"/>
          <w:highlight w:val="none"/>
        </w:rPr>
      </w:pPr>
    </w:p>
    <w:p w14:paraId="7EF4063D">
      <w:pPr>
        <w:pStyle w:val="30"/>
        <w:spacing w:beforeAutospacing="0" w:afterAutospacing="0"/>
        <w:jc w:val="center"/>
        <w:rPr>
          <w:rFonts w:hint="eastAsia" w:ascii="黑体" w:hAnsi="宋体" w:eastAsia="黑体" w:cs="黑体"/>
          <w:color w:val="auto"/>
          <w:sz w:val="44"/>
          <w:szCs w:val="44"/>
          <w:highlight w:val="none"/>
        </w:rPr>
      </w:pPr>
    </w:p>
    <w:p w14:paraId="5CE1936E">
      <w:pPr>
        <w:pStyle w:val="30"/>
        <w:spacing w:beforeAutospacing="0" w:afterAutospacing="0"/>
        <w:jc w:val="center"/>
        <w:rPr>
          <w:rFonts w:hint="eastAsia" w:ascii="黑体" w:hAnsi="宋体" w:eastAsia="黑体" w:cs="黑体"/>
          <w:color w:val="auto"/>
          <w:sz w:val="44"/>
          <w:szCs w:val="44"/>
          <w:highlight w:val="none"/>
        </w:rPr>
      </w:pPr>
    </w:p>
    <w:p w14:paraId="56910736">
      <w:pPr>
        <w:pStyle w:val="30"/>
        <w:spacing w:beforeAutospacing="0" w:afterAutospacing="0"/>
        <w:jc w:val="center"/>
        <w:rPr>
          <w:color w:val="auto"/>
          <w:highlight w:val="none"/>
        </w:rPr>
      </w:pPr>
      <w:r>
        <w:rPr>
          <w:rFonts w:hint="eastAsia" w:ascii="黑体" w:hAnsi="宋体" w:eastAsia="黑体" w:cs="黑体"/>
          <w:color w:val="auto"/>
          <w:sz w:val="44"/>
          <w:szCs w:val="44"/>
          <w:highlight w:val="none"/>
        </w:rPr>
        <w:t>第五章  响应文件格式</w:t>
      </w:r>
      <w:r>
        <w:rPr>
          <w:rFonts w:hint="eastAsia" w:ascii="宋体" w:hAnsi="宋体" w:eastAsia="宋体" w:cs="宋体"/>
          <w:b/>
          <w:color w:val="auto"/>
          <w:sz w:val="72"/>
          <w:szCs w:val="72"/>
          <w:highlight w:val="none"/>
        </w:rPr>
        <w:t>响  应  文  件</w:t>
      </w:r>
    </w:p>
    <w:p w14:paraId="3CC4092C">
      <w:pPr>
        <w:pStyle w:val="30"/>
        <w:spacing w:beforeAutospacing="0" w:afterAutospacing="0"/>
        <w:jc w:val="center"/>
        <w:rPr>
          <w:color w:val="auto"/>
          <w:highlight w:val="none"/>
        </w:rPr>
      </w:pPr>
      <w:r>
        <w:rPr>
          <w:color w:val="auto"/>
          <w:highlight w:val="none"/>
        </w:rPr>
        <w:t> </w:t>
      </w:r>
    </w:p>
    <w:p w14:paraId="3B5BDF15">
      <w:pPr>
        <w:pStyle w:val="30"/>
        <w:spacing w:beforeAutospacing="0" w:afterAutospacing="0"/>
        <w:jc w:val="center"/>
        <w:rPr>
          <w:color w:val="auto"/>
          <w:highlight w:val="none"/>
        </w:rPr>
      </w:pPr>
      <w:r>
        <w:rPr>
          <w:color w:val="auto"/>
          <w:highlight w:val="none"/>
        </w:rPr>
        <w:t> </w:t>
      </w:r>
    </w:p>
    <w:p w14:paraId="62FF9EF7">
      <w:pPr>
        <w:pStyle w:val="30"/>
        <w:spacing w:beforeAutospacing="0" w:afterAutospacing="0"/>
        <w:jc w:val="center"/>
        <w:rPr>
          <w:color w:val="auto"/>
          <w:highlight w:val="none"/>
        </w:rPr>
      </w:pPr>
      <w:r>
        <w:rPr>
          <w:color w:val="auto"/>
          <w:highlight w:val="none"/>
        </w:rPr>
        <w:t> </w:t>
      </w:r>
    </w:p>
    <w:p w14:paraId="51BF572C">
      <w:pPr>
        <w:pStyle w:val="30"/>
        <w:spacing w:beforeAutospacing="0" w:afterAutospacing="0"/>
        <w:jc w:val="center"/>
        <w:rPr>
          <w:color w:val="auto"/>
          <w:highlight w:val="none"/>
        </w:rPr>
      </w:pPr>
      <w:r>
        <w:rPr>
          <w:color w:val="auto"/>
          <w:highlight w:val="none"/>
        </w:rPr>
        <w:t> </w:t>
      </w:r>
    </w:p>
    <w:p w14:paraId="4D9A7E93">
      <w:pPr>
        <w:pStyle w:val="30"/>
        <w:spacing w:beforeAutospacing="0" w:afterAutospacing="0"/>
        <w:jc w:val="center"/>
        <w:rPr>
          <w:color w:val="auto"/>
          <w:highlight w:val="none"/>
        </w:rPr>
      </w:pPr>
      <w:r>
        <w:rPr>
          <w:color w:val="auto"/>
          <w:highlight w:val="none"/>
        </w:rPr>
        <w:t> </w:t>
      </w:r>
    </w:p>
    <w:p w14:paraId="4BF75555">
      <w:pPr>
        <w:pStyle w:val="30"/>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 名 称：</w:t>
      </w:r>
      <w:r>
        <w:rPr>
          <w:rFonts w:hint="eastAsia" w:ascii="宋体" w:hAnsi="宋体" w:eastAsia="宋体" w:cs="宋体"/>
          <w:b/>
          <w:color w:val="auto"/>
          <w:sz w:val="36"/>
          <w:szCs w:val="36"/>
          <w:highlight w:val="none"/>
          <w:u w:val="single"/>
        </w:rPr>
        <w:t xml:space="preserve">            </w:t>
      </w:r>
    </w:p>
    <w:p w14:paraId="581D4CCD">
      <w:pPr>
        <w:pStyle w:val="30"/>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 编 号：</w:t>
      </w:r>
      <w:r>
        <w:rPr>
          <w:rFonts w:hint="eastAsia" w:ascii="宋体" w:hAnsi="宋体" w:eastAsia="宋体" w:cs="宋体"/>
          <w:b/>
          <w:color w:val="auto"/>
          <w:sz w:val="36"/>
          <w:szCs w:val="36"/>
          <w:highlight w:val="none"/>
          <w:u w:val="single"/>
        </w:rPr>
        <w:t xml:space="preserve">            </w:t>
      </w:r>
    </w:p>
    <w:p w14:paraId="3AC5E9B8">
      <w:pPr>
        <w:pStyle w:val="30"/>
        <w:spacing w:beforeAutospacing="0" w:afterAutospacing="0"/>
        <w:jc w:val="both"/>
        <w:rPr>
          <w:color w:val="auto"/>
          <w:highlight w:val="none"/>
        </w:rPr>
      </w:pPr>
      <w:r>
        <w:rPr>
          <w:rFonts w:hint="eastAsia" w:ascii="宋体" w:hAnsi="宋体" w:eastAsia="宋体" w:cs="宋体"/>
          <w:b/>
          <w:color w:val="auto"/>
          <w:sz w:val="36"/>
          <w:szCs w:val="36"/>
          <w:highlight w:val="none"/>
        </w:rPr>
        <w:t>   供应商名称 ：</w:t>
      </w:r>
      <w:r>
        <w:rPr>
          <w:rFonts w:hint="eastAsia" w:ascii="宋体" w:hAnsi="宋体" w:eastAsia="宋体" w:cs="宋体"/>
          <w:b/>
          <w:color w:val="auto"/>
          <w:sz w:val="36"/>
          <w:szCs w:val="36"/>
          <w:highlight w:val="none"/>
          <w:u w:val="single"/>
        </w:rPr>
        <w:t>（加盖CA电子公章）</w:t>
      </w:r>
    </w:p>
    <w:p w14:paraId="1AF830F3">
      <w:pPr>
        <w:pStyle w:val="30"/>
        <w:spacing w:beforeAutospacing="0" w:afterAutospacing="0"/>
        <w:jc w:val="both"/>
        <w:rPr>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xml:space="preserve">                    </w:t>
      </w:r>
    </w:p>
    <w:p w14:paraId="7EA184E2">
      <w:pPr>
        <w:pStyle w:val="30"/>
        <w:spacing w:beforeAutospacing="0" w:afterAutospacing="0" w:line="0" w:lineRule="atLeast"/>
        <w:jc w:val="center"/>
        <w:rPr>
          <w:color w:val="auto"/>
          <w:highlight w:val="none"/>
        </w:rPr>
      </w:pPr>
    </w:p>
    <w:p w14:paraId="555E9BD4">
      <w:pPr>
        <w:pStyle w:val="30"/>
        <w:spacing w:beforeAutospacing="0" w:afterAutospacing="0" w:line="0" w:lineRule="atLeast"/>
        <w:jc w:val="center"/>
        <w:rPr>
          <w:color w:val="auto"/>
          <w:highlight w:val="none"/>
        </w:rPr>
      </w:pPr>
    </w:p>
    <w:p w14:paraId="501E557C">
      <w:pPr>
        <w:pStyle w:val="30"/>
        <w:spacing w:beforeAutospacing="0" w:afterAutospacing="0" w:line="0" w:lineRule="atLeast"/>
        <w:jc w:val="center"/>
        <w:rPr>
          <w:color w:val="auto"/>
          <w:highlight w:val="none"/>
        </w:rPr>
      </w:pPr>
    </w:p>
    <w:p w14:paraId="51916B62">
      <w:pPr>
        <w:pStyle w:val="30"/>
        <w:spacing w:beforeAutospacing="0" w:afterAutospacing="0" w:line="0" w:lineRule="atLeast"/>
        <w:jc w:val="center"/>
        <w:rPr>
          <w:color w:val="auto"/>
          <w:highlight w:val="none"/>
        </w:rPr>
      </w:pPr>
    </w:p>
    <w:p w14:paraId="23B25BD5">
      <w:pPr>
        <w:pStyle w:val="30"/>
        <w:spacing w:beforeAutospacing="0" w:afterAutospacing="0" w:line="0" w:lineRule="atLeast"/>
        <w:jc w:val="center"/>
        <w:rPr>
          <w:color w:val="auto"/>
          <w:highlight w:val="none"/>
        </w:rPr>
      </w:pPr>
    </w:p>
    <w:p w14:paraId="61D33C72">
      <w:pPr>
        <w:pStyle w:val="30"/>
        <w:spacing w:beforeAutospacing="0" w:afterAutospacing="0" w:line="0" w:lineRule="atLeast"/>
        <w:jc w:val="center"/>
        <w:rPr>
          <w:color w:val="auto"/>
          <w:highlight w:val="none"/>
        </w:rPr>
      </w:pPr>
    </w:p>
    <w:p w14:paraId="335A6C76">
      <w:pPr>
        <w:pStyle w:val="30"/>
        <w:spacing w:beforeAutospacing="0" w:afterAutospacing="0" w:line="0" w:lineRule="atLeast"/>
        <w:jc w:val="center"/>
        <w:rPr>
          <w:color w:val="auto"/>
          <w:highlight w:val="none"/>
        </w:rPr>
      </w:pPr>
    </w:p>
    <w:p w14:paraId="682FD480">
      <w:pPr>
        <w:pStyle w:val="30"/>
        <w:spacing w:beforeAutospacing="0" w:afterAutospacing="0" w:line="0" w:lineRule="atLeast"/>
        <w:jc w:val="center"/>
        <w:rPr>
          <w:color w:val="auto"/>
          <w:highlight w:val="none"/>
        </w:rPr>
      </w:pPr>
    </w:p>
    <w:p w14:paraId="396594AD">
      <w:pPr>
        <w:pStyle w:val="30"/>
        <w:spacing w:beforeAutospacing="0" w:afterAutospacing="0" w:line="0" w:lineRule="atLeast"/>
        <w:jc w:val="center"/>
        <w:rPr>
          <w:color w:val="auto"/>
          <w:highlight w:val="none"/>
        </w:rPr>
      </w:pPr>
    </w:p>
    <w:p w14:paraId="25EFD92B">
      <w:pPr>
        <w:pStyle w:val="30"/>
        <w:spacing w:beforeAutospacing="0" w:afterAutospacing="0" w:line="0" w:lineRule="atLeast"/>
        <w:jc w:val="center"/>
        <w:rPr>
          <w:color w:val="auto"/>
          <w:highlight w:val="none"/>
        </w:rPr>
      </w:pPr>
    </w:p>
    <w:p w14:paraId="6D566BA7">
      <w:pPr>
        <w:pStyle w:val="30"/>
        <w:spacing w:beforeAutospacing="0" w:afterAutospacing="0" w:line="0" w:lineRule="atLeast"/>
        <w:jc w:val="center"/>
        <w:rPr>
          <w:color w:val="auto"/>
          <w:highlight w:val="none"/>
        </w:rPr>
      </w:pPr>
    </w:p>
    <w:p w14:paraId="19F1D5B9">
      <w:pPr>
        <w:pStyle w:val="30"/>
        <w:spacing w:beforeAutospacing="0" w:afterAutospacing="0" w:line="0" w:lineRule="atLeast"/>
        <w:jc w:val="center"/>
        <w:rPr>
          <w:color w:val="auto"/>
          <w:highlight w:val="none"/>
        </w:rPr>
      </w:pPr>
    </w:p>
    <w:p w14:paraId="34DD0264">
      <w:pPr>
        <w:pStyle w:val="30"/>
        <w:spacing w:beforeAutospacing="0" w:afterAutospacing="0" w:line="0" w:lineRule="atLeast"/>
        <w:jc w:val="center"/>
        <w:rPr>
          <w:color w:val="auto"/>
          <w:highlight w:val="none"/>
        </w:rPr>
      </w:pPr>
    </w:p>
    <w:p w14:paraId="17F1EAB1">
      <w:pPr>
        <w:pStyle w:val="30"/>
        <w:spacing w:beforeAutospacing="0" w:afterAutospacing="0" w:line="0" w:lineRule="atLeast"/>
        <w:jc w:val="center"/>
        <w:rPr>
          <w:color w:val="auto"/>
          <w:highlight w:val="none"/>
        </w:rPr>
      </w:pPr>
    </w:p>
    <w:p w14:paraId="36F47713">
      <w:pPr>
        <w:pStyle w:val="30"/>
        <w:spacing w:beforeAutospacing="0" w:afterAutospacing="0" w:line="0" w:lineRule="atLeast"/>
        <w:jc w:val="center"/>
        <w:rPr>
          <w:color w:val="auto"/>
          <w:highlight w:val="none"/>
        </w:rPr>
      </w:pPr>
    </w:p>
    <w:p w14:paraId="24D5B9AA">
      <w:pPr>
        <w:pStyle w:val="30"/>
        <w:spacing w:beforeAutospacing="0" w:afterAutospacing="0" w:line="0" w:lineRule="atLeast"/>
        <w:jc w:val="center"/>
        <w:rPr>
          <w:color w:val="auto"/>
          <w:highlight w:val="none"/>
        </w:rPr>
      </w:pPr>
    </w:p>
    <w:p w14:paraId="35FC833B">
      <w:pPr>
        <w:pStyle w:val="30"/>
        <w:spacing w:beforeAutospacing="0" w:afterAutospacing="0" w:line="0" w:lineRule="atLeast"/>
        <w:jc w:val="center"/>
        <w:rPr>
          <w:color w:val="auto"/>
          <w:highlight w:val="none"/>
        </w:rPr>
      </w:pPr>
    </w:p>
    <w:p w14:paraId="66321840">
      <w:pPr>
        <w:pStyle w:val="30"/>
        <w:spacing w:beforeAutospacing="0" w:afterAutospacing="0" w:line="0" w:lineRule="atLeast"/>
        <w:jc w:val="center"/>
        <w:rPr>
          <w:color w:val="auto"/>
          <w:highlight w:val="none"/>
        </w:rPr>
      </w:pPr>
    </w:p>
    <w:p w14:paraId="1F54452F">
      <w:pPr>
        <w:pStyle w:val="30"/>
        <w:spacing w:beforeAutospacing="0" w:afterAutospacing="0" w:line="0" w:lineRule="atLeast"/>
        <w:jc w:val="center"/>
        <w:rPr>
          <w:color w:val="auto"/>
          <w:highlight w:val="none"/>
        </w:rPr>
      </w:pPr>
    </w:p>
    <w:p w14:paraId="56F99E84">
      <w:pPr>
        <w:pStyle w:val="30"/>
        <w:spacing w:beforeAutospacing="0" w:afterAutospacing="0" w:line="0" w:lineRule="atLeast"/>
        <w:jc w:val="center"/>
        <w:rPr>
          <w:color w:val="auto"/>
          <w:highlight w:val="none"/>
        </w:rPr>
      </w:pPr>
    </w:p>
    <w:p w14:paraId="77B8ED6D">
      <w:pPr>
        <w:pStyle w:val="30"/>
        <w:spacing w:beforeAutospacing="0" w:afterAutospacing="0" w:line="0" w:lineRule="atLeast"/>
        <w:jc w:val="center"/>
        <w:rPr>
          <w:color w:val="auto"/>
          <w:highlight w:val="none"/>
        </w:rPr>
      </w:pPr>
    </w:p>
    <w:p w14:paraId="16A3F40A">
      <w:pPr>
        <w:pStyle w:val="30"/>
        <w:spacing w:beforeAutospacing="0" w:afterAutospacing="0" w:line="0" w:lineRule="atLeast"/>
        <w:jc w:val="center"/>
        <w:rPr>
          <w:color w:val="auto"/>
          <w:highlight w:val="none"/>
        </w:rPr>
      </w:pPr>
    </w:p>
    <w:p w14:paraId="69E33F72">
      <w:pPr>
        <w:pStyle w:val="30"/>
        <w:spacing w:beforeAutospacing="0" w:afterAutospacing="0" w:line="0" w:lineRule="atLeast"/>
        <w:jc w:val="center"/>
        <w:rPr>
          <w:color w:val="auto"/>
          <w:highlight w:val="none"/>
        </w:rPr>
      </w:pPr>
    </w:p>
    <w:p w14:paraId="6A79DFEF">
      <w:pPr>
        <w:pStyle w:val="30"/>
        <w:spacing w:beforeAutospacing="0" w:afterAutospacing="0" w:line="0" w:lineRule="atLeast"/>
        <w:jc w:val="center"/>
        <w:rPr>
          <w:color w:val="auto"/>
          <w:highlight w:val="none"/>
        </w:rPr>
      </w:pPr>
    </w:p>
    <w:p w14:paraId="1535CECB">
      <w:pPr>
        <w:pStyle w:val="30"/>
        <w:spacing w:beforeAutospacing="0" w:afterAutospacing="0" w:line="0" w:lineRule="atLeast"/>
        <w:jc w:val="center"/>
        <w:rPr>
          <w:color w:val="auto"/>
          <w:highlight w:val="none"/>
        </w:rPr>
      </w:pPr>
    </w:p>
    <w:p w14:paraId="4F045B6A">
      <w:pPr>
        <w:pStyle w:val="30"/>
        <w:spacing w:beforeAutospacing="0" w:afterAutospacing="0" w:line="0" w:lineRule="atLeast"/>
        <w:jc w:val="center"/>
        <w:rPr>
          <w:color w:val="auto"/>
          <w:highlight w:val="none"/>
        </w:rPr>
      </w:pPr>
    </w:p>
    <w:p w14:paraId="4B7AE493">
      <w:pPr>
        <w:pStyle w:val="30"/>
        <w:spacing w:beforeAutospacing="0" w:afterAutospacing="0" w:line="0" w:lineRule="atLeast"/>
        <w:jc w:val="both"/>
        <w:rPr>
          <w:color w:val="auto"/>
          <w:highlight w:val="none"/>
        </w:rPr>
      </w:pPr>
    </w:p>
    <w:p w14:paraId="68475D43">
      <w:pPr>
        <w:pStyle w:val="30"/>
        <w:spacing w:beforeAutospacing="0" w:afterAutospacing="0" w:line="0" w:lineRule="atLeast"/>
        <w:jc w:val="both"/>
        <w:rPr>
          <w:color w:val="auto"/>
          <w:highlight w:val="none"/>
        </w:rPr>
      </w:pPr>
    </w:p>
    <w:p w14:paraId="6D38A2F2">
      <w:pPr>
        <w:pStyle w:val="30"/>
        <w:spacing w:beforeAutospacing="0" w:afterAutospacing="0" w:line="0" w:lineRule="atLeast"/>
        <w:jc w:val="both"/>
        <w:rPr>
          <w:color w:val="auto"/>
          <w:highlight w:val="none"/>
        </w:rPr>
      </w:pPr>
    </w:p>
    <w:p w14:paraId="3300F027">
      <w:pPr>
        <w:pStyle w:val="30"/>
        <w:spacing w:beforeAutospacing="0" w:afterAutospacing="0" w:line="0" w:lineRule="atLeast"/>
        <w:jc w:val="both"/>
        <w:rPr>
          <w:color w:val="auto"/>
          <w:highlight w:val="none"/>
        </w:rPr>
      </w:pPr>
    </w:p>
    <w:p w14:paraId="43D55548">
      <w:pPr>
        <w:pStyle w:val="30"/>
        <w:spacing w:beforeAutospacing="0" w:afterAutospacing="0" w:line="0" w:lineRule="atLeast"/>
        <w:jc w:val="center"/>
        <w:rPr>
          <w:color w:val="auto"/>
          <w:highlight w:val="none"/>
        </w:rPr>
      </w:pPr>
      <w:r>
        <w:rPr>
          <w:rFonts w:hint="eastAsia" w:ascii="宋体" w:hAnsi="宋体" w:eastAsia="宋体" w:cs="宋体"/>
          <w:b/>
          <w:color w:val="auto"/>
          <w:sz w:val="32"/>
          <w:szCs w:val="32"/>
          <w:highlight w:val="none"/>
        </w:rPr>
        <w:t>响应文件目录</w:t>
      </w:r>
    </w:p>
    <w:p w14:paraId="7254EE5A">
      <w:pPr>
        <w:pStyle w:val="30"/>
        <w:spacing w:beforeAutospacing="0" w:afterAutospacing="0" w:line="0" w:lineRule="atLeast"/>
        <w:jc w:val="center"/>
        <w:rPr>
          <w:color w:val="auto"/>
          <w:highlight w:val="none"/>
        </w:rPr>
      </w:pPr>
      <w:r>
        <w:rPr>
          <w:color w:val="auto"/>
          <w:highlight w:val="none"/>
        </w:rPr>
        <w:t> </w:t>
      </w:r>
    </w:p>
    <w:p w14:paraId="21D52C47">
      <w:pPr>
        <w:pStyle w:val="30"/>
        <w:spacing w:beforeAutospacing="0" w:afterAutospacing="0"/>
        <w:ind w:left="480"/>
        <w:jc w:val="both"/>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一、法人或者其他组织的营业执照等证明文件，自然人的身份证明</w:t>
      </w:r>
    </w:p>
    <w:p w14:paraId="27F0E3E7">
      <w:pPr>
        <w:tabs>
          <w:tab w:val="left" w:pos="1331"/>
        </w:tabs>
        <w:ind w:firstLine="480"/>
        <w:jc w:val="left"/>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二、上一年度的财务状况报告（至少提供资产负债表、利润表、现金流量表，</w:t>
      </w:r>
    </w:p>
    <w:p w14:paraId="6D5E0AE6">
      <w:pPr>
        <w:pStyle w:val="30"/>
        <w:spacing w:beforeAutospacing="0" w:afterAutospacing="0"/>
        <w:ind w:left="480"/>
        <w:jc w:val="both"/>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谈判供应商成立不满一年无需提供）</w:t>
      </w:r>
    </w:p>
    <w:p w14:paraId="22458245">
      <w:pPr>
        <w:pStyle w:val="30"/>
        <w:numPr>
          <w:ilvl w:val="0"/>
          <w:numId w:val="10"/>
        </w:numPr>
        <w:spacing w:beforeAutospacing="0" w:afterAutospacing="0"/>
        <w:ind w:left="480"/>
        <w:jc w:val="both"/>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具备履行合同所必需的设备和专业技术能力的书面声明</w:t>
      </w:r>
    </w:p>
    <w:p w14:paraId="0BF1F7C0">
      <w:pPr>
        <w:pStyle w:val="30"/>
        <w:numPr>
          <w:ilvl w:val="0"/>
          <w:numId w:val="0"/>
        </w:numPr>
        <w:spacing w:beforeAutospacing="0" w:afterAutospacing="0"/>
        <w:ind w:firstLine="480"/>
        <w:jc w:val="both"/>
        <w:rPr>
          <w:i w:val="0"/>
          <w:iCs/>
          <w:color w:val="auto"/>
          <w:highlight w:val="none"/>
          <w:u w:val="none"/>
        </w:rPr>
      </w:pPr>
      <w:r>
        <w:rPr>
          <w:rFonts w:hint="eastAsia" w:ascii="宋体" w:hAnsi="宋体" w:eastAsia="宋体" w:cs="宋体"/>
          <w:i w:val="0"/>
          <w:iCs/>
          <w:color w:val="auto"/>
          <w:highlight w:val="none"/>
          <w:u w:val="none"/>
          <w:lang w:val="en-US" w:eastAsia="zh-CN"/>
        </w:rPr>
        <w:t>四</w:t>
      </w:r>
      <w:r>
        <w:rPr>
          <w:rFonts w:hint="eastAsia" w:ascii="宋体" w:hAnsi="宋体" w:eastAsia="宋体" w:cs="宋体"/>
          <w:i w:val="0"/>
          <w:iCs/>
          <w:color w:val="auto"/>
          <w:highlight w:val="none"/>
          <w:u w:val="none"/>
        </w:rPr>
        <w:t>、依法缴纳税收和社会保障资金的相关材料（提供提交谈判响应文件截止时间前一年内至少一个月依法缴纳税收及缴纳社会保障资金的证明材料。谈判供应商依法享受缓缴、免缴税收、社会保障资金的提供证明材料。）</w:t>
      </w:r>
    </w:p>
    <w:p w14:paraId="03C10B5A">
      <w:pPr>
        <w:pStyle w:val="30"/>
        <w:spacing w:beforeAutospacing="0" w:afterAutospacing="0" w:line="0" w:lineRule="atLeast"/>
        <w:ind w:firstLine="480"/>
        <w:jc w:val="both"/>
        <w:rPr>
          <w:i w:val="0"/>
          <w:iCs/>
          <w:color w:val="auto"/>
          <w:highlight w:val="none"/>
          <w:u w:val="none"/>
        </w:rPr>
      </w:pPr>
      <w:r>
        <w:rPr>
          <w:rFonts w:hint="eastAsia" w:ascii="宋体" w:hAnsi="宋体" w:eastAsia="宋体" w:cs="宋体"/>
          <w:i w:val="0"/>
          <w:iCs/>
          <w:color w:val="auto"/>
          <w:highlight w:val="none"/>
          <w:u w:val="none"/>
        </w:rPr>
        <w:t>五、参加政府采购活动前 3 年内在经营活动中没有重大违法记录的书面声明</w:t>
      </w:r>
    </w:p>
    <w:p w14:paraId="0DF9D33D">
      <w:pPr>
        <w:pStyle w:val="30"/>
        <w:spacing w:beforeAutospacing="0" w:afterAutospacing="0" w:line="0" w:lineRule="atLeast"/>
        <w:ind w:firstLine="480"/>
        <w:jc w:val="both"/>
        <w:rPr>
          <w:i w:val="0"/>
          <w:iCs/>
          <w:color w:val="auto"/>
          <w:highlight w:val="none"/>
          <w:u w:val="none"/>
        </w:rPr>
      </w:pPr>
      <w:r>
        <w:rPr>
          <w:rFonts w:hint="eastAsia" w:ascii="宋体" w:hAnsi="宋体" w:eastAsia="宋体" w:cs="宋体"/>
          <w:i w:val="0"/>
          <w:iCs/>
          <w:color w:val="auto"/>
          <w:highlight w:val="none"/>
          <w:u w:val="none"/>
        </w:rPr>
        <w:t>六、特定资格要求的证明文件（如果本项目设置特定资格要求，则需要提供）</w:t>
      </w:r>
    </w:p>
    <w:p w14:paraId="497AA6A1">
      <w:pPr>
        <w:pStyle w:val="30"/>
        <w:spacing w:beforeAutospacing="0" w:afterAutospacing="0" w:line="0" w:lineRule="atLeast"/>
        <w:ind w:firstLine="480"/>
        <w:jc w:val="both"/>
        <w:rPr>
          <w:i w:val="0"/>
          <w:iCs/>
          <w:color w:val="auto"/>
          <w:highlight w:val="none"/>
          <w:u w:val="none"/>
        </w:rPr>
      </w:pPr>
      <w:r>
        <w:rPr>
          <w:rFonts w:hint="eastAsia" w:ascii="宋体" w:hAnsi="宋体" w:eastAsia="宋体" w:cs="宋体"/>
          <w:i w:val="0"/>
          <w:iCs/>
          <w:color w:val="auto"/>
          <w:highlight w:val="none"/>
          <w:u w:val="none"/>
        </w:rPr>
        <w:t>七、法人授权书</w:t>
      </w:r>
    </w:p>
    <w:p w14:paraId="1000A343">
      <w:pPr>
        <w:pStyle w:val="30"/>
        <w:spacing w:beforeAutospacing="0" w:afterAutospacing="0" w:line="0" w:lineRule="atLeast"/>
        <w:ind w:firstLine="480"/>
        <w:jc w:val="both"/>
        <w:rPr>
          <w:i w:val="0"/>
          <w:iCs/>
          <w:color w:val="auto"/>
          <w:highlight w:val="none"/>
        </w:rPr>
      </w:pPr>
      <w:r>
        <w:rPr>
          <w:rFonts w:hint="eastAsia" w:ascii="宋体" w:hAnsi="宋体" w:eastAsia="宋体" w:cs="宋体"/>
          <w:i w:val="0"/>
          <w:iCs/>
          <w:color w:val="auto"/>
          <w:highlight w:val="none"/>
          <w:u w:val="none"/>
        </w:rPr>
        <w:t>八、谈判响应函</w:t>
      </w:r>
    </w:p>
    <w:p w14:paraId="2771334B">
      <w:pPr>
        <w:pStyle w:val="30"/>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九、</w:t>
      </w:r>
      <w:r>
        <w:rPr>
          <w:rFonts w:hint="eastAsia" w:ascii="宋体" w:hAnsi="宋体" w:eastAsia="宋体" w:cs="宋体"/>
          <w:color w:val="auto"/>
          <w:highlight w:val="none"/>
          <w:lang w:val="en-US" w:eastAsia="zh-CN"/>
        </w:rPr>
        <w:t>中小</w:t>
      </w:r>
      <w:r>
        <w:rPr>
          <w:rFonts w:hint="eastAsia" w:ascii="宋体" w:hAnsi="宋体" w:eastAsia="宋体" w:cs="宋体"/>
          <w:color w:val="auto"/>
          <w:highlight w:val="none"/>
        </w:rPr>
        <w:t>企业声明函</w:t>
      </w:r>
    </w:p>
    <w:p w14:paraId="21267A9F">
      <w:pPr>
        <w:pStyle w:val="30"/>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十、残疾人福利性单位声明函</w:t>
      </w:r>
    </w:p>
    <w:p w14:paraId="6AC11921">
      <w:pPr>
        <w:pStyle w:val="30"/>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i w:val="0"/>
          <w:iCs/>
          <w:color w:val="auto"/>
          <w:highlight w:val="none"/>
          <w:u w:val="none"/>
          <w:lang w:val="en-US" w:eastAsia="zh-CN"/>
        </w:rPr>
        <w:t>十一、</w:t>
      </w:r>
      <w:r>
        <w:rPr>
          <w:rFonts w:hint="eastAsia" w:ascii="宋体" w:hAnsi="宋体" w:eastAsia="宋体" w:cs="宋体"/>
          <w:i w:val="0"/>
          <w:iCs/>
          <w:color w:val="auto"/>
          <w:highlight w:val="none"/>
          <w:u w:val="none"/>
        </w:rPr>
        <w:t xml:space="preserve"> 关于符合本国产品标准的声明函</w:t>
      </w:r>
    </w:p>
    <w:p w14:paraId="2A40A4EA">
      <w:pPr>
        <w:pStyle w:val="30"/>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二</w:t>
      </w:r>
      <w:r>
        <w:rPr>
          <w:rFonts w:hint="eastAsia" w:ascii="宋体" w:hAnsi="宋体" w:eastAsia="宋体" w:cs="宋体"/>
          <w:color w:val="auto"/>
          <w:highlight w:val="none"/>
        </w:rPr>
        <w:t>、联合体协议</w:t>
      </w:r>
    </w:p>
    <w:p w14:paraId="46EFFFA6">
      <w:pPr>
        <w:pStyle w:val="30"/>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三</w:t>
      </w:r>
      <w:r>
        <w:rPr>
          <w:rFonts w:hint="eastAsia" w:ascii="宋体" w:hAnsi="宋体" w:eastAsia="宋体" w:cs="宋体"/>
          <w:color w:val="auto"/>
          <w:highlight w:val="none"/>
        </w:rPr>
        <w:t>、分项报价表</w:t>
      </w:r>
    </w:p>
    <w:p w14:paraId="27125DE0">
      <w:pPr>
        <w:pStyle w:val="30"/>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四</w:t>
      </w:r>
      <w:r>
        <w:rPr>
          <w:rFonts w:hint="eastAsia" w:ascii="宋体" w:hAnsi="宋体" w:eastAsia="宋体" w:cs="宋体"/>
          <w:color w:val="auto"/>
          <w:highlight w:val="none"/>
        </w:rPr>
        <w:t>、技术要求响应及偏离表</w:t>
      </w:r>
    </w:p>
    <w:p w14:paraId="35F8B3AE">
      <w:pPr>
        <w:pStyle w:val="30"/>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五</w:t>
      </w:r>
      <w:r>
        <w:rPr>
          <w:rFonts w:hint="eastAsia" w:ascii="宋体" w:hAnsi="宋体" w:eastAsia="宋体" w:cs="宋体"/>
          <w:color w:val="auto"/>
          <w:highlight w:val="none"/>
        </w:rPr>
        <w:t>、商务要求响应及偏离表</w:t>
      </w:r>
    </w:p>
    <w:p w14:paraId="4B29D034">
      <w:pPr>
        <w:pStyle w:val="30"/>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六</w:t>
      </w:r>
      <w:r>
        <w:rPr>
          <w:rFonts w:hint="eastAsia" w:ascii="宋体" w:hAnsi="宋体" w:eastAsia="宋体" w:cs="宋体"/>
          <w:color w:val="auto"/>
          <w:highlight w:val="none"/>
        </w:rPr>
        <w:t>、开标一览表</w:t>
      </w:r>
    </w:p>
    <w:p w14:paraId="0C8C6480">
      <w:pPr>
        <w:widowControl/>
        <w:spacing w:before="50" w:after="50"/>
        <w:ind w:firstLine="420"/>
        <w:rPr>
          <w:rFonts w:ascii="宋体" w:hAnsi="宋体" w:eastAsia="宋体" w:cs="宋体"/>
          <w:color w:val="auto"/>
          <w:sz w:val="24"/>
          <w:highlight w:val="none"/>
        </w:rPr>
      </w:pPr>
      <w:r>
        <w:rPr>
          <w:color w:val="auto"/>
          <w:highlight w:val="none"/>
        </w:rPr>
        <w:t> </w:t>
      </w:r>
      <w:r>
        <w:rPr>
          <w:rFonts w:hint="eastAsia" w:ascii="宋体" w:hAnsi="宋体" w:eastAsia="宋体" w:cs="宋体"/>
          <w:color w:val="auto"/>
          <w:sz w:val="24"/>
          <w:highlight w:val="none"/>
        </w:rPr>
        <w:t>十</w:t>
      </w:r>
      <w:r>
        <w:rPr>
          <w:rFonts w:hint="eastAsia" w:ascii="宋体" w:hAnsi="宋体" w:eastAsia="宋体" w:cs="宋体"/>
          <w:color w:val="auto"/>
          <w:highlight w:val="none"/>
          <w:lang w:val="en-US" w:eastAsia="zh-CN"/>
        </w:rPr>
        <w:t>七</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供应商认为需要提供的其他材料</w:t>
      </w:r>
    </w:p>
    <w:p w14:paraId="3A1599FD">
      <w:pPr>
        <w:pStyle w:val="3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八</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响水县</w:t>
      </w:r>
      <w:r>
        <w:rPr>
          <w:rFonts w:hint="eastAsia" w:ascii="宋体" w:hAnsi="宋体" w:eastAsia="宋体" w:cs="宋体"/>
          <w:color w:val="auto"/>
          <w:highlight w:val="none"/>
        </w:rPr>
        <w:t>政府采购事前信用承诺书</w:t>
      </w:r>
    </w:p>
    <w:p w14:paraId="37390280">
      <w:pPr>
        <w:pStyle w:val="30"/>
        <w:spacing w:beforeAutospacing="0" w:afterAutospacing="0" w:line="0" w:lineRule="atLeast"/>
        <w:ind w:firstLine="480"/>
        <w:jc w:val="both"/>
        <w:rPr>
          <w:color w:val="auto"/>
          <w:highlight w:val="none"/>
        </w:rPr>
      </w:pPr>
    </w:p>
    <w:p w14:paraId="6B5FBBC7">
      <w:pPr>
        <w:pStyle w:val="30"/>
        <w:spacing w:beforeAutospacing="0" w:afterAutospacing="0" w:line="0" w:lineRule="atLeast"/>
        <w:ind w:firstLine="480"/>
        <w:jc w:val="both"/>
        <w:rPr>
          <w:color w:val="auto"/>
          <w:highlight w:val="none"/>
        </w:rPr>
      </w:pPr>
    </w:p>
    <w:p w14:paraId="49ED393B">
      <w:pPr>
        <w:pStyle w:val="30"/>
        <w:spacing w:beforeAutospacing="0" w:afterAutospacing="0" w:line="0" w:lineRule="atLeast"/>
        <w:ind w:firstLine="480"/>
        <w:jc w:val="both"/>
        <w:rPr>
          <w:color w:val="auto"/>
          <w:highlight w:val="none"/>
        </w:rPr>
      </w:pPr>
    </w:p>
    <w:p w14:paraId="10ACB2CE">
      <w:pPr>
        <w:pStyle w:val="30"/>
        <w:spacing w:beforeAutospacing="0" w:afterAutospacing="0" w:line="0" w:lineRule="atLeast"/>
        <w:ind w:firstLine="480"/>
        <w:jc w:val="both"/>
        <w:rPr>
          <w:color w:val="auto"/>
          <w:highlight w:val="none"/>
        </w:rPr>
      </w:pPr>
    </w:p>
    <w:p w14:paraId="398D274E">
      <w:pPr>
        <w:pStyle w:val="30"/>
        <w:spacing w:beforeAutospacing="0" w:afterAutospacing="0" w:line="0" w:lineRule="atLeast"/>
        <w:ind w:firstLine="480"/>
        <w:jc w:val="both"/>
        <w:rPr>
          <w:color w:val="auto"/>
          <w:highlight w:val="none"/>
        </w:rPr>
      </w:pPr>
    </w:p>
    <w:p w14:paraId="3E0538F7">
      <w:pPr>
        <w:pStyle w:val="30"/>
        <w:spacing w:beforeAutospacing="0" w:afterAutospacing="0" w:line="0" w:lineRule="atLeast"/>
        <w:ind w:firstLine="480"/>
        <w:jc w:val="both"/>
        <w:rPr>
          <w:color w:val="auto"/>
          <w:highlight w:val="none"/>
        </w:rPr>
      </w:pPr>
    </w:p>
    <w:p w14:paraId="6F6B8BA0">
      <w:pPr>
        <w:pStyle w:val="30"/>
        <w:spacing w:beforeAutospacing="0" w:afterAutospacing="0" w:line="0" w:lineRule="atLeast"/>
        <w:ind w:firstLine="480"/>
        <w:jc w:val="both"/>
        <w:rPr>
          <w:color w:val="auto"/>
          <w:highlight w:val="none"/>
        </w:rPr>
      </w:pPr>
    </w:p>
    <w:p w14:paraId="3B3A45D8">
      <w:pPr>
        <w:pStyle w:val="30"/>
        <w:spacing w:beforeAutospacing="0" w:afterAutospacing="0" w:line="0" w:lineRule="atLeast"/>
        <w:ind w:firstLine="480"/>
        <w:jc w:val="both"/>
        <w:rPr>
          <w:color w:val="auto"/>
          <w:highlight w:val="none"/>
        </w:rPr>
      </w:pPr>
    </w:p>
    <w:p w14:paraId="352B6FF5">
      <w:pPr>
        <w:pStyle w:val="30"/>
        <w:spacing w:beforeAutospacing="0" w:afterAutospacing="0" w:line="0" w:lineRule="atLeast"/>
        <w:ind w:firstLine="480"/>
        <w:jc w:val="both"/>
        <w:rPr>
          <w:color w:val="auto"/>
          <w:highlight w:val="none"/>
        </w:rPr>
      </w:pPr>
    </w:p>
    <w:p w14:paraId="32FA0259">
      <w:pPr>
        <w:pStyle w:val="30"/>
        <w:spacing w:beforeAutospacing="0" w:afterAutospacing="0" w:line="0" w:lineRule="atLeast"/>
        <w:ind w:firstLine="480"/>
        <w:jc w:val="both"/>
        <w:rPr>
          <w:color w:val="auto"/>
          <w:highlight w:val="none"/>
        </w:rPr>
      </w:pPr>
    </w:p>
    <w:p w14:paraId="5964D782">
      <w:pPr>
        <w:pStyle w:val="30"/>
        <w:spacing w:beforeAutospacing="0" w:afterAutospacing="0" w:line="0" w:lineRule="atLeast"/>
        <w:ind w:firstLine="480"/>
        <w:jc w:val="both"/>
        <w:rPr>
          <w:color w:val="auto"/>
          <w:highlight w:val="none"/>
        </w:rPr>
      </w:pPr>
    </w:p>
    <w:p w14:paraId="20702BC7">
      <w:pPr>
        <w:pStyle w:val="30"/>
        <w:spacing w:beforeAutospacing="0" w:afterAutospacing="0" w:line="0" w:lineRule="atLeast"/>
        <w:ind w:firstLine="480"/>
        <w:jc w:val="both"/>
        <w:rPr>
          <w:color w:val="auto"/>
          <w:highlight w:val="none"/>
        </w:rPr>
      </w:pPr>
    </w:p>
    <w:p w14:paraId="596B102D">
      <w:pPr>
        <w:pStyle w:val="30"/>
        <w:spacing w:beforeAutospacing="0" w:afterAutospacing="0" w:line="0" w:lineRule="atLeast"/>
        <w:ind w:firstLine="480"/>
        <w:jc w:val="both"/>
        <w:rPr>
          <w:color w:val="auto"/>
          <w:highlight w:val="none"/>
        </w:rPr>
      </w:pPr>
      <w:r>
        <w:rPr>
          <w:color w:val="auto"/>
          <w:highlight w:val="none"/>
        </w:rPr>
        <w:t> </w:t>
      </w:r>
    </w:p>
    <w:p w14:paraId="53857090">
      <w:pPr>
        <w:pStyle w:val="30"/>
        <w:spacing w:beforeAutospacing="0" w:afterAutospacing="0" w:line="0" w:lineRule="atLeast"/>
        <w:ind w:firstLine="480"/>
        <w:jc w:val="both"/>
        <w:rPr>
          <w:color w:val="auto"/>
          <w:highlight w:val="none"/>
        </w:rPr>
      </w:pPr>
      <w:r>
        <w:rPr>
          <w:color w:val="auto"/>
          <w:highlight w:val="none"/>
        </w:rPr>
        <w:t> </w:t>
      </w:r>
    </w:p>
    <w:p w14:paraId="3D823080">
      <w:pPr>
        <w:pStyle w:val="30"/>
        <w:spacing w:beforeAutospacing="0" w:afterAutospacing="0" w:line="0" w:lineRule="atLeast"/>
        <w:ind w:firstLine="480"/>
        <w:jc w:val="both"/>
        <w:rPr>
          <w:color w:val="auto"/>
          <w:highlight w:val="none"/>
        </w:rPr>
      </w:pPr>
      <w:r>
        <w:rPr>
          <w:color w:val="auto"/>
          <w:highlight w:val="none"/>
        </w:rPr>
        <w:t> </w:t>
      </w:r>
    </w:p>
    <w:p w14:paraId="77A3CDEF">
      <w:pPr>
        <w:pStyle w:val="30"/>
        <w:spacing w:beforeAutospacing="0" w:afterAutospacing="0" w:line="0" w:lineRule="atLeast"/>
        <w:ind w:firstLine="480"/>
        <w:jc w:val="both"/>
        <w:rPr>
          <w:color w:val="auto"/>
          <w:highlight w:val="none"/>
        </w:rPr>
      </w:pPr>
      <w:r>
        <w:rPr>
          <w:color w:val="auto"/>
          <w:highlight w:val="none"/>
        </w:rPr>
        <w:t> </w:t>
      </w:r>
    </w:p>
    <w:p w14:paraId="4B053DC6">
      <w:pPr>
        <w:pStyle w:val="30"/>
        <w:spacing w:beforeAutospacing="0" w:afterAutospacing="0" w:line="0" w:lineRule="atLeast"/>
        <w:ind w:firstLine="480"/>
        <w:jc w:val="both"/>
        <w:rPr>
          <w:color w:val="auto"/>
          <w:highlight w:val="none"/>
        </w:rPr>
      </w:pPr>
      <w:r>
        <w:rPr>
          <w:color w:val="auto"/>
          <w:highlight w:val="none"/>
        </w:rPr>
        <w:t> </w:t>
      </w:r>
    </w:p>
    <w:p w14:paraId="4E3346A5">
      <w:pPr>
        <w:pStyle w:val="30"/>
        <w:spacing w:beforeAutospacing="0" w:afterAutospacing="0" w:line="0" w:lineRule="atLeast"/>
        <w:ind w:firstLine="480"/>
        <w:jc w:val="both"/>
        <w:rPr>
          <w:color w:val="auto"/>
          <w:highlight w:val="none"/>
        </w:rPr>
      </w:pPr>
    </w:p>
    <w:p w14:paraId="118CA2DA">
      <w:pPr>
        <w:pStyle w:val="30"/>
        <w:spacing w:beforeAutospacing="0" w:afterAutospacing="0" w:line="0" w:lineRule="atLeast"/>
        <w:ind w:firstLine="480"/>
        <w:jc w:val="both"/>
        <w:rPr>
          <w:color w:val="auto"/>
          <w:highlight w:val="none"/>
        </w:rPr>
      </w:pPr>
    </w:p>
    <w:p w14:paraId="3F272B74">
      <w:pPr>
        <w:pStyle w:val="30"/>
        <w:spacing w:beforeAutospacing="0" w:afterAutospacing="0" w:line="0" w:lineRule="atLeast"/>
        <w:ind w:firstLine="480"/>
        <w:jc w:val="both"/>
        <w:rPr>
          <w:color w:val="auto"/>
          <w:highlight w:val="none"/>
        </w:rPr>
      </w:pPr>
      <w:r>
        <w:rPr>
          <w:color w:val="auto"/>
          <w:highlight w:val="none"/>
        </w:rPr>
        <w:t> </w:t>
      </w:r>
    </w:p>
    <w:p w14:paraId="63442407">
      <w:pPr>
        <w:pStyle w:val="30"/>
        <w:spacing w:beforeAutospacing="0" w:afterAutospacing="0" w:line="0" w:lineRule="atLeast"/>
        <w:ind w:firstLine="480"/>
        <w:jc w:val="both"/>
        <w:rPr>
          <w:color w:val="auto"/>
          <w:highlight w:val="none"/>
        </w:rPr>
      </w:pPr>
      <w:r>
        <w:rPr>
          <w:color w:val="auto"/>
          <w:highlight w:val="none"/>
        </w:rPr>
        <w:t> </w:t>
      </w:r>
    </w:p>
    <w:p w14:paraId="56F2E3F3">
      <w:pPr>
        <w:pStyle w:val="30"/>
        <w:spacing w:beforeAutospacing="0" w:afterAutospacing="0" w:line="0" w:lineRule="atLeast"/>
        <w:ind w:firstLine="480"/>
        <w:jc w:val="both"/>
        <w:rPr>
          <w:color w:val="auto"/>
          <w:highlight w:val="none"/>
        </w:rPr>
      </w:pPr>
      <w:r>
        <w:rPr>
          <w:color w:val="auto"/>
          <w:highlight w:val="none"/>
        </w:rPr>
        <w:t> </w:t>
      </w:r>
    </w:p>
    <w:p w14:paraId="557D60C3">
      <w:pPr>
        <w:pStyle w:val="30"/>
        <w:spacing w:beforeAutospacing="0" w:afterAutospacing="0" w:line="0" w:lineRule="atLeast"/>
        <w:ind w:firstLine="480"/>
        <w:jc w:val="both"/>
        <w:rPr>
          <w:color w:val="auto"/>
          <w:highlight w:val="none"/>
        </w:rPr>
      </w:pPr>
      <w:r>
        <w:rPr>
          <w:color w:val="auto"/>
          <w:highlight w:val="none"/>
        </w:rPr>
        <w:t> </w:t>
      </w:r>
    </w:p>
    <w:p w14:paraId="6B5F096C">
      <w:pPr>
        <w:pStyle w:val="30"/>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一、法人或者其他组织的营业执照等证明文件，自然人的身份证明</w:t>
      </w:r>
    </w:p>
    <w:p w14:paraId="230D8482">
      <w:pPr>
        <w:pStyle w:val="30"/>
        <w:spacing w:beforeAutospacing="0" w:afterAutospacing="0" w:line="0" w:lineRule="atLeast"/>
        <w:ind w:firstLine="480"/>
        <w:jc w:val="both"/>
        <w:rPr>
          <w:color w:val="auto"/>
          <w:highlight w:val="none"/>
        </w:rPr>
      </w:pPr>
      <w:r>
        <w:rPr>
          <w:color w:val="auto"/>
          <w:highlight w:val="none"/>
        </w:rPr>
        <w:t> </w:t>
      </w:r>
    </w:p>
    <w:p w14:paraId="5C6E8628">
      <w:pPr>
        <w:pStyle w:val="30"/>
        <w:spacing w:beforeAutospacing="0" w:afterAutospacing="0"/>
        <w:jc w:val="both"/>
        <w:rPr>
          <w:rFonts w:hint="eastAsia" w:eastAsia="黑体"/>
          <w:color w:val="auto"/>
          <w:highlight w:val="none"/>
          <w:lang w:eastAsia="zh-CN"/>
        </w:rPr>
      </w:pPr>
      <w:r>
        <w:rPr>
          <w:rFonts w:hint="eastAsia" w:ascii="黑体" w:hAnsi="宋体" w:eastAsia="黑体" w:cs="黑体"/>
          <w:i/>
          <w:color w:val="auto"/>
          <w:sz w:val="32"/>
          <w:szCs w:val="32"/>
          <w:highlight w:val="none"/>
          <w:u w:val="single"/>
        </w:rPr>
        <w:t>二、上一年度的财务状况报</w:t>
      </w:r>
      <w:r>
        <w:rPr>
          <w:rFonts w:hint="eastAsia" w:ascii="黑体" w:hAnsi="宋体" w:eastAsia="黑体" w:cs="黑体"/>
          <w:i/>
          <w:color w:val="auto"/>
          <w:sz w:val="32"/>
          <w:szCs w:val="32"/>
          <w:highlight w:val="none"/>
          <w:u w:val="single"/>
          <w:lang w:val="en-US" w:eastAsia="zh-CN"/>
        </w:rPr>
        <w:t>告</w:t>
      </w:r>
    </w:p>
    <w:p w14:paraId="08C3C6C0">
      <w:pPr>
        <w:pStyle w:val="30"/>
        <w:spacing w:beforeAutospacing="0" w:afterAutospacing="0" w:line="0" w:lineRule="atLeast"/>
        <w:ind w:firstLine="480"/>
        <w:jc w:val="both"/>
        <w:rPr>
          <w:color w:val="auto"/>
          <w:highlight w:val="none"/>
        </w:rPr>
      </w:pPr>
      <w:r>
        <w:rPr>
          <w:rFonts w:hint="eastAsia"/>
          <w:color w:val="auto"/>
          <w:highlight w:val="none"/>
        </w:rPr>
        <w:t>（至少提供资产负债表、利润表、现金流量表，谈判供应商成立不满一年无需提供）</w:t>
      </w:r>
    </w:p>
    <w:p w14:paraId="672B0DCC">
      <w:pPr>
        <w:pStyle w:val="30"/>
        <w:spacing w:beforeAutospacing="0" w:afterAutospacing="0"/>
        <w:jc w:val="both"/>
        <w:rPr>
          <w:color w:val="auto"/>
          <w:highlight w:val="none"/>
        </w:rPr>
      </w:pPr>
      <w:r>
        <w:rPr>
          <w:color w:val="auto"/>
          <w:highlight w:val="none"/>
        </w:rPr>
        <w:t> </w:t>
      </w:r>
    </w:p>
    <w:p w14:paraId="7303F553">
      <w:pPr>
        <w:pStyle w:val="30"/>
        <w:spacing w:beforeAutospacing="0" w:afterAutospacing="0"/>
        <w:jc w:val="both"/>
        <w:rPr>
          <w:color w:val="auto"/>
          <w:highlight w:val="none"/>
        </w:rPr>
      </w:pPr>
      <w:r>
        <w:rPr>
          <w:color w:val="auto"/>
          <w:highlight w:val="none"/>
        </w:rPr>
        <w:t> </w:t>
      </w:r>
    </w:p>
    <w:p w14:paraId="38E8B362">
      <w:pPr>
        <w:pStyle w:val="30"/>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三</w:t>
      </w:r>
      <w:r>
        <w:rPr>
          <w:rFonts w:hint="eastAsia" w:ascii="黑体" w:hAnsi="宋体" w:eastAsia="黑体" w:cs="黑体"/>
          <w:i/>
          <w:color w:val="auto"/>
          <w:sz w:val="32"/>
          <w:szCs w:val="32"/>
          <w:highlight w:val="none"/>
          <w:u w:val="single"/>
        </w:rPr>
        <w:t>、具备履行合同所必需的设备和专业技术能力的书面声明</w:t>
      </w:r>
    </w:p>
    <w:p w14:paraId="19BF2FD8">
      <w:pPr>
        <w:pStyle w:val="30"/>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232B25DF">
      <w:pPr>
        <w:pStyle w:val="30"/>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2DB05973">
      <w:pPr>
        <w:pStyle w:val="30"/>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6885A8FE">
      <w:pPr>
        <w:pStyle w:val="30"/>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四</w:t>
      </w:r>
      <w:r>
        <w:rPr>
          <w:rFonts w:hint="eastAsia" w:ascii="黑体" w:hAnsi="宋体" w:eastAsia="黑体" w:cs="黑体"/>
          <w:i/>
          <w:color w:val="auto"/>
          <w:sz w:val="32"/>
          <w:szCs w:val="32"/>
          <w:highlight w:val="none"/>
          <w:u w:val="single"/>
        </w:rPr>
        <w:t>、依法缴纳税收和社会保障资金的相关材料</w:t>
      </w:r>
    </w:p>
    <w:p w14:paraId="7512F40D">
      <w:pPr>
        <w:pStyle w:val="30"/>
        <w:spacing w:beforeAutospacing="0" w:afterAutospacing="0"/>
        <w:ind w:firstLine="480"/>
        <w:jc w:val="both"/>
        <w:rPr>
          <w:color w:val="auto"/>
          <w:highlight w:val="none"/>
        </w:rPr>
      </w:pPr>
      <w:r>
        <w:rPr>
          <w:rFonts w:hint="eastAsia" w:ascii="宋体" w:hAnsi="宋体" w:eastAsia="宋体" w:cs="宋体"/>
          <w:color w:val="auto"/>
          <w:highlight w:val="none"/>
        </w:rPr>
        <w:t>提供提交响应文件截止时间前一年内至少一个月依法缴纳税收及缴纳社会保障资金的证明材料。供应商依法享受缓缴、免缴税收、社会保障资金的提供证明材料。</w:t>
      </w:r>
    </w:p>
    <w:p w14:paraId="319D7EF4">
      <w:pPr>
        <w:pStyle w:val="30"/>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6639301F">
      <w:pPr>
        <w:pStyle w:val="30"/>
        <w:spacing w:beforeAutospacing="0" w:afterAutospacing="0" w:line="0" w:lineRule="atLeast"/>
        <w:jc w:val="both"/>
        <w:rPr>
          <w:color w:val="auto"/>
          <w:highlight w:val="none"/>
        </w:rPr>
      </w:pPr>
      <w:r>
        <w:rPr>
          <w:rFonts w:hint="eastAsia" w:ascii="宋体" w:hAnsi="宋体" w:eastAsia="宋体" w:cs="宋体"/>
          <w:b/>
          <w:color w:val="auto"/>
          <w:sz w:val="44"/>
          <w:szCs w:val="44"/>
          <w:highlight w:val="none"/>
        </w:rPr>
        <w:t>      声  明</w:t>
      </w:r>
    </w:p>
    <w:p w14:paraId="4CAB6CEF">
      <w:pPr>
        <w:pStyle w:val="30"/>
        <w:spacing w:beforeAutospacing="0" w:afterAutospacing="0" w:line="0" w:lineRule="atLeast"/>
        <w:jc w:val="both"/>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2AD0E7D9">
      <w:pPr>
        <w:pStyle w:val="30"/>
        <w:spacing w:beforeAutospacing="0" w:afterAutospacing="0"/>
        <w:jc w:val="both"/>
        <w:rPr>
          <w:color w:val="auto"/>
          <w:highlight w:val="none"/>
        </w:rPr>
      </w:pPr>
      <w:r>
        <w:rPr>
          <w:color w:val="auto"/>
          <w:highlight w:val="none"/>
        </w:rPr>
        <w:t> </w:t>
      </w:r>
    </w:p>
    <w:p w14:paraId="7F5DA262">
      <w:pPr>
        <w:pStyle w:val="30"/>
        <w:spacing w:beforeAutospacing="0" w:afterAutospacing="0"/>
        <w:jc w:val="both"/>
        <w:rPr>
          <w:color w:val="auto"/>
          <w:highlight w:val="none"/>
        </w:rPr>
      </w:pPr>
      <w:r>
        <w:rPr>
          <w:rFonts w:hint="eastAsia" w:ascii="黑体" w:hAnsi="宋体" w:eastAsia="黑体" w:cs="黑体"/>
          <w:i/>
          <w:color w:val="auto"/>
          <w:sz w:val="32"/>
          <w:szCs w:val="32"/>
          <w:highlight w:val="none"/>
          <w:u w:val="single"/>
        </w:rPr>
        <w:t>六、特定资格要求的证明文件</w:t>
      </w:r>
    </w:p>
    <w:p w14:paraId="04D154E1">
      <w:pPr>
        <w:pStyle w:val="30"/>
        <w:spacing w:beforeAutospacing="0" w:afterAutospacing="0" w:line="0" w:lineRule="atLeast"/>
        <w:jc w:val="both"/>
        <w:rPr>
          <w:color w:val="auto"/>
          <w:highlight w:val="none"/>
        </w:rPr>
      </w:pPr>
      <w:r>
        <w:rPr>
          <w:rFonts w:hint="eastAsia" w:ascii="宋体" w:hAnsi="宋体" w:eastAsia="宋体" w:cs="宋体"/>
          <w:color w:val="auto"/>
          <w:highlight w:val="none"/>
        </w:rPr>
        <w:t>   如果本项目申请人的特定资格要求中要求提供的，必须提供。</w:t>
      </w:r>
    </w:p>
    <w:p w14:paraId="1004C87F">
      <w:pPr>
        <w:pStyle w:val="30"/>
        <w:spacing w:beforeAutospacing="0" w:afterAutospacing="0"/>
        <w:jc w:val="center"/>
        <w:rPr>
          <w:rFonts w:hint="eastAsia" w:ascii="黑体" w:hAnsi="宋体" w:eastAsia="黑体" w:cs="黑体"/>
          <w:i/>
          <w:color w:val="auto"/>
          <w:sz w:val="32"/>
          <w:szCs w:val="32"/>
          <w:highlight w:val="none"/>
          <w:u w:val="single"/>
          <w:lang w:val="en-US" w:eastAsia="zh-CN"/>
        </w:rPr>
      </w:pPr>
      <w:bookmarkStart w:id="166" w:name="_Toc120614284"/>
    </w:p>
    <w:p w14:paraId="3F8D6E16">
      <w:pPr>
        <w:pStyle w:val="30"/>
        <w:spacing w:beforeAutospacing="0" w:afterAutospacing="0"/>
        <w:jc w:val="center"/>
        <w:rPr>
          <w:rFonts w:hint="default"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t>注：如联合体投标的，上述一至五项，联合体各方均须提供相应材料。如果为联合体投标的，响应文件中需要签字、盖章处，仅需牵头人签字、盖章即可（联合体协议除外）。</w:t>
      </w:r>
    </w:p>
    <w:p w14:paraId="446F53EC">
      <w:pPr>
        <w:pStyle w:val="30"/>
        <w:spacing w:beforeAutospacing="0" w:afterAutospacing="0"/>
        <w:jc w:val="center"/>
        <w:rPr>
          <w:rFonts w:ascii="黑体" w:hAnsi="宋体" w:eastAsia="黑体" w:cs="黑体"/>
          <w:i/>
          <w:color w:val="auto"/>
          <w:sz w:val="32"/>
          <w:szCs w:val="32"/>
          <w:highlight w:val="none"/>
          <w:u w:val="single"/>
        </w:rPr>
      </w:pPr>
    </w:p>
    <w:p w14:paraId="04514BC4">
      <w:pPr>
        <w:pStyle w:val="30"/>
        <w:spacing w:beforeAutospacing="0" w:afterAutospacing="0"/>
        <w:jc w:val="center"/>
        <w:rPr>
          <w:rFonts w:ascii="黑体" w:hAnsi="宋体" w:eastAsia="黑体" w:cs="黑体"/>
          <w:i/>
          <w:color w:val="auto"/>
          <w:sz w:val="32"/>
          <w:szCs w:val="32"/>
          <w:highlight w:val="none"/>
          <w:u w:val="single"/>
        </w:rPr>
      </w:pPr>
    </w:p>
    <w:p w14:paraId="27B1BB39">
      <w:pPr>
        <w:pStyle w:val="30"/>
        <w:spacing w:beforeAutospacing="0" w:afterAutospacing="0"/>
        <w:jc w:val="center"/>
        <w:rPr>
          <w:rFonts w:ascii="黑体" w:hAnsi="宋体" w:eastAsia="黑体" w:cs="黑体"/>
          <w:i/>
          <w:color w:val="auto"/>
          <w:sz w:val="32"/>
          <w:szCs w:val="32"/>
          <w:highlight w:val="none"/>
          <w:u w:val="single"/>
        </w:rPr>
      </w:pPr>
    </w:p>
    <w:p w14:paraId="77C92560">
      <w:pPr>
        <w:pStyle w:val="30"/>
        <w:spacing w:beforeAutospacing="0" w:afterAutospacing="0"/>
        <w:jc w:val="center"/>
        <w:rPr>
          <w:rFonts w:ascii="黑体" w:hAnsi="宋体" w:eastAsia="黑体" w:cs="黑体"/>
          <w:bCs/>
          <w:i/>
          <w:color w:val="auto"/>
          <w:sz w:val="32"/>
          <w:szCs w:val="32"/>
          <w:highlight w:val="none"/>
          <w:u w:val="single"/>
        </w:rPr>
      </w:pPr>
    </w:p>
    <w:p w14:paraId="06DD805A">
      <w:pPr>
        <w:pStyle w:val="30"/>
        <w:spacing w:beforeAutospacing="0" w:afterAutospacing="0"/>
        <w:jc w:val="center"/>
        <w:rPr>
          <w:rFonts w:ascii="黑体" w:hAnsi="宋体" w:eastAsia="黑体" w:cs="黑体"/>
          <w:bCs/>
          <w:i/>
          <w:color w:val="auto"/>
          <w:sz w:val="32"/>
          <w:szCs w:val="32"/>
          <w:highlight w:val="none"/>
          <w:u w:val="single"/>
        </w:rPr>
      </w:pPr>
    </w:p>
    <w:p w14:paraId="5940AA08">
      <w:pPr>
        <w:pStyle w:val="30"/>
        <w:spacing w:beforeAutospacing="0" w:afterAutospacing="0"/>
        <w:jc w:val="center"/>
        <w:rPr>
          <w:rFonts w:ascii="黑体" w:hAnsi="宋体" w:eastAsia="黑体" w:cs="黑体"/>
          <w:bCs/>
          <w:i/>
          <w:color w:val="auto"/>
          <w:sz w:val="32"/>
          <w:szCs w:val="32"/>
          <w:highlight w:val="none"/>
          <w:u w:val="single"/>
        </w:rPr>
      </w:pPr>
    </w:p>
    <w:p w14:paraId="31E38596">
      <w:pPr>
        <w:pStyle w:val="30"/>
        <w:spacing w:beforeAutospacing="0" w:afterAutospacing="0"/>
        <w:jc w:val="center"/>
        <w:rPr>
          <w:color w:val="auto"/>
          <w:highlight w:val="none"/>
        </w:rPr>
      </w:pPr>
      <w:r>
        <w:rPr>
          <w:rFonts w:hint="eastAsia" w:ascii="黑体" w:hAnsi="宋体" w:eastAsia="黑体" w:cs="黑体"/>
          <w:i/>
          <w:color w:val="auto"/>
          <w:sz w:val="32"/>
          <w:szCs w:val="32"/>
          <w:highlight w:val="none"/>
          <w:u w:val="single"/>
        </w:rPr>
        <w:t>七、法人授权书</w:t>
      </w:r>
    </w:p>
    <w:p w14:paraId="60EE8C89">
      <w:pPr>
        <w:pStyle w:val="30"/>
        <w:tabs>
          <w:tab w:val="left" w:pos="360"/>
        </w:tabs>
        <w:spacing w:beforeAutospacing="0" w:afterAutospacing="0"/>
        <w:ind w:firstLine="480"/>
        <w:jc w:val="both"/>
        <w:rPr>
          <w:color w:val="auto"/>
          <w:highlight w:val="none"/>
        </w:rPr>
      </w:pPr>
      <w:r>
        <w:rPr>
          <w:rFonts w:ascii="Times New Roman" w:hAnsi="Times New Roman"/>
          <w:color w:val="auto"/>
          <w:highlight w:val="none"/>
        </w:rPr>
        <w:t>本授权书声明：____________（供应商名称）授权________________（被授权人的姓名）为我方就JSZC-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号项目采购活动的合法代理人，以本单位名义全权处理一切与该项目采购有关的事务。</w:t>
      </w:r>
    </w:p>
    <w:p w14:paraId="30CEB017">
      <w:pPr>
        <w:pStyle w:val="30"/>
        <w:tabs>
          <w:tab w:val="left" w:pos="360"/>
        </w:tabs>
        <w:spacing w:beforeAutospacing="0" w:afterAutospacing="0"/>
        <w:ind w:firstLine="480"/>
        <w:jc w:val="both"/>
        <w:rPr>
          <w:color w:val="auto"/>
          <w:highlight w:val="none"/>
        </w:rPr>
      </w:pPr>
      <w:r>
        <w:rPr>
          <w:rFonts w:ascii="Times New Roman" w:hAnsi="Times New Roman"/>
          <w:color w:val="auto"/>
          <w:highlight w:val="none"/>
        </w:rPr>
        <w:t>本授权书于______年____月____日起生效，特此声明。</w:t>
      </w:r>
    </w:p>
    <w:p w14:paraId="2707A9CF">
      <w:pPr>
        <w:pStyle w:val="30"/>
        <w:tabs>
          <w:tab w:val="left" w:pos="360"/>
        </w:tabs>
        <w:spacing w:beforeAutospacing="0" w:afterAutospacing="0"/>
        <w:jc w:val="both"/>
        <w:rPr>
          <w:color w:val="auto"/>
          <w:highlight w:val="none"/>
        </w:rPr>
      </w:pPr>
      <w:r>
        <w:rPr>
          <w:rFonts w:ascii="Times New Roman" w:hAnsi="Times New Roman"/>
          <w:color w:val="auto"/>
          <w:highlight w:val="none"/>
        </w:rPr>
        <w:t>         被授权人身份证号码：</w:t>
      </w:r>
      <w:r>
        <w:rPr>
          <w:rFonts w:ascii="Times New Roman" w:hAnsi="Times New Roman"/>
          <w:color w:val="auto"/>
          <w:highlight w:val="none"/>
          <w:u w:val="single"/>
        </w:rPr>
        <w:t xml:space="preserve">                              </w:t>
      </w:r>
    </w:p>
    <w:p w14:paraId="2FC3E7B8">
      <w:pPr>
        <w:pStyle w:val="30"/>
        <w:tabs>
          <w:tab w:val="left" w:pos="360"/>
        </w:tabs>
        <w:spacing w:beforeAutospacing="0" w:afterAutospacing="0"/>
        <w:jc w:val="both"/>
        <w:rPr>
          <w:color w:val="auto"/>
          <w:highlight w:val="none"/>
        </w:rPr>
      </w:pPr>
      <w:r>
        <w:rPr>
          <w:rFonts w:ascii="Times New Roman" w:hAnsi="Times New Roman"/>
          <w:color w:val="auto"/>
          <w:highlight w:val="none"/>
        </w:rPr>
        <w:t>         被授权人联系电话：（手机）</w:t>
      </w:r>
      <w:r>
        <w:rPr>
          <w:rFonts w:ascii="Times New Roman" w:hAnsi="Times New Roman"/>
          <w:color w:val="auto"/>
          <w:highlight w:val="none"/>
          <w:u w:val="single"/>
        </w:rPr>
        <w:t xml:space="preserve">                          </w:t>
      </w:r>
    </w:p>
    <w:p w14:paraId="1221148E">
      <w:pPr>
        <w:pStyle w:val="30"/>
        <w:tabs>
          <w:tab w:val="left" w:pos="360"/>
        </w:tabs>
        <w:spacing w:beforeAutospacing="0" w:afterAutospacing="0"/>
        <w:ind w:firstLine="480"/>
        <w:jc w:val="both"/>
        <w:rPr>
          <w:color w:val="auto"/>
          <w:highlight w:val="none"/>
        </w:rPr>
      </w:pPr>
      <w:r>
        <w:rPr>
          <w:rFonts w:ascii="Times New Roman" w:hAnsi="Times New Roman"/>
          <w:color w:val="auto"/>
          <w:highlight w:val="none"/>
        </w:rPr>
        <w:t>授权单位名称：</w:t>
      </w:r>
      <w:r>
        <w:rPr>
          <w:rFonts w:ascii="Times New Roman" w:hAnsi="Times New Roman"/>
          <w:color w:val="auto"/>
          <w:highlight w:val="none"/>
          <w:u w:val="single"/>
        </w:rPr>
        <w:t>（加盖CA电子公章）</w:t>
      </w:r>
    </w:p>
    <w:p w14:paraId="02C81E9B">
      <w:pPr>
        <w:pStyle w:val="30"/>
        <w:tabs>
          <w:tab w:val="left" w:pos="360"/>
        </w:tabs>
        <w:spacing w:beforeAutospacing="0" w:afterAutospacing="0"/>
        <w:ind w:firstLine="480"/>
        <w:jc w:val="both"/>
        <w:rPr>
          <w:color w:val="auto"/>
          <w:highlight w:val="none"/>
        </w:rPr>
      </w:pPr>
      <w:r>
        <w:rPr>
          <w:rFonts w:ascii="Times New Roman" w:hAnsi="Times New Roman"/>
          <w:color w:val="auto"/>
          <w:highlight w:val="none"/>
        </w:rPr>
        <w:t> 单位地址：</w:t>
      </w:r>
      <w:r>
        <w:rPr>
          <w:rFonts w:ascii="Times New Roman" w:hAnsi="Times New Roman"/>
          <w:color w:val="auto"/>
          <w:highlight w:val="none"/>
          <w:u w:val="single"/>
        </w:rPr>
        <w:t xml:space="preserve">                                         </w:t>
      </w:r>
    </w:p>
    <w:p w14:paraId="6CC217C8">
      <w:pPr>
        <w:pStyle w:val="30"/>
        <w:tabs>
          <w:tab w:val="left" w:pos="360"/>
        </w:tabs>
        <w:spacing w:beforeAutospacing="0" w:afterAutospacing="0"/>
        <w:ind w:firstLine="480"/>
        <w:jc w:val="both"/>
        <w:rPr>
          <w:color w:val="auto"/>
          <w:highlight w:val="none"/>
        </w:rPr>
      </w:pPr>
      <w:r>
        <w:rPr>
          <w:rFonts w:ascii="Times New Roman" w:hAnsi="Times New Roman"/>
          <w:color w:val="auto"/>
          <w:highlight w:val="none"/>
        </w:rPr>
        <w:t>  日期：</w:t>
      </w:r>
      <w:bookmarkStart w:id="167" w:name="_格式3__银行出具的资信证明"/>
      <w:bookmarkStart w:id="168" w:name="_Hlt26955070"/>
      <w:bookmarkStart w:id="169" w:name="_Hlt26671380"/>
      <w:r>
        <w:rPr>
          <w:rFonts w:ascii="Times New Roman" w:hAnsi="Times New Roman"/>
          <w:color w:val="auto"/>
          <w:highlight w:val="none"/>
          <w:u w:val="single"/>
        </w:rPr>
        <w:t xml:space="preserve">                                         </w:t>
      </w:r>
    </w:p>
    <w:p w14:paraId="7CD9C494">
      <w:pPr>
        <w:pStyle w:val="30"/>
        <w:tabs>
          <w:tab w:val="left" w:pos="360"/>
        </w:tabs>
        <w:spacing w:beforeAutospacing="0" w:afterAutospacing="0"/>
        <w:ind w:firstLine="480"/>
        <w:jc w:val="both"/>
        <w:rPr>
          <w:color w:val="auto"/>
          <w:highlight w:val="none"/>
        </w:rPr>
      </w:pPr>
      <w:r>
        <w:rPr>
          <w:color w:val="auto"/>
          <w:highlight w:val="none"/>
        </w:rPr>
        <w:t> </w:t>
      </w:r>
    </w:p>
    <w:p w14:paraId="2E2F2F1C">
      <w:pPr>
        <w:pStyle w:val="30"/>
        <w:tabs>
          <w:tab w:val="left" w:pos="360"/>
        </w:tabs>
        <w:spacing w:beforeAutospacing="0" w:afterAutospacing="0"/>
        <w:ind w:firstLine="480"/>
        <w:jc w:val="both"/>
        <w:rPr>
          <w:color w:val="auto"/>
          <w:highlight w:val="none"/>
        </w:rPr>
      </w:pPr>
      <w:r>
        <w:rPr>
          <w:color w:val="auto"/>
          <w:highlight w:val="none"/>
        </w:rPr>
        <w:t> </w:t>
      </w:r>
    </w:p>
    <w:p w14:paraId="2888E744">
      <w:pPr>
        <w:pStyle w:val="30"/>
        <w:spacing w:beforeAutospacing="0" w:afterAutospacing="0"/>
        <w:ind w:firstLine="420"/>
        <w:jc w:val="both"/>
        <w:rPr>
          <w:color w:val="auto"/>
          <w:highlight w:val="none"/>
        </w:rPr>
      </w:pPr>
      <w:r>
        <w:rPr>
          <w:color w:val="auto"/>
          <w:highlight w:val="none"/>
        </w:rPr>
        <w:t> </w:t>
      </w:r>
    </w:p>
    <w:p w14:paraId="769DEFAE">
      <w:pPr>
        <w:pStyle w:val="30"/>
        <w:spacing w:beforeAutospacing="0" w:afterAutospacing="0"/>
        <w:jc w:val="both"/>
        <w:rPr>
          <w:color w:val="auto"/>
          <w:highlight w:val="none"/>
        </w:rPr>
      </w:pPr>
      <w:r>
        <w:rPr>
          <w:color w:val="auto"/>
          <w:highlight w:val="none"/>
        </w:rPr>
        <w:t> </w:t>
      </w:r>
    </w:p>
    <w:p w14:paraId="0F3470B0">
      <w:pPr>
        <w:pStyle w:val="30"/>
        <w:keepNext/>
        <w:keepLines/>
        <w:spacing w:before="260" w:beforeAutospacing="0" w:after="260" w:afterAutospacing="0" w:line="415" w:lineRule="auto"/>
        <w:ind w:firstLine="3390"/>
        <w:jc w:val="both"/>
        <w:rPr>
          <w:color w:val="auto"/>
          <w:highlight w:val="none"/>
        </w:rPr>
      </w:pPr>
      <w:r>
        <w:rPr>
          <w:rFonts w:hint="eastAsia" w:ascii="宋体" w:hAnsi="宋体" w:eastAsia="宋体" w:cs="宋体"/>
          <w:b/>
          <w:color w:val="auto"/>
          <w:highlight w:val="none"/>
        </w:rPr>
        <w:br w:type="page" w:clear="all"/>
      </w:r>
      <w:r>
        <w:rPr>
          <w:rFonts w:hint="eastAsia" w:ascii="黑体" w:hAnsi="宋体" w:eastAsia="黑体" w:cs="黑体"/>
          <w:b/>
          <w:i/>
          <w:color w:val="auto"/>
          <w:sz w:val="32"/>
          <w:szCs w:val="32"/>
          <w:highlight w:val="none"/>
          <w:u w:val="single"/>
        </w:rPr>
        <w:t>八、谈判响应函</w:t>
      </w:r>
    </w:p>
    <w:p w14:paraId="09B04B5E">
      <w:pPr>
        <w:pStyle w:val="30"/>
        <w:spacing w:beforeAutospacing="0" w:afterAutospacing="0" w:line="0" w:lineRule="atLeast"/>
        <w:rPr>
          <w:rFonts w:hint="default" w:eastAsia="宋体"/>
          <w:color w:val="auto"/>
          <w:highlight w:val="none"/>
          <w:lang w:val="en-US" w:eastAsia="zh-CN"/>
        </w:rPr>
      </w:pPr>
      <w:r>
        <w:rPr>
          <w:rFonts w:hint="eastAsia" w:ascii="宋体" w:hAnsi="宋体" w:eastAsia="宋体" w:cs="宋体"/>
          <w:color w:val="auto"/>
          <w:highlight w:val="none"/>
        </w:rPr>
        <w:t>致：</w:t>
      </w:r>
      <w:r>
        <w:rPr>
          <w:rFonts w:hint="eastAsia" w:ascii="宋体" w:hAnsi="宋体" w:eastAsia="宋体" w:cs="宋体"/>
          <w:color w:val="auto"/>
          <w:highlight w:val="none"/>
          <w:lang w:val="en-US" w:eastAsia="zh-CN"/>
        </w:rPr>
        <w:t>响水县农业综合行政执法大队</w:t>
      </w:r>
    </w:p>
    <w:p w14:paraId="436FC585">
      <w:pPr>
        <w:pStyle w:val="30"/>
        <w:spacing w:beforeAutospacing="0" w:afterAutospacing="0" w:line="0" w:lineRule="atLeast"/>
        <w:ind w:firstLine="480"/>
        <w:rPr>
          <w:color w:val="auto"/>
          <w:highlight w:val="none"/>
        </w:rPr>
      </w:pPr>
      <w:r>
        <w:rPr>
          <w:rFonts w:hint="eastAsia" w:ascii="宋体" w:hAnsi="宋体" w:eastAsia="宋体" w:cs="宋体"/>
          <w:color w:val="auto"/>
          <w:highlight w:val="none"/>
        </w:rPr>
        <w:t>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号谈判文件，正式授权下述签字人______</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姓名</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代表我方______________（供应商的名称），全权处理本次项目谈判的有关事宜。</w:t>
      </w:r>
    </w:p>
    <w:p w14:paraId="5DDE5EA9">
      <w:pPr>
        <w:pStyle w:val="30"/>
        <w:spacing w:beforeAutospacing="0" w:afterAutospacing="0" w:line="0" w:lineRule="atLeast"/>
        <w:ind w:firstLine="480"/>
        <w:rPr>
          <w:color w:val="auto"/>
          <w:highlight w:val="none"/>
        </w:rPr>
      </w:pPr>
      <w:r>
        <w:rPr>
          <w:rFonts w:hint="eastAsia" w:ascii="宋体" w:hAnsi="宋体" w:eastAsia="宋体" w:cs="宋体"/>
          <w:color w:val="auto"/>
          <w:highlight w:val="none"/>
        </w:rPr>
        <w:t>据此函，__________签字人兹宣布同意如下：</w:t>
      </w:r>
    </w:p>
    <w:p w14:paraId="42FE6F8B">
      <w:pPr>
        <w:pStyle w:val="30"/>
        <w:spacing w:beforeAutospacing="0" w:afterAutospacing="0" w:line="0" w:lineRule="atLeast"/>
        <w:ind w:firstLine="480"/>
        <w:rPr>
          <w:color w:val="auto"/>
          <w:highlight w:val="none"/>
        </w:rPr>
      </w:pPr>
      <w:r>
        <w:rPr>
          <w:rFonts w:hint="eastAsia" w:ascii="宋体" w:hAnsi="宋体" w:eastAsia="宋体" w:cs="宋体"/>
          <w:color w:val="auto"/>
          <w:highlight w:val="none"/>
        </w:rPr>
        <w:t>1.按谈判文件规定的各项要求，向买方提供所需货物、服务（包含与货物相关的服务及与服务相关的货物）。</w:t>
      </w:r>
    </w:p>
    <w:p w14:paraId="49213339">
      <w:pPr>
        <w:pStyle w:val="30"/>
        <w:spacing w:beforeAutospacing="0" w:afterAutospacing="0" w:line="0" w:lineRule="atLeast"/>
        <w:ind w:firstLine="480"/>
        <w:rPr>
          <w:color w:val="auto"/>
          <w:highlight w:val="none"/>
        </w:rPr>
      </w:pPr>
      <w:r>
        <w:rPr>
          <w:rFonts w:hint="eastAsia" w:ascii="宋体" w:hAnsi="宋体" w:eastAsia="宋体" w:cs="宋体"/>
          <w:color w:val="auto"/>
          <w:highlight w:val="none"/>
        </w:rPr>
        <w:t>2.我们已详细审核全部谈判文件及其有效补充文件，我们知道必须放弃提出含糊不清或误解问题的权利。</w:t>
      </w:r>
    </w:p>
    <w:p w14:paraId="01F080A0">
      <w:pPr>
        <w:pStyle w:val="30"/>
        <w:spacing w:beforeAutospacing="0" w:afterAutospacing="0" w:line="0" w:lineRule="atLeast"/>
        <w:ind w:firstLine="480"/>
        <w:rPr>
          <w:color w:val="auto"/>
          <w:highlight w:val="none"/>
        </w:rPr>
      </w:pPr>
      <w:r>
        <w:rPr>
          <w:rFonts w:hint="eastAsia" w:ascii="宋体" w:hAnsi="宋体" w:eastAsia="宋体" w:cs="宋体"/>
          <w:color w:val="auto"/>
          <w:highlight w:val="none"/>
        </w:rPr>
        <w:t>3.我们同意从规定的开标日期起遵循本响应文件，并在规定的谈判有效期期满之前均具有约束力。</w:t>
      </w:r>
    </w:p>
    <w:p w14:paraId="28B7CCC0">
      <w:pPr>
        <w:pStyle w:val="30"/>
        <w:spacing w:beforeAutospacing="0" w:afterAutospacing="0" w:line="0" w:lineRule="atLeast"/>
        <w:ind w:firstLine="480"/>
        <w:rPr>
          <w:color w:val="auto"/>
          <w:highlight w:val="none"/>
        </w:rPr>
      </w:pPr>
      <w:r>
        <w:rPr>
          <w:rFonts w:hint="eastAsia" w:ascii="宋体" w:hAnsi="宋体" w:eastAsia="宋体" w:cs="宋体"/>
          <w:color w:val="auto"/>
          <w:highlight w:val="none"/>
        </w:rPr>
        <w:t>4.同意向贵方提供贵方可能另外要求的与谈判有关的任何证据或资料，并保证我方已提供和将要提供的文件是真实的、准确的。</w:t>
      </w:r>
    </w:p>
    <w:p w14:paraId="15DD00E7">
      <w:pPr>
        <w:pStyle w:val="30"/>
        <w:spacing w:beforeAutospacing="0" w:afterAutospacing="0" w:line="0" w:lineRule="atLeast"/>
        <w:ind w:firstLine="480"/>
        <w:rPr>
          <w:color w:val="auto"/>
          <w:highlight w:val="none"/>
        </w:rPr>
      </w:pPr>
      <w:r>
        <w:rPr>
          <w:rFonts w:hint="eastAsia" w:ascii="宋体" w:hAnsi="宋体" w:eastAsia="宋体" w:cs="宋体"/>
          <w:color w:val="auto"/>
          <w:highlight w:val="none"/>
        </w:rPr>
        <w:t>5.一旦我方成交</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我方将根据谈判文件的规定，严格履行合同的责任和义务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并保证在谈判文件规定的时间完成项目，交付买方验收、使用。</w:t>
      </w:r>
    </w:p>
    <w:p w14:paraId="52D44F4C">
      <w:pPr>
        <w:pStyle w:val="30"/>
        <w:spacing w:beforeAutospacing="0" w:afterAutospacing="0" w:line="0" w:lineRule="atLeast"/>
        <w:ind w:left="425"/>
        <w:rPr>
          <w:color w:val="auto"/>
          <w:highlight w:val="none"/>
        </w:rPr>
      </w:pPr>
      <w:r>
        <w:rPr>
          <w:rFonts w:hint="eastAsia" w:ascii="宋体" w:hAnsi="宋体" w:eastAsia="宋体" w:cs="宋体"/>
          <w:color w:val="auto"/>
          <w:highlight w:val="none"/>
        </w:rPr>
        <w:t>6.我方与本谈判有关的正式通讯地址为：</w:t>
      </w:r>
    </w:p>
    <w:p w14:paraId="5C31577E">
      <w:pPr>
        <w:pStyle w:val="30"/>
        <w:spacing w:beforeAutospacing="0" w:afterAutospacing="0" w:line="0" w:lineRule="atLeast"/>
        <w:ind w:left="420" w:firstLine="480"/>
        <w:rPr>
          <w:color w:val="auto"/>
          <w:highlight w:val="none"/>
        </w:rPr>
      </w:pPr>
      <w:r>
        <w:rPr>
          <w:rFonts w:hint="eastAsia" w:ascii="宋体" w:hAnsi="宋体" w:eastAsia="宋体" w:cs="宋体"/>
          <w:color w:val="auto"/>
          <w:highlight w:val="none"/>
        </w:rPr>
        <w:t>地             址：</w:t>
      </w:r>
    </w:p>
    <w:p w14:paraId="71FD50CA">
      <w:pPr>
        <w:pStyle w:val="30"/>
        <w:spacing w:beforeAutospacing="0" w:afterAutospacing="0" w:line="0" w:lineRule="atLeast"/>
        <w:ind w:left="420" w:firstLine="480"/>
        <w:rPr>
          <w:color w:val="auto"/>
          <w:highlight w:val="none"/>
        </w:rPr>
      </w:pPr>
      <w:r>
        <w:rPr>
          <w:rFonts w:hint="eastAsia" w:ascii="宋体" w:hAnsi="宋体" w:eastAsia="宋体" w:cs="宋体"/>
          <w:color w:val="auto"/>
          <w:highlight w:val="none"/>
        </w:rPr>
        <w:t>邮             编：</w:t>
      </w:r>
    </w:p>
    <w:p w14:paraId="5F4C181F">
      <w:pPr>
        <w:pStyle w:val="30"/>
        <w:spacing w:beforeAutospacing="0" w:afterAutospacing="0" w:line="0" w:lineRule="atLeast"/>
        <w:ind w:left="420" w:firstLine="480"/>
        <w:rPr>
          <w:color w:val="auto"/>
          <w:highlight w:val="none"/>
        </w:rPr>
      </w:pPr>
      <w:r>
        <w:rPr>
          <w:rFonts w:hint="eastAsia" w:ascii="宋体" w:hAnsi="宋体" w:eastAsia="宋体" w:cs="宋体"/>
          <w:color w:val="auto"/>
          <w:highlight w:val="none"/>
        </w:rPr>
        <w:t>电             话：</w:t>
      </w:r>
    </w:p>
    <w:p w14:paraId="13F6049E">
      <w:pPr>
        <w:pStyle w:val="30"/>
        <w:spacing w:beforeAutospacing="0" w:afterAutospacing="0" w:line="0" w:lineRule="atLeast"/>
        <w:ind w:left="420" w:firstLine="480"/>
        <w:rPr>
          <w:color w:val="auto"/>
          <w:highlight w:val="none"/>
        </w:rPr>
      </w:pPr>
      <w:r>
        <w:rPr>
          <w:rFonts w:hint="eastAsia" w:ascii="宋体" w:hAnsi="宋体" w:eastAsia="宋体" w:cs="宋体"/>
          <w:color w:val="auto"/>
          <w:highlight w:val="none"/>
        </w:rPr>
        <w:t>传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真：</w:t>
      </w:r>
    </w:p>
    <w:p w14:paraId="1E999F13">
      <w:pPr>
        <w:pStyle w:val="30"/>
        <w:spacing w:beforeAutospacing="0" w:afterAutospacing="0" w:line="0" w:lineRule="atLeast"/>
        <w:ind w:left="420" w:firstLine="480"/>
        <w:rPr>
          <w:color w:val="auto"/>
          <w:highlight w:val="none"/>
        </w:rPr>
      </w:pPr>
      <w:r>
        <w:rPr>
          <w:rFonts w:hint="eastAsia" w:ascii="宋体" w:hAnsi="宋体" w:eastAsia="宋体" w:cs="宋体"/>
          <w:color w:val="auto"/>
          <w:highlight w:val="none"/>
        </w:rPr>
        <w:t>供</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应</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商</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开</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户</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行：</w:t>
      </w:r>
    </w:p>
    <w:p w14:paraId="06E3FC99">
      <w:pPr>
        <w:pStyle w:val="30"/>
        <w:spacing w:beforeAutospacing="0" w:afterAutospacing="0" w:line="0" w:lineRule="atLeast"/>
        <w:ind w:left="420" w:firstLine="480"/>
        <w:rPr>
          <w:color w:val="auto"/>
          <w:highlight w:val="none"/>
        </w:rPr>
      </w:pPr>
      <w:r>
        <w:rPr>
          <w:rFonts w:hint="eastAsia" w:ascii="宋体" w:hAnsi="宋体" w:eastAsia="宋体" w:cs="宋体"/>
          <w:color w:val="auto"/>
          <w:highlight w:val="none"/>
        </w:rPr>
        <w:t xml:space="preserve">账             号： </w:t>
      </w:r>
    </w:p>
    <w:p w14:paraId="383D1320">
      <w:pPr>
        <w:pStyle w:val="30"/>
        <w:spacing w:beforeAutospacing="0" w:afterAutospacing="0" w:line="0" w:lineRule="atLeast"/>
        <w:ind w:left="420" w:firstLine="480"/>
        <w:rPr>
          <w:color w:val="auto"/>
          <w:highlight w:val="none"/>
        </w:rPr>
      </w:pPr>
      <w:r>
        <w:rPr>
          <w:rFonts w:hint="eastAsia" w:ascii="宋体" w:hAnsi="宋体" w:eastAsia="宋体" w:cs="宋体"/>
          <w:color w:val="auto"/>
          <w:highlight w:val="none"/>
        </w:rPr>
        <w:t>日             期：________年____月____日</w:t>
      </w:r>
    </w:p>
    <w:p w14:paraId="2183B808">
      <w:pPr>
        <w:pStyle w:val="30"/>
        <w:spacing w:beforeAutospacing="0" w:afterAutospacing="0" w:line="0" w:lineRule="atLeast"/>
        <w:ind w:firstLine="240"/>
        <w:jc w:val="center"/>
        <w:rPr>
          <w:color w:val="auto"/>
          <w:highlight w:val="none"/>
        </w:rPr>
      </w:pPr>
      <w:r>
        <w:rPr>
          <w:color w:val="auto"/>
          <w:highlight w:val="none"/>
        </w:rPr>
        <w:t> </w:t>
      </w:r>
    </w:p>
    <w:p w14:paraId="3EE0C936">
      <w:pPr>
        <w:pStyle w:val="30"/>
        <w:spacing w:beforeAutospacing="0" w:afterAutospacing="0" w:line="0" w:lineRule="atLeast"/>
        <w:ind w:firstLine="240"/>
        <w:jc w:val="center"/>
        <w:rPr>
          <w:color w:val="auto"/>
          <w:highlight w:val="none"/>
        </w:rPr>
      </w:pPr>
      <w:r>
        <w:rPr>
          <w:color w:val="auto"/>
          <w:highlight w:val="none"/>
        </w:rPr>
        <w:t> </w:t>
      </w:r>
    </w:p>
    <w:p w14:paraId="64CEBCB0">
      <w:pPr>
        <w:pStyle w:val="30"/>
        <w:spacing w:beforeAutospacing="0" w:afterAutospacing="0" w:line="0" w:lineRule="atLeast"/>
        <w:ind w:firstLine="240"/>
        <w:jc w:val="center"/>
        <w:rPr>
          <w:color w:val="auto"/>
          <w:highlight w:val="none"/>
        </w:rPr>
      </w:pPr>
      <w:r>
        <w:rPr>
          <w:color w:val="auto"/>
          <w:highlight w:val="none"/>
        </w:rPr>
        <w:t> </w:t>
      </w:r>
    </w:p>
    <w:p w14:paraId="2DFE3C13">
      <w:pPr>
        <w:pStyle w:val="30"/>
        <w:spacing w:beforeAutospacing="0" w:afterAutospacing="0" w:line="0" w:lineRule="atLeast"/>
        <w:ind w:firstLine="240"/>
        <w:jc w:val="center"/>
        <w:rPr>
          <w:color w:val="auto"/>
          <w:highlight w:val="none"/>
        </w:rPr>
      </w:pPr>
    </w:p>
    <w:p w14:paraId="5924423E">
      <w:pPr>
        <w:pStyle w:val="30"/>
        <w:spacing w:beforeAutospacing="0" w:afterAutospacing="0" w:line="0" w:lineRule="atLeast"/>
        <w:ind w:firstLine="240"/>
        <w:jc w:val="center"/>
        <w:rPr>
          <w:color w:val="auto"/>
          <w:highlight w:val="none"/>
        </w:rPr>
      </w:pPr>
    </w:p>
    <w:p w14:paraId="44CBB7FC">
      <w:pPr>
        <w:pStyle w:val="30"/>
        <w:spacing w:beforeAutospacing="0" w:afterAutospacing="0" w:line="0" w:lineRule="atLeast"/>
        <w:ind w:firstLine="240"/>
        <w:jc w:val="center"/>
        <w:rPr>
          <w:color w:val="auto"/>
          <w:highlight w:val="none"/>
        </w:rPr>
      </w:pPr>
    </w:p>
    <w:p w14:paraId="055096D2">
      <w:pPr>
        <w:pStyle w:val="30"/>
        <w:spacing w:beforeAutospacing="0" w:afterAutospacing="0" w:line="0" w:lineRule="atLeast"/>
        <w:ind w:firstLine="240"/>
        <w:jc w:val="center"/>
        <w:rPr>
          <w:color w:val="auto"/>
          <w:highlight w:val="none"/>
        </w:rPr>
      </w:pPr>
    </w:p>
    <w:p w14:paraId="148580EF">
      <w:pPr>
        <w:pStyle w:val="30"/>
        <w:spacing w:beforeAutospacing="0" w:afterAutospacing="0" w:line="0" w:lineRule="atLeast"/>
        <w:ind w:firstLine="240"/>
        <w:jc w:val="center"/>
        <w:rPr>
          <w:color w:val="auto"/>
          <w:highlight w:val="none"/>
        </w:rPr>
      </w:pPr>
    </w:p>
    <w:p w14:paraId="2F81E301">
      <w:pPr>
        <w:pStyle w:val="30"/>
        <w:spacing w:beforeAutospacing="0" w:afterAutospacing="0" w:line="0" w:lineRule="atLeast"/>
        <w:ind w:firstLine="240"/>
        <w:jc w:val="center"/>
        <w:rPr>
          <w:color w:val="auto"/>
          <w:highlight w:val="none"/>
        </w:rPr>
      </w:pPr>
    </w:p>
    <w:p w14:paraId="5DC020A4">
      <w:pPr>
        <w:pStyle w:val="30"/>
        <w:spacing w:beforeAutospacing="0" w:afterAutospacing="0" w:line="0" w:lineRule="atLeast"/>
        <w:ind w:firstLine="240"/>
        <w:jc w:val="center"/>
        <w:rPr>
          <w:color w:val="auto"/>
          <w:highlight w:val="none"/>
        </w:rPr>
      </w:pPr>
    </w:p>
    <w:p w14:paraId="160A22A2">
      <w:pPr>
        <w:pStyle w:val="30"/>
        <w:spacing w:beforeAutospacing="0" w:afterAutospacing="0" w:line="0" w:lineRule="atLeast"/>
        <w:ind w:firstLine="240"/>
        <w:jc w:val="center"/>
        <w:rPr>
          <w:color w:val="auto"/>
          <w:highlight w:val="none"/>
        </w:rPr>
      </w:pPr>
    </w:p>
    <w:p w14:paraId="16588A87">
      <w:pPr>
        <w:pStyle w:val="30"/>
        <w:spacing w:beforeAutospacing="0" w:afterAutospacing="0" w:line="0" w:lineRule="atLeast"/>
        <w:ind w:firstLine="240"/>
        <w:jc w:val="center"/>
        <w:rPr>
          <w:color w:val="auto"/>
          <w:highlight w:val="none"/>
        </w:rPr>
      </w:pPr>
    </w:p>
    <w:p w14:paraId="56A28BB6">
      <w:pPr>
        <w:pStyle w:val="30"/>
        <w:spacing w:beforeAutospacing="0" w:afterAutospacing="0" w:line="0" w:lineRule="atLeast"/>
        <w:ind w:firstLine="240"/>
        <w:jc w:val="center"/>
        <w:rPr>
          <w:color w:val="auto"/>
          <w:highlight w:val="none"/>
        </w:rPr>
      </w:pPr>
    </w:p>
    <w:p w14:paraId="78F47DA3">
      <w:pPr>
        <w:pStyle w:val="30"/>
        <w:spacing w:beforeAutospacing="0" w:afterAutospacing="0" w:line="0" w:lineRule="atLeast"/>
        <w:ind w:firstLine="240"/>
        <w:jc w:val="center"/>
        <w:rPr>
          <w:color w:val="auto"/>
          <w:highlight w:val="none"/>
        </w:rPr>
      </w:pPr>
    </w:p>
    <w:p w14:paraId="6EE01443">
      <w:pPr>
        <w:pStyle w:val="30"/>
        <w:spacing w:beforeAutospacing="0" w:afterAutospacing="0" w:line="0" w:lineRule="atLeast"/>
        <w:ind w:firstLine="240"/>
        <w:jc w:val="center"/>
        <w:rPr>
          <w:color w:val="auto"/>
          <w:highlight w:val="none"/>
        </w:rPr>
      </w:pPr>
    </w:p>
    <w:p w14:paraId="6F1AD1D9">
      <w:pPr>
        <w:pStyle w:val="30"/>
        <w:spacing w:beforeAutospacing="0" w:afterAutospacing="0" w:line="0" w:lineRule="atLeast"/>
        <w:ind w:firstLine="240"/>
        <w:jc w:val="center"/>
        <w:rPr>
          <w:color w:val="auto"/>
          <w:highlight w:val="none"/>
        </w:rPr>
      </w:pPr>
      <w:r>
        <w:rPr>
          <w:color w:val="auto"/>
          <w:highlight w:val="none"/>
        </w:rPr>
        <w:t> </w:t>
      </w:r>
    </w:p>
    <w:p w14:paraId="63A55581">
      <w:pPr>
        <w:pStyle w:val="30"/>
        <w:spacing w:beforeAutospacing="0" w:afterAutospacing="0" w:line="0" w:lineRule="atLeast"/>
        <w:ind w:firstLine="240"/>
        <w:jc w:val="center"/>
        <w:rPr>
          <w:color w:val="auto"/>
          <w:highlight w:val="none"/>
        </w:rPr>
      </w:pPr>
      <w:r>
        <w:rPr>
          <w:color w:val="auto"/>
          <w:highlight w:val="none"/>
        </w:rPr>
        <w:t> </w:t>
      </w:r>
    </w:p>
    <w:p w14:paraId="20CA610E">
      <w:pPr>
        <w:pStyle w:val="30"/>
        <w:spacing w:beforeAutospacing="0" w:afterAutospacing="0" w:line="0" w:lineRule="atLeast"/>
        <w:ind w:firstLine="321"/>
        <w:jc w:val="center"/>
        <w:rPr>
          <w:color w:val="auto"/>
          <w:highlight w:val="none"/>
        </w:rPr>
      </w:pPr>
      <w:r>
        <w:rPr>
          <w:color w:val="auto"/>
          <w:highlight w:val="none"/>
        </w:rPr>
        <w:t> </w:t>
      </w:r>
    </w:p>
    <w:p w14:paraId="27CF8CC6">
      <w:pPr>
        <w:pStyle w:val="30"/>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九、</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w:t>
      </w:r>
      <w:r>
        <w:rPr>
          <w:rFonts w:hint="eastAsia" w:ascii="黑体" w:hAnsi="宋体" w:eastAsia="黑体" w:cs="黑体"/>
          <w:b/>
          <w:color w:val="auto"/>
          <w:sz w:val="32"/>
          <w:szCs w:val="32"/>
          <w:highlight w:val="none"/>
          <w:lang w:val="en-US" w:eastAsia="zh-CN"/>
        </w:rPr>
        <w:t>货物</w:t>
      </w:r>
      <w:r>
        <w:rPr>
          <w:rFonts w:hint="eastAsia" w:ascii="黑体" w:hAnsi="宋体" w:eastAsia="黑体" w:cs="黑体"/>
          <w:b/>
          <w:color w:val="auto"/>
          <w:sz w:val="32"/>
          <w:szCs w:val="32"/>
          <w:highlight w:val="none"/>
        </w:rPr>
        <w:t>）（分包号：**）</w:t>
      </w:r>
    </w:p>
    <w:p w14:paraId="4CF8C0A9">
      <w:pPr>
        <w:spacing w:line="500" w:lineRule="exact"/>
        <w:ind w:firstLine="480"/>
        <w:jc w:val="both"/>
        <w:rPr>
          <w:rFonts w:hint="eastAsia"/>
          <w:color w:val="auto"/>
          <w:sz w:val="24"/>
          <w:highlight w:val="none"/>
        </w:rPr>
      </w:pPr>
    </w:p>
    <w:p w14:paraId="0A12F497">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w:t>
      </w:r>
      <w:r>
        <w:rPr>
          <w:rFonts w:hint="eastAsia"/>
          <w:color w:val="auto"/>
          <w:sz w:val="24"/>
          <w:highlight w:val="none"/>
          <w:lang w:eastAsia="zh-CN"/>
        </w:rPr>
        <w:t>〔2020〕46号</w:t>
      </w:r>
      <w:r>
        <w:rPr>
          <w:rFonts w:hint="eastAsia"/>
          <w:color w:val="auto"/>
          <w:sz w:val="24"/>
          <w:highlight w:val="none"/>
        </w:rPr>
        <w:t>)的规定，本公司（联合体）参加</w:t>
      </w:r>
      <w:r>
        <w:rPr>
          <w:rFonts w:hint="eastAsia"/>
          <w:color w:val="auto"/>
          <w:sz w:val="24"/>
          <w:highlight w:val="none"/>
          <w:lang w:val="en-US" w:eastAsia="zh-CN"/>
        </w:rPr>
        <w:t>江苏千禾建设项目管理有限公司</w:t>
      </w:r>
      <w:r>
        <w:rPr>
          <w:rFonts w:hint="eastAsia"/>
          <w:color w:val="auto"/>
          <w:sz w:val="24"/>
          <w:highlight w:val="none"/>
        </w:rPr>
        <w:t>组织的</w:t>
      </w:r>
      <w:r>
        <w:rPr>
          <w:rFonts w:hint="eastAsia"/>
          <w:color w:val="auto"/>
          <w:sz w:val="24"/>
          <w:highlight w:val="none"/>
          <w:u w:val="single"/>
          <w:lang w:eastAsia="zh-CN"/>
        </w:rPr>
        <w:t>（</w:t>
      </w:r>
      <w:r>
        <w:rPr>
          <w:rFonts w:hint="eastAsia"/>
          <w:color w:val="auto"/>
          <w:sz w:val="24"/>
          <w:highlight w:val="none"/>
          <w:u w:val="single"/>
          <w:lang w:val="en-US" w:eastAsia="zh-CN"/>
        </w:rPr>
        <w:t>单位名称)</w:t>
      </w:r>
      <w:r>
        <w:rPr>
          <w:rFonts w:hint="eastAsia"/>
          <w:color w:val="auto"/>
          <w:sz w:val="24"/>
          <w:highlight w:val="none"/>
        </w:rPr>
        <w:t>，采购编号为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的</w:t>
      </w:r>
      <w:r>
        <w:rPr>
          <w:rFonts w:hint="eastAsia"/>
          <w:color w:val="auto"/>
          <w:sz w:val="24"/>
          <w:highlight w:val="none"/>
          <w:u w:val="single"/>
        </w:rPr>
        <w:t>（项目名称）</w:t>
      </w:r>
      <w:r>
        <w:rPr>
          <w:rFonts w:hint="eastAsia"/>
          <w:color w:val="auto"/>
          <w:sz w:val="24"/>
          <w:highlight w:val="none"/>
          <w:u w:val="single"/>
          <w:lang w:val="en-US" w:eastAsia="zh-CN"/>
        </w:rPr>
        <w:t xml:space="preserve">       </w:t>
      </w:r>
      <w:r>
        <w:rPr>
          <w:rFonts w:hint="eastAsia"/>
          <w:color w:val="auto"/>
          <w:sz w:val="24"/>
          <w:highlight w:val="none"/>
        </w:rPr>
        <w:t>的采购活动，提供的货物全部由符合政策要求的</w:t>
      </w:r>
      <w:r>
        <w:rPr>
          <w:rFonts w:hint="eastAsia"/>
          <w:color w:val="auto"/>
          <w:sz w:val="24"/>
          <w:highlight w:val="none"/>
          <w:lang w:val="en-US" w:eastAsia="zh-CN"/>
        </w:rPr>
        <w:t>中小</w:t>
      </w:r>
      <w:r>
        <w:rPr>
          <w:rFonts w:hint="eastAsia"/>
          <w:color w:val="auto"/>
          <w:sz w:val="24"/>
          <w:highlight w:val="none"/>
        </w:rPr>
        <w:t>企业制造。相关企业（含联合体中</w:t>
      </w:r>
      <w:r>
        <w:rPr>
          <w:rFonts w:hint="eastAsia"/>
          <w:color w:val="auto"/>
          <w:sz w:val="24"/>
          <w:highlight w:val="none"/>
          <w:lang w:val="en-US" w:eastAsia="zh-CN"/>
        </w:rPr>
        <w:t>的中小</w:t>
      </w:r>
      <w:r>
        <w:rPr>
          <w:rFonts w:hint="eastAsia"/>
          <w:color w:val="auto"/>
          <w:sz w:val="24"/>
          <w:highlight w:val="none"/>
        </w:rPr>
        <w:t>企业、签订分包意向协议的</w:t>
      </w:r>
      <w:r>
        <w:rPr>
          <w:rFonts w:hint="eastAsia"/>
          <w:color w:val="auto"/>
          <w:sz w:val="24"/>
          <w:highlight w:val="none"/>
          <w:lang w:val="en-US" w:eastAsia="zh-CN"/>
        </w:rPr>
        <w:t>中</w:t>
      </w:r>
      <w:r>
        <w:rPr>
          <w:rFonts w:hint="eastAsia"/>
          <w:color w:val="auto"/>
          <w:sz w:val="24"/>
          <w:highlight w:val="none"/>
        </w:rPr>
        <w:t>小企业）的具体情况如下：</w:t>
      </w:r>
    </w:p>
    <w:p w14:paraId="2AC77B38">
      <w:pPr>
        <w:pStyle w:val="30"/>
        <w:widowControl w:val="0"/>
        <w:spacing w:before="0" w:beforeAutospacing="0" w:after="0" w:afterAutospacing="0" w:line="360" w:lineRule="auto"/>
        <w:ind w:firstLine="360"/>
        <w:jc w:val="both"/>
        <w:rPr>
          <w:color w:val="auto"/>
          <w:highlight w:val="none"/>
        </w:rPr>
      </w:pPr>
      <w:r>
        <w:rPr>
          <w:rFonts w:hint="eastAsia"/>
          <w:color w:val="auto"/>
          <w:highlight w:val="none"/>
        </w:rPr>
        <w:t>1.</w:t>
      </w:r>
      <w:r>
        <w:rPr>
          <w:rFonts w:hint="eastAsia"/>
          <w:color w:val="auto"/>
          <w:highlight w:val="none"/>
          <w:u w:val="single"/>
        </w:rPr>
        <w:t>（标的名称）</w:t>
      </w:r>
      <w:r>
        <w:rPr>
          <w:rFonts w:hint="eastAsia"/>
          <w:i/>
          <w:color w:val="auto"/>
          <w:highlight w:val="none"/>
        </w:rPr>
        <w:t>，</w:t>
      </w:r>
      <w:r>
        <w:rPr>
          <w:rFonts w:hint="eastAsia"/>
          <w:color w:val="auto"/>
          <w:highlight w:val="none"/>
        </w:rPr>
        <w:t>属于</w:t>
      </w:r>
      <w:r>
        <w:rPr>
          <w:rFonts w:hint="eastAsia"/>
          <w:color w:val="auto"/>
          <w:highlight w:val="none"/>
          <w:u w:val="single"/>
          <w:lang w:val="en-US" w:eastAsia="zh-CN"/>
        </w:rPr>
        <w:t>(采购文件中明确的所属行业)</w:t>
      </w:r>
      <w:r>
        <w:rPr>
          <w:rFonts w:hint="eastAsia"/>
          <w:color w:val="auto"/>
          <w:highlight w:val="none"/>
        </w:rPr>
        <w:t>行业；制造商为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14:paraId="10FA5EED">
      <w:pPr>
        <w:pStyle w:val="30"/>
        <w:widowControl w:val="0"/>
        <w:spacing w:before="0" w:beforeAutospacing="0" w:after="0" w:afterAutospacing="0" w:line="360" w:lineRule="auto"/>
        <w:ind w:firstLine="360"/>
        <w:jc w:val="both"/>
        <w:rPr>
          <w:color w:val="auto"/>
          <w:highlight w:val="none"/>
        </w:rPr>
      </w:pPr>
      <w:r>
        <w:rPr>
          <w:rFonts w:hint="eastAsia"/>
          <w:color w:val="auto"/>
          <w:highlight w:val="none"/>
        </w:rPr>
        <w:t>2.</w:t>
      </w:r>
      <w:r>
        <w:rPr>
          <w:rFonts w:hint="eastAsia"/>
          <w:color w:val="auto"/>
          <w:highlight w:val="none"/>
          <w:u w:val="single"/>
        </w:rPr>
        <w:t>（标的名称）</w:t>
      </w:r>
      <w:r>
        <w:rPr>
          <w:rFonts w:hint="eastAsia"/>
          <w:i/>
          <w:color w:val="auto"/>
          <w:highlight w:val="none"/>
        </w:rPr>
        <w:t>，</w:t>
      </w:r>
      <w:r>
        <w:rPr>
          <w:rFonts w:hint="eastAsia"/>
          <w:color w:val="auto"/>
          <w:highlight w:val="none"/>
        </w:rPr>
        <w:t>属于</w:t>
      </w:r>
      <w:r>
        <w:rPr>
          <w:rFonts w:hint="eastAsia"/>
          <w:color w:val="auto"/>
          <w:highlight w:val="none"/>
          <w:u w:val="single"/>
          <w:lang w:val="en-US" w:eastAsia="zh-CN"/>
        </w:rPr>
        <w:t>(采购文件中明确的所属行业)</w:t>
      </w:r>
      <w:r>
        <w:rPr>
          <w:rFonts w:hint="eastAsia"/>
          <w:color w:val="auto"/>
          <w:highlight w:val="none"/>
        </w:rPr>
        <w:t>行业；制造商为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14:paraId="00A5C74D">
      <w:pPr>
        <w:pStyle w:val="30"/>
        <w:widowControl w:val="0"/>
        <w:spacing w:before="0" w:beforeAutospacing="0" w:after="0" w:afterAutospacing="0" w:line="360" w:lineRule="auto"/>
        <w:ind w:firstLine="360"/>
        <w:jc w:val="both"/>
        <w:rPr>
          <w:color w:val="auto"/>
          <w:highlight w:val="none"/>
        </w:rPr>
      </w:pPr>
      <w:r>
        <w:rPr>
          <w:rFonts w:hint="eastAsia"/>
          <w:color w:val="auto"/>
          <w:highlight w:val="none"/>
        </w:rPr>
        <w:t>……</w:t>
      </w:r>
    </w:p>
    <w:p w14:paraId="00BEB5E9">
      <w:pPr>
        <w:pStyle w:val="30"/>
        <w:widowControl w:val="0"/>
        <w:spacing w:before="0" w:beforeAutospacing="0" w:after="0" w:afterAutospacing="0" w:line="360" w:lineRule="auto"/>
        <w:ind w:firstLine="360"/>
        <w:jc w:val="both"/>
        <w:rPr>
          <w:color w:val="auto"/>
          <w:highlight w:val="none"/>
        </w:rPr>
      </w:pPr>
      <w:r>
        <w:rPr>
          <w:rFonts w:hint="eastAsia"/>
          <w:color w:val="auto"/>
          <w:highlight w:val="none"/>
        </w:rPr>
        <w:t>以上企业，不属于大企业的分支机构，不存在控股股东为大企业的情形，也不存在与大企业的负责人为同一人的情形。</w:t>
      </w:r>
    </w:p>
    <w:p w14:paraId="14B2F3BC">
      <w:pPr>
        <w:pStyle w:val="30"/>
        <w:widowControl w:val="0"/>
        <w:spacing w:before="0" w:beforeAutospacing="0" w:after="0" w:afterAutospacing="0" w:line="360" w:lineRule="auto"/>
        <w:ind w:firstLine="360"/>
        <w:jc w:val="both"/>
        <w:rPr>
          <w:color w:val="auto"/>
          <w:highlight w:val="none"/>
        </w:rPr>
      </w:pPr>
      <w:r>
        <w:rPr>
          <w:rFonts w:hint="eastAsia"/>
          <w:color w:val="auto"/>
          <w:highlight w:val="none"/>
        </w:rPr>
        <w:t>本企业对上述声明内容的真实性负责。如有虚假，将依法承担相应责任</w:t>
      </w:r>
    </w:p>
    <w:p w14:paraId="7E8B28C2">
      <w:pPr>
        <w:pStyle w:val="30"/>
        <w:widowControl w:val="0"/>
        <w:spacing w:before="0" w:beforeAutospacing="0" w:after="0" w:afterAutospacing="0" w:line="360" w:lineRule="auto"/>
        <w:ind w:right="720"/>
        <w:jc w:val="both"/>
        <w:rPr>
          <w:color w:val="auto"/>
          <w:highlight w:val="none"/>
        </w:rPr>
      </w:pPr>
      <w:r>
        <w:rPr>
          <w:color w:val="auto"/>
          <w:highlight w:val="none"/>
        </w:rPr>
        <w:t> </w:t>
      </w:r>
    </w:p>
    <w:p w14:paraId="006BFBBB">
      <w:pPr>
        <w:pStyle w:val="30"/>
        <w:widowControl w:val="0"/>
        <w:spacing w:before="0" w:beforeAutospacing="0" w:after="0" w:afterAutospacing="0" w:line="360" w:lineRule="auto"/>
        <w:ind w:right="180" w:firstLine="360"/>
        <w:jc w:val="right"/>
        <w:rPr>
          <w:color w:val="auto"/>
          <w:highlight w:val="none"/>
        </w:rPr>
      </w:pPr>
      <w:r>
        <w:rPr>
          <w:rFonts w:hint="eastAsia"/>
          <w:color w:val="auto"/>
          <w:highlight w:val="none"/>
        </w:rPr>
        <w:t>企业名称（加盖CA电子公章）：</w:t>
      </w:r>
    </w:p>
    <w:p w14:paraId="0D4EB002">
      <w:pPr>
        <w:pStyle w:val="30"/>
        <w:widowControl w:val="0"/>
        <w:spacing w:before="0" w:beforeAutospacing="0" w:after="0" w:afterAutospacing="0" w:line="360" w:lineRule="auto"/>
        <w:ind w:right="480" w:firstLine="5400"/>
        <w:jc w:val="both"/>
        <w:rPr>
          <w:color w:val="auto"/>
          <w:highlight w:val="none"/>
        </w:rPr>
      </w:pPr>
      <w:r>
        <w:rPr>
          <w:rFonts w:hint="eastAsia"/>
          <w:color w:val="auto"/>
          <w:highlight w:val="none"/>
        </w:rPr>
        <w:t>日  期：</w:t>
      </w:r>
    </w:p>
    <w:p w14:paraId="4F4007DD">
      <w:pPr>
        <w:pStyle w:val="30"/>
        <w:spacing w:beforeAutospacing="0" w:afterAutospacing="0" w:line="0" w:lineRule="atLeast"/>
        <w:ind w:firstLine="240"/>
        <w:jc w:val="both"/>
        <w:rPr>
          <w:color w:val="auto"/>
          <w:highlight w:val="none"/>
        </w:rPr>
      </w:pPr>
      <w:r>
        <w:rPr>
          <w:color w:val="auto"/>
          <w:highlight w:val="none"/>
        </w:rPr>
        <w:t> </w:t>
      </w:r>
    </w:p>
    <w:p w14:paraId="29596CD2">
      <w:pPr>
        <w:pStyle w:val="30"/>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36C72D2F">
      <w:pPr>
        <w:pStyle w:val="30"/>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4870E8E6">
      <w:pPr>
        <w:pStyle w:val="30"/>
        <w:spacing w:beforeAutospacing="0" w:afterAutospacing="0" w:line="0" w:lineRule="atLeast"/>
        <w:jc w:val="center"/>
        <w:rPr>
          <w:color w:val="auto"/>
          <w:highlight w:val="none"/>
        </w:rPr>
      </w:pPr>
      <w:r>
        <w:rPr>
          <w:color w:val="auto"/>
          <w:highlight w:val="none"/>
        </w:rPr>
        <w:t> </w:t>
      </w:r>
    </w:p>
    <w:p w14:paraId="7F9AE36D">
      <w:pPr>
        <w:pStyle w:val="30"/>
        <w:spacing w:beforeAutospacing="0" w:afterAutospacing="0" w:line="0" w:lineRule="atLeast"/>
        <w:jc w:val="center"/>
        <w:rPr>
          <w:color w:val="auto"/>
          <w:highlight w:val="none"/>
        </w:rPr>
      </w:pPr>
      <w:r>
        <w:rPr>
          <w:color w:val="auto"/>
          <w:highlight w:val="none"/>
        </w:rPr>
        <w:t> </w:t>
      </w:r>
    </w:p>
    <w:p w14:paraId="5C0B0A71">
      <w:pPr>
        <w:pStyle w:val="30"/>
        <w:spacing w:beforeAutospacing="0" w:afterAutospacing="0" w:line="0" w:lineRule="atLeast"/>
        <w:jc w:val="center"/>
        <w:rPr>
          <w:color w:val="auto"/>
          <w:highlight w:val="none"/>
        </w:rPr>
      </w:pPr>
    </w:p>
    <w:p w14:paraId="0B2AE2D0">
      <w:pPr>
        <w:pStyle w:val="30"/>
        <w:spacing w:beforeAutospacing="0" w:afterAutospacing="0" w:line="0" w:lineRule="atLeast"/>
        <w:jc w:val="center"/>
        <w:rPr>
          <w:color w:val="auto"/>
          <w:highlight w:val="none"/>
        </w:rPr>
      </w:pPr>
    </w:p>
    <w:p w14:paraId="17526B55">
      <w:pPr>
        <w:pStyle w:val="30"/>
        <w:spacing w:beforeAutospacing="0" w:afterAutospacing="0" w:line="0" w:lineRule="atLeast"/>
        <w:jc w:val="center"/>
        <w:rPr>
          <w:color w:val="auto"/>
          <w:highlight w:val="none"/>
        </w:rPr>
      </w:pPr>
    </w:p>
    <w:p w14:paraId="3DD99CB3">
      <w:pPr>
        <w:pStyle w:val="30"/>
        <w:spacing w:beforeAutospacing="0" w:afterAutospacing="0" w:line="0" w:lineRule="atLeast"/>
        <w:jc w:val="center"/>
        <w:rPr>
          <w:color w:val="auto"/>
          <w:highlight w:val="none"/>
        </w:rPr>
      </w:pPr>
    </w:p>
    <w:p w14:paraId="36E457AB">
      <w:pPr>
        <w:pStyle w:val="30"/>
        <w:spacing w:beforeAutospacing="0" w:afterAutospacing="0" w:line="0" w:lineRule="atLeast"/>
        <w:jc w:val="center"/>
        <w:rPr>
          <w:color w:val="auto"/>
          <w:highlight w:val="none"/>
        </w:rPr>
      </w:pPr>
    </w:p>
    <w:p w14:paraId="6D99DEA5">
      <w:pPr>
        <w:pStyle w:val="30"/>
        <w:spacing w:beforeAutospacing="0" w:afterAutospacing="0" w:line="0" w:lineRule="atLeast"/>
        <w:jc w:val="center"/>
        <w:rPr>
          <w:color w:val="auto"/>
          <w:highlight w:val="none"/>
        </w:rPr>
      </w:pPr>
    </w:p>
    <w:p w14:paraId="78C116F1">
      <w:pPr>
        <w:pStyle w:val="30"/>
        <w:spacing w:beforeAutospacing="0" w:afterAutospacing="0" w:line="0" w:lineRule="atLeast"/>
        <w:jc w:val="both"/>
        <w:rPr>
          <w:color w:val="auto"/>
          <w:highlight w:val="none"/>
        </w:rPr>
      </w:pPr>
    </w:p>
    <w:p w14:paraId="079E9BCF">
      <w:pPr>
        <w:pStyle w:val="30"/>
        <w:spacing w:beforeAutospacing="0" w:afterAutospacing="0" w:line="0" w:lineRule="atLeast"/>
        <w:jc w:val="center"/>
        <w:rPr>
          <w:rFonts w:ascii="黑体" w:hAnsi="宋体" w:eastAsia="黑体" w:cs="黑体"/>
          <w:b/>
          <w:color w:val="auto"/>
          <w:sz w:val="32"/>
          <w:szCs w:val="32"/>
          <w:highlight w:val="none"/>
        </w:rPr>
      </w:pPr>
    </w:p>
    <w:p w14:paraId="7E015EFE">
      <w:pPr>
        <w:pStyle w:val="30"/>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 十、残疾人福利性单位声明函（分包号：**）</w:t>
      </w:r>
    </w:p>
    <w:p w14:paraId="50ED8263">
      <w:pPr>
        <w:pStyle w:val="30"/>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项目（分包号：**）采购活动提供本单位制造的货物，或者提供其他残疾人福利性单位制造的货物（不包括使用非残疾人福利性单位注册商标的货物）。</w:t>
      </w:r>
    </w:p>
    <w:p w14:paraId="4EDC4742">
      <w:pPr>
        <w:pStyle w:val="30"/>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本单位对上述声明的真实性负责。如有虚假，将依法承担相应责任。</w:t>
      </w:r>
    </w:p>
    <w:p w14:paraId="6B739C65">
      <w:pPr>
        <w:pStyle w:val="30"/>
        <w:spacing w:beforeAutospacing="0" w:afterAutospacing="0" w:line="0" w:lineRule="atLeast"/>
        <w:ind w:firstLine="480"/>
        <w:jc w:val="both"/>
        <w:rPr>
          <w:color w:val="auto"/>
          <w:highlight w:val="none"/>
        </w:rPr>
      </w:pPr>
      <w:r>
        <w:rPr>
          <w:color w:val="auto"/>
          <w:highlight w:val="none"/>
        </w:rPr>
        <w:t> </w:t>
      </w:r>
    </w:p>
    <w:p w14:paraId="44305978">
      <w:pPr>
        <w:pStyle w:val="30"/>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。2、成交供应商为残疾人福利单位的，此声明函将随成交结果同时公告，接受社会监督</w:t>
      </w:r>
    </w:p>
    <w:p w14:paraId="2B4D60AA">
      <w:pPr>
        <w:pStyle w:val="30"/>
        <w:spacing w:beforeAutospacing="0" w:afterAutospacing="0" w:line="0" w:lineRule="atLeast"/>
        <w:ind w:firstLine="624"/>
        <w:jc w:val="both"/>
        <w:rPr>
          <w:color w:val="auto"/>
          <w:highlight w:val="none"/>
        </w:rPr>
      </w:pPr>
      <w:r>
        <w:rPr>
          <w:color w:val="auto"/>
          <w:highlight w:val="none"/>
        </w:rPr>
        <w:t> </w:t>
      </w:r>
    </w:p>
    <w:p w14:paraId="0D92DEA2">
      <w:pPr>
        <w:pStyle w:val="30"/>
        <w:tabs>
          <w:tab w:val="left" w:pos="4864"/>
        </w:tabs>
        <w:spacing w:beforeAutospacing="0" w:afterAutospacing="0" w:line="0" w:lineRule="atLeast"/>
        <w:ind w:right="1560" w:firstLine="624"/>
        <w:jc w:val="center"/>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供应商全称（加盖CA电子公章）：</w:t>
      </w:r>
    </w:p>
    <w:p w14:paraId="466DB7D7">
      <w:pPr>
        <w:pStyle w:val="30"/>
        <w:tabs>
          <w:tab w:val="left" w:pos="4864"/>
        </w:tabs>
        <w:spacing w:beforeAutospacing="0" w:afterAutospacing="0" w:line="0" w:lineRule="atLeast"/>
        <w:ind w:right="1560" w:firstLine="480"/>
        <w:jc w:val="center"/>
        <w:rPr>
          <w:color w:val="auto"/>
          <w:highlight w:val="none"/>
        </w:rPr>
      </w:pPr>
      <w:r>
        <w:rPr>
          <w:rFonts w:hint="eastAsia" w:ascii="宋体" w:hAnsi="宋体" w:eastAsia="宋体" w:cs="宋体"/>
          <w:color w:val="auto"/>
          <w:highlight w:val="none"/>
        </w:rPr>
        <w:t>        日  期：</w:t>
      </w:r>
    </w:p>
    <w:p w14:paraId="1959223D">
      <w:pPr>
        <w:pStyle w:val="30"/>
        <w:spacing w:beforeAutospacing="0" w:afterAutospacing="0" w:line="0" w:lineRule="atLeast"/>
        <w:jc w:val="center"/>
        <w:rPr>
          <w:color w:val="auto"/>
          <w:highlight w:val="none"/>
        </w:rPr>
      </w:pPr>
      <w:r>
        <w:rPr>
          <w:color w:val="auto"/>
          <w:highlight w:val="none"/>
        </w:rPr>
        <w:t> </w:t>
      </w:r>
    </w:p>
    <w:p w14:paraId="0B7D7C38">
      <w:pPr>
        <w:pStyle w:val="30"/>
        <w:spacing w:beforeAutospacing="0" w:afterAutospacing="0" w:line="0" w:lineRule="atLeast"/>
        <w:jc w:val="center"/>
        <w:rPr>
          <w:color w:val="auto"/>
          <w:highlight w:val="none"/>
        </w:rPr>
      </w:pPr>
      <w:r>
        <w:rPr>
          <w:color w:val="auto"/>
          <w:highlight w:val="none"/>
        </w:rPr>
        <w:t> </w:t>
      </w:r>
    </w:p>
    <w:p w14:paraId="085F6BD5">
      <w:pPr>
        <w:pStyle w:val="30"/>
        <w:spacing w:beforeAutospacing="0" w:afterAutospacing="0" w:line="0" w:lineRule="atLeast"/>
        <w:jc w:val="center"/>
        <w:rPr>
          <w:color w:val="auto"/>
          <w:highlight w:val="none"/>
        </w:rPr>
      </w:pPr>
      <w:r>
        <w:rPr>
          <w:color w:val="auto"/>
          <w:highlight w:val="none"/>
        </w:rPr>
        <w:t> </w:t>
      </w:r>
    </w:p>
    <w:p w14:paraId="7DB9B006">
      <w:pPr>
        <w:pStyle w:val="30"/>
        <w:spacing w:beforeAutospacing="0" w:afterAutospacing="0" w:line="0" w:lineRule="atLeast"/>
        <w:jc w:val="center"/>
        <w:rPr>
          <w:color w:val="auto"/>
          <w:highlight w:val="none"/>
        </w:rPr>
      </w:pPr>
      <w:r>
        <w:rPr>
          <w:color w:val="auto"/>
          <w:highlight w:val="none"/>
        </w:rPr>
        <w:t> </w:t>
      </w:r>
    </w:p>
    <w:p w14:paraId="3AFFD047">
      <w:pPr>
        <w:pStyle w:val="30"/>
        <w:spacing w:beforeAutospacing="0" w:afterAutospacing="0" w:line="0" w:lineRule="atLeast"/>
        <w:jc w:val="center"/>
        <w:rPr>
          <w:color w:val="auto"/>
          <w:highlight w:val="none"/>
        </w:rPr>
      </w:pPr>
      <w:r>
        <w:rPr>
          <w:color w:val="auto"/>
          <w:highlight w:val="none"/>
        </w:rPr>
        <w:t> </w:t>
      </w:r>
    </w:p>
    <w:p w14:paraId="4650B474">
      <w:pPr>
        <w:pStyle w:val="30"/>
        <w:spacing w:beforeAutospacing="0" w:afterAutospacing="0" w:line="0" w:lineRule="atLeast"/>
        <w:jc w:val="center"/>
        <w:rPr>
          <w:color w:val="auto"/>
          <w:highlight w:val="none"/>
        </w:rPr>
      </w:pPr>
      <w:r>
        <w:rPr>
          <w:color w:val="auto"/>
          <w:highlight w:val="none"/>
        </w:rPr>
        <w:t> </w:t>
      </w:r>
    </w:p>
    <w:p w14:paraId="0DC42D59">
      <w:pPr>
        <w:pStyle w:val="30"/>
        <w:spacing w:beforeAutospacing="0" w:afterAutospacing="0" w:line="0" w:lineRule="atLeast"/>
        <w:jc w:val="center"/>
        <w:rPr>
          <w:color w:val="auto"/>
          <w:highlight w:val="none"/>
        </w:rPr>
      </w:pPr>
      <w:r>
        <w:rPr>
          <w:color w:val="auto"/>
          <w:highlight w:val="none"/>
        </w:rPr>
        <w:t> </w:t>
      </w:r>
    </w:p>
    <w:p w14:paraId="1908EA86">
      <w:pPr>
        <w:pStyle w:val="30"/>
        <w:spacing w:beforeAutospacing="0" w:afterAutospacing="0" w:line="0" w:lineRule="atLeast"/>
        <w:jc w:val="center"/>
        <w:rPr>
          <w:color w:val="auto"/>
          <w:highlight w:val="none"/>
        </w:rPr>
      </w:pPr>
      <w:r>
        <w:rPr>
          <w:color w:val="auto"/>
          <w:highlight w:val="none"/>
        </w:rPr>
        <w:t> </w:t>
      </w:r>
    </w:p>
    <w:p w14:paraId="6CA909E0">
      <w:pPr>
        <w:pStyle w:val="30"/>
        <w:spacing w:beforeAutospacing="0" w:afterAutospacing="0" w:line="0" w:lineRule="atLeast"/>
        <w:jc w:val="center"/>
        <w:rPr>
          <w:color w:val="auto"/>
          <w:highlight w:val="none"/>
        </w:rPr>
      </w:pPr>
      <w:r>
        <w:rPr>
          <w:color w:val="auto"/>
          <w:highlight w:val="none"/>
        </w:rPr>
        <w:t> </w:t>
      </w:r>
    </w:p>
    <w:p w14:paraId="0FC74167">
      <w:pPr>
        <w:pStyle w:val="30"/>
        <w:spacing w:beforeAutospacing="0" w:afterAutospacing="0" w:line="0" w:lineRule="atLeast"/>
        <w:jc w:val="center"/>
        <w:rPr>
          <w:color w:val="auto"/>
          <w:highlight w:val="none"/>
        </w:rPr>
      </w:pPr>
      <w:r>
        <w:rPr>
          <w:color w:val="auto"/>
          <w:highlight w:val="none"/>
        </w:rPr>
        <w:t> </w:t>
      </w:r>
    </w:p>
    <w:p w14:paraId="76CAEA35">
      <w:pPr>
        <w:pStyle w:val="30"/>
        <w:spacing w:beforeAutospacing="0" w:afterAutospacing="0" w:line="0" w:lineRule="atLeast"/>
        <w:jc w:val="center"/>
        <w:rPr>
          <w:color w:val="auto"/>
          <w:highlight w:val="none"/>
        </w:rPr>
      </w:pPr>
    </w:p>
    <w:p w14:paraId="281D6819">
      <w:pPr>
        <w:pStyle w:val="30"/>
        <w:spacing w:beforeAutospacing="0" w:afterAutospacing="0" w:line="0" w:lineRule="atLeast"/>
        <w:jc w:val="center"/>
        <w:rPr>
          <w:color w:val="auto"/>
          <w:highlight w:val="none"/>
        </w:rPr>
      </w:pPr>
    </w:p>
    <w:p w14:paraId="558C026C">
      <w:pPr>
        <w:pStyle w:val="30"/>
        <w:spacing w:beforeAutospacing="0" w:afterAutospacing="0" w:line="0" w:lineRule="atLeast"/>
        <w:jc w:val="center"/>
        <w:rPr>
          <w:color w:val="auto"/>
          <w:highlight w:val="none"/>
        </w:rPr>
      </w:pPr>
    </w:p>
    <w:p w14:paraId="2DE300E2">
      <w:pPr>
        <w:pStyle w:val="30"/>
        <w:spacing w:beforeAutospacing="0" w:afterAutospacing="0" w:line="0" w:lineRule="atLeast"/>
        <w:jc w:val="center"/>
        <w:rPr>
          <w:color w:val="auto"/>
          <w:highlight w:val="none"/>
        </w:rPr>
      </w:pPr>
    </w:p>
    <w:p w14:paraId="3BACE7BD">
      <w:pPr>
        <w:pStyle w:val="30"/>
        <w:spacing w:beforeAutospacing="0" w:afterAutospacing="0" w:line="0" w:lineRule="atLeast"/>
        <w:jc w:val="center"/>
        <w:rPr>
          <w:color w:val="auto"/>
          <w:highlight w:val="none"/>
        </w:rPr>
      </w:pPr>
    </w:p>
    <w:p w14:paraId="430B16D5">
      <w:pPr>
        <w:pStyle w:val="30"/>
        <w:spacing w:beforeAutospacing="0" w:afterAutospacing="0" w:line="0" w:lineRule="atLeast"/>
        <w:jc w:val="center"/>
        <w:rPr>
          <w:color w:val="auto"/>
          <w:highlight w:val="none"/>
        </w:rPr>
      </w:pPr>
    </w:p>
    <w:p w14:paraId="0DFDB590">
      <w:pPr>
        <w:pStyle w:val="30"/>
        <w:spacing w:beforeAutospacing="0" w:afterAutospacing="0" w:line="0" w:lineRule="atLeast"/>
        <w:jc w:val="center"/>
        <w:rPr>
          <w:color w:val="auto"/>
          <w:highlight w:val="none"/>
        </w:rPr>
      </w:pPr>
    </w:p>
    <w:p w14:paraId="5AECDE9C">
      <w:pPr>
        <w:pStyle w:val="30"/>
        <w:spacing w:beforeAutospacing="0" w:afterAutospacing="0" w:line="0" w:lineRule="atLeast"/>
        <w:jc w:val="center"/>
        <w:rPr>
          <w:color w:val="auto"/>
          <w:highlight w:val="none"/>
        </w:rPr>
      </w:pPr>
    </w:p>
    <w:p w14:paraId="28671E60">
      <w:pPr>
        <w:pStyle w:val="30"/>
        <w:spacing w:beforeAutospacing="0" w:afterAutospacing="0" w:line="0" w:lineRule="atLeast"/>
        <w:jc w:val="center"/>
        <w:rPr>
          <w:color w:val="auto"/>
          <w:highlight w:val="none"/>
        </w:rPr>
      </w:pPr>
    </w:p>
    <w:p w14:paraId="6B5616CF">
      <w:pPr>
        <w:pStyle w:val="30"/>
        <w:spacing w:beforeAutospacing="0" w:afterAutospacing="0" w:line="0" w:lineRule="atLeast"/>
        <w:jc w:val="center"/>
        <w:rPr>
          <w:color w:val="auto"/>
          <w:highlight w:val="none"/>
        </w:rPr>
      </w:pPr>
    </w:p>
    <w:p w14:paraId="7C5B9E25">
      <w:pPr>
        <w:pStyle w:val="30"/>
        <w:spacing w:beforeAutospacing="0" w:afterAutospacing="0" w:line="0" w:lineRule="atLeast"/>
        <w:jc w:val="center"/>
        <w:rPr>
          <w:color w:val="auto"/>
          <w:highlight w:val="none"/>
        </w:rPr>
      </w:pPr>
    </w:p>
    <w:p w14:paraId="7BCB215C">
      <w:pPr>
        <w:pStyle w:val="30"/>
        <w:spacing w:beforeAutospacing="0" w:afterAutospacing="0" w:line="0" w:lineRule="atLeast"/>
        <w:jc w:val="center"/>
        <w:rPr>
          <w:color w:val="auto"/>
          <w:highlight w:val="none"/>
        </w:rPr>
      </w:pPr>
    </w:p>
    <w:p w14:paraId="2F561FD9">
      <w:pPr>
        <w:pStyle w:val="30"/>
        <w:spacing w:beforeAutospacing="0" w:afterAutospacing="0" w:line="0" w:lineRule="atLeast"/>
        <w:jc w:val="center"/>
        <w:rPr>
          <w:color w:val="auto"/>
          <w:highlight w:val="none"/>
        </w:rPr>
      </w:pPr>
    </w:p>
    <w:p w14:paraId="32558C80">
      <w:pPr>
        <w:pStyle w:val="30"/>
        <w:spacing w:beforeAutospacing="0" w:afterAutospacing="0" w:line="0" w:lineRule="atLeast"/>
        <w:jc w:val="center"/>
        <w:rPr>
          <w:color w:val="auto"/>
          <w:highlight w:val="none"/>
        </w:rPr>
      </w:pPr>
    </w:p>
    <w:p w14:paraId="270BB8B3">
      <w:pPr>
        <w:pStyle w:val="30"/>
        <w:spacing w:beforeAutospacing="0" w:afterAutospacing="0" w:line="0" w:lineRule="atLeast"/>
        <w:jc w:val="center"/>
        <w:rPr>
          <w:color w:val="auto"/>
          <w:highlight w:val="none"/>
        </w:rPr>
      </w:pPr>
    </w:p>
    <w:p w14:paraId="68B2E28C">
      <w:pPr>
        <w:pStyle w:val="30"/>
        <w:spacing w:beforeAutospacing="0" w:afterAutospacing="0" w:line="0" w:lineRule="atLeast"/>
        <w:jc w:val="center"/>
        <w:rPr>
          <w:color w:val="auto"/>
          <w:highlight w:val="none"/>
        </w:rPr>
      </w:pPr>
    </w:p>
    <w:p w14:paraId="3299F1BE">
      <w:pPr>
        <w:pStyle w:val="30"/>
        <w:spacing w:beforeAutospacing="0" w:afterAutospacing="0" w:line="0" w:lineRule="atLeast"/>
        <w:jc w:val="center"/>
        <w:rPr>
          <w:color w:val="auto"/>
          <w:highlight w:val="none"/>
        </w:rPr>
      </w:pPr>
    </w:p>
    <w:p w14:paraId="4E172507">
      <w:pPr>
        <w:pStyle w:val="30"/>
        <w:spacing w:beforeAutospacing="0" w:afterAutospacing="0" w:line="0" w:lineRule="atLeast"/>
        <w:jc w:val="center"/>
        <w:rPr>
          <w:color w:val="auto"/>
          <w:highlight w:val="none"/>
        </w:rPr>
      </w:pPr>
    </w:p>
    <w:p w14:paraId="4277D951">
      <w:pPr>
        <w:pStyle w:val="30"/>
        <w:spacing w:beforeAutospacing="0" w:afterAutospacing="0" w:line="0" w:lineRule="atLeast"/>
        <w:jc w:val="center"/>
        <w:rPr>
          <w:color w:val="auto"/>
          <w:highlight w:val="none"/>
        </w:rPr>
      </w:pPr>
    </w:p>
    <w:p w14:paraId="776905E6">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color w:val="auto"/>
          <w:highlight w:val="none"/>
        </w:rPr>
      </w:pPr>
      <w:r>
        <w:rPr>
          <w:color w:val="auto"/>
          <w:highlight w:val="none"/>
        </w:rPr>
        <w:t> </w:t>
      </w:r>
      <w:r>
        <w:rPr>
          <w:rFonts w:ascii="黑体" w:hAnsi="宋体" w:eastAsia="黑体" w:cs="黑体"/>
          <w:b/>
          <w:bCs/>
          <w:color w:val="auto"/>
          <w:sz w:val="32"/>
          <w:szCs w:val="32"/>
          <w:highlight w:val="none"/>
        </w:rPr>
        <w:t>十一、 关于符合本国产品标准的声明函（采购包号：**）</w:t>
      </w:r>
    </w:p>
    <w:p w14:paraId="3D48EB6C">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color w:val="auto"/>
          <w:highlight w:val="none"/>
        </w:rPr>
      </w:pPr>
      <w:r>
        <w:rPr>
          <w:rFonts w:ascii="Arial" w:hAnsi="Arial" w:cs="Arial"/>
          <w:color w:val="auto"/>
          <w:sz w:val="24"/>
          <w:szCs w:val="24"/>
          <w:highlight w:val="none"/>
        </w:rPr>
        <w:t> </w:t>
      </w:r>
    </w:p>
    <w:p w14:paraId="311B4E85">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b/>
          <w:bCs/>
          <w:color w:val="auto"/>
          <w:highlight w:val="none"/>
        </w:rPr>
      </w:pPr>
      <w:r>
        <w:rPr>
          <w:rFonts w:ascii="宋体" w:hAnsi="宋体" w:eastAsia="宋体" w:cs="宋体"/>
          <w:b/>
          <w:bCs/>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5A8AFE73">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highlight w:val="none"/>
        </w:rPr>
      </w:pPr>
      <w:r>
        <w:rPr>
          <w:rFonts w:ascii="宋体" w:hAnsi="宋体" w:eastAsia="宋体" w:cs="宋体"/>
          <w:b/>
          <w:bCs/>
          <w:color w:val="auto"/>
          <w:sz w:val="24"/>
          <w:szCs w:val="24"/>
          <w:highlight w:val="none"/>
          <w:shd w:val="clear" w:fill="FFFFFF"/>
        </w:rPr>
        <w:t>1.</w:t>
      </w:r>
      <w:r>
        <w:rPr>
          <w:rFonts w:ascii="宋体" w:hAnsi="宋体" w:eastAsia="宋体" w:cs="宋体"/>
          <w:b/>
          <w:bCs/>
          <w:color w:val="auto"/>
          <w:sz w:val="24"/>
          <w:szCs w:val="24"/>
          <w:highlight w:val="none"/>
          <w:u w:val="single"/>
          <w:shd w:val="clear" w:fill="FFFFFF"/>
        </w:rPr>
        <w:t>（产品名称1）</w:t>
      </w:r>
      <w:r>
        <w:rPr>
          <w:rFonts w:ascii="宋体" w:hAnsi="宋体" w:eastAsia="宋体" w:cs="宋体"/>
          <w:b/>
          <w:bCs/>
          <w:color w:val="auto"/>
          <w:sz w:val="24"/>
          <w:szCs w:val="24"/>
          <w:highlight w:val="none"/>
          <w:shd w:val="clear" w:fill="FFFFFF"/>
          <w:vertAlign w:val="superscript"/>
        </w:rPr>
        <w:t>1</w:t>
      </w:r>
      <w:r>
        <w:rPr>
          <w:rFonts w:ascii="宋体" w:hAnsi="宋体" w:eastAsia="宋体" w:cs="宋体"/>
          <w:b/>
          <w:bCs/>
          <w:color w:val="auto"/>
          <w:sz w:val="24"/>
          <w:szCs w:val="24"/>
          <w:highlight w:val="none"/>
          <w:shd w:val="clear" w:fill="FFFFFF"/>
        </w:rPr>
        <w:t>，生产厂为</w:t>
      </w:r>
      <w:r>
        <w:rPr>
          <w:rFonts w:ascii="宋体" w:hAnsi="宋体" w:eastAsia="宋体" w:cs="宋体"/>
          <w:b/>
          <w:bCs/>
          <w:color w:val="auto"/>
          <w:sz w:val="24"/>
          <w:szCs w:val="24"/>
          <w:highlight w:val="none"/>
          <w:u w:val="single"/>
          <w:shd w:val="clear" w:fill="FFFFFF"/>
        </w:rPr>
        <w:t>（厂名）</w:t>
      </w:r>
      <w:r>
        <w:rPr>
          <w:rFonts w:ascii="宋体" w:hAnsi="宋体" w:eastAsia="宋体" w:cs="宋体"/>
          <w:b/>
          <w:bCs/>
          <w:color w:val="auto"/>
          <w:sz w:val="24"/>
          <w:szCs w:val="24"/>
          <w:highlight w:val="none"/>
          <w:shd w:val="clear" w:fill="FFFFFF"/>
          <w:vertAlign w:val="superscript"/>
        </w:rPr>
        <w:t>2</w:t>
      </w:r>
      <w:r>
        <w:rPr>
          <w:rFonts w:ascii="宋体" w:hAnsi="宋体" w:eastAsia="宋体" w:cs="宋体"/>
          <w:b/>
          <w:bCs/>
          <w:color w:val="auto"/>
          <w:sz w:val="24"/>
          <w:szCs w:val="24"/>
          <w:highlight w:val="none"/>
          <w:shd w:val="clear" w:fill="FFFFFF"/>
        </w:rPr>
        <w:t>，厂址为</w:t>
      </w:r>
      <w:r>
        <w:rPr>
          <w:rFonts w:ascii="宋体" w:hAnsi="宋体" w:eastAsia="宋体" w:cs="宋体"/>
          <w:b/>
          <w:bCs/>
          <w:color w:val="auto"/>
          <w:sz w:val="24"/>
          <w:szCs w:val="24"/>
          <w:highlight w:val="none"/>
          <w:u w:val="single"/>
          <w:shd w:val="clear" w:fill="FFFFFF"/>
        </w:rPr>
        <w:t>（生产厂址）</w:t>
      </w:r>
      <w:r>
        <w:rPr>
          <w:rFonts w:ascii="宋体" w:hAnsi="宋体" w:eastAsia="宋体" w:cs="宋体"/>
          <w:b/>
          <w:bCs/>
          <w:color w:val="auto"/>
          <w:sz w:val="24"/>
          <w:szCs w:val="24"/>
          <w:highlight w:val="none"/>
          <w:shd w:val="clear" w:fill="FFFFFF"/>
        </w:rPr>
        <w:t>。</w:t>
      </w:r>
      <w:r>
        <w:rPr>
          <w:rFonts w:ascii="宋体" w:hAnsi="宋体" w:eastAsia="宋体" w:cs="宋体"/>
          <w:b/>
          <w:bCs/>
          <w:strike/>
          <w:dstrike w:val="0"/>
          <w:color w:val="auto"/>
          <w:sz w:val="24"/>
          <w:szCs w:val="24"/>
          <w:highlight w:val="none"/>
          <w:u w:val="single"/>
          <w:shd w:val="clear" w:fill="FFFFFF"/>
        </w:rPr>
        <w:t> （产品名称1）</w:t>
      </w:r>
      <w:r>
        <w:rPr>
          <w:rFonts w:ascii="宋体" w:hAnsi="宋体" w:eastAsia="宋体" w:cs="宋体"/>
          <w:b/>
          <w:bCs/>
          <w:color w:val="auto"/>
          <w:sz w:val="24"/>
          <w:szCs w:val="24"/>
          <w:highlight w:val="none"/>
          <w:u w:val="single"/>
          <w:shd w:val="clear" w:fill="FFFFFF"/>
        </w:rPr>
        <w:t> </w:t>
      </w:r>
      <w:r>
        <w:rPr>
          <w:rFonts w:ascii="宋体" w:hAnsi="宋体" w:eastAsia="宋体" w:cs="宋体"/>
          <w:b/>
          <w:bCs/>
          <w:color w:val="auto"/>
          <w:sz w:val="24"/>
          <w:szCs w:val="24"/>
          <w:highlight w:val="none"/>
          <w:shd w:val="clear" w:fill="FFFFFF"/>
        </w:rPr>
        <w:t>的中国境内生产的组件成本占比≥</w:t>
      </w:r>
      <w:r>
        <w:rPr>
          <w:rFonts w:ascii="宋体" w:hAnsi="宋体" w:eastAsia="宋体" w:cs="宋体"/>
          <w:b/>
          <w:bCs/>
          <w:strike/>
          <w:dstrike w:val="0"/>
          <w:color w:val="auto"/>
          <w:sz w:val="24"/>
          <w:szCs w:val="24"/>
          <w:highlight w:val="none"/>
          <w:u w:val="single"/>
          <w:shd w:val="clear" w:fill="FFFFFF"/>
        </w:rPr>
        <w:t>（规定比例）</w:t>
      </w:r>
      <w:r>
        <w:rPr>
          <w:rFonts w:ascii="宋体" w:hAnsi="宋体" w:eastAsia="宋体" w:cs="宋体"/>
          <w:b/>
          <w:bCs/>
          <w:strike/>
          <w:dstrike w:val="0"/>
          <w:color w:val="auto"/>
          <w:sz w:val="24"/>
          <w:szCs w:val="24"/>
          <w:highlight w:val="none"/>
          <w:shd w:val="clear" w:fill="FFFFFF"/>
          <w:vertAlign w:val="superscript"/>
        </w:rPr>
        <w:t>3</w:t>
      </w:r>
      <w:r>
        <w:rPr>
          <w:rFonts w:ascii="宋体" w:hAnsi="宋体" w:eastAsia="宋体" w:cs="宋体"/>
          <w:b/>
          <w:bCs/>
          <w:color w:val="auto"/>
          <w:sz w:val="24"/>
          <w:szCs w:val="24"/>
          <w:highlight w:val="none"/>
          <w:shd w:val="clear" w:fill="FFFFFF"/>
        </w:rPr>
        <w:t>。</w:t>
      </w:r>
      <w:r>
        <w:rPr>
          <w:rFonts w:ascii="宋体" w:hAnsi="宋体" w:eastAsia="宋体" w:cs="宋体"/>
          <w:b/>
          <w:bCs/>
          <w:strike/>
          <w:dstrike w:val="0"/>
          <w:color w:val="auto"/>
          <w:sz w:val="24"/>
          <w:szCs w:val="24"/>
          <w:highlight w:val="none"/>
          <w:u w:val="single"/>
          <w:shd w:val="clear" w:fill="FFFFFF"/>
        </w:rPr>
        <w:t>（产品名称1）</w:t>
      </w:r>
      <w:r>
        <w:rPr>
          <w:rFonts w:ascii="宋体" w:hAnsi="宋体" w:eastAsia="宋体" w:cs="宋体"/>
          <w:b/>
          <w:bCs/>
          <w:color w:val="auto"/>
          <w:sz w:val="24"/>
          <w:szCs w:val="24"/>
          <w:highlight w:val="none"/>
          <w:shd w:val="clear" w:fill="FFFFFF"/>
        </w:rPr>
        <w:t>的</w:t>
      </w:r>
      <w:r>
        <w:rPr>
          <w:rFonts w:ascii="宋体" w:hAnsi="宋体" w:eastAsia="宋体" w:cs="宋体"/>
          <w:b/>
          <w:bCs/>
          <w:strike/>
          <w:dstrike w:val="0"/>
          <w:color w:val="auto"/>
          <w:sz w:val="24"/>
          <w:szCs w:val="24"/>
          <w:highlight w:val="none"/>
          <w:u w:val="single"/>
          <w:shd w:val="clear" w:fill="FFFFFF"/>
        </w:rPr>
        <w:t>（关键组件）</w:t>
      </w:r>
      <w:r>
        <w:rPr>
          <w:rFonts w:ascii="宋体" w:hAnsi="宋体" w:eastAsia="宋体" w:cs="宋体"/>
          <w:b/>
          <w:bCs/>
          <w:strike/>
          <w:dstrike w:val="0"/>
          <w:color w:val="auto"/>
          <w:sz w:val="24"/>
          <w:szCs w:val="24"/>
          <w:highlight w:val="none"/>
          <w:shd w:val="clear" w:fill="FFFFFF"/>
          <w:vertAlign w:val="superscript"/>
        </w:rPr>
        <w:t>4</w:t>
      </w:r>
      <w:r>
        <w:rPr>
          <w:rFonts w:ascii="宋体" w:hAnsi="宋体" w:eastAsia="宋体" w:cs="宋体"/>
          <w:b/>
          <w:bCs/>
          <w:color w:val="auto"/>
          <w:sz w:val="24"/>
          <w:szCs w:val="24"/>
          <w:highlight w:val="none"/>
          <w:shd w:val="clear" w:fill="FFFFFF"/>
        </w:rPr>
        <w:t>在中国境内生产。</w:t>
      </w:r>
      <w:r>
        <w:rPr>
          <w:rFonts w:ascii="宋体" w:hAnsi="宋体" w:eastAsia="宋体" w:cs="宋体"/>
          <w:b/>
          <w:bCs/>
          <w:strike/>
          <w:dstrike w:val="0"/>
          <w:color w:val="auto"/>
          <w:sz w:val="24"/>
          <w:szCs w:val="24"/>
          <w:highlight w:val="none"/>
          <w:u w:val="single"/>
          <w:shd w:val="clear" w:fill="FFFFFF"/>
        </w:rPr>
        <w:t>（产品名称1）</w:t>
      </w:r>
      <w:r>
        <w:rPr>
          <w:rFonts w:ascii="宋体" w:hAnsi="宋体" w:eastAsia="宋体" w:cs="宋体"/>
          <w:b/>
          <w:bCs/>
          <w:color w:val="auto"/>
          <w:sz w:val="24"/>
          <w:szCs w:val="24"/>
          <w:highlight w:val="none"/>
          <w:shd w:val="clear" w:fill="FFFFFF"/>
        </w:rPr>
        <w:t>的</w:t>
      </w:r>
      <w:r>
        <w:rPr>
          <w:rFonts w:ascii="宋体" w:hAnsi="宋体" w:eastAsia="宋体" w:cs="宋体"/>
          <w:b/>
          <w:bCs/>
          <w:strike/>
          <w:dstrike w:val="0"/>
          <w:color w:val="auto"/>
          <w:sz w:val="24"/>
          <w:szCs w:val="24"/>
          <w:highlight w:val="none"/>
          <w:u w:val="single"/>
          <w:shd w:val="clear" w:fill="FFFFFF"/>
        </w:rPr>
        <w:t>（关键工序）</w:t>
      </w:r>
      <w:r>
        <w:rPr>
          <w:rFonts w:ascii="宋体" w:hAnsi="宋体" w:eastAsia="宋体" w:cs="宋体"/>
          <w:b/>
          <w:bCs/>
          <w:strike/>
          <w:dstrike w:val="0"/>
          <w:color w:val="auto"/>
          <w:sz w:val="24"/>
          <w:szCs w:val="24"/>
          <w:highlight w:val="none"/>
          <w:shd w:val="clear" w:fill="FFFFFF"/>
          <w:vertAlign w:val="superscript"/>
        </w:rPr>
        <w:t>5</w:t>
      </w:r>
      <w:r>
        <w:rPr>
          <w:rFonts w:ascii="宋体" w:hAnsi="宋体" w:eastAsia="宋体" w:cs="宋体"/>
          <w:b/>
          <w:bCs/>
          <w:color w:val="auto"/>
          <w:sz w:val="24"/>
          <w:szCs w:val="24"/>
          <w:highlight w:val="none"/>
          <w:shd w:val="clear" w:fill="FFFFFF"/>
        </w:rPr>
        <w:t>在中国境内完成。</w:t>
      </w:r>
    </w:p>
    <w:p w14:paraId="20758D95">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highlight w:val="none"/>
        </w:rPr>
      </w:pPr>
      <w:r>
        <w:rPr>
          <w:rFonts w:ascii="宋体" w:hAnsi="宋体" w:eastAsia="宋体" w:cs="宋体"/>
          <w:b/>
          <w:bCs/>
          <w:color w:val="auto"/>
          <w:sz w:val="24"/>
          <w:szCs w:val="24"/>
          <w:highlight w:val="none"/>
          <w:shd w:val="clear" w:fill="FFFFFF"/>
        </w:rPr>
        <w:t>2.</w:t>
      </w:r>
      <w:r>
        <w:rPr>
          <w:rFonts w:ascii="宋体" w:hAnsi="宋体" w:eastAsia="宋体" w:cs="宋体"/>
          <w:b/>
          <w:bCs/>
          <w:color w:val="auto"/>
          <w:sz w:val="24"/>
          <w:szCs w:val="24"/>
          <w:highlight w:val="none"/>
          <w:u w:val="single"/>
          <w:shd w:val="clear" w:fill="FFFFFF"/>
        </w:rPr>
        <w:t>（产品名称2）</w:t>
      </w:r>
      <w:r>
        <w:rPr>
          <w:rFonts w:ascii="宋体" w:hAnsi="宋体" w:eastAsia="宋体" w:cs="宋体"/>
          <w:b/>
          <w:bCs/>
          <w:color w:val="auto"/>
          <w:sz w:val="24"/>
          <w:szCs w:val="24"/>
          <w:highlight w:val="none"/>
          <w:shd w:val="clear" w:fill="FFFFFF"/>
        </w:rPr>
        <w:t>，生产厂为</w:t>
      </w:r>
      <w:r>
        <w:rPr>
          <w:rFonts w:ascii="宋体" w:hAnsi="宋体" w:eastAsia="宋体" w:cs="宋体"/>
          <w:b/>
          <w:bCs/>
          <w:color w:val="auto"/>
          <w:sz w:val="24"/>
          <w:szCs w:val="24"/>
          <w:highlight w:val="none"/>
          <w:u w:val="single"/>
          <w:shd w:val="clear" w:fill="FFFFFF"/>
        </w:rPr>
        <w:t>（厂名）</w:t>
      </w:r>
      <w:r>
        <w:rPr>
          <w:rFonts w:ascii="宋体" w:hAnsi="宋体" w:eastAsia="宋体" w:cs="宋体"/>
          <w:b/>
          <w:bCs/>
          <w:color w:val="auto"/>
          <w:sz w:val="24"/>
          <w:szCs w:val="24"/>
          <w:highlight w:val="none"/>
          <w:shd w:val="clear" w:fill="FFFFFF"/>
        </w:rPr>
        <w:t>，厂址为</w:t>
      </w:r>
      <w:r>
        <w:rPr>
          <w:rFonts w:ascii="宋体" w:hAnsi="宋体" w:eastAsia="宋体" w:cs="宋体"/>
          <w:b/>
          <w:bCs/>
          <w:color w:val="auto"/>
          <w:sz w:val="24"/>
          <w:szCs w:val="24"/>
          <w:highlight w:val="none"/>
          <w:u w:val="single"/>
          <w:shd w:val="clear" w:fill="FFFFFF"/>
        </w:rPr>
        <w:t>（生产厂址）</w:t>
      </w:r>
      <w:r>
        <w:rPr>
          <w:rFonts w:ascii="宋体" w:hAnsi="宋体" w:eastAsia="宋体" w:cs="宋体"/>
          <w:b/>
          <w:bCs/>
          <w:color w:val="auto"/>
          <w:sz w:val="24"/>
          <w:szCs w:val="24"/>
          <w:highlight w:val="none"/>
          <w:shd w:val="clear" w:fill="FFFFFF"/>
        </w:rPr>
        <w:t>。</w:t>
      </w:r>
      <w:r>
        <w:rPr>
          <w:rFonts w:ascii="宋体" w:hAnsi="宋体" w:eastAsia="宋体" w:cs="宋体"/>
          <w:b/>
          <w:bCs/>
          <w:strike/>
          <w:dstrike w:val="0"/>
          <w:color w:val="auto"/>
          <w:sz w:val="24"/>
          <w:szCs w:val="24"/>
          <w:highlight w:val="none"/>
          <w:u w:val="single"/>
          <w:shd w:val="clear" w:fill="FFFFFF"/>
        </w:rPr>
        <w:t>（产品名称2）</w:t>
      </w:r>
      <w:r>
        <w:rPr>
          <w:rFonts w:ascii="宋体" w:hAnsi="宋体" w:eastAsia="宋体" w:cs="宋体"/>
          <w:b/>
          <w:bCs/>
          <w:color w:val="auto"/>
          <w:sz w:val="24"/>
          <w:szCs w:val="24"/>
          <w:highlight w:val="none"/>
          <w:shd w:val="clear" w:fill="FFFFFF"/>
        </w:rPr>
        <w:t>的中国境内生产的组件成本占比≥</w:t>
      </w:r>
      <w:r>
        <w:rPr>
          <w:rFonts w:ascii="宋体" w:hAnsi="宋体" w:eastAsia="宋体" w:cs="宋体"/>
          <w:b/>
          <w:bCs/>
          <w:strike/>
          <w:dstrike w:val="0"/>
          <w:color w:val="auto"/>
          <w:sz w:val="24"/>
          <w:szCs w:val="24"/>
          <w:highlight w:val="none"/>
          <w:u w:val="single"/>
          <w:shd w:val="clear" w:fill="FFFFFF"/>
        </w:rPr>
        <w:t>（规定比例）</w:t>
      </w:r>
      <w:r>
        <w:rPr>
          <w:rFonts w:ascii="宋体" w:hAnsi="宋体" w:eastAsia="宋体" w:cs="宋体"/>
          <w:b/>
          <w:bCs/>
          <w:color w:val="auto"/>
          <w:sz w:val="24"/>
          <w:szCs w:val="24"/>
          <w:highlight w:val="none"/>
          <w:shd w:val="clear" w:fill="FFFFFF"/>
        </w:rPr>
        <w:t>。</w:t>
      </w:r>
      <w:r>
        <w:rPr>
          <w:rFonts w:ascii="宋体" w:hAnsi="宋体" w:eastAsia="宋体" w:cs="宋体"/>
          <w:b/>
          <w:bCs/>
          <w:strike/>
          <w:dstrike w:val="0"/>
          <w:color w:val="auto"/>
          <w:sz w:val="24"/>
          <w:szCs w:val="24"/>
          <w:highlight w:val="none"/>
          <w:u w:val="single"/>
          <w:shd w:val="clear" w:fill="FFFFFF"/>
        </w:rPr>
        <w:t>（产品名称2）</w:t>
      </w:r>
      <w:r>
        <w:rPr>
          <w:rFonts w:ascii="宋体" w:hAnsi="宋体" w:eastAsia="宋体" w:cs="宋体"/>
          <w:b/>
          <w:bCs/>
          <w:color w:val="auto"/>
          <w:sz w:val="24"/>
          <w:szCs w:val="24"/>
          <w:highlight w:val="none"/>
          <w:shd w:val="clear" w:fill="FFFFFF"/>
        </w:rPr>
        <w:t>的</w:t>
      </w:r>
      <w:r>
        <w:rPr>
          <w:rFonts w:ascii="宋体" w:hAnsi="宋体" w:eastAsia="宋体" w:cs="宋体"/>
          <w:b/>
          <w:bCs/>
          <w:strike/>
          <w:dstrike w:val="0"/>
          <w:color w:val="auto"/>
          <w:sz w:val="24"/>
          <w:szCs w:val="24"/>
          <w:highlight w:val="none"/>
          <w:u w:val="single"/>
          <w:shd w:val="clear" w:fill="FFFFFF"/>
        </w:rPr>
        <w:t>（关键组件）</w:t>
      </w:r>
      <w:r>
        <w:rPr>
          <w:rFonts w:ascii="宋体" w:hAnsi="宋体" w:eastAsia="宋体" w:cs="宋体"/>
          <w:b/>
          <w:bCs/>
          <w:color w:val="auto"/>
          <w:sz w:val="24"/>
          <w:szCs w:val="24"/>
          <w:highlight w:val="none"/>
          <w:shd w:val="clear" w:fill="FFFFFF"/>
        </w:rPr>
        <w:t>在中国境内生产。</w:t>
      </w:r>
      <w:r>
        <w:rPr>
          <w:rFonts w:ascii="宋体" w:hAnsi="宋体" w:eastAsia="宋体" w:cs="宋体"/>
          <w:b/>
          <w:bCs/>
          <w:strike/>
          <w:dstrike w:val="0"/>
          <w:color w:val="auto"/>
          <w:sz w:val="24"/>
          <w:szCs w:val="24"/>
          <w:highlight w:val="none"/>
          <w:u w:val="single"/>
          <w:shd w:val="clear" w:fill="FFFFFF"/>
        </w:rPr>
        <w:t>（产品名称1）</w:t>
      </w:r>
      <w:r>
        <w:rPr>
          <w:rFonts w:ascii="宋体" w:hAnsi="宋体" w:eastAsia="宋体" w:cs="宋体"/>
          <w:b/>
          <w:bCs/>
          <w:color w:val="auto"/>
          <w:sz w:val="24"/>
          <w:szCs w:val="24"/>
          <w:highlight w:val="none"/>
          <w:shd w:val="clear" w:fill="FFFFFF"/>
        </w:rPr>
        <w:t>的</w:t>
      </w:r>
      <w:r>
        <w:rPr>
          <w:rFonts w:ascii="宋体" w:hAnsi="宋体" w:eastAsia="宋体" w:cs="宋体"/>
          <w:b/>
          <w:bCs/>
          <w:strike/>
          <w:dstrike w:val="0"/>
          <w:color w:val="auto"/>
          <w:sz w:val="24"/>
          <w:szCs w:val="24"/>
          <w:highlight w:val="none"/>
          <w:u w:val="single"/>
          <w:shd w:val="clear" w:fill="FFFFFF"/>
        </w:rPr>
        <w:t>（关键工序）</w:t>
      </w:r>
      <w:r>
        <w:rPr>
          <w:rFonts w:ascii="宋体" w:hAnsi="宋体" w:eastAsia="宋体" w:cs="宋体"/>
          <w:b/>
          <w:bCs/>
          <w:color w:val="auto"/>
          <w:sz w:val="24"/>
          <w:szCs w:val="24"/>
          <w:highlight w:val="none"/>
          <w:shd w:val="clear" w:fill="FFFFFF"/>
        </w:rPr>
        <w:t>在中国境内完成。</w:t>
      </w:r>
    </w:p>
    <w:p w14:paraId="519DADE7">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highlight w:val="none"/>
        </w:rPr>
      </w:pPr>
      <w:r>
        <w:rPr>
          <w:rFonts w:ascii="宋体" w:hAnsi="宋体" w:eastAsia="宋体" w:cs="宋体"/>
          <w:b/>
          <w:bCs/>
          <w:color w:val="auto"/>
          <w:sz w:val="24"/>
          <w:szCs w:val="24"/>
          <w:highlight w:val="none"/>
          <w:shd w:val="clear" w:fill="FFFFFF"/>
        </w:rPr>
        <w:t>……</w:t>
      </w:r>
    </w:p>
    <w:p w14:paraId="2898E24F">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highlight w:val="none"/>
        </w:rPr>
      </w:pPr>
      <w:r>
        <w:rPr>
          <w:rFonts w:ascii="宋体" w:hAnsi="宋体" w:eastAsia="宋体" w:cs="宋体"/>
          <w:b/>
          <w:bCs/>
          <w:color w:val="auto"/>
          <w:sz w:val="24"/>
          <w:szCs w:val="24"/>
          <w:highlight w:val="none"/>
          <w:shd w:val="clear" w:fill="FFFFFF"/>
        </w:rPr>
        <w:t>本公司（单位）对上述声明内容的真实性负责。如有虚假，愿承担相应法律责任。</w:t>
      </w:r>
    </w:p>
    <w:p w14:paraId="1CAC866F">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highlight w:val="none"/>
        </w:rPr>
      </w:pPr>
      <w:r>
        <w:rPr>
          <w:rFonts w:ascii="宋体" w:hAnsi="宋体" w:eastAsia="宋体" w:cs="宋体"/>
          <w:b/>
          <w:bCs/>
          <w:color w:val="auto"/>
          <w:sz w:val="24"/>
          <w:szCs w:val="24"/>
          <w:highlight w:val="none"/>
        </w:rPr>
        <w:t> </w:t>
      </w:r>
    </w:p>
    <w:p w14:paraId="4B7D6087">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right="480" w:firstLine="3720"/>
        <w:jc w:val="both"/>
        <w:rPr>
          <w:b/>
          <w:bCs/>
          <w:color w:val="auto"/>
          <w:highlight w:val="none"/>
        </w:rPr>
      </w:pPr>
      <w:r>
        <w:rPr>
          <w:rFonts w:ascii="宋体" w:hAnsi="宋体" w:eastAsia="宋体" w:cs="宋体"/>
          <w:b/>
          <w:bCs/>
          <w:color w:val="auto"/>
          <w:sz w:val="24"/>
          <w:szCs w:val="24"/>
          <w:highlight w:val="none"/>
          <w:shd w:val="clear" w:fill="FFFFFF"/>
        </w:rPr>
        <w:t>公司（单位）名称（盖章）：　</w:t>
      </w:r>
    </w:p>
    <w:p w14:paraId="4B86CD8E">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center"/>
        <w:rPr>
          <w:b/>
          <w:bCs/>
          <w:color w:val="auto"/>
          <w:highlight w:val="none"/>
        </w:rPr>
      </w:pPr>
      <w:r>
        <w:rPr>
          <w:rFonts w:ascii="宋体" w:hAnsi="宋体" w:eastAsia="宋体" w:cs="宋体"/>
          <w:b/>
          <w:bCs/>
          <w:color w:val="auto"/>
          <w:sz w:val="24"/>
          <w:szCs w:val="24"/>
          <w:highlight w:val="none"/>
          <w:shd w:val="clear" w:fill="FFFFFF"/>
        </w:rPr>
        <w:t>                                日期：　   年　  月　  日         </w:t>
      </w:r>
    </w:p>
    <w:p w14:paraId="563751CB">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highlight w:val="none"/>
        </w:rPr>
      </w:pPr>
      <w:r>
        <w:rPr>
          <w:rFonts w:ascii="宋体" w:hAnsi="宋体" w:eastAsia="宋体" w:cs="宋体"/>
          <w:b/>
          <w:bCs/>
          <w:color w:val="auto"/>
          <w:sz w:val="24"/>
          <w:szCs w:val="24"/>
          <w:highlight w:val="none"/>
          <w:shd w:val="clear" w:fill="FFFFFF"/>
        </w:rPr>
        <w:t>__________________</w:t>
      </w:r>
    </w:p>
    <w:p w14:paraId="0D130BF1">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highlight w:val="none"/>
        </w:rPr>
      </w:pPr>
      <w:r>
        <w:rPr>
          <w:rFonts w:ascii="宋体" w:hAnsi="宋体" w:eastAsia="宋体" w:cs="宋体"/>
          <w:b/>
          <w:bCs/>
          <w:color w:val="auto"/>
          <w:sz w:val="24"/>
          <w:szCs w:val="24"/>
          <w:highlight w:val="none"/>
          <w:shd w:val="clear" w:fill="FFFFFF"/>
        </w:rPr>
        <w:t>1.产品如有型号，请在“产品名称”栏一并填写。</w:t>
      </w:r>
    </w:p>
    <w:p w14:paraId="3BE63DDD">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highlight w:val="none"/>
        </w:rPr>
      </w:pPr>
      <w:r>
        <w:rPr>
          <w:rFonts w:ascii="宋体" w:hAnsi="宋体" w:eastAsia="宋体" w:cs="宋体"/>
          <w:b/>
          <w:bCs/>
          <w:color w:val="auto"/>
          <w:sz w:val="24"/>
          <w:szCs w:val="24"/>
          <w:highlight w:val="none"/>
          <w:shd w:val="clear" w:fill="FFFFFF"/>
        </w:rPr>
        <w:t>2.生产厂名与厂址应与生产厂营业执照载明的相关信息保持一致。</w:t>
      </w:r>
    </w:p>
    <w:p w14:paraId="187E10C6">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highlight w:val="none"/>
        </w:rPr>
      </w:pPr>
      <w:r>
        <w:rPr>
          <w:rFonts w:ascii="宋体" w:hAnsi="宋体" w:eastAsia="宋体" w:cs="宋体"/>
          <w:b/>
          <w:bCs/>
          <w:color w:val="auto"/>
          <w:sz w:val="24"/>
          <w:szCs w:val="24"/>
          <w:highlight w:val="none"/>
          <w:shd w:val="clear" w:fill="FFFFFF"/>
        </w:rPr>
        <w:t>3.该产品的中国境内生产的组件成本占比相关要求实施前，“规定比例”栏可不填，下同。</w:t>
      </w:r>
    </w:p>
    <w:p w14:paraId="3267BE6A">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highlight w:val="none"/>
        </w:rPr>
      </w:pPr>
      <w:r>
        <w:rPr>
          <w:rFonts w:ascii="宋体" w:hAnsi="宋体" w:eastAsia="宋体" w:cs="宋体"/>
          <w:b/>
          <w:bCs/>
          <w:color w:val="auto"/>
          <w:sz w:val="24"/>
          <w:szCs w:val="24"/>
          <w:highlight w:val="none"/>
          <w:shd w:val="clear" w:fill="FFFFFF"/>
        </w:rPr>
        <w:t>4.该产品的关键组件要求实施前，“关键组件”栏可不填，下同。</w:t>
      </w:r>
    </w:p>
    <w:p w14:paraId="4E6C0834">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highlight w:val="none"/>
        </w:rPr>
      </w:pPr>
      <w:r>
        <w:rPr>
          <w:rFonts w:ascii="宋体" w:hAnsi="宋体" w:eastAsia="宋体" w:cs="宋体"/>
          <w:b/>
          <w:bCs/>
          <w:color w:val="auto"/>
          <w:sz w:val="24"/>
          <w:szCs w:val="24"/>
          <w:highlight w:val="none"/>
          <w:shd w:val="clear" w:fill="FFFFFF"/>
        </w:rPr>
        <w:t>5.该产品的关键工序要求实施前，“关键工序”栏可不填，下同。</w:t>
      </w:r>
    </w:p>
    <w:p w14:paraId="2039D937">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bCs/>
          <w:color w:val="auto"/>
          <w:sz w:val="24"/>
          <w:szCs w:val="24"/>
          <w:highlight w:val="none"/>
          <w:shd w:val="clear" w:fill="FFFFFF"/>
        </w:rPr>
      </w:pPr>
      <w:r>
        <w:rPr>
          <w:rFonts w:ascii="宋体" w:hAnsi="宋体" w:eastAsia="宋体" w:cs="宋体"/>
          <w:b/>
          <w:bCs/>
          <w:color w:val="auto"/>
          <w:sz w:val="24"/>
          <w:szCs w:val="24"/>
          <w:highlight w:val="none"/>
          <w:shd w:val="clear" w:fill="FFFFFF"/>
        </w:rPr>
        <w:t>6.用</w:t>
      </w:r>
      <w:r>
        <w:rPr>
          <w:rFonts w:hint="eastAsia" w:ascii="宋体" w:hAnsi="宋体" w:eastAsia="宋体" w:cs="宋体"/>
          <w:b/>
          <w:bCs/>
          <w:color w:val="auto"/>
          <w:sz w:val="24"/>
          <w:szCs w:val="24"/>
          <w:highlight w:val="none"/>
          <w:shd w:val="clear" w:fill="FFFFFF"/>
          <w:lang w:val="en-US" w:eastAsia="zh-CN"/>
        </w:rPr>
        <w:t>横</w:t>
      </w:r>
      <w:r>
        <w:rPr>
          <w:rFonts w:ascii="宋体" w:hAnsi="宋体" w:eastAsia="宋体" w:cs="宋体"/>
          <w:b/>
          <w:bCs/>
          <w:color w:val="auto"/>
          <w:sz w:val="24"/>
          <w:szCs w:val="24"/>
          <w:highlight w:val="none"/>
          <w:shd w:val="clear" w:fill="FFFFFF"/>
        </w:rPr>
        <w:t>线划除的地方无需填写。</w:t>
      </w:r>
    </w:p>
    <w:p w14:paraId="1674B3A3">
      <w:pPr>
        <w:numPr>
          <w:ilvl w:val="0"/>
          <w:numId w:val="0"/>
        </w:numP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10078D0D">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hint="default" w:ascii="宋体" w:hAnsi="宋体" w:eastAsia="宋体" w:cs="宋体"/>
          <w:b/>
          <w:bCs/>
          <w:color w:val="auto"/>
          <w:sz w:val="24"/>
          <w:szCs w:val="24"/>
          <w:highlight w:val="none"/>
          <w:shd w:val="clear" w:fill="FFFFFF"/>
          <w:lang w:val="en-US" w:eastAsia="zh-CN"/>
        </w:rPr>
      </w:pPr>
    </w:p>
    <w:p w14:paraId="2CCFA17F">
      <w:pPr>
        <w:jc w:val="center"/>
        <w:rPr>
          <w:rFonts w:hint="eastAsia" w:asciiTheme="minorEastAsia" w:hAnsiTheme="minorEastAsia" w:eastAsiaTheme="minorEastAsia" w:cstheme="minorEastAsia"/>
          <w:b/>
          <w:color w:val="auto"/>
          <w:sz w:val="24"/>
          <w:szCs w:val="24"/>
          <w:highlight w:val="none"/>
        </w:rPr>
      </w:pPr>
    </w:p>
    <w:p w14:paraId="3764C62B">
      <w:pPr>
        <w:spacing w:line="241" w:lineRule="auto"/>
        <w:rPr>
          <w:rFonts w:ascii="Arial"/>
          <w:color w:val="auto"/>
          <w:sz w:val="21"/>
          <w:highlight w:val="none"/>
        </w:rPr>
      </w:pPr>
    </w:p>
    <w:p w14:paraId="5C74B25B">
      <w:pPr>
        <w:spacing w:line="241" w:lineRule="auto"/>
        <w:rPr>
          <w:rFonts w:ascii="Arial"/>
          <w:color w:val="auto"/>
          <w:sz w:val="21"/>
          <w:highlight w:val="none"/>
        </w:rPr>
      </w:pPr>
    </w:p>
    <w:p w14:paraId="59FA9411">
      <w:pPr>
        <w:pStyle w:val="30"/>
        <w:spacing w:beforeAutospacing="0" w:afterAutospacing="0" w:line="0" w:lineRule="atLeast"/>
        <w:jc w:val="center"/>
        <w:rPr>
          <w:color w:val="auto"/>
          <w:highlight w:val="none"/>
        </w:rPr>
      </w:pPr>
      <w:r>
        <w:rPr>
          <w:color w:val="auto"/>
          <w:highlight w:val="none"/>
        </w:rPr>
        <w:t> </w:t>
      </w:r>
    </w:p>
    <w:p w14:paraId="7BA83B23">
      <w:pPr>
        <w:pStyle w:val="30"/>
        <w:spacing w:beforeAutospacing="0" w:afterAutospacing="0" w:line="0" w:lineRule="atLeast"/>
        <w:jc w:val="center"/>
        <w:rPr>
          <w:color w:val="auto"/>
          <w:highlight w:val="none"/>
        </w:rPr>
      </w:pPr>
    </w:p>
    <w:p w14:paraId="57D172D5">
      <w:pPr>
        <w:pStyle w:val="30"/>
        <w:spacing w:beforeAutospacing="0" w:afterAutospacing="0" w:line="0" w:lineRule="atLeast"/>
        <w:jc w:val="center"/>
        <w:rPr>
          <w:color w:val="auto"/>
          <w:highlight w:val="none"/>
        </w:rPr>
      </w:pPr>
    </w:p>
    <w:p w14:paraId="307704CD">
      <w:pPr>
        <w:pStyle w:val="30"/>
        <w:spacing w:beforeAutospacing="0" w:afterAutospacing="0" w:line="0" w:lineRule="atLeast"/>
        <w:jc w:val="center"/>
        <w:rPr>
          <w:color w:val="auto"/>
          <w:highlight w:val="none"/>
        </w:rPr>
      </w:pPr>
    </w:p>
    <w:p w14:paraId="17A2D4AE">
      <w:pPr>
        <w:pStyle w:val="30"/>
        <w:spacing w:beforeAutospacing="0" w:afterAutospacing="0" w:line="0" w:lineRule="atLeast"/>
        <w:jc w:val="center"/>
        <w:rPr>
          <w:color w:val="auto"/>
          <w:highlight w:val="none"/>
        </w:rPr>
      </w:pPr>
    </w:p>
    <w:p w14:paraId="5C355888">
      <w:pPr>
        <w:pStyle w:val="30"/>
        <w:spacing w:beforeAutospacing="0" w:afterAutospacing="0" w:line="0" w:lineRule="atLeast"/>
        <w:jc w:val="center"/>
        <w:rPr>
          <w:color w:val="auto"/>
          <w:highlight w:val="none"/>
        </w:rPr>
      </w:pPr>
    </w:p>
    <w:p w14:paraId="677E8ED8">
      <w:pPr>
        <w:pStyle w:val="30"/>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二</w:t>
      </w:r>
      <w:r>
        <w:rPr>
          <w:rFonts w:hint="eastAsia" w:ascii="黑体" w:hAnsi="宋体" w:eastAsia="黑体" w:cs="黑体"/>
          <w:b/>
          <w:color w:val="auto"/>
          <w:sz w:val="32"/>
          <w:szCs w:val="32"/>
          <w:highlight w:val="none"/>
        </w:rPr>
        <w:t>、联合体协议（参考格式）（分包号：**）</w:t>
      </w:r>
    </w:p>
    <w:p w14:paraId="1D1C7CF8">
      <w:pPr>
        <w:pStyle w:val="30"/>
        <w:spacing w:beforeAutospacing="0" w:afterAutospacing="0" w:line="0" w:lineRule="atLeast"/>
        <w:jc w:val="both"/>
        <w:rPr>
          <w:color w:val="auto"/>
          <w:highlight w:val="none"/>
        </w:rPr>
      </w:pPr>
      <w:r>
        <w:rPr>
          <w:rFonts w:hint="eastAsia" w:ascii="宋体" w:hAnsi="宋体" w:eastAsia="宋体" w:cs="宋体"/>
          <w:color w:val="auto"/>
          <w:highlight w:val="none"/>
        </w:rPr>
        <w:t>（联合体中各供应商全称）在此达成以下协议：</w:t>
      </w:r>
    </w:p>
    <w:p w14:paraId="6A7D9463">
      <w:pPr>
        <w:pStyle w:val="30"/>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自愿组成联合体，参加</w:t>
      </w:r>
      <w:r>
        <w:rPr>
          <w:rFonts w:hint="eastAsia" w:ascii="宋体" w:hAnsi="宋体" w:eastAsia="宋体" w:cs="宋体"/>
          <w:color w:val="auto"/>
          <w:highlight w:val="none"/>
          <w:lang w:val="en-US" w:eastAsia="zh-CN"/>
        </w:rPr>
        <w:t>江苏千禾建设项目管理有限公司</w:t>
      </w:r>
      <w:r>
        <w:rPr>
          <w:rFonts w:hint="eastAsia" w:ascii="宋体" w:hAnsi="宋体" w:eastAsia="宋体" w:cs="宋体"/>
          <w:color w:val="auto"/>
          <w:highlight w:val="none"/>
        </w:rPr>
        <w:t>组织的采购编号为</w:t>
      </w:r>
      <w:r>
        <w:rPr>
          <w:rFonts w:hint="eastAsia" w:ascii="宋体" w:hAnsi="宋体" w:eastAsia="宋体" w:cs="宋体"/>
          <w:color w:val="auto"/>
          <w:highlight w:val="none"/>
          <w:u w:val="single"/>
        </w:rPr>
        <w:t>（编号全称），（项目全称）</w:t>
      </w:r>
      <w:r>
        <w:rPr>
          <w:rFonts w:hint="eastAsia" w:ascii="宋体" w:hAnsi="宋体" w:eastAsia="宋体" w:cs="宋体"/>
          <w:color w:val="auto"/>
          <w:highlight w:val="none"/>
        </w:rPr>
        <w:t>项目（分包号：**）的政府采购活动，我联合体指定</w:t>
      </w:r>
      <w:r>
        <w:rPr>
          <w:rFonts w:hint="eastAsia" w:ascii="宋体" w:hAnsi="宋体" w:eastAsia="宋体" w:cs="宋体"/>
          <w:color w:val="auto"/>
          <w:highlight w:val="none"/>
          <w:u w:val="single"/>
        </w:rPr>
        <w:t>（供应商*）</w:t>
      </w:r>
      <w:r>
        <w:rPr>
          <w:rFonts w:hint="eastAsia" w:ascii="宋体" w:hAnsi="宋体" w:eastAsia="宋体" w:cs="宋体"/>
          <w:color w:val="auto"/>
          <w:highlight w:val="none"/>
        </w:rPr>
        <w:t>为牵头单位（牵头单位必须为联合体成员）。</w:t>
      </w:r>
    </w:p>
    <w:p w14:paraId="73C6D387">
      <w:pPr>
        <w:pStyle w:val="30"/>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2、若我们联合成交，（供应商单位1全称）实施项目中（工作内容）部分工作，并承担相应的责任。（供应商单位2全称）实施项目中（工作内容）部分工作，并承担相应的责任……。（注：联合体中各供应商都应明示所承担的工作和相应的责任）。</w:t>
      </w:r>
    </w:p>
    <w:p w14:paraId="683529FF">
      <w:pPr>
        <w:pStyle w:val="30"/>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50FFBDC3">
      <w:pPr>
        <w:pStyle w:val="30"/>
        <w:spacing w:beforeAutospacing="0" w:afterAutospacing="0" w:line="0" w:lineRule="atLeast"/>
        <w:ind w:firstLine="645"/>
        <w:jc w:val="both"/>
        <w:rPr>
          <w:color w:val="auto"/>
          <w:highlight w:val="none"/>
        </w:rPr>
      </w:pPr>
      <w:r>
        <w:rPr>
          <w:color w:val="auto"/>
          <w:highlight w:val="none"/>
        </w:rPr>
        <w:t> </w:t>
      </w:r>
    </w:p>
    <w:p w14:paraId="4DFBFBD6">
      <w:pPr>
        <w:pStyle w:val="30"/>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备注：本谈判文件中要求加盖CA电子公章的地方，仅需加盖牵头单位的CA电子公章。</w:t>
      </w:r>
    </w:p>
    <w:p w14:paraId="4B649765">
      <w:pPr>
        <w:pStyle w:val="30"/>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 xml:space="preserve">                                          </w:t>
      </w:r>
    </w:p>
    <w:p w14:paraId="14DD4014">
      <w:pPr>
        <w:pStyle w:val="30"/>
        <w:spacing w:beforeAutospacing="0" w:afterAutospacing="0" w:line="0" w:lineRule="atLeast"/>
        <w:ind w:firstLine="645"/>
        <w:jc w:val="right"/>
        <w:rPr>
          <w:color w:val="auto"/>
          <w:highlight w:val="none"/>
        </w:rPr>
      </w:pPr>
      <w:r>
        <w:rPr>
          <w:rFonts w:hint="eastAsia" w:ascii="宋体" w:hAnsi="宋体" w:eastAsia="宋体" w:cs="宋体"/>
          <w:color w:val="auto"/>
          <w:highlight w:val="none"/>
        </w:rPr>
        <w:t xml:space="preserve">联合体中各供应商全称（公章）：     </w:t>
      </w:r>
    </w:p>
    <w:p w14:paraId="4D0E2EA1">
      <w:pPr>
        <w:pStyle w:val="30"/>
        <w:spacing w:beforeAutospacing="0" w:afterAutospacing="0" w:line="0" w:lineRule="atLeast"/>
        <w:ind w:firstLine="645"/>
        <w:jc w:val="left"/>
        <w:rPr>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日期：</w:t>
      </w:r>
    </w:p>
    <w:p w14:paraId="72685D67">
      <w:pPr>
        <w:pStyle w:val="30"/>
        <w:spacing w:beforeAutospacing="0" w:afterAutospacing="0" w:line="0" w:lineRule="atLeast"/>
        <w:ind w:firstLine="645"/>
        <w:jc w:val="both"/>
        <w:rPr>
          <w:color w:val="auto"/>
          <w:highlight w:val="none"/>
        </w:rPr>
      </w:pPr>
      <w:r>
        <w:rPr>
          <w:color w:val="auto"/>
          <w:highlight w:val="none"/>
        </w:rPr>
        <w:t> </w:t>
      </w:r>
    </w:p>
    <w:p w14:paraId="56520C33">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r>
    </w:p>
    <w:p w14:paraId="4BA3A152">
      <w:pPr>
        <w:pStyle w:val="30"/>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三</w:t>
      </w:r>
      <w:r>
        <w:rPr>
          <w:rFonts w:hint="eastAsia" w:ascii="黑体" w:hAnsi="宋体" w:eastAsia="黑体" w:cs="黑体"/>
          <w:b/>
          <w:color w:val="auto"/>
          <w:sz w:val="32"/>
          <w:szCs w:val="32"/>
          <w:highlight w:val="none"/>
        </w:rPr>
        <w:t>、分项报价表（分包号：**）（货物类）</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456"/>
        <w:gridCol w:w="696"/>
        <w:gridCol w:w="1176"/>
        <w:gridCol w:w="1920"/>
        <w:gridCol w:w="456"/>
        <w:gridCol w:w="1008"/>
        <w:gridCol w:w="1667"/>
      </w:tblGrid>
      <w:tr w14:paraId="65A68B1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4" w:hRule="atLeast"/>
        </w:trPr>
        <w:tc>
          <w:tcPr>
            <w:tcW w:w="45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8F0749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序号</w:t>
            </w:r>
          </w:p>
        </w:tc>
        <w:tc>
          <w:tcPr>
            <w:tcW w:w="69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A5ACD3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服务项目</w:t>
            </w:r>
          </w:p>
        </w:tc>
        <w:tc>
          <w:tcPr>
            <w:tcW w:w="117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BD4E3E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服务要求</w:t>
            </w:r>
          </w:p>
        </w:tc>
        <w:tc>
          <w:tcPr>
            <w:tcW w:w="192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CC2D8B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优惠率</w:t>
            </w:r>
          </w:p>
        </w:tc>
        <w:tc>
          <w:tcPr>
            <w:tcW w:w="45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271091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数量</w:t>
            </w:r>
          </w:p>
        </w:tc>
        <w:tc>
          <w:tcPr>
            <w:tcW w:w="100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6C402B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单价（元）</w:t>
            </w:r>
          </w:p>
        </w:tc>
        <w:tc>
          <w:tcPr>
            <w:tcW w:w="166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E3C52C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合价（元）</w:t>
            </w:r>
          </w:p>
        </w:tc>
      </w:tr>
      <w:tr w14:paraId="4714654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4" w:hRule="atLeast"/>
        </w:trPr>
        <w:tc>
          <w:tcPr>
            <w:tcW w:w="4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43D516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p>
        </w:tc>
        <w:tc>
          <w:tcPr>
            <w:tcW w:w="69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4163A2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0号柴油（国VI）</w:t>
            </w:r>
          </w:p>
          <w:p w14:paraId="4C0629B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及供油服务</w:t>
            </w:r>
          </w:p>
        </w:tc>
        <w:tc>
          <w:tcPr>
            <w:tcW w:w="11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208C3F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提供的0号柴油是合格正品，符合国家有关质量、规格和性能标准（现行国家标准GB19147-2016）</w:t>
            </w:r>
          </w:p>
        </w:tc>
        <w:tc>
          <w:tcPr>
            <w:tcW w:w="192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26471EF">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w:t>
            </w:r>
            <w:r>
              <w:rPr>
                <w:rFonts w:hint="eastAsia" w:ascii="宋体" w:hAnsi="宋体" w:eastAsia="宋体" w:cs="宋体"/>
                <w:color w:val="auto"/>
                <w:sz w:val="24"/>
                <w:szCs w:val="24"/>
                <w:highlight w:val="none"/>
                <w:u w:val="single"/>
                <w:lang w:val="en-US" w:eastAsia="zh-CN" w:bidi="ar-SA"/>
              </w:rPr>
              <w:t xml:space="preserve">         % </w:t>
            </w:r>
          </w:p>
        </w:tc>
        <w:tc>
          <w:tcPr>
            <w:tcW w:w="45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03116A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按实际采购数量计算</w:t>
            </w:r>
          </w:p>
        </w:tc>
        <w:tc>
          <w:tcPr>
            <w:tcW w:w="100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172B54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当日江苏省发展和改革委员会公布的江苏省成品油最高零售价格表中的0号柴油最高价</w:t>
            </w:r>
          </w:p>
        </w:tc>
        <w:tc>
          <w:tcPr>
            <w:tcW w:w="166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ED24FA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1590000.00</w:t>
            </w:r>
          </w:p>
        </w:tc>
      </w:tr>
    </w:tbl>
    <w:p w14:paraId="139111C2">
      <w:pPr>
        <w:pStyle w:val="30"/>
        <w:spacing w:beforeAutospacing="0" w:afterAutospacing="0"/>
        <w:jc w:val="both"/>
        <w:rPr>
          <w:color w:val="auto"/>
          <w:highlight w:val="none"/>
        </w:rPr>
      </w:pPr>
      <w:r>
        <w:rPr>
          <w:color w:val="auto"/>
          <w:highlight w:val="none"/>
        </w:rPr>
        <w:t> </w:t>
      </w:r>
    </w:p>
    <w:p w14:paraId="537519B6">
      <w:pPr>
        <w:pStyle w:val="30"/>
        <w:spacing w:beforeAutospacing="0" w:afterAutospacing="0"/>
        <w:jc w:val="both"/>
        <w:rPr>
          <w:color w:val="auto"/>
          <w:highlight w:val="none"/>
        </w:rPr>
      </w:pPr>
      <w:r>
        <w:rPr>
          <w:rFonts w:hint="eastAsia" w:ascii="宋体" w:hAnsi="宋体" w:eastAsia="宋体" w:cs="宋体"/>
          <w:color w:val="auto"/>
          <w:highlight w:val="none"/>
        </w:rPr>
        <w:t>备注：谈判报价采用总承包方式，供应商的“总报价”应包括所投产品费用、安装调试费、测试验收费、培训费、运行维护费用、税金、国际国内运输保险、报关清关、开证、办理全套免税手续费用及其他有关的为完成本项目发生的所有费用，谈判文件中另有规定的除外。</w:t>
      </w:r>
    </w:p>
    <w:p w14:paraId="60F324FC">
      <w:pPr>
        <w:pStyle w:val="30"/>
        <w:spacing w:beforeAutospacing="0" w:afterAutospacing="0"/>
        <w:jc w:val="both"/>
        <w:rPr>
          <w:color w:val="auto"/>
          <w:highlight w:val="none"/>
        </w:rPr>
      </w:pPr>
      <w:r>
        <w:rPr>
          <w:color w:val="auto"/>
          <w:highlight w:val="none"/>
        </w:rPr>
        <w:t> </w:t>
      </w:r>
    </w:p>
    <w:p w14:paraId="5FFC58D6">
      <w:pPr>
        <w:pStyle w:val="30"/>
        <w:spacing w:beforeAutospacing="0" w:afterAutospacing="0"/>
        <w:jc w:val="both"/>
        <w:rPr>
          <w:color w:val="auto"/>
          <w:highlight w:val="none"/>
        </w:rPr>
      </w:pPr>
      <w:r>
        <w:rPr>
          <w:color w:val="auto"/>
          <w:highlight w:val="none"/>
        </w:rPr>
        <w:t> </w:t>
      </w:r>
    </w:p>
    <w:p w14:paraId="75D24198">
      <w:pPr>
        <w:pStyle w:val="30"/>
        <w:spacing w:beforeAutospacing="0" w:afterAutospacing="0"/>
        <w:jc w:val="both"/>
        <w:rPr>
          <w:color w:val="auto"/>
          <w:highlight w:val="none"/>
        </w:rPr>
      </w:pPr>
      <w:r>
        <w:rPr>
          <w:color w:val="auto"/>
          <w:highlight w:val="none"/>
        </w:rPr>
        <w:t> </w:t>
      </w:r>
    </w:p>
    <w:p w14:paraId="6E9D6BFF">
      <w:pPr>
        <w:pStyle w:val="30"/>
        <w:spacing w:beforeAutospacing="0" w:afterAutospacing="0"/>
        <w:jc w:val="both"/>
        <w:rPr>
          <w:color w:val="auto"/>
          <w:highlight w:val="none"/>
        </w:rPr>
      </w:pPr>
      <w:r>
        <w:rPr>
          <w:color w:val="auto"/>
          <w:highlight w:val="none"/>
        </w:rPr>
        <w:t> </w:t>
      </w:r>
    </w:p>
    <w:p w14:paraId="6E5DDE2A">
      <w:pPr>
        <w:pStyle w:val="30"/>
        <w:spacing w:beforeAutospacing="0" w:afterAutospacing="0"/>
        <w:jc w:val="both"/>
        <w:rPr>
          <w:color w:val="auto"/>
          <w:highlight w:val="none"/>
        </w:rPr>
      </w:pPr>
      <w:r>
        <w:rPr>
          <w:color w:val="auto"/>
          <w:highlight w:val="none"/>
        </w:rPr>
        <w:t> </w:t>
      </w:r>
    </w:p>
    <w:p w14:paraId="31C4A16E">
      <w:pPr>
        <w:pStyle w:val="30"/>
        <w:spacing w:beforeAutospacing="0" w:afterAutospacing="0"/>
        <w:jc w:val="both"/>
        <w:rPr>
          <w:color w:val="auto"/>
          <w:highlight w:val="none"/>
        </w:rPr>
      </w:pPr>
    </w:p>
    <w:p w14:paraId="0E22C009">
      <w:pPr>
        <w:pStyle w:val="30"/>
        <w:spacing w:beforeAutospacing="0" w:afterAutospacing="0"/>
        <w:jc w:val="both"/>
        <w:rPr>
          <w:color w:val="auto"/>
          <w:highlight w:val="none"/>
        </w:rPr>
      </w:pPr>
    </w:p>
    <w:p w14:paraId="3EB47AD8">
      <w:pPr>
        <w:pStyle w:val="30"/>
        <w:spacing w:beforeAutospacing="0" w:afterAutospacing="0"/>
        <w:jc w:val="both"/>
        <w:rPr>
          <w:color w:val="auto"/>
          <w:highlight w:val="none"/>
        </w:rPr>
      </w:pPr>
    </w:p>
    <w:p w14:paraId="3B444A48">
      <w:pPr>
        <w:pStyle w:val="30"/>
        <w:spacing w:beforeAutospacing="0" w:afterAutospacing="0"/>
        <w:jc w:val="both"/>
        <w:rPr>
          <w:color w:val="auto"/>
          <w:highlight w:val="none"/>
        </w:rPr>
      </w:pPr>
    </w:p>
    <w:p w14:paraId="6AE92D9D">
      <w:pPr>
        <w:pStyle w:val="30"/>
        <w:spacing w:beforeAutospacing="0" w:afterAutospacing="0"/>
        <w:jc w:val="both"/>
        <w:rPr>
          <w:color w:val="auto"/>
          <w:highlight w:val="none"/>
        </w:rPr>
      </w:pPr>
    </w:p>
    <w:p w14:paraId="6FAE3342">
      <w:pPr>
        <w:pStyle w:val="30"/>
        <w:spacing w:beforeAutospacing="0" w:afterAutospacing="0"/>
        <w:jc w:val="both"/>
        <w:rPr>
          <w:color w:val="auto"/>
          <w:highlight w:val="none"/>
        </w:rPr>
      </w:pPr>
    </w:p>
    <w:p w14:paraId="1BB9DD7C">
      <w:pPr>
        <w:pStyle w:val="30"/>
        <w:spacing w:beforeAutospacing="0" w:afterAutospacing="0"/>
        <w:jc w:val="both"/>
        <w:rPr>
          <w:color w:val="auto"/>
          <w:highlight w:val="none"/>
        </w:rPr>
      </w:pPr>
    </w:p>
    <w:p w14:paraId="435B9269">
      <w:pPr>
        <w:pStyle w:val="30"/>
        <w:spacing w:beforeAutospacing="0" w:afterAutospacing="0"/>
        <w:jc w:val="both"/>
        <w:rPr>
          <w:color w:val="auto"/>
          <w:highlight w:val="none"/>
        </w:rPr>
      </w:pPr>
    </w:p>
    <w:p w14:paraId="44652521">
      <w:pPr>
        <w:pStyle w:val="30"/>
        <w:spacing w:beforeAutospacing="0" w:afterAutospacing="0"/>
        <w:jc w:val="both"/>
        <w:rPr>
          <w:color w:val="auto"/>
          <w:highlight w:val="none"/>
        </w:rPr>
      </w:pPr>
    </w:p>
    <w:p w14:paraId="79100A4D">
      <w:pPr>
        <w:pStyle w:val="30"/>
        <w:spacing w:beforeAutospacing="0" w:afterAutospacing="0"/>
        <w:jc w:val="both"/>
        <w:rPr>
          <w:color w:val="auto"/>
          <w:highlight w:val="none"/>
        </w:rPr>
      </w:pPr>
    </w:p>
    <w:p w14:paraId="6F313A11">
      <w:pPr>
        <w:pStyle w:val="30"/>
        <w:spacing w:beforeAutospacing="0" w:afterAutospacing="0"/>
        <w:jc w:val="both"/>
        <w:rPr>
          <w:color w:val="auto"/>
          <w:highlight w:val="none"/>
        </w:rPr>
      </w:pPr>
    </w:p>
    <w:p w14:paraId="73E4AF97">
      <w:pPr>
        <w:pStyle w:val="30"/>
        <w:spacing w:beforeAutospacing="0" w:afterAutospacing="0"/>
        <w:jc w:val="both"/>
        <w:rPr>
          <w:color w:val="auto"/>
          <w:highlight w:val="none"/>
        </w:rPr>
      </w:pPr>
    </w:p>
    <w:p w14:paraId="453A4F79">
      <w:pPr>
        <w:pStyle w:val="30"/>
        <w:spacing w:beforeAutospacing="0" w:afterAutospacing="0"/>
        <w:jc w:val="both"/>
        <w:rPr>
          <w:color w:val="auto"/>
          <w:highlight w:val="none"/>
        </w:rPr>
      </w:pPr>
    </w:p>
    <w:p w14:paraId="7DD2C95E">
      <w:pPr>
        <w:pStyle w:val="30"/>
        <w:spacing w:beforeAutospacing="0" w:afterAutospacing="0"/>
        <w:jc w:val="both"/>
        <w:rPr>
          <w:color w:val="auto"/>
          <w:highlight w:val="none"/>
        </w:rPr>
      </w:pPr>
    </w:p>
    <w:p w14:paraId="41D7B204">
      <w:pPr>
        <w:pStyle w:val="30"/>
        <w:spacing w:beforeAutospacing="0" w:afterAutospacing="0"/>
        <w:jc w:val="both"/>
        <w:rPr>
          <w:color w:val="auto"/>
          <w:highlight w:val="none"/>
        </w:rPr>
      </w:pPr>
    </w:p>
    <w:p w14:paraId="093124AA">
      <w:pPr>
        <w:pStyle w:val="30"/>
        <w:spacing w:beforeAutospacing="0" w:afterAutospacing="0"/>
        <w:jc w:val="both"/>
        <w:rPr>
          <w:color w:val="auto"/>
          <w:highlight w:val="none"/>
        </w:rPr>
      </w:pPr>
    </w:p>
    <w:p w14:paraId="3A127C00">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r>
    </w:p>
    <w:p w14:paraId="30A8F26D">
      <w:pPr>
        <w:pStyle w:val="30"/>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四</w:t>
      </w:r>
      <w:r>
        <w:rPr>
          <w:rFonts w:hint="eastAsia" w:ascii="黑体" w:hAnsi="宋体" w:eastAsia="黑体" w:cs="黑体"/>
          <w:b/>
          <w:color w:val="auto"/>
          <w:sz w:val="32"/>
          <w:szCs w:val="32"/>
          <w:highlight w:val="none"/>
        </w:rPr>
        <w:t>、技术要求响应及偏离表（分包号：**）</w:t>
      </w:r>
    </w:p>
    <w:tbl>
      <w:tblPr>
        <w:tblStyle w:val="32"/>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3F20082B">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82E0BE">
            <w:pPr>
              <w:pStyle w:val="30"/>
              <w:spacing w:beforeAutospacing="0" w:afterAutospacing="0"/>
              <w:jc w:val="center"/>
              <w:rPr>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D301D2">
            <w:pPr>
              <w:pStyle w:val="30"/>
              <w:spacing w:beforeAutospacing="0" w:afterAutospacing="0"/>
              <w:jc w:val="center"/>
              <w:rPr>
                <w:color w:val="auto"/>
                <w:highlight w:val="none"/>
              </w:rPr>
            </w:pPr>
            <w:r>
              <w:rPr>
                <w:rFonts w:hint="eastAsia" w:ascii="宋体" w:hAnsi="宋体" w:eastAsia="宋体" w:cs="宋体"/>
                <w:color w:val="auto"/>
                <w:highlight w:val="none"/>
              </w:rPr>
              <w:t>谈判文件要求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E87E75">
            <w:pPr>
              <w:pStyle w:val="30"/>
              <w:spacing w:beforeAutospacing="0" w:afterAutospacing="0"/>
              <w:jc w:val="center"/>
              <w:rPr>
                <w:color w:val="auto"/>
                <w:highlight w:val="none"/>
              </w:rPr>
            </w:pPr>
            <w:r>
              <w:rPr>
                <w:rFonts w:hint="eastAsia" w:ascii="宋体" w:hAnsi="宋体" w:eastAsia="宋体" w:cs="宋体"/>
                <w:color w:val="auto"/>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258E0E">
            <w:pPr>
              <w:pStyle w:val="30"/>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FB7B34">
            <w:pPr>
              <w:pStyle w:val="30"/>
              <w:spacing w:beforeAutospacing="0" w:afterAutospacing="0"/>
              <w:jc w:val="center"/>
              <w:rPr>
                <w:color w:val="auto"/>
                <w:highlight w:val="none"/>
              </w:rPr>
            </w:pPr>
            <w:r>
              <w:rPr>
                <w:rFonts w:hint="eastAsia" w:ascii="宋体" w:hAnsi="宋体" w:eastAsia="宋体" w:cs="宋体"/>
                <w:color w:val="auto"/>
                <w:highlight w:val="none"/>
              </w:rPr>
              <w:t>证明</w:t>
            </w:r>
          </w:p>
          <w:p w14:paraId="15B89F6A">
            <w:pPr>
              <w:pStyle w:val="30"/>
              <w:spacing w:beforeAutospacing="0" w:afterAutospacing="0"/>
              <w:jc w:val="center"/>
              <w:rPr>
                <w:color w:val="auto"/>
                <w:highlight w:val="none"/>
              </w:rPr>
            </w:pPr>
            <w:r>
              <w:rPr>
                <w:rFonts w:hint="eastAsia" w:ascii="宋体" w:hAnsi="宋体" w:eastAsia="宋体" w:cs="宋体"/>
                <w:color w:val="auto"/>
                <w:highlight w:val="none"/>
              </w:rPr>
              <w:t>材料</w:t>
            </w:r>
          </w:p>
        </w:tc>
      </w:tr>
      <w:tr w14:paraId="5CE4E30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65FAFB">
            <w:pPr>
              <w:pStyle w:val="3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9FDF69">
            <w:pPr>
              <w:pStyle w:val="3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189B22">
            <w:pPr>
              <w:pStyle w:val="3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9C41FA">
            <w:pPr>
              <w:pStyle w:val="3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AC73B8">
            <w:pPr>
              <w:pStyle w:val="30"/>
              <w:spacing w:beforeAutospacing="0" w:afterAutospacing="0"/>
              <w:jc w:val="center"/>
              <w:rPr>
                <w:color w:val="auto"/>
                <w:highlight w:val="none"/>
              </w:rPr>
            </w:pPr>
            <w:r>
              <w:rPr>
                <w:color w:val="auto"/>
                <w:highlight w:val="none"/>
              </w:rPr>
              <w:t> </w:t>
            </w:r>
          </w:p>
        </w:tc>
      </w:tr>
      <w:tr w14:paraId="6658FDB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78A865">
            <w:pPr>
              <w:pStyle w:val="3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43523D">
            <w:pPr>
              <w:pStyle w:val="3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D64ECE">
            <w:pPr>
              <w:pStyle w:val="3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8A8A7C">
            <w:pPr>
              <w:pStyle w:val="3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33E90B">
            <w:pPr>
              <w:pStyle w:val="30"/>
              <w:spacing w:beforeAutospacing="0" w:afterAutospacing="0"/>
              <w:jc w:val="center"/>
              <w:rPr>
                <w:color w:val="auto"/>
                <w:highlight w:val="none"/>
              </w:rPr>
            </w:pPr>
            <w:r>
              <w:rPr>
                <w:color w:val="auto"/>
                <w:highlight w:val="none"/>
              </w:rPr>
              <w:t> </w:t>
            </w:r>
          </w:p>
        </w:tc>
      </w:tr>
      <w:tr w14:paraId="7A6B412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1CF5B7">
            <w:pPr>
              <w:pStyle w:val="3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E646DB">
            <w:pPr>
              <w:pStyle w:val="3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6F94D3">
            <w:pPr>
              <w:pStyle w:val="3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6E2319">
            <w:pPr>
              <w:pStyle w:val="3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6EF4A3">
            <w:pPr>
              <w:pStyle w:val="30"/>
              <w:spacing w:beforeAutospacing="0" w:afterAutospacing="0"/>
              <w:jc w:val="center"/>
              <w:rPr>
                <w:color w:val="auto"/>
                <w:highlight w:val="none"/>
              </w:rPr>
            </w:pPr>
            <w:r>
              <w:rPr>
                <w:color w:val="auto"/>
                <w:highlight w:val="none"/>
              </w:rPr>
              <w:t> </w:t>
            </w:r>
          </w:p>
        </w:tc>
      </w:tr>
      <w:tr w14:paraId="08C39B5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F5EC53">
            <w:pPr>
              <w:pStyle w:val="3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EE2627">
            <w:pPr>
              <w:pStyle w:val="3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57A7F0">
            <w:pPr>
              <w:pStyle w:val="3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445826">
            <w:pPr>
              <w:pStyle w:val="3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97E29E">
            <w:pPr>
              <w:pStyle w:val="30"/>
              <w:spacing w:beforeAutospacing="0" w:afterAutospacing="0"/>
              <w:jc w:val="center"/>
              <w:rPr>
                <w:color w:val="auto"/>
                <w:highlight w:val="none"/>
              </w:rPr>
            </w:pPr>
            <w:r>
              <w:rPr>
                <w:color w:val="auto"/>
                <w:highlight w:val="none"/>
              </w:rPr>
              <w:t> </w:t>
            </w:r>
          </w:p>
        </w:tc>
      </w:tr>
      <w:tr w14:paraId="287B62E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068AAD">
            <w:pPr>
              <w:pStyle w:val="3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7E8993">
            <w:pPr>
              <w:pStyle w:val="3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1B2A7B">
            <w:pPr>
              <w:pStyle w:val="3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2A21EA">
            <w:pPr>
              <w:pStyle w:val="3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D249EA">
            <w:pPr>
              <w:pStyle w:val="30"/>
              <w:spacing w:beforeAutospacing="0" w:afterAutospacing="0"/>
              <w:jc w:val="center"/>
              <w:rPr>
                <w:color w:val="auto"/>
                <w:highlight w:val="none"/>
              </w:rPr>
            </w:pPr>
            <w:r>
              <w:rPr>
                <w:color w:val="auto"/>
                <w:highlight w:val="none"/>
              </w:rPr>
              <w:t> </w:t>
            </w:r>
          </w:p>
        </w:tc>
      </w:tr>
      <w:tr w14:paraId="6324176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3738B0">
            <w:pPr>
              <w:pStyle w:val="3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8508AB">
            <w:pPr>
              <w:pStyle w:val="3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A51E60">
            <w:pPr>
              <w:pStyle w:val="3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E56296">
            <w:pPr>
              <w:pStyle w:val="3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312AF8">
            <w:pPr>
              <w:pStyle w:val="30"/>
              <w:spacing w:beforeAutospacing="0" w:afterAutospacing="0"/>
              <w:jc w:val="center"/>
              <w:rPr>
                <w:color w:val="auto"/>
                <w:highlight w:val="none"/>
              </w:rPr>
            </w:pPr>
            <w:r>
              <w:rPr>
                <w:color w:val="auto"/>
                <w:highlight w:val="none"/>
              </w:rPr>
              <w:t> </w:t>
            </w:r>
          </w:p>
        </w:tc>
      </w:tr>
      <w:tr w14:paraId="49CAF90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34BD97">
            <w:pPr>
              <w:pStyle w:val="3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29836D">
            <w:pPr>
              <w:pStyle w:val="3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2D0D53">
            <w:pPr>
              <w:pStyle w:val="3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89D65C">
            <w:pPr>
              <w:pStyle w:val="3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E8AB7D">
            <w:pPr>
              <w:pStyle w:val="30"/>
              <w:spacing w:beforeAutospacing="0" w:afterAutospacing="0"/>
              <w:jc w:val="center"/>
              <w:rPr>
                <w:color w:val="auto"/>
                <w:highlight w:val="none"/>
              </w:rPr>
            </w:pPr>
            <w:r>
              <w:rPr>
                <w:color w:val="auto"/>
                <w:highlight w:val="none"/>
              </w:rPr>
              <w:t> </w:t>
            </w:r>
          </w:p>
        </w:tc>
      </w:tr>
      <w:tr w14:paraId="51E5BFB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10DB12">
            <w:pPr>
              <w:pStyle w:val="3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4E588A">
            <w:pPr>
              <w:pStyle w:val="30"/>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3F0E5C">
            <w:pPr>
              <w:pStyle w:val="3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B24FC2">
            <w:pPr>
              <w:pStyle w:val="3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DE0135">
            <w:pPr>
              <w:pStyle w:val="30"/>
              <w:spacing w:beforeAutospacing="0" w:afterAutospacing="0"/>
              <w:jc w:val="center"/>
              <w:rPr>
                <w:color w:val="auto"/>
                <w:highlight w:val="none"/>
              </w:rPr>
            </w:pPr>
            <w:r>
              <w:rPr>
                <w:color w:val="auto"/>
                <w:highlight w:val="none"/>
              </w:rPr>
              <w:t> </w:t>
            </w:r>
          </w:p>
        </w:tc>
      </w:tr>
    </w:tbl>
    <w:p w14:paraId="0FF3BA0B">
      <w:pPr>
        <w:pStyle w:val="30"/>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6D5121A7">
      <w:pPr>
        <w:pStyle w:val="30"/>
        <w:spacing w:beforeAutospacing="0" w:afterAutospacing="0"/>
        <w:jc w:val="center"/>
        <w:rPr>
          <w:color w:val="auto"/>
          <w:highlight w:val="none"/>
        </w:rPr>
      </w:pPr>
      <w:r>
        <w:rPr>
          <w:color w:val="auto"/>
          <w:highlight w:val="none"/>
        </w:rPr>
        <w:t> </w:t>
      </w:r>
    </w:p>
    <w:p w14:paraId="6F019C0D">
      <w:pPr>
        <w:pStyle w:val="30"/>
        <w:spacing w:beforeAutospacing="0" w:afterAutospacing="0"/>
        <w:jc w:val="center"/>
        <w:rPr>
          <w:color w:val="auto"/>
          <w:highlight w:val="none"/>
        </w:rPr>
      </w:pPr>
      <w:r>
        <w:rPr>
          <w:color w:val="auto"/>
          <w:highlight w:val="none"/>
        </w:rPr>
        <w:t> </w:t>
      </w:r>
    </w:p>
    <w:p w14:paraId="288BEFEC">
      <w:pPr>
        <w:pStyle w:val="30"/>
        <w:spacing w:beforeAutospacing="0" w:afterAutospacing="0"/>
        <w:jc w:val="center"/>
        <w:rPr>
          <w:color w:val="auto"/>
          <w:highlight w:val="none"/>
        </w:rPr>
      </w:pPr>
      <w:r>
        <w:rPr>
          <w:color w:val="auto"/>
          <w:highlight w:val="none"/>
        </w:rPr>
        <w:t> </w:t>
      </w:r>
    </w:p>
    <w:p w14:paraId="1C0FAB13">
      <w:pPr>
        <w:pStyle w:val="30"/>
        <w:spacing w:beforeAutospacing="0" w:afterAutospacing="0"/>
        <w:jc w:val="center"/>
        <w:rPr>
          <w:color w:val="auto"/>
          <w:highlight w:val="none"/>
        </w:rPr>
      </w:pPr>
      <w:r>
        <w:rPr>
          <w:color w:val="auto"/>
          <w:highlight w:val="none"/>
        </w:rPr>
        <w:t> </w:t>
      </w:r>
    </w:p>
    <w:p w14:paraId="6F681584">
      <w:pPr>
        <w:pStyle w:val="30"/>
        <w:spacing w:beforeAutospacing="0" w:afterAutospacing="0"/>
        <w:jc w:val="both"/>
        <w:rPr>
          <w:color w:val="auto"/>
          <w:highlight w:val="none"/>
        </w:rPr>
      </w:pPr>
      <w:r>
        <w:rPr>
          <w:color w:val="auto"/>
          <w:highlight w:val="none"/>
        </w:rPr>
        <w:t> </w:t>
      </w:r>
    </w:p>
    <w:p w14:paraId="7CAABFA1">
      <w:pPr>
        <w:pStyle w:val="30"/>
        <w:spacing w:beforeAutospacing="0" w:afterAutospacing="0"/>
        <w:jc w:val="both"/>
        <w:rPr>
          <w:color w:val="auto"/>
          <w:highlight w:val="none"/>
        </w:rPr>
      </w:pPr>
      <w:r>
        <w:rPr>
          <w:color w:val="auto"/>
          <w:highlight w:val="none"/>
        </w:rPr>
        <w:t> </w:t>
      </w:r>
    </w:p>
    <w:p w14:paraId="4720722F">
      <w:pPr>
        <w:pStyle w:val="30"/>
        <w:spacing w:beforeAutospacing="0" w:afterAutospacing="0"/>
        <w:jc w:val="both"/>
        <w:rPr>
          <w:color w:val="auto"/>
          <w:highlight w:val="none"/>
        </w:rPr>
      </w:pPr>
      <w:r>
        <w:rPr>
          <w:color w:val="auto"/>
          <w:highlight w:val="none"/>
        </w:rPr>
        <w:t> </w:t>
      </w:r>
    </w:p>
    <w:p w14:paraId="542942A6">
      <w:pPr>
        <w:pStyle w:val="30"/>
        <w:spacing w:beforeAutospacing="0" w:afterAutospacing="0"/>
        <w:jc w:val="both"/>
        <w:rPr>
          <w:color w:val="auto"/>
          <w:highlight w:val="none"/>
        </w:rPr>
      </w:pPr>
      <w:r>
        <w:rPr>
          <w:color w:val="auto"/>
          <w:highlight w:val="none"/>
        </w:rPr>
        <w:t> </w:t>
      </w:r>
    </w:p>
    <w:p w14:paraId="302E14F1">
      <w:pPr>
        <w:pStyle w:val="30"/>
        <w:spacing w:beforeAutospacing="0" w:afterAutospacing="0"/>
        <w:jc w:val="both"/>
        <w:rPr>
          <w:color w:val="auto"/>
          <w:highlight w:val="none"/>
        </w:rPr>
      </w:pPr>
      <w:r>
        <w:rPr>
          <w:color w:val="auto"/>
          <w:highlight w:val="none"/>
        </w:rPr>
        <w:t> </w:t>
      </w:r>
    </w:p>
    <w:p w14:paraId="1CC358DA">
      <w:pPr>
        <w:pStyle w:val="30"/>
        <w:spacing w:beforeAutospacing="0" w:afterAutospacing="0"/>
        <w:jc w:val="both"/>
        <w:rPr>
          <w:color w:val="auto"/>
          <w:highlight w:val="none"/>
        </w:rPr>
      </w:pPr>
    </w:p>
    <w:p w14:paraId="6AED4118">
      <w:pPr>
        <w:pStyle w:val="30"/>
        <w:spacing w:beforeAutospacing="0" w:afterAutospacing="0"/>
        <w:jc w:val="both"/>
        <w:rPr>
          <w:color w:val="auto"/>
          <w:highlight w:val="none"/>
        </w:rPr>
      </w:pPr>
    </w:p>
    <w:p w14:paraId="7088AB27">
      <w:pPr>
        <w:pStyle w:val="30"/>
        <w:spacing w:beforeAutospacing="0" w:afterAutospacing="0"/>
        <w:jc w:val="both"/>
        <w:rPr>
          <w:color w:val="auto"/>
          <w:highlight w:val="none"/>
        </w:rPr>
      </w:pPr>
    </w:p>
    <w:p w14:paraId="1E0E3F86">
      <w:pPr>
        <w:pStyle w:val="30"/>
        <w:spacing w:beforeAutospacing="0" w:afterAutospacing="0"/>
        <w:jc w:val="both"/>
        <w:rPr>
          <w:color w:val="auto"/>
          <w:highlight w:val="none"/>
        </w:rPr>
      </w:pPr>
    </w:p>
    <w:p w14:paraId="1F0D01B8">
      <w:pPr>
        <w:pStyle w:val="30"/>
        <w:spacing w:beforeAutospacing="0" w:afterAutospacing="0"/>
        <w:jc w:val="both"/>
        <w:rPr>
          <w:color w:val="auto"/>
          <w:highlight w:val="none"/>
        </w:rPr>
      </w:pPr>
    </w:p>
    <w:p w14:paraId="17B5DE6F">
      <w:pPr>
        <w:pStyle w:val="30"/>
        <w:spacing w:beforeAutospacing="0" w:afterAutospacing="0"/>
        <w:jc w:val="both"/>
        <w:rPr>
          <w:color w:val="auto"/>
          <w:highlight w:val="none"/>
        </w:rPr>
      </w:pPr>
    </w:p>
    <w:p w14:paraId="07CC834E">
      <w:pPr>
        <w:pStyle w:val="30"/>
        <w:spacing w:beforeAutospacing="0" w:afterAutospacing="0"/>
        <w:jc w:val="both"/>
        <w:rPr>
          <w:color w:val="auto"/>
          <w:highlight w:val="none"/>
        </w:rPr>
      </w:pPr>
    </w:p>
    <w:p w14:paraId="0DAD5BE5">
      <w:pPr>
        <w:pStyle w:val="30"/>
        <w:spacing w:beforeAutospacing="0" w:afterAutospacing="0"/>
        <w:jc w:val="both"/>
        <w:rPr>
          <w:color w:val="auto"/>
          <w:highlight w:val="none"/>
        </w:rPr>
      </w:pPr>
    </w:p>
    <w:p w14:paraId="3210D8A2">
      <w:pPr>
        <w:pStyle w:val="30"/>
        <w:spacing w:beforeAutospacing="0" w:afterAutospacing="0"/>
        <w:jc w:val="both"/>
        <w:rPr>
          <w:color w:val="auto"/>
          <w:highlight w:val="none"/>
        </w:rPr>
      </w:pPr>
    </w:p>
    <w:p w14:paraId="7E9E1078">
      <w:pPr>
        <w:pStyle w:val="30"/>
        <w:spacing w:beforeAutospacing="0" w:afterAutospacing="0"/>
        <w:jc w:val="both"/>
        <w:rPr>
          <w:color w:val="auto"/>
          <w:highlight w:val="none"/>
        </w:rPr>
      </w:pPr>
    </w:p>
    <w:p w14:paraId="0BFEC420">
      <w:pPr>
        <w:pStyle w:val="30"/>
        <w:spacing w:beforeAutospacing="0" w:afterAutospacing="0"/>
        <w:jc w:val="both"/>
        <w:rPr>
          <w:color w:val="auto"/>
          <w:highlight w:val="none"/>
        </w:rPr>
      </w:pPr>
    </w:p>
    <w:p w14:paraId="35CDACCA">
      <w:pPr>
        <w:rPr>
          <w:rFonts w:hint="eastAsia" w:ascii="黑体" w:hAnsi="宋体" w:eastAsia="黑体" w:cs="黑体"/>
          <w:b/>
          <w:color w:val="auto"/>
          <w:sz w:val="32"/>
          <w:szCs w:val="32"/>
          <w:highlight w:val="none"/>
        </w:rPr>
      </w:pPr>
      <w:bookmarkStart w:id="170" w:name="_Hlt26955054"/>
      <w:r>
        <w:rPr>
          <w:rFonts w:hint="eastAsia" w:ascii="黑体" w:hAnsi="宋体" w:eastAsia="黑体" w:cs="黑体"/>
          <w:b/>
          <w:color w:val="auto"/>
          <w:sz w:val="32"/>
          <w:szCs w:val="32"/>
          <w:highlight w:val="none"/>
        </w:rPr>
        <w:br w:type="page"/>
      </w:r>
    </w:p>
    <w:p w14:paraId="1BEA8C4B">
      <w:pPr>
        <w:pStyle w:val="30"/>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五</w:t>
      </w:r>
      <w:r>
        <w:rPr>
          <w:rFonts w:hint="eastAsia" w:ascii="黑体" w:hAnsi="宋体" w:eastAsia="黑体" w:cs="黑体"/>
          <w:b/>
          <w:color w:val="auto"/>
          <w:sz w:val="32"/>
          <w:szCs w:val="32"/>
          <w:highlight w:val="none"/>
        </w:rPr>
        <w:t>、商务要求响应及偏离表（分包号：**）</w:t>
      </w:r>
    </w:p>
    <w:tbl>
      <w:tblPr>
        <w:tblStyle w:val="32"/>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210F9CB5">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A698A6">
            <w:pPr>
              <w:pStyle w:val="30"/>
              <w:spacing w:beforeAutospacing="0" w:afterAutospacing="0"/>
              <w:jc w:val="center"/>
              <w:rPr>
                <w:color w:val="auto"/>
                <w:highlight w:val="none"/>
              </w:rPr>
            </w:pPr>
            <w:bookmarkStart w:id="171" w:name="_Hlt26671372"/>
            <w:bookmarkStart w:id="172" w:name="_Hlt26955064"/>
            <w:bookmarkStart w:id="173" w:name="_Hlt24879081"/>
            <w:bookmarkStart w:id="174" w:name="_Hlt26955056"/>
            <w:bookmarkStart w:id="175" w:name="_Hlt26782999"/>
            <w:bookmarkStart w:id="176" w:name="_Hlt26580838"/>
            <w:bookmarkStart w:id="177" w:name="_Hlt26671343"/>
            <w:bookmarkStart w:id="178" w:name="_Hlt26609391"/>
            <w:r>
              <w:rPr>
                <w:rFonts w:hint="eastAsia" w:ascii="宋体" w:hAnsi="宋体" w:eastAsia="宋体" w:cs="宋体"/>
                <w:color w:val="auto"/>
                <w:highlight w:val="none"/>
              </w:rPr>
              <w:t>序号</w:t>
            </w:r>
            <w:bookmarkEnd w:id="171"/>
            <w:bookmarkEnd w:id="172"/>
            <w:bookmarkEnd w:id="173"/>
            <w:bookmarkEnd w:id="174"/>
            <w:bookmarkEnd w:id="175"/>
            <w:bookmarkEnd w:id="176"/>
            <w:bookmarkEnd w:id="177"/>
            <w:bookmarkEnd w:id="178"/>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68D7A4">
            <w:pPr>
              <w:pStyle w:val="30"/>
              <w:spacing w:beforeAutospacing="0" w:afterAutospacing="0"/>
              <w:jc w:val="center"/>
              <w:rPr>
                <w:color w:val="auto"/>
                <w:highlight w:val="none"/>
              </w:rPr>
            </w:pPr>
            <w:r>
              <w:rPr>
                <w:rFonts w:hint="eastAsia" w:ascii="宋体" w:hAnsi="宋体" w:eastAsia="宋体" w:cs="宋体"/>
                <w:color w:val="auto"/>
                <w:highlight w:val="none"/>
              </w:rPr>
              <w:t>谈判文件要求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AF2771">
            <w:pPr>
              <w:pStyle w:val="30"/>
              <w:spacing w:beforeAutospacing="0" w:afterAutospacing="0"/>
              <w:jc w:val="center"/>
              <w:rPr>
                <w:color w:val="auto"/>
                <w:highlight w:val="none"/>
              </w:rPr>
            </w:pPr>
            <w:r>
              <w:rPr>
                <w:rFonts w:hint="eastAsia" w:ascii="宋体" w:hAnsi="宋体" w:eastAsia="宋体" w:cs="宋体"/>
                <w:color w:val="auto"/>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A609C3">
            <w:pPr>
              <w:pStyle w:val="30"/>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6AEB6C">
            <w:pPr>
              <w:pStyle w:val="30"/>
              <w:spacing w:beforeAutospacing="0" w:afterAutospacing="0"/>
              <w:jc w:val="center"/>
              <w:rPr>
                <w:color w:val="auto"/>
                <w:highlight w:val="none"/>
              </w:rPr>
            </w:pPr>
            <w:r>
              <w:rPr>
                <w:rFonts w:hint="eastAsia" w:ascii="宋体" w:hAnsi="宋体" w:eastAsia="宋体" w:cs="宋体"/>
                <w:color w:val="auto"/>
                <w:highlight w:val="none"/>
              </w:rPr>
              <w:t>证明</w:t>
            </w:r>
          </w:p>
          <w:p w14:paraId="6F7A8735">
            <w:pPr>
              <w:pStyle w:val="30"/>
              <w:spacing w:beforeAutospacing="0" w:afterAutospacing="0"/>
              <w:jc w:val="center"/>
              <w:rPr>
                <w:color w:val="auto"/>
                <w:highlight w:val="none"/>
              </w:rPr>
            </w:pPr>
            <w:r>
              <w:rPr>
                <w:rFonts w:hint="eastAsia" w:ascii="宋体" w:hAnsi="宋体" w:eastAsia="宋体" w:cs="宋体"/>
                <w:color w:val="auto"/>
                <w:highlight w:val="none"/>
              </w:rPr>
              <w:t>材料</w:t>
            </w:r>
          </w:p>
        </w:tc>
      </w:tr>
      <w:tr w14:paraId="030BE46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44A584">
            <w:pPr>
              <w:pStyle w:val="3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75BA41">
            <w:pPr>
              <w:pStyle w:val="3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CD2200">
            <w:pPr>
              <w:pStyle w:val="3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A9F034">
            <w:pPr>
              <w:pStyle w:val="3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5E45C0">
            <w:pPr>
              <w:pStyle w:val="30"/>
              <w:spacing w:beforeAutospacing="0" w:afterAutospacing="0"/>
              <w:jc w:val="center"/>
              <w:rPr>
                <w:color w:val="auto"/>
                <w:highlight w:val="none"/>
              </w:rPr>
            </w:pPr>
            <w:r>
              <w:rPr>
                <w:color w:val="auto"/>
                <w:highlight w:val="none"/>
              </w:rPr>
              <w:t> </w:t>
            </w:r>
          </w:p>
        </w:tc>
      </w:tr>
      <w:tr w14:paraId="1E2F8F0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C4BD0B">
            <w:pPr>
              <w:pStyle w:val="3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C48B95">
            <w:pPr>
              <w:pStyle w:val="3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D94D93">
            <w:pPr>
              <w:pStyle w:val="3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9F4B40">
            <w:pPr>
              <w:pStyle w:val="3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85B670">
            <w:pPr>
              <w:pStyle w:val="30"/>
              <w:spacing w:beforeAutospacing="0" w:afterAutospacing="0"/>
              <w:jc w:val="center"/>
              <w:rPr>
                <w:color w:val="auto"/>
                <w:highlight w:val="none"/>
              </w:rPr>
            </w:pPr>
            <w:r>
              <w:rPr>
                <w:color w:val="auto"/>
                <w:highlight w:val="none"/>
              </w:rPr>
              <w:t> </w:t>
            </w:r>
          </w:p>
        </w:tc>
      </w:tr>
      <w:tr w14:paraId="283D040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E2471D">
            <w:pPr>
              <w:pStyle w:val="3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582F82">
            <w:pPr>
              <w:pStyle w:val="3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999D5E">
            <w:pPr>
              <w:pStyle w:val="3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122DFA">
            <w:pPr>
              <w:pStyle w:val="3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EB569D">
            <w:pPr>
              <w:pStyle w:val="30"/>
              <w:spacing w:beforeAutospacing="0" w:afterAutospacing="0"/>
              <w:jc w:val="center"/>
              <w:rPr>
                <w:color w:val="auto"/>
                <w:highlight w:val="none"/>
              </w:rPr>
            </w:pPr>
            <w:r>
              <w:rPr>
                <w:color w:val="auto"/>
                <w:highlight w:val="none"/>
              </w:rPr>
              <w:t> </w:t>
            </w:r>
          </w:p>
        </w:tc>
      </w:tr>
      <w:tr w14:paraId="66B075E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8A4406">
            <w:pPr>
              <w:pStyle w:val="3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B109C6">
            <w:pPr>
              <w:pStyle w:val="3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83799E">
            <w:pPr>
              <w:pStyle w:val="3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E87C56">
            <w:pPr>
              <w:pStyle w:val="3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9168DD">
            <w:pPr>
              <w:pStyle w:val="30"/>
              <w:spacing w:beforeAutospacing="0" w:afterAutospacing="0"/>
              <w:jc w:val="center"/>
              <w:rPr>
                <w:color w:val="auto"/>
                <w:highlight w:val="none"/>
              </w:rPr>
            </w:pPr>
            <w:r>
              <w:rPr>
                <w:color w:val="auto"/>
                <w:highlight w:val="none"/>
              </w:rPr>
              <w:t> </w:t>
            </w:r>
          </w:p>
        </w:tc>
      </w:tr>
      <w:tr w14:paraId="598F582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6C5238">
            <w:pPr>
              <w:pStyle w:val="3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E30235">
            <w:pPr>
              <w:pStyle w:val="3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ECE5B2">
            <w:pPr>
              <w:pStyle w:val="3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01426C">
            <w:pPr>
              <w:pStyle w:val="3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C7BBC1">
            <w:pPr>
              <w:pStyle w:val="30"/>
              <w:spacing w:beforeAutospacing="0" w:afterAutospacing="0"/>
              <w:jc w:val="center"/>
              <w:rPr>
                <w:color w:val="auto"/>
                <w:highlight w:val="none"/>
              </w:rPr>
            </w:pPr>
            <w:r>
              <w:rPr>
                <w:color w:val="auto"/>
                <w:highlight w:val="none"/>
              </w:rPr>
              <w:t> </w:t>
            </w:r>
          </w:p>
        </w:tc>
      </w:tr>
      <w:tr w14:paraId="7914178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D7AD7D">
            <w:pPr>
              <w:pStyle w:val="3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599C3D">
            <w:pPr>
              <w:pStyle w:val="3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9FA2C3">
            <w:pPr>
              <w:pStyle w:val="3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0B158C">
            <w:pPr>
              <w:pStyle w:val="3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4C1928">
            <w:pPr>
              <w:pStyle w:val="30"/>
              <w:spacing w:beforeAutospacing="0" w:afterAutospacing="0"/>
              <w:jc w:val="center"/>
              <w:rPr>
                <w:color w:val="auto"/>
                <w:highlight w:val="none"/>
              </w:rPr>
            </w:pPr>
            <w:r>
              <w:rPr>
                <w:color w:val="auto"/>
                <w:highlight w:val="none"/>
              </w:rPr>
              <w:t> </w:t>
            </w:r>
          </w:p>
        </w:tc>
      </w:tr>
      <w:tr w14:paraId="6732C9A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1B9F54">
            <w:pPr>
              <w:pStyle w:val="3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D756AC">
            <w:pPr>
              <w:pStyle w:val="30"/>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6EBBDC">
            <w:pPr>
              <w:pStyle w:val="3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290450">
            <w:pPr>
              <w:pStyle w:val="3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13B6E8">
            <w:pPr>
              <w:pStyle w:val="30"/>
              <w:spacing w:beforeAutospacing="0" w:afterAutospacing="0"/>
              <w:jc w:val="center"/>
              <w:rPr>
                <w:color w:val="auto"/>
                <w:highlight w:val="none"/>
              </w:rPr>
            </w:pPr>
            <w:r>
              <w:rPr>
                <w:color w:val="auto"/>
                <w:highlight w:val="none"/>
              </w:rPr>
              <w:t> </w:t>
            </w:r>
          </w:p>
        </w:tc>
      </w:tr>
      <w:tr w14:paraId="48968A3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0F0640">
            <w:pPr>
              <w:pStyle w:val="30"/>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65B486">
            <w:pPr>
              <w:pStyle w:val="30"/>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E037D8">
            <w:pPr>
              <w:pStyle w:val="30"/>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6BB63A">
            <w:pPr>
              <w:pStyle w:val="30"/>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9F3370">
            <w:pPr>
              <w:pStyle w:val="30"/>
              <w:spacing w:beforeAutospacing="0" w:afterAutospacing="0"/>
              <w:jc w:val="center"/>
              <w:rPr>
                <w:color w:val="auto"/>
                <w:highlight w:val="none"/>
              </w:rPr>
            </w:pPr>
            <w:r>
              <w:rPr>
                <w:color w:val="auto"/>
                <w:highlight w:val="none"/>
              </w:rPr>
              <w:t> </w:t>
            </w:r>
          </w:p>
        </w:tc>
      </w:tr>
    </w:tbl>
    <w:p w14:paraId="1162A5C2">
      <w:pPr>
        <w:pStyle w:val="30"/>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32BBD321">
      <w:pPr>
        <w:rPr>
          <w:color w:val="auto"/>
          <w:highlight w:val="none"/>
        </w:rPr>
      </w:pPr>
      <w:bookmarkStart w:id="179" w:name="_Hlt26955066"/>
      <w:bookmarkStart w:id="180" w:name="_格式2__法定代表人授权书"/>
      <w:bookmarkStart w:id="181" w:name="_Hlt26671374"/>
      <w:bookmarkStart w:id="182" w:name="_Toc462564146"/>
      <w:bookmarkStart w:id="183" w:name="_Hlt26609389"/>
      <w:r>
        <w:rPr>
          <w:color w:val="auto"/>
          <w:highlight w:val="none"/>
        </w:rPr>
        <w:br w:type="page"/>
      </w:r>
    </w:p>
    <w:p w14:paraId="6158A5B3">
      <w:pPr>
        <w:pStyle w:val="30"/>
        <w:spacing w:beforeAutospacing="0" w:afterAutospacing="0"/>
        <w:ind w:firstLine="480"/>
        <w:jc w:val="center"/>
        <w:rPr>
          <w:rFonts w:hint="eastAsia" w:ascii="宋体" w:hAnsi="宋体" w:eastAsia="宋体" w:cs="宋体"/>
          <w:i w:val="0"/>
          <w:iCs/>
          <w:color w:val="000000"/>
          <w:highlight w:val="none"/>
          <w:u w:val="none"/>
          <w:lang w:val="en-US" w:eastAsia="zh-CN"/>
        </w:rPr>
      </w:pPr>
      <w:r>
        <w:rPr>
          <w:rFonts w:hint="eastAsia" w:ascii="黑体" w:hAnsi="宋体" w:eastAsia="黑体" w:cs="黑体"/>
          <w:b/>
          <w:i w:val="0"/>
          <w:iCs/>
          <w:color w:val="000000"/>
          <w:sz w:val="32"/>
          <w:szCs w:val="32"/>
          <w:highlight w:val="none"/>
          <w:u w:val="none"/>
        </w:rPr>
        <w:t>十</w:t>
      </w:r>
      <w:r>
        <w:rPr>
          <w:rFonts w:hint="eastAsia" w:ascii="黑体" w:hAnsi="宋体" w:eastAsia="黑体" w:cs="黑体"/>
          <w:b/>
          <w:i w:val="0"/>
          <w:iCs/>
          <w:color w:val="000000"/>
          <w:sz w:val="32"/>
          <w:szCs w:val="32"/>
          <w:highlight w:val="none"/>
          <w:u w:val="none"/>
          <w:lang w:val="en-US" w:eastAsia="zh-CN"/>
        </w:rPr>
        <w:t>六</w:t>
      </w:r>
      <w:r>
        <w:rPr>
          <w:rFonts w:hint="eastAsia" w:ascii="黑体" w:hAnsi="宋体" w:eastAsia="黑体" w:cs="黑体"/>
          <w:b/>
          <w:i w:val="0"/>
          <w:iCs/>
          <w:color w:val="000000"/>
          <w:sz w:val="32"/>
          <w:szCs w:val="32"/>
          <w:highlight w:val="none"/>
          <w:u w:val="none"/>
        </w:rPr>
        <w:t>、开标一览表</w:t>
      </w:r>
    </w:p>
    <w:p w14:paraId="6D4FEC10">
      <w:pPr>
        <w:pStyle w:val="30"/>
        <w:spacing w:beforeAutospacing="0" w:afterAutospacing="0"/>
        <w:ind w:firstLine="480"/>
        <w:jc w:val="both"/>
        <w:rPr>
          <w:highlight w:val="none"/>
        </w:rPr>
      </w:pPr>
      <w:r>
        <w:rPr>
          <w:rFonts w:hint="eastAsia" w:ascii="宋体" w:hAnsi="宋体" w:eastAsia="宋体" w:cs="宋体"/>
          <w:color w:val="000000"/>
          <w:highlight w:val="none"/>
        </w:rPr>
        <w:t>投标人全称（加盖CA电子签章）：</w:t>
      </w:r>
    </w:p>
    <w:p w14:paraId="5F32F812">
      <w:pPr>
        <w:pStyle w:val="30"/>
        <w:spacing w:beforeAutospacing="0" w:afterAutospacing="0"/>
        <w:ind w:firstLine="480"/>
        <w:jc w:val="both"/>
        <w:rPr>
          <w:highlight w:val="none"/>
        </w:rPr>
      </w:pPr>
      <w:r>
        <w:rPr>
          <w:rFonts w:hint="eastAsia" w:ascii="宋体" w:hAnsi="宋体" w:eastAsia="宋体" w:cs="宋体"/>
          <w:color w:val="000000"/>
          <w:highlight w:val="none"/>
        </w:rPr>
        <w:t>项目名称：</w:t>
      </w:r>
    </w:p>
    <w:p w14:paraId="2A831880">
      <w:pPr>
        <w:pStyle w:val="30"/>
        <w:spacing w:beforeAutospacing="0" w:afterAutospacing="0"/>
        <w:ind w:firstLine="480"/>
        <w:jc w:val="both"/>
        <w:rPr>
          <w:rFonts w:hint="eastAsia" w:ascii="宋体" w:hAnsi="宋体" w:eastAsia="宋体" w:cs="宋体"/>
          <w:color w:val="000000"/>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000000"/>
          <w:highlight w:val="none"/>
        </w:rPr>
        <w:t>编号：</w:t>
      </w:r>
    </w:p>
    <w:p w14:paraId="2E2C487C">
      <w:pPr>
        <w:pStyle w:val="30"/>
        <w:spacing w:beforeAutospacing="0" w:afterAutospacing="0"/>
        <w:ind w:firstLine="480"/>
        <w:jc w:val="both"/>
        <w:rPr>
          <w:highlight w:val="none"/>
        </w:rPr>
      </w:pPr>
      <w:r>
        <w:rPr>
          <w:rFonts w:hint="eastAsia" w:ascii="宋体" w:hAnsi="宋体" w:eastAsia="宋体" w:cs="宋体"/>
          <w:color w:val="000000"/>
          <w:highlight w:val="none"/>
        </w:rPr>
        <w:t>分包号：</w:t>
      </w:r>
    </w:p>
    <w:tbl>
      <w:tblPr>
        <w:tblStyle w:val="32"/>
        <w:tblW w:w="8220" w:type="dxa"/>
        <w:tblCellSpacing w:w="0" w:type="dxa"/>
        <w:tblInd w:w="118" w:type="dxa"/>
        <w:tblLayout w:type="fixed"/>
        <w:tblCellMar>
          <w:top w:w="0" w:type="dxa"/>
          <w:left w:w="108" w:type="dxa"/>
          <w:bottom w:w="0" w:type="dxa"/>
          <w:right w:w="108" w:type="dxa"/>
        </w:tblCellMar>
      </w:tblPr>
      <w:tblGrid>
        <w:gridCol w:w="8220"/>
      </w:tblGrid>
      <w:tr w14:paraId="3E1AF94C">
        <w:tblPrEx>
          <w:tblCellMar>
            <w:top w:w="0" w:type="dxa"/>
            <w:left w:w="108" w:type="dxa"/>
            <w:bottom w:w="0" w:type="dxa"/>
            <w:right w:w="108" w:type="dxa"/>
          </w:tblCellMar>
        </w:tblPrEx>
        <w:trPr>
          <w:trHeight w:val="725" w:hRule="atLeast"/>
          <w:tblCellSpacing w:w="0" w:type="dxa"/>
        </w:trPr>
        <w:tc>
          <w:tcPr>
            <w:tcW w:w="82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504DC6">
            <w:pPr>
              <w:pStyle w:val="30"/>
              <w:spacing w:beforeAutospacing="0" w:afterAutospacing="0"/>
              <w:jc w:val="center"/>
              <w:rPr>
                <w:highlight w:val="none"/>
              </w:rPr>
            </w:pPr>
            <w:r>
              <w:rPr>
                <w:rFonts w:hint="eastAsia" w:ascii="宋体" w:hAnsi="宋体" w:eastAsia="宋体" w:cs="宋体"/>
                <w:color w:val="000000"/>
                <w:highlight w:val="none"/>
                <w:lang w:val="en-US" w:eastAsia="zh-CN"/>
              </w:rPr>
              <w:t>投标优惠率</w:t>
            </w:r>
          </w:p>
        </w:tc>
      </w:tr>
      <w:tr w14:paraId="18142DFD">
        <w:tblPrEx>
          <w:tblCellMar>
            <w:top w:w="0" w:type="dxa"/>
            <w:left w:w="108" w:type="dxa"/>
            <w:bottom w:w="0" w:type="dxa"/>
            <w:right w:w="108" w:type="dxa"/>
          </w:tblCellMar>
        </w:tblPrEx>
        <w:trPr>
          <w:trHeight w:val="612" w:hRule="atLeast"/>
          <w:tblCellSpacing w:w="0" w:type="dxa"/>
        </w:trPr>
        <w:tc>
          <w:tcPr>
            <w:tcW w:w="82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CC28EF">
            <w:pPr>
              <w:pStyle w:val="30"/>
              <w:spacing w:beforeAutospacing="0" w:afterAutospacing="0" w:line="0" w:lineRule="atLeast"/>
              <w:rPr>
                <w:highlight w:val="none"/>
              </w:rPr>
            </w:pPr>
            <w:r>
              <w:rPr>
                <w:rFonts w:hint="eastAsia" w:ascii="宋体" w:hAnsi="宋体" w:eastAsia="宋体" w:cs="宋体"/>
                <w:color w:val="000000"/>
                <w:highlight w:val="none"/>
              </w:rPr>
              <w:t>小写：                             （%）</w:t>
            </w:r>
          </w:p>
        </w:tc>
      </w:tr>
    </w:tbl>
    <w:p w14:paraId="4546115C">
      <w:pPr>
        <w:pStyle w:val="30"/>
        <w:spacing w:beforeAutospacing="0" w:afterAutospacing="0"/>
        <w:jc w:val="both"/>
        <w:rPr>
          <w:highlight w:val="none"/>
        </w:rPr>
      </w:pPr>
      <w:r>
        <w:rPr>
          <w:highlight w:val="none"/>
        </w:rPr>
        <w:t> </w:t>
      </w:r>
    </w:p>
    <w:p w14:paraId="417EA140">
      <w:pPr>
        <w:pStyle w:val="30"/>
        <w:spacing w:beforeAutospacing="0" w:afterAutospacing="0"/>
        <w:ind w:firstLine="480"/>
        <w:jc w:val="both"/>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日</w:t>
      </w:r>
    </w:p>
    <w:p w14:paraId="34F725F7">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1C0FFAEC">
      <w:pPr>
        <w:widowControl/>
        <w:spacing w:before="50" w:after="50"/>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32"/>
          <w:szCs w:val="32"/>
          <w:highlight w:val="none"/>
        </w:rPr>
        <w:t>十</w:t>
      </w:r>
      <w:r>
        <w:rPr>
          <w:rFonts w:hint="eastAsia" w:ascii="宋体" w:hAnsi="宋体" w:eastAsia="宋体" w:cs="宋体"/>
          <w:color w:val="auto"/>
          <w:sz w:val="32"/>
          <w:szCs w:val="32"/>
          <w:highlight w:val="none"/>
          <w:lang w:val="en-US" w:eastAsia="zh-CN"/>
        </w:rPr>
        <w:t>七</w:t>
      </w:r>
      <w:r>
        <w:rPr>
          <w:rFonts w:hint="eastAsia" w:ascii="宋体" w:hAnsi="宋体" w:eastAsia="宋体" w:cs="宋体"/>
          <w:color w:val="auto"/>
          <w:sz w:val="32"/>
          <w:szCs w:val="32"/>
          <w:highlight w:val="none"/>
        </w:rPr>
        <w:t>、</w:t>
      </w:r>
      <w:r>
        <w:rPr>
          <w:rFonts w:hint="eastAsia" w:ascii="宋体" w:hAnsi="宋体" w:eastAsia="宋体" w:cs="宋体"/>
          <w:color w:val="auto"/>
          <w:sz w:val="32"/>
          <w:szCs w:val="32"/>
          <w:highlight w:val="none"/>
          <w:lang w:val="en-US" w:eastAsia="zh-CN"/>
        </w:rPr>
        <w:t>供应商认为需要提供的其他材料</w:t>
      </w:r>
    </w:p>
    <w:p w14:paraId="299C26D0">
      <w:pPr>
        <w:pStyle w:val="30"/>
        <w:spacing w:beforeAutospacing="0" w:afterAutospacing="0"/>
        <w:jc w:val="center"/>
        <w:rPr>
          <w:color w:val="auto"/>
          <w:highlight w:val="none"/>
        </w:rPr>
      </w:pPr>
      <w:r>
        <w:rPr>
          <w:color w:val="auto"/>
          <w:highlight w:val="none"/>
        </w:rPr>
        <w:t> </w:t>
      </w:r>
    </w:p>
    <w:p w14:paraId="7AEE949F">
      <w:pPr>
        <w:pStyle w:val="30"/>
        <w:spacing w:beforeAutospacing="0" w:afterAutospacing="0"/>
        <w:jc w:val="center"/>
        <w:rPr>
          <w:color w:val="auto"/>
          <w:highlight w:val="none"/>
        </w:rPr>
      </w:pPr>
    </w:p>
    <w:p w14:paraId="123D0B66">
      <w:pPr>
        <w:pStyle w:val="30"/>
        <w:spacing w:beforeAutospacing="0" w:afterAutospacing="0"/>
        <w:jc w:val="center"/>
        <w:rPr>
          <w:color w:val="auto"/>
          <w:highlight w:val="none"/>
        </w:rPr>
      </w:pPr>
    </w:p>
    <w:p w14:paraId="24B261BE">
      <w:pPr>
        <w:pStyle w:val="30"/>
        <w:spacing w:beforeAutospacing="0" w:afterAutospacing="0"/>
        <w:jc w:val="center"/>
        <w:rPr>
          <w:color w:val="auto"/>
          <w:highlight w:val="none"/>
        </w:rPr>
      </w:pPr>
    </w:p>
    <w:p w14:paraId="6C1F2601">
      <w:pPr>
        <w:pStyle w:val="30"/>
        <w:spacing w:beforeAutospacing="0" w:afterAutospacing="0"/>
        <w:jc w:val="center"/>
        <w:rPr>
          <w:color w:val="auto"/>
          <w:highlight w:val="none"/>
        </w:rPr>
      </w:pPr>
    </w:p>
    <w:p w14:paraId="45C3826D">
      <w:pPr>
        <w:pStyle w:val="30"/>
        <w:spacing w:beforeAutospacing="0" w:afterAutospacing="0"/>
        <w:jc w:val="center"/>
        <w:rPr>
          <w:color w:val="auto"/>
          <w:highlight w:val="none"/>
        </w:rPr>
      </w:pPr>
    </w:p>
    <w:p w14:paraId="2F96E55A">
      <w:pPr>
        <w:pStyle w:val="30"/>
        <w:spacing w:beforeAutospacing="0" w:afterAutospacing="0"/>
        <w:jc w:val="center"/>
        <w:rPr>
          <w:color w:val="auto"/>
          <w:highlight w:val="none"/>
        </w:rPr>
      </w:pPr>
    </w:p>
    <w:p w14:paraId="24F5C0AA">
      <w:pPr>
        <w:pStyle w:val="30"/>
        <w:spacing w:beforeAutospacing="0" w:afterAutospacing="0"/>
        <w:jc w:val="center"/>
        <w:rPr>
          <w:color w:val="auto"/>
          <w:highlight w:val="none"/>
        </w:rPr>
      </w:pPr>
    </w:p>
    <w:p w14:paraId="61BA8C51">
      <w:pPr>
        <w:pStyle w:val="30"/>
        <w:spacing w:beforeAutospacing="0" w:afterAutospacing="0"/>
        <w:jc w:val="center"/>
        <w:rPr>
          <w:color w:val="auto"/>
          <w:highlight w:val="none"/>
        </w:rPr>
      </w:pPr>
    </w:p>
    <w:p w14:paraId="30DF619D">
      <w:pPr>
        <w:pStyle w:val="30"/>
        <w:spacing w:beforeAutospacing="0" w:afterAutospacing="0"/>
        <w:jc w:val="center"/>
        <w:rPr>
          <w:color w:val="auto"/>
          <w:highlight w:val="none"/>
        </w:rPr>
      </w:pPr>
    </w:p>
    <w:p w14:paraId="60A4EF3C">
      <w:pPr>
        <w:pStyle w:val="30"/>
        <w:spacing w:beforeAutospacing="0" w:afterAutospacing="0"/>
        <w:jc w:val="center"/>
        <w:rPr>
          <w:color w:val="auto"/>
          <w:highlight w:val="none"/>
        </w:rPr>
      </w:pPr>
    </w:p>
    <w:p w14:paraId="5C912FE6">
      <w:pPr>
        <w:pStyle w:val="30"/>
        <w:spacing w:beforeAutospacing="0" w:afterAutospacing="0"/>
        <w:jc w:val="center"/>
        <w:rPr>
          <w:color w:val="auto"/>
          <w:highlight w:val="none"/>
        </w:rPr>
      </w:pPr>
    </w:p>
    <w:p w14:paraId="62E36DED">
      <w:pPr>
        <w:pStyle w:val="30"/>
        <w:spacing w:beforeAutospacing="0" w:afterAutospacing="0"/>
        <w:jc w:val="center"/>
        <w:rPr>
          <w:color w:val="auto"/>
          <w:highlight w:val="none"/>
        </w:rPr>
      </w:pPr>
    </w:p>
    <w:p w14:paraId="2C1F300D">
      <w:pPr>
        <w:pStyle w:val="30"/>
        <w:spacing w:beforeAutospacing="0" w:afterAutospacing="0"/>
        <w:jc w:val="center"/>
        <w:rPr>
          <w:color w:val="auto"/>
          <w:highlight w:val="none"/>
        </w:rPr>
      </w:pPr>
    </w:p>
    <w:p w14:paraId="1F76F3A9">
      <w:pPr>
        <w:pStyle w:val="30"/>
        <w:spacing w:beforeAutospacing="0" w:afterAutospacing="0"/>
        <w:jc w:val="center"/>
        <w:rPr>
          <w:color w:val="auto"/>
          <w:highlight w:val="none"/>
        </w:rPr>
      </w:pPr>
    </w:p>
    <w:p w14:paraId="58AECFD3">
      <w:pPr>
        <w:pStyle w:val="30"/>
        <w:spacing w:beforeAutospacing="0" w:afterAutospacing="0"/>
        <w:jc w:val="center"/>
        <w:rPr>
          <w:color w:val="auto"/>
          <w:highlight w:val="none"/>
        </w:rPr>
      </w:pPr>
    </w:p>
    <w:p w14:paraId="6A2010AD">
      <w:pPr>
        <w:pStyle w:val="30"/>
        <w:spacing w:beforeAutospacing="0" w:afterAutospacing="0"/>
        <w:jc w:val="center"/>
        <w:rPr>
          <w:color w:val="auto"/>
          <w:highlight w:val="none"/>
        </w:rPr>
      </w:pPr>
    </w:p>
    <w:p w14:paraId="36A593FE">
      <w:pPr>
        <w:pStyle w:val="30"/>
        <w:spacing w:beforeAutospacing="0" w:afterAutospacing="0"/>
        <w:jc w:val="center"/>
        <w:rPr>
          <w:color w:val="auto"/>
          <w:highlight w:val="none"/>
        </w:rPr>
      </w:pPr>
    </w:p>
    <w:p w14:paraId="5ABDA6A4">
      <w:pPr>
        <w:pStyle w:val="30"/>
        <w:spacing w:beforeAutospacing="0" w:afterAutospacing="0"/>
        <w:jc w:val="center"/>
        <w:rPr>
          <w:color w:val="auto"/>
          <w:highlight w:val="none"/>
        </w:rPr>
      </w:pPr>
    </w:p>
    <w:p w14:paraId="66D63814">
      <w:pPr>
        <w:pStyle w:val="30"/>
        <w:spacing w:beforeAutospacing="0" w:afterAutospacing="0"/>
        <w:jc w:val="center"/>
        <w:rPr>
          <w:color w:val="auto"/>
          <w:highlight w:val="none"/>
        </w:rPr>
      </w:pPr>
    </w:p>
    <w:p w14:paraId="16E38CA3">
      <w:pPr>
        <w:pStyle w:val="30"/>
        <w:spacing w:beforeAutospacing="0" w:afterAutospacing="0"/>
        <w:jc w:val="center"/>
        <w:rPr>
          <w:color w:val="auto"/>
          <w:highlight w:val="none"/>
        </w:rPr>
      </w:pPr>
    </w:p>
    <w:p w14:paraId="0DF5744C">
      <w:pPr>
        <w:pStyle w:val="30"/>
        <w:spacing w:beforeAutospacing="0" w:afterAutospacing="0"/>
        <w:jc w:val="center"/>
        <w:rPr>
          <w:color w:val="auto"/>
          <w:highlight w:val="none"/>
        </w:rPr>
      </w:pPr>
    </w:p>
    <w:p w14:paraId="22F4F812">
      <w:pPr>
        <w:pStyle w:val="30"/>
        <w:spacing w:beforeAutospacing="0" w:afterAutospacing="0"/>
        <w:jc w:val="center"/>
        <w:rPr>
          <w:color w:val="auto"/>
          <w:highlight w:val="none"/>
        </w:rPr>
      </w:pPr>
    </w:p>
    <w:p w14:paraId="769F1A2A">
      <w:pPr>
        <w:pStyle w:val="30"/>
        <w:spacing w:beforeAutospacing="0" w:afterAutospacing="0"/>
        <w:jc w:val="center"/>
        <w:rPr>
          <w:color w:val="auto"/>
          <w:highlight w:val="none"/>
        </w:rPr>
      </w:pPr>
    </w:p>
    <w:p w14:paraId="667CB152">
      <w:pPr>
        <w:pStyle w:val="30"/>
        <w:spacing w:beforeAutospacing="0" w:afterAutospacing="0"/>
        <w:jc w:val="center"/>
        <w:rPr>
          <w:color w:val="auto"/>
          <w:highlight w:val="none"/>
        </w:rPr>
      </w:pPr>
    </w:p>
    <w:p w14:paraId="5D6DFB26">
      <w:pPr>
        <w:pStyle w:val="30"/>
        <w:spacing w:beforeAutospacing="0" w:afterAutospacing="0"/>
        <w:jc w:val="center"/>
        <w:rPr>
          <w:color w:val="auto"/>
          <w:highlight w:val="none"/>
        </w:rPr>
      </w:pPr>
    </w:p>
    <w:p w14:paraId="2D801AB3">
      <w:pPr>
        <w:pStyle w:val="30"/>
        <w:spacing w:beforeAutospacing="0" w:afterAutospacing="0"/>
        <w:jc w:val="center"/>
        <w:rPr>
          <w:color w:val="auto"/>
          <w:highlight w:val="none"/>
        </w:rPr>
      </w:pPr>
    </w:p>
    <w:p w14:paraId="2910444D">
      <w:pPr>
        <w:pStyle w:val="30"/>
        <w:spacing w:beforeAutospacing="0" w:afterAutospacing="0"/>
        <w:jc w:val="center"/>
        <w:rPr>
          <w:color w:val="auto"/>
          <w:highlight w:val="none"/>
        </w:rPr>
      </w:pPr>
    </w:p>
    <w:p w14:paraId="5E62643E">
      <w:pPr>
        <w:pStyle w:val="30"/>
        <w:spacing w:beforeAutospacing="0" w:afterAutospacing="0"/>
        <w:jc w:val="center"/>
        <w:rPr>
          <w:color w:val="auto"/>
          <w:highlight w:val="none"/>
        </w:rPr>
      </w:pPr>
    </w:p>
    <w:p w14:paraId="21B2E6AC">
      <w:pPr>
        <w:pStyle w:val="30"/>
        <w:spacing w:beforeAutospacing="0" w:afterAutospacing="0"/>
        <w:jc w:val="center"/>
        <w:rPr>
          <w:color w:val="auto"/>
          <w:highlight w:val="none"/>
        </w:rPr>
      </w:pPr>
    </w:p>
    <w:p w14:paraId="2976443E">
      <w:pPr>
        <w:pStyle w:val="30"/>
        <w:spacing w:beforeAutospacing="0" w:afterAutospacing="0"/>
        <w:jc w:val="center"/>
        <w:rPr>
          <w:color w:val="auto"/>
          <w:highlight w:val="none"/>
        </w:rPr>
      </w:pPr>
    </w:p>
    <w:p w14:paraId="19AD7D70">
      <w:pPr>
        <w:pStyle w:val="30"/>
        <w:spacing w:beforeAutospacing="0" w:afterAutospacing="0"/>
        <w:jc w:val="center"/>
        <w:rPr>
          <w:color w:val="auto"/>
          <w:highlight w:val="none"/>
        </w:rPr>
      </w:pPr>
    </w:p>
    <w:p w14:paraId="44F0C1AC">
      <w:pPr>
        <w:pStyle w:val="30"/>
        <w:spacing w:beforeAutospacing="0" w:afterAutospacing="0"/>
        <w:jc w:val="center"/>
        <w:rPr>
          <w:color w:val="auto"/>
          <w:highlight w:val="none"/>
        </w:rPr>
      </w:pPr>
    </w:p>
    <w:p w14:paraId="75BBE92A">
      <w:pPr>
        <w:pStyle w:val="30"/>
        <w:spacing w:beforeAutospacing="0" w:afterAutospacing="0"/>
        <w:jc w:val="center"/>
        <w:rPr>
          <w:color w:val="auto"/>
          <w:highlight w:val="none"/>
        </w:rPr>
      </w:pPr>
    </w:p>
    <w:p w14:paraId="100924A3">
      <w:pPr>
        <w:pStyle w:val="30"/>
        <w:spacing w:beforeAutospacing="0" w:afterAutospacing="0"/>
        <w:jc w:val="center"/>
        <w:rPr>
          <w:color w:val="auto"/>
          <w:highlight w:val="none"/>
        </w:rPr>
      </w:pPr>
    </w:p>
    <w:p w14:paraId="4ED679F9">
      <w:pPr>
        <w:pStyle w:val="30"/>
        <w:spacing w:beforeAutospacing="0" w:afterAutospacing="0"/>
        <w:jc w:val="center"/>
        <w:rPr>
          <w:color w:val="auto"/>
          <w:highlight w:val="none"/>
        </w:rPr>
      </w:pPr>
    </w:p>
    <w:p w14:paraId="3E9E4C7C">
      <w:pPr>
        <w:pStyle w:val="30"/>
        <w:spacing w:beforeAutospacing="0" w:afterAutospacing="0"/>
        <w:jc w:val="center"/>
        <w:rPr>
          <w:color w:val="auto"/>
          <w:highlight w:val="none"/>
        </w:rPr>
      </w:pPr>
    </w:p>
    <w:p w14:paraId="314AF873">
      <w:pPr>
        <w:pStyle w:val="30"/>
        <w:spacing w:beforeAutospacing="0" w:afterAutospacing="0"/>
        <w:jc w:val="center"/>
        <w:rPr>
          <w:color w:val="auto"/>
          <w:highlight w:val="none"/>
        </w:rPr>
      </w:pPr>
    </w:p>
    <w:p w14:paraId="74D1E70A">
      <w:pPr>
        <w:pStyle w:val="30"/>
        <w:spacing w:beforeAutospacing="0" w:afterAutospacing="0"/>
        <w:jc w:val="center"/>
        <w:rPr>
          <w:color w:val="auto"/>
          <w:highlight w:val="none"/>
        </w:rPr>
      </w:pPr>
    </w:p>
    <w:p w14:paraId="3E7ECAAF">
      <w:pPr>
        <w:pStyle w:val="30"/>
        <w:spacing w:beforeAutospacing="0" w:afterAutospacing="0"/>
        <w:jc w:val="center"/>
        <w:rPr>
          <w:color w:val="auto"/>
          <w:highlight w:val="none"/>
        </w:rPr>
      </w:pPr>
    </w:p>
    <w:p w14:paraId="1DA30A73">
      <w:pPr>
        <w:pStyle w:val="30"/>
        <w:spacing w:beforeAutospacing="0" w:afterAutospacing="0"/>
        <w:jc w:val="center"/>
        <w:rPr>
          <w:color w:val="auto"/>
          <w:highlight w:val="none"/>
        </w:rPr>
      </w:pPr>
    </w:p>
    <w:p w14:paraId="5ED91458">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3FFC0009">
      <w:pPr>
        <w:pStyle w:val="30"/>
        <w:spacing w:beforeAutospacing="0" w:afterAutospacing="0"/>
        <w:jc w:val="center"/>
        <w:rPr>
          <w:rFonts w:ascii="宋体" w:hAnsi="宋体" w:eastAsia="宋体" w:cs="宋体"/>
          <w:color w:val="auto"/>
          <w:sz w:val="24"/>
          <w:highlight w:val="none"/>
        </w:rPr>
      </w:pPr>
      <w:r>
        <w:rPr>
          <w:rFonts w:hint="eastAsia" w:ascii="宋体" w:hAnsi="宋体" w:eastAsia="宋体" w:cs="宋体"/>
          <w:color w:val="auto"/>
          <w:sz w:val="32"/>
          <w:szCs w:val="32"/>
          <w:highlight w:val="none"/>
        </w:rPr>
        <w:t>十</w:t>
      </w:r>
      <w:r>
        <w:rPr>
          <w:rFonts w:hint="eastAsia" w:ascii="宋体" w:hAnsi="宋体" w:eastAsia="宋体" w:cs="宋体"/>
          <w:color w:val="auto"/>
          <w:sz w:val="32"/>
          <w:szCs w:val="32"/>
          <w:highlight w:val="none"/>
          <w:lang w:val="en-US" w:eastAsia="zh-CN"/>
        </w:rPr>
        <w:t>八</w:t>
      </w:r>
      <w:r>
        <w:rPr>
          <w:rFonts w:hint="eastAsia" w:ascii="宋体" w:hAnsi="宋体" w:eastAsia="宋体" w:cs="宋体"/>
          <w:color w:val="auto"/>
          <w:sz w:val="32"/>
          <w:szCs w:val="32"/>
          <w:highlight w:val="none"/>
        </w:rPr>
        <w:t>、</w:t>
      </w:r>
      <w:r>
        <w:rPr>
          <w:rFonts w:hint="eastAsia" w:ascii="宋体" w:hAnsi="宋体" w:eastAsia="宋体" w:cs="宋体"/>
          <w:color w:val="auto"/>
          <w:sz w:val="32"/>
          <w:szCs w:val="32"/>
          <w:highlight w:val="none"/>
          <w:lang w:val="en-US" w:eastAsia="zh-CN"/>
        </w:rPr>
        <w:t>响水县</w:t>
      </w:r>
      <w:r>
        <w:rPr>
          <w:rFonts w:hint="eastAsia" w:ascii="宋体" w:hAnsi="宋体" w:eastAsia="宋体" w:cs="宋体"/>
          <w:color w:val="auto"/>
          <w:sz w:val="32"/>
          <w:szCs w:val="32"/>
          <w:highlight w:val="none"/>
        </w:rPr>
        <w:t>政府采购事前信用承诺书</w:t>
      </w:r>
    </w:p>
    <w:p w14:paraId="4AF81745">
      <w:pPr>
        <w:widowControl/>
        <w:spacing w:line="499" w:lineRule="atLeast"/>
        <w:ind w:firstLine="480"/>
        <w:jc w:val="left"/>
        <w:rPr>
          <w:rFonts w:hint="eastAsia" w:ascii="宋体" w:hAnsi="宋体" w:eastAsia="宋体" w:cs="宋体"/>
          <w:color w:val="000000"/>
          <w:sz w:val="24"/>
          <w:highlight w:val="none"/>
        </w:rPr>
      </w:pPr>
    </w:p>
    <w:p w14:paraId="2FA2E369">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为营造我</w:t>
      </w:r>
      <w:r>
        <w:rPr>
          <w:rFonts w:hint="eastAsia" w:ascii="宋体" w:hAnsi="宋体" w:eastAsia="宋体" w:cs="宋体"/>
          <w:color w:val="000000"/>
          <w:sz w:val="24"/>
          <w:highlight w:val="none"/>
          <w:lang w:val="en-US" w:eastAsia="zh-CN"/>
        </w:rPr>
        <w:t>县</w:t>
      </w:r>
      <w:r>
        <w:rPr>
          <w:rFonts w:hint="eastAsia" w:ascii="宋体" w:hAnsi="宋体" w:eastAsia="宋体" w:cs="宋体"/>
          <w:color w:val="000000"/>
          <w:sz w:val="24"/>
          <w:highlight w:val="none"/>
        </w:rPr>
        <w:t>公开、公平、公正、诚实守信的政府采购交易环境，树立诚信守法的投标人形象，本人代表本单位作出以下承诺：</w:t>
      </w:r>
    </w:p>
    <w:p w14:paraId="36C8F17E">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虚假成分</w:t>
      </w:r>
      <w:r>
        <w:rPr>
          <w:rFonts w:hint="eastAsia" w:ascii="宋体" w:hAnsi="宋体" w:eastAsia="宋体" w:cs="宋体"/>
          <w:color w:val="000000"/>
          <w:sz w:val="24"/>
          <w:highlight w:val="none"/>
        </w:rPr>
        <w:t>，并对所提供资料的真实性负责；</w:t>
      </w:r>
    </w:p>
    <w:p w14:paraId="6C6C7698">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44D20C37">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p>
    <w:p w14:paraId="653A0814">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（四）严格遵守即时信息公示规定，及时维护和更新盐城市政府采购网中与本单位相关的信息；</w:t>
      </w:r>
    </w:p>
    <w:p w14:paraId="6BA0DF83">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2F6B8F88">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（六）自觉接受政府、行业组织、社会公众、新闻舆论的监督；</w:t>
      </w:r>
    </w:p>
    <w:p w14:paraId="7FA92553">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D925C36">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（八）本人已认真阅读了上述承诺，并向本单位员工作了宣传教育。</w:t>
      </w:r>
    </w:p>
    <w:p w14:paraId="43AD5880">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法定代表人签名：</w:t>
      </w:r>
    </w:p>
    <w:p w14:paraId="7C9E29CB">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单位名称（盖章）：</w:t>
      </w:r>
    </w:p>
    <w:p w14:paraId="16EFBC4B">
      <w:pPr>
        <w:widowControl/>
        <w:spacing w:line="499" w:lineRule="atLeas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日</w:t>
      </w:r>
    </w:p>
    <w:bookmarkEnd w:id="6"/>
    <w:bookmarkEnd w:id="41"/>
    <w:bookmarkEnd w:id="88"/>
    <w:bookmarkEnd w:id="89"/>
    <w:bookmarkEnd w:id="90"/>
    <w:bookmarkEnd w:id="91"/>
    <w:bookmarkEnd w:id="92"/>
    <w:bookmarkEnd w:id="93"/>
    <w:bookmarkEnd w:id="94"/>
    <w:bookmarkEnd w:id="95"/>
    <w:bookmarkEnd w:id="104"/>
    <w:bookmarkEnd w:id="105"/>
    <w:bookmarkEnd w:id="112"/>
    <w:bookmarkEnd w:id="151"/>
    <w:bookmarkEnd w:id="152"/>
    <w:bookmarkEnd w:id="163"/>
    <w:bookmarkEnd w:id="164"/>
    <w:bookmarkEnd w:id="165"/>
    <w:bookmarkEnd w:id="166"/>
    <w:bookmarkEnd w:id="167"/>
    <w:bookmarkEnd w:id="168"/>
    <w:bookmarkEnd w:id="169"/>
    <w:bookmarkEnd w:id="170"/>
    <w:bookmarkEnd w:id="179"/>
    <w:bookmarkEnd w:id="180"/>
    <w:bookmarkEnd w:id="181"/>
    <w:bookmarkEnd w:id="182"/>
    <w:bookmarkEnd w:id="183"/>
    <w:p w14:paraId="59717B6F">
      <w:pPr>
        <w:pStyle w:val="30"/>
        <w:spacing w:beforeAutospacing="0" w:afterAutospacing="0"/>
        <w:jc w:val="center"/>
        <w:rPr>
          <w:rFonts w:hint="eastAsia" w:ascii="宋体" w:hAnsi="宋体" w:eastAsia="宋体" w:cs="宋体"/>
          <w:b/>
          <w:color w:val="auto"/>
          <w:sz w:val="32"/>
          <w:szCs w:val="32"/>
          <w:highlight w:val="none"/>
        </w:rPr>
      </w:pPr>
    </w:p>
    <w:p w14:paraId="7B547E9F">
      <w:pPr>
        <w:pStyle w:val="30"/>
        <w:spacing w:beforeAutospacing="0" w:afterAutospacing="0"/>
        <w:jc w:val="center"/>
        <w:rPr>
          <w:rFonts w:hint="eastAsia" w:ascii="宋体" w:hAnsi="宋体" w:eastAsia="宋体" w:cs="宋体"/>
          <w:b/>
          <w:color w:val="auto"/>
          <w:sz w:val="32"/>
          <w:szCs w:val="32"/>
          <w:highlight w:val="none"/>
        </w:rPr>
      </w:pPr>
    </w:p>
    <w:p w14:paraId="3B2EC767">
      <w:pPr>
        <w:pStyle w:val="30"/>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5DA1C85F">
      <w:pPr>
        <w:pStyle w:val="30"/>
        <w:spacing w:before="290"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7451ED8B">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83B0273">
      <w:pPr>
        <w:pStyle w:val="30"/>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470BBAC8">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6D08B83">
      <w:pPr>
        <w:pStyle w:val="30"/>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323E951">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74F065C4">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491D368">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7DA29114">
      <w:pPr>
        <w:pStyle w:val="30"/>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4D6F21D">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02311543">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32B9006C">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2E10A229">
      <w:pPr>
        <w:pStyle w:val="30"/>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65530860">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5E674D7">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6AA1D169">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59685B60">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51D0845C">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3AC7243F">
      <w:pPr>
        <w:pStyle w:val="3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2C2CBD90">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17351F26">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质疑事项2</w:t>
      </w:r>
    </w:p>
    <w:p w14:paraId="1B1FFFBC">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w:t>
      </w:r>
    </w:p>
    <w:p w14:paraId="0182A964">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0BB582FC">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15D9E22A">
      <w:pPr>
        <w:pStyle w:val="30"/>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签字</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签章</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 xml:space="preserve">：                 公章：               日期：    </w:t>
      </w:r>
    </w:p>
    <w:p w14:paraId="37EF3B2C">
      <w:pPr>
        <w:pStyle w:val="30"/>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7209B611">
      <w:pPr>
        <w:pStyle w:val="30"/>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3C2919A6">
      <w:pPr>
        <w:pStyle w:val="30"/>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B8D4F14">
      <w:pPr>
        <w:pStyle w:val="30"/>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60B5D485">
      <w:pPr>
        <w:pStyle w:val="30"/>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3BDA7244">
      <w:pPr>
        <w:pStyle w:val="30"/>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4BE7EFF5">
      <w:pPr>
        <w:pStyle w:val="30"/>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06E16F1C">
      <w:pPr>
        <w:pStyle w:val="30"/>
        <w:spacing w:beforeAutospacing="0" w:afterAutospacing="0"/>
        <w:ind w:firstLine="420"/>
        <w:jc w:val="both"/>
        <w:rPr>
          <w:rFonts w:ascii="宋体" w:hAnsi="宋体" w:eastAsia="宋体" w:cs="宋体"/>
          <w:color w:val="auto"/>
          <w:highlight w:val="none"/>
        </w:rPr>
      </w:pPr>
      <w:r>
        <w:rPr>
          <w:rFonts w:hint="eastAsia" w:ascii="宋体" w:hAnsi="宋体" w:eastAsia="宋体" w:cs="宋体"/>
          <w:color w:val="auto"/>
          <w:highlight w:val="none"/>
        </w:rPr>
        <w:t> </w:t>
      </w:r>
    </w:p>
    <w:p w14:paraId="2731986C">
      <w:pPr>
        <w:rPr>
          <w:color w:val="auto"/>
          <w:highlight w:val="none"/>
        </w:rPr>
      </w:pPr>
    </w:p>
    <w:p w14:paraId="006C06FA">
      <w:pPr>
        <w:pStyle w:val="30"/>
        <w:spacing w:beforeAutospacing="0" w:afterAutospacing="0"/>
        <w:jc w:val="center"/>
        <w:rPr>
          <w:color w:val="auto"/>
          <w:highlight w:val="none"/>
        </w:rPr>
      </w:pPr>
    </w:p>
    <w:sectPr>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D"/>
    <w:family w:val="auto"/>
    <w:pitch w:val="default"/>
    <w:sig w:usb0="E0002EFF" w:usb1="C000785B" w:usb2="00000009" w:usb3="00000000" w:csb0="400001FF" w:csb1="FFFF0000"/>
  </w:font>
  <w:font w:name="宋体">
    <w:panose1 w:val="02010600030101010101"/>
    <w:charset w:val="7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E3B6C1E-3786-469D-9BF5-1EAC7A4A5425}"/>
  </w:font>
  <w:font w:name="Arial">
    <w:panose1 w:val="020B0604020202020204"/>
    <w:charset w:val="01"/>
    <w:family w:val="swiss"/>
    <w:pitch w:val="default"/>
    <w:sig w:usb0="E0002EFF" w:usb1="C000785B" w:usb2="00000009" w:usb3="00000000" w:csb0="400001FF" w:csb1="FFFF0000"/>
    <w:embedRegular r:id="rId2" w:fontKey="{4B97B818-8D79-444D-B846-ABE800D5495C}"/>
  </w:font>
  <w:font w:name="黑体">
    <w:panose1 w:val="02010609060101010101"/>
    <w:charset w:val="86"/>
    <w:family w:val="auto"/>
    <w:pitch w:val="default"/>
    <w:sig w:usb0="800002BF" w:usb1="38CF7CFA" w:usb2="00000016" w:usb3="00000000" w:csb0="00040001" w:csb1="00000000"/>
    <w:embedRegular r:id="rId3" w:fontKey="{9E760F20-12ED-4EE5-B244-C166D3B98B9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楷体">
    <w:panose1 w:val="02010600040101010101"/>
    <w:charset w:val="86"/>
    <w:family w:val="auto"/>
    <w:pitch w:val="default"/>
    <w:sig w:usb0="A00002BF" w:usb1="78CF7CFB" w:usb2="00000016" w:usb3="00000000" w:csb0="6006009F" w:csb1="DFD70000"/>
    <w:embedRegular r:id="rId4" w:fontKey="{CC75D43C-48ED-4A7D-8E78-D79C1B2BB38A}"/>
  </w:font>
  <w:font w:name="仿宋">
    <w:panose1 w:val="02010609060101010101"/>
    <w:charset w:val="86"/>
    <w:family w:val="auto"/>
    <w:pitch w:val="default"/>
    <w:sig w:usb0="800002BF" w:usb1="38CF7CFA" w:usb2="00000016" w:usb3="00000000" w:csb0="00040001" w:csb1="00000000"/>
    <w:embedRegular r:id="rId5" w:fontKey="{2684BDDE-996D-4583-BFFF-DDE8E7C738E9}"/>
  </w:font>
  <w:font w:name="仿宋_GB2312">
    <w:panose1 w:val="02010609030101010101"/>
    <w:charset w:val="86"/>
    <w:family w:val="auto"/>
    <w:pitch w:val="default"/>
    <w:sig w:usb0="00000001" w:usb1="080E0000" w:usb2="00000000" w:usb3="00000000" w:csb0="00040000" w:csb1="00000000"/>
    <w:embedRegular r:id="rId6" w:fontKey="{667EF049-A357-4A06-AF9C-EFB0148B39EE}"/>
  </w:font>
  <w:font w:name="华文中宋">
    <w:panose1 w:val="02010600040101010101"/>
    <w:charset w:val="86"/>
    <w:family w:val="auto"/>
    <w:pitch w:val="default"/>
    <w:sig w:usb0="00000287" w:usb1="080F0000" w:usb2="00000000" w:usb3="00000000" w:csb0="0004009F" w:csb1="DFD70000"/>
    <w:embedRegular r:id="rId7" w:fontKey="{FF0B9BB5-0B3E-4E06-914D-D7CA00567D3A}"/>
  </w:font>
  <w:font w:name="Arial">
    <w:panose1 w:val="020B0604020202020204"/>
    <w:charset w:val="00"/>
    <w:family w:val="auto"/>
    <w:pitch w:val="default"/>
    <w:sig w:usb0="E0002EFF" w:usb1="C000785B" w:usb2="00000009" w:usb3="00000000" w:csb0="400001FF" w:csb1="FFFF0000"/>
    <w:embedRegular r:id="rId8" w:fontKey="{2A1AF9FF-4196-4D83-B64E-786A5EE4BCBA}"/>
  </w:font>
  <w:font w:name="WPSEMBED2">
    <w:panose1 w:val="02010609030101010101"/>
    <w:charset w:val="86"/>
    <w:family w:val="auto"/>
    <w:pitch w:val="default"/>
    <w:sig w:usb0="00000001" w:usb1="080E0000" w:usb2="00000000" w:usb3="00000000" w:csb0="00040000" w:csb1="00000000"/>
  </w:font>
  <w:font w:name="WPSEMBED1">
    <w:panose1 w:val="02010600040101010101"/>
    <w:charset w:val="86"/>
    <w:family w:val="auto"/>
    <w:pitch w:val="default"/>
    <w:sig w:usb0="A00002BF" w:usb1="78CF7CFB" w:usb2="00000016" w:usb3="00000000" w:csb0="6006009F" w:csb1="DFD70000"/>
  </w:font>
  <w:font w:name="WPSEMBED3">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B5410">
    <w:pPr>
      <w:pStyle w:val="189"/>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24</w:t>
    </w:r>
    <w:r>
      <w:rPr>
        <w:b/>
        <w:sz w:val="24"/>
        <w:szCs w:val="24"/>
      </w:rPr>
      <w:fldChar w:fldCharType="end"/>
    </w:r>
  </w:p>
  <w:p w14:paraId="4623C58B">
    <w:pPr>
      <w:pStyle w:val="18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chineseCounting"/>
      <w:suff w:val="space"/>
      <w:lvlText w:val="第%1节"/>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248C179"/>
    <w:multiLevelType w:val="multilevel"/>
    <w:tmpl w:val="0248C179"/>
    <w:lvl w:ilvl="0" w:tentative="0">
      <w:start w:val="16"/>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5B654F3"/>
    <w:multiLevelType w:val="multilevel"/>
    <w:tmpl w:val="25B654F3"/>
    <w:lvl w:ilvl="0" w:tentative="0">
      <w:start w:val="6"/>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A8F537B"/>
    <w:multiLevelType w:val="multilevel"/>
    <w:tmpl w:val="2A8F537B"/>
    <w:lvl w:ilvl="0" w:tentative="0">
      <w:start w:val="23"/>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4D4DC07F"/>
    <w:multiLevelType w:val="multilevel"/>
    <w:tmpl w:val="4D4DC07F"/>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1"/>
  </w:num>
  <w:num w:numId="5">
    <w:abstractNumId w:val="0"/>
    <w:lvlOverride w:ilvl="0">
      <w:startOverride w:val="2"/>
    </w:lvlOverride>
  </w:num>
  <w:num w:numId="6">
    <w:abstractNumId w:val="6"/>
    <w:lvlOverride w:ilvl="0">
      <w:startOverride w:val="6"/>
    </w:lvlOverride>
  </w:num>
  <w:num w:numId="7">
    <w:abstractNumId w:val="5"/>
    <w:lvlOverride w:ilvl="0">
      <w:startOverride w:val="16"/>
    </w:lvlOverride>
  </w:num>
  <w:num w:numId="8">
    <w:abstractNumId w:val="7"/>
    <w:lvlOverride w:ilvl="0">
      <w:startOverride w:val="23"/>
    </w:lvlOverride>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1D611F"/>
    <w:rsid w:val="051931EE"/>
    <w:rsid w:val="06435AF5"/>
    <w:rsid w:val="067F52D3"/>
    <w:rsid w:val="13B3480E"/>
    <w:rsid w:val="15193A5B"/>
    <w:rsid w:val="15780B0E"/>
    <w:rsid w:val="1AC92C2E"/>
    <w:rsid w:val="217A020A"/>
    <w:rsid w:val="284D4DD9"/>
    <w:rsid w:val="2DB80F46"/>
    <w:rsid w:val="2E9C43C4"/>
    <w:rsid w:val="330E33B7"/>
    <w:rsid w:val="34D0301A"/>
    <w:rsid w:val="381D5CFF"/>
    <w:rsid w:val="3C5D5B0E"/>
    <w:rsid w:val="40AF442B"/>
    <w:rsid w:val="423B0B7B"/>
    <w:rsid w:val="4C1E4213"/>
    <w:rsid w:val="4C453E95"/>
    <w:rsid w:val="4F7F146C"/>
    <w:rsid w:val="50000304"/>
    <w:rsid w:val="52B00B89"/>
    <w:rsid w:val="5B276112"/>
    <w:rsid w:val="5DE66B5A"/>
    <w:rsid w:val="63E836F1"/>
    <w:rsid w:val="651C40A0"/>
    <w:rsid w:val="65D3619D"/>
    <w:rsid w:val="66A358B6"/>
    <w:rsid w:val="67215CCA"/>
    <w:rsid w:val="6FE4739E"/>
    <w:rsid w:val="72F1183D"/>
    <w:rsid w:val="743B3304"/>
    <w:rsid w:val="78852DA0"/>
    <w:rsid w:val="79090C2C"/>
    <w:rsid w:val="7D9523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38"/>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sz w:val="36"/>
      <w:szCs w:val="36"/>
      <w:lang w:val="en-US" w:eastAsia="zh-CN" w:bidi="ar"/>
    </w:rPr>
  </w:style>
  <w:style w:type="paragraph" w:styleId="4">
    <w:name w:val="heading 3"/>
    <w:basedOn w:val="1"/>
    <w:next w:val="1"/>
    <w:link w:val="4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6"/>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annotation text"/>
    <w:basedOn w:val="1"/>
    <w:qFormat/>
    <w:uiPriority w:val="0"/>
    <w:pPr>
      <w:jc w:val="left"/>
    </w:pPr>
  </w:style>
  <w:style w:type="paragraph" w:styleId="14">
    <w:name w:val="Body Text"/>
    <w:basedOn w:val="1"/>
    <w:next w:val="1"/>
    <w:unhideWhenUsed/>
    <w:qFormat/>
    <w:uiPriority w:val="0"/>
    <w:pPr>
      <w:spacing w:after="120"/>
    </w:pPr>
    <w:rPr>
      <w:rFonts w:ascii="Calibri" w:hAnsi="Calibri"/>
      <w:szCs w:val="22"/>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Plain Text"/>
    <w:basedOn w:val="1"/>
    <w:unhideWhenUsed/>
    <w:qFormat/>
    <w:uiPriority w:val="0"/>
    <w:rPr>
      <w:rFonts w:ascii="宋体" w:hAnsi="Courier New" w:cs="Courier New"/>
      <w:szCs w:val="21"/>
    </w:r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4"/>
    <w:semiHidden/>
    <w:unhideWhenUsed/>
    <w:qFormat/>
    <w:uiPriority w:val="99"/>
    <w:pPr>
      <w:spacing w:after="0" w:line="240" w:lineRule="auto"/>
    </w:pPr>
    <w:rPr>
      <w:sz w:val="20"/>
    </w:rPr>
  </w:style>
  <w:style w:type="paragraph" w:styleId="20">
    <w:name w:val="footer"/>
    <w:basedOn w:val="1"/>
    <w:link w:val="187"/>
    <w:qFormat/>
    <w:uiPriority w:val="0"/>
    <w:pPr>
      <w:tabs>
        <w:tab w:val="center" w:pos="4153"/>
        <w:tab w:val="right" w:pos="8306"/>
      </w:tabs>
      <w:jc w:val="left"/>
    </w:pPr>
    <w:rPr>
      <w:sz w:val="18"/>
      <w:szCs w:val="18"/>
    </w:rPr>
  </w:style>
  <w:style w:type="paragraph" w:styleId="21">
    <w:name w:val="header"/>
    <w:basedOn w:val="1"/>
    <w:link w:val="186"/>
    <w:qFormat/>
    <w:uiPriority w:val="0"/>
    <w:pPr>
      <w:pBdr>
        <w:bottom w:val="single" w:color="auto" w:sz="6" w:space="1"/>
      </w:pBdr>
      <w:tabs>
        <w:tab w:val="center" w:pos="4153"/>
        <w:tab w:val="right" w:pos="8306"/>
      </w:tabs>
      <w:jc w:val="center"/>
    </w:pPr>
    <w:rPr>
      <w:sz w:val="18"/>
      <w:szCs w:val="18"/>
    </w:r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0"/>
    <w:qFormat/>
    <w:uiPriority w:val="11"/>
    <w:pPr>
      <w:spacing w:before="200" w:after="200"/>
    </w:pPr>
    <w:rPr>
      <w:sz w:val="24"/>
      <w:szCs w:val="24"/>
    </w:rPr>
  </w:style>
  <w:style w:type="paragraph" w:styleId="25">
    <w:name w:val="footnote text"/>
    <w:basedOn w:val="1"/>
    <w:link w:val="183"/>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qFormat/>
    <w:uiPriority w:val="0"/>
    <w:pPr>
      <w:spacing w:beforeAutospacing="1" w:afterAutospacing="1"/>
      <w:jc w:val="left"/>
    </w:pPr>
    <w:rPr>
      <w:rFonts w:cs="Times New Roman"/>
      <w:sz w:val="24"/>
    </w:rPr>
  </w:style>
  <w:style w:type="paragraph" w:styleId="31">
    <w:name w:val="Title"/>
    <w:basedOn w:val="1"/>
    <w:next w:val="1"/>
    <w:link w:val="49"/>
    <w:qFormat/>
    <w:uiPriority w:val="10"/>
    <w:pPr>
      <w:spacing w:before="300" w:after="200"/>
      <w:contextualSpacing/>
    </w:pPr>
    <w:rPr>
      <w:sz w:val="48"/>
      <w:szCs w:val="48"/>
    </w:rPr>
  </w:style>
  <w:style w:type="table" w:styleId="33">
    <w:name w:val="Table Grid"/>
    <w:basedOn w:val="32"/>
    <w:qFormat/>
    <w:uiPriority w:val="0"/>
    <w:pPr>
      <w:widowControl w:val="0"/>
      <w:jc w:val="both"/>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5">
    <w:name w:val="endnote reference"/>
    <w:basedOn w:val="34"/>
    <w:semiHidden/>
    <w:unhideWhenUsed/>
    <w:qFormat/>
    <w:uiPriority w:val="99"/>
    <w:rPr>
      <w:vertAlign w:val="superscript"/>
    </w:rPr>
  </w:style>
  <w:style w:type="character" w:styleId="36">
    <w:name w:val="Hyperlink"/>
    <w:unhideWhenUsed/>
    <w:qFormat/>
    <w:uiPriority w:val="99"/>
    <w:rPr>
      <w:color w:val="0563C1" w:themeColor="hyperlink"/>
      <w:u w:val="single"/>
      <w14:textFill>
        <w14:solidFill>
          <w14:schemeClr w14:val="hlink"/>
        </w14:solidFill>
      </w14:textFill>
    </w:rPr>
  </w:style>
  <w:style w:type="character" w:styleId="37">
    <w:name w:val="footnote reference"/>
    <w:basedOn w:val="34"/>
    <w:unhideWhenUsed/>
    <w:qFormat/>
    <w:uiPriority w:val="99"/>
    <w:rPr>
      <w:vertAlign w:val="superscript"/>
    </w:rPr>
  </w:style>
  <w:style w:type="character" w:customStyle="1" w:styleId="38">
    <w:name w:val="Heading 1 Char"/>
    <w:basedOn w:val="34"/>
    <w:link w:val="2"/>
    <w:qFormat/>
    <w:uiPriority w:val="9"/>
    <w:rPr>
      <w:rFonts w:ascii="Arial" w:hAnsi="Arial" w:eastAsia="Arial" w:cs="Arial"/>
      <w:sz w:val="40"/>
      <w:szCs w:val="40"/>
    </w:rPr>
  </w:style>
  <w:style w:type="character" w:customStyle="1" w:styleId="39">
    <w:name w:val="Heading 2 Char"/>
    <w:basedOn w:val="34"/>
    <w:qFormat/>
    <w:uiPriority w:val="9"/>
    <w:rPr>
      <w:rFonts w:ascii="Arial" w:hAnsi="Arial" w:eastAsia="Arial" w:cs="Arial"/>
      <w:sz w:val="34"/>
    </w:rPr>
  </w:style>
  <w:style w:type="character" w:customStyle="1" w:styleId="40">
    <w:name w:val="Heading 3 Char"/>
    <w:basedOn w:val="34"/>
    <w:link w:val="4"/>
    <w:qFormat/>
    <w:uiPriority w:val="9"/>
    <w:rPr>
      <w:rFonts w:ascii="Arial" w:hAnsi="Arial" w:eastAsia="Arial" w:cs="Arial"/>
      <w:sz w:val="30"/>
      <w:szCs w:val="30"/>
    </w:rPr>
  </w:style>
  <w:style w:type="character" w:customStyle="1" w:styleId="41">
    <w:name w:val="Heading 4 Char"/>
    <w:basedOn w:val="34"/>
    <w:link w:val="5"/>
    <w:qFormat/>
    <w:uiPriority w:val="9"/>
    <w:rPr>
      <w:rFonts w:ascii="Arial" w:hAnsi="Arial" w:eastAsia="Arial" w:cs="Arial"/>
      <w:b/>
      <w:bCs/>
      <w:sz w:val="26"/>
      <w:szCs w:val="26"/>
    </w:rPr>
  </w:style>
  <w:style w:type="character" w:customStyle="1" w:styleId="42">
    <w:name w:val="Heading 5 Char"/>
    <w:basedOn w:val="34"/>
    <w:link w:val="6"/>
    <w:qFormat/>
    <w:uiPriority w:val="9"/>
    <w:rPr>
      <w:rFonts w:ascii="Arial" w:hAnsi="Arial" w:eastAsia="Arial" w:cs="Arial"/>
      <w:b/>
      <w:bCs/>
      <w:sz w:val="24"/>
      <w:szCs w:val="24"/>
    </w:rPr>
  </w:style>
  <w:style w:type="character" w:customStyle="1" w:styleId="43">
    <w:name w:val="Heading 6 Char"/>
    <w:basedOn w:val="34"/>
    <w:link w:val="7"/>
    <w:qFormat/>
    <w:uiPriority w:val="9"/>
    <w:rPr>
      <w:rFonts w:ascii="Arial" w:hAnsi="Arial" w:eastAsia="Arial" w:cs="Arial"/>
      <w:b/>
      <w:bCs/>
      <w:sz w:val="22"/>
      <w:szCs w:val="22"/>
    </w:rPr>
  </w:style>
  <w:style w:type="character" w:customStyle="1" w:styleId="44">
    <w:name w:val="Heading 7 Char"/>
    <w:basedOn w:val="34"/>
    <w:link w:val="8"/>
    <w:qFormat/>
    <w:uiPriority w:val="9"/>
    <w:rPr>
      <w:rFonts w:ascii="Arial" w:hAnsi="Arial" w:eastAsia="Arial" w:cs="Arial"/>
      <w:b/>
      <w:bCs/>
      <w:i/>
      <w:iCs/>
      <w:sz w:val="22"/>
      <w:szCs w:val="22"/>
    </w:rPr>
  </w:style>
  <w:style w:type="character" w:customStyle="1" w:styleId="45">
    <w:name w:val="Heading 8 Char"/>
    <w:basedOn w:val="34"/>
    <w:link w:val="9"/>
    <w:qFormat/>
    <w:uiPriority w:val="9"/>
    <w:rPr>
      <w:rFonts w:ascii="Arial" w:hAnsi="Arial" w:eastAsia="Arial" w:cs="Arial"/>
      <w:i/>
      <w:iCs/>
      <w:sz w:val="22"/>
      <w:szCs w:val="22"/>
    </w:rPr>
  </w:style>
  <w:style w:type="character" w:customStyle="1" w:styleId="46">
    <w:name w:val="Heading 9 Char"/>
    <w:basedOn w:val="34"/>
    <w:link w:val="10"/>
    <w:qFormat/>
    <w:uiPriority w:val="9"/>
    <w:rPr>
      <w:rFonts w:ascii="Arial" w:hAnsi="Arial" w:eastAsia="Arial" w:cs="Arial"/>
      <w:i/>
      <w:iCs/>
      <w:sz w:val="21"/>
      <w:szCs w:val="21"/>
    </w:rPr>
  </w:style>
  <w:style w:type="paragraph" w:styleId="47">
    <w:name w:val="List Paragraph"/>
    <w:basedOn w:val="1"/>
    <w:qFormat/>
    <w:uiPriority w:val="34"/>
    <w:pPr>
      <w:ind w:left="720"/>
      <w:contextualSpacing/>
    </w:pPr>
  </w:style>
  <w:style w:type="paragraph" w:styleId="48">
    <w:name w:val="No Spacing"/>
    <w:qFormat/>
    <w:uiPriority w:val="1"/>
    <w:pPr>
      <w:spacing w:before="0" w:after="0" w:line="240" w:lineRule="auto"/>
    </w:pPr>
    <w:rPr>
      <w:rFonts w:hint="default" w:ascii="Times New Roman" w:hAnsi="Times New Roman" w:eastAsia="宋体" w:cs="Times New Roman"/>
    </w:rPr>
  </w:style>
  <w:style w:type="character" w:customStyle="1" w:styleId="49">
    <w:name w:val="Title Char"/>
    <w:basedOn w:val="34"/>
    <w:link w:val="31"/>
    <w:qFormat/>
    <w:uiPriority w:val="10"/>
    <w:rPr>
      <w:sz w:val="48"/>
      <w:szCs w:val="48"/>
    </w:rPr>
  </w:style>
  <w:style w:type="character" w:customStyle="1" w:styleId="50">
    <w:name w:val="Subtitle Char"/>
    <w:basedOn w:val="34"/>
    <w:link w:val="24"/>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Quote Char"/>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4">
    <w:name w:val="Intense Quote Char"/>
    <w:link w:val="53"/>
    <w:qFormat/>
    <w:uiPriority w:val="30"/>
    <w:rPr>
      <w:i/>
    </w:rPr>
  </w:style>
  <w:style w:type="character" w:customStyle="1" w:styleId="55">
    <w:name w:val="Header Char"/>
    <w:basedOn w:val="34"/>
    <w:qFormat/>
    <w:uiPriority w:val="99"/>
  </w:style>
  <w:style w:type="character" w:customStyle="1" w:styleId="56">
    <w:name w:val="Footer Char"/>
    <w:basedOn w:val="34"/>
    <w:qFormat/>
    <w:uiPriority w:val="99"/>
  </w:style>
  <w:style w:type="character" w:customStyle="1" w:styleId="57">
    <w:name w:val="Caption Char"/>
    <w:qFormat/>
    <w:uiPriority w:val="99"/>
  </w:style>
  <w:style w:type="table" w:customStyle="1" w:styleId="58">
    <w:name w:val="Table Grid Light"/>
    <w:basedOn w:val="3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Plain Table 1"/>
    <w:basedOn w:val="3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basedOn w:val="3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basedOn w:val="3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basedOn w:val="3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basedOn w:val="3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basedOn w:val="3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basedOn w:val="32"/>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66">
    <w:name w:val="Grid Table 1 Light - Accent 2"/>
    <w:basedOn w:val="32"/>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67">
    <w:name w:val="Grid Table 1 Light - Accent 3"/>
    <w:basedOn w:val="32"/>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68">
    <w:name w:val="Grid Table 1 Light - Accent 4"/>
    <w:basedOn w:val="32"/>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69">
    <w:name w:val="Grid Table 1 Light - Accent 5"/>
    <w:basedOn w:val="32"/>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0">
    <w:name w:val="Grid Table 1 Light - Accent 6"/>
    <w:basedOn w:val="32"/>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1">
    <w:name w:val="Grid Table 2"/>
    <w:basedOn w:val="3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basedOn w:val="32"/>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3">
    <w:name w:val="Grid Table 2 - Accent 2"/>
    <w:basedOn w:val="32"/>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4">
    <w:name w:val="Grid Table 2 - Accent 3"/>
    <w:basedOn w:val="32"/>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5">
    <w:name w:val="Grid Table 2 - Accent 4"/>
    <w:basedOn w:val="32"/>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6">
    <w:name w:val="Grid Table 2 - Accent 5"/>
    <w:basedOn w:val="32"/>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77">
    <w:name w:val="Grid Table 2 - Accent 6"/>
    <w:basedOn w:val="32"/>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78">
    <w:name w:val="Grid Table 3"/>
    <w:basedOn w:val="3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basedOn w:val="32"/>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0">
    <w:name w:val="Grid Table 3 - Accent 2"/>
    <w:basedOn w:val="32"/>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1">
    <w:name w:val="Grid Table 3 - Accent 3"/>
    <w:basedOn w:val="32"/>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2">
    <w:name w:val="Grid Table 3 - Accent 4"/>
    <w:basedOn w:val="32"/>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3">
    <w:name w:val="Grid Table 3 - Accent 5"/>
    <w:basedOn w:val="32"/>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4">
    <w:name w:val="Grid Table 3 - Accent 6"/>
    <w:basedOn w:val="32"/>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5">
    <w:name w:val="Grid Table 4"/>
    <w:basedOn w:val="3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basedOn w:val="32"/>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87">
    <w:name w:val="Grid Table 4 - Accent 2"/>
    <w:basedOn w:val="32"/>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8">
    <w:name w:val="Grid Table 4 - Accent 3"/>
    <w:basedOn w:val="32"/>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9">
    <w:name w:val="Grid Table 4 - Accent 4"/>
    <w:basedOn w:val="32"/>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0">
    <w:name w:val="Grid Table 4 - Accent 5"/>
    <w:basedOn w:val="32"/>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1">
    <w:name w:val="Grid Table 4 - Accent 6"/>
    <w:basedOn w:val="32"/>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2">
    <w:name w:val="Grid Table 5 Dark"/>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4">
    <w:name w:val="Grid Table 5 Dark - Accent 2"/>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5">
    <w:name w:val="Grid Table 5 Dark - Accent 3"/>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6">
    <w:name w:val="Grid Table 5 Dark- Accent 4"/>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97">
    <w:name w:val="Grid Table 5 Dark - Accent 5"/>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98">
    <w:name w:val="Grid Table 5 Dark - Accent 6"/>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99">
    <w:name w:val="Grid Table 6 Colorful"/>
    <w:basedOn w:val="3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Grid Table 6 Colorful - Accent 1"/>
    <w:basedOn w:val="32"/>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1">
    <w:name w:val="Grid Table 6 Colorful - Accent 2"/>
    <w:basedOn w:val="32"/>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2">
    <w:name w:val="Grid Table 6 Colorful - Accent 3"/>
    <w:basedOn w:val="32"/>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3">
    <w:name w:val="Grid Table 6 Colorful - Accent 4"/>
    <w:basedOn w:val="32"/>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4">
    <w:name w:val="Grid Table 6 Colorful - Accent 5"/>
    <w:basedOn w:val="32"/>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05">
    <w:name w:val="Grid Table 6 Colorful - Accent 6"/>
    <w:basedOn w:val="32"/>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06">
    <w:name w:val="Grid Table 7 Colorful"/>
    <w:basedOn w:val="3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7 Colorful - Accent 1"/>
    <w:basedOn w:val="32"/>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8">
    <w:name w:val="Grid Table 7 Colorful - Accent 2"/>
    <w:basedOn w:val="32"/>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9">
    <w:name w:val="Grid Table 7 Colorful - Accent 3"/>
    <w:basedOn w:val="32"/>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0">
    <w:name w:val="Grid Table 7 Colorful - Accent 4"/>
    <w:basedOn w:val="32"/>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1">
    <w:name w:val="Grid Table 7 Colorful - Accent 5"/>
    <w:basedOn w:val="32"/>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2">
    <w:name w:val="Grid Table 7 Colorful - Accent 6"/>
    <w:basedOn w:val="32"/>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3">
    <w:name w:val="List Table 1 Light"/>
    <w:basedOn w:val="3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basedOn w:val="32"/>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15">
    <w:name w:val="List Table 1 Light - Accent 2"/>
    <w:basedOn w:val="32"/>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6">
    <w:name w:val="List Table 1 Light - Accent 3"/>
    <w:basedOn w:val="32"/>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17">
    <w:name w:val="List Table 1 Light - Accent 4"/>
    <w:basedOn w:val="32"/>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18">
    <w:name w:val="List Table 1 Light - Accent 5"/>
    <w:basedOn w:val="32"/>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19">
    <w:name w:val="List Table 1 Light - Accent 6"/>
    <w:basedOn w:val="32"/>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0">
    <w:name w:val="List Table 2"/>
    <w:basedOn w:val="3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basedOn w:val="32"/>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2">
    <w:name w:val="List Table 2 - Accent 2"/>
    <w:basedOn w:val="32"/>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3">
    <w:name w:val="List Table 2 - Accent 3"/>
    <w:basedOn w:val="32"/>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4">
    <w:name w:val="List Table 2 - Accent 4"/>
    <w:basedOn w:val="32"/>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5">
    <w:name w:val="List Table 2 - Accent 5"/>
    <w:basedOn w:val="32"/>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26">
    <w:name w:val="List Table 2 - Accent 6"/>
    <w:basedOn w:val="32"/>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27">
    <w:name w:val="List Table 3"/>
    <w:basedOn w:val="3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basedOn w:val="32"/>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29">
    <w:name w:val="List Table 3 - Accent 2"/>
    <w:basedOn w:val="32"/>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0">
    <w:name w:val="List Table 3 - Accent 3"/>
    <w:basedOn w:val="32"/>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1">
    <w:name w:val="List Table 3 - Accent 4"/>
    <w:basedOn w:val="32"/>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2">
    <w:name w:val="List Table 3 - Accent 5"/>
    <w:basedOn w:val="32"/>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3">
    <w:name w:val="List Table 3 - Accent 6"/>
    <w:basedOn w:val="32"/>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4">
    <w:name w:val="List Table 4"/>
    <w:basedOn w:val="3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basedOn w:val="32"/>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6">
    <w:name w:val="List Table 4 - Accent 2"/>
    <w:basedOn w:val="32"/>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7">
    <w:name w:val="List Table 4 - Accent 3"/>
    <w:basedOn w:val="32"/>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8">
    <w:name w:val="List Table 4 - Accent 4"/>
    <w:basedOn w:val="32"/>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9">
    <w:name w:val="List Table 4 - Accent 5"/>
    <w:basedOn w:val="32"/>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0">
    <w:name w:val="List Table 4 - Accent 6"/>
    <w:basedOn w:val="32"/>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1">
    <w:name w:val="List Table 5 Dark"/>
    <w:basedOn w:val="3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basedOn w:val="32"/>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3">
    <w:name w:val="List Table 5 Dark - Accent 2"/>
    <w:basedOn w:val="32"/>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4">
    <w:name w:val="List Table 5 Dark - Accent 3"/>
    <w:basedOn w:val="32"/>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5">
    <w:name w:val="List Table 5 Dark - Accent 4"/>
    <w:basedOn w:val="32"/>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6">
    <w:name w:val="List Table 5 Dark - Accent 5"/>
    <w:basedOn w:val="32"/>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47">
    <w:name w:val="List Table 5 Dark - Accent 6"/>
    <w:basedOn w:val="32"/>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48">
    <w:name w:val="List Table 6 Colorful"/>
    <w:basedOn w:val="3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9">
    <w:name w:val="List Table 6 Colorful - Accent 1"/>
    <w:basedOn w:val="32"/>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0">
    <w:name w:val="List Table 6 Colorful - Accent 2"/>
    <w:basedOn w:val="32"/>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1">
    <w:name w:val="List Table 6 Colorful - Accent 3"/>
    <w:basedOn w:val="32"/>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2">
    <w:name w:val="List Table 6 Colorful - Accent 4"/>
    <w:basedOn w:val="32"/>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3">
    <w:name w:val="List Table 6 Colorful - Accent 5"/>
    <w:basedOn w:val="32"/>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4">
    <w:name w:val="List Table 6 Colorful - Accent 6"/>
    <w:basedOn w:val="32"/>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5">
    <w:name w:val="List Table 7 Colorful"/>
    <w:basedOn w:val="3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List Table 7 Colorful - Accent 1"/>
    <w:basedOn w:val="32"/>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7">
    <w:name w:val="List Table 7 Colorful - Accent 2"/>
    <w:basedOn w:val="32"/>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8">
    <w:name w:val="List Table 7 Colorful - Accent 3"/>
    <w:basedOn w:val="32"/>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9">
    <w:name w:val="List Table 7 Colorful - Accent 4"/>
    <w:basedOn w:val="32"/>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0">
    <w:name w:val="List Table 7 Colorful - Accent 5"/>
    <w:basedOn w:val="32"/>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1">
    <w:name w:val="List Table 7 Colorful - Accent 6"/>
    <w:basedOn w:val="32"/>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2">
    <w:name w:val="Lined - Accent"/>
    <w:basedOn w:val="32"/>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basedOn w:val="32"/>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4">
    <w:name w:val="Lined - Accent 2"/>
    <w:basedOn w:val="32"/>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5">
    <w:name w:val="Lined - Accent 3"/>
    <w:basedOn w:val="32"/>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6">
    <w:name w:val="Lined - Accent 4"/>
    <w:basedOn w:val="32"/>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67">
    <w:name w:val="Lined - Accent 5"/>
    <w:basedOn w:val="32"/>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68">
    <w:name w:val="Lined - Accent 6"/>
    <w:basedOn w:val="32"/>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69">
    <w:name w:val="Bordered &amp; Lined - Accent"/>
    <w:basedOn w:val="32"/>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basedOn w:val="32"/>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1">
    <w:name w:val="Bordered &amp; Lined - Accent 2"/>
    <w:basedOn w:val="32"/>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2">
    <w:name w:val="Bordered &amp; Lined - Accent 3"/>
    <w:basedOn w:val="32"/>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3">
    <w:name w:val="Bordered &amp; Lined - Accent 4"/>
    <w:basedOn w:val="32"/>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4">
    <w:name w:val="Bordered &amp; Lined - Accent 5"/>
    <w:basedOn w:val="32"/>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5">
    <w:name w:val="Bordered &amp; Lined - Accent 6"/>
    <w:basedOn w:val="32"/>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6">
    <w:name w:val="Bordered"/>
    <w:basedOn w:val="32"/>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basedOn w:val="32"/>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78">
    <w:name w:val="Bordered - Accent 2"/>
    <w:basedOn w:val="32"/>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79">
    <w:name w:val="Bordered - Accent 3"/>
    <w:basedOn w:val="32"/>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0">
    <w:name w:val="Bordered - Accent 4"/>
    <w:basedOn w:val="32"/>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1">
    <w:name w:val="Bordered - Accent 5"/>
    <w:basedOn w:val="32"/>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2">
    <w:name w:val="Bordered - Accent 6"/>
    <w:basedOn w:val="32"/>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3">
    <w:name w:val="Footnote Text Char"/>
    <w:link w:val="25"/>
    <w:qFormat/>
    <w:uiPriority w:val="99"/>
    <w:rPr>
      <w:sz w:val="18"/>
    </w:rPr>
  </w:style>
  <w:style w:type="character" w:customStyle="1" w:styleId="184">
    <w:name w:val="Endnote Text Char"/>
    <w:link w:val="19"/>
    <w:qFormat/>
    <w:uiPriority w:val="99"/>
    <w:rPr>
      <w:sz w:val="20"/>
    </w:rPr>
  </w:style>
  <w:style w:type="paragraph" w:customStyle="1" w:styleId="185">
    <w:name w:val="TOC Heading"/>
    <w:unhideWhenUsed/>
    <w:qFormat/>
    <w:uiPriority w:val="39"/>
    <w:rPr>
      <w:rFonts w:hint="default" w:ascii="Times New Roman" w:hAnsi="Times New Roman" w:eastAsia="宋体" w:cs="Times New Roman"/>
    </w:rPr>
  </w:style>
  <w:style w:type="character" w:customStyle="1" w:styleId="186">
    <w:name w:val="页眉 Char"/>
    <w:basedOn w:val="34"/>
    <w:link w:val="21"/>
    <w:qFormat/>
    <w:uiPriority w:val="0"/>
    <w:rPr>
      <w:rFonts w:asciiTheme="minorHAnsi" w:hAnsiTheme="minorHAnsi" w:eastAsiaTheme="minorEastAsia" w:cstheme="minorBidi"/>
      <w:sz w:val="18"/>
      <w:szCs w:val="18"/>
    </w:rPr>
  </w:style>
  <w:style w:type="character" w:customStyle="1" w:styleId="187">
    <w:name w:val="页脚 Char"/>
    <w:basedOn w:val="34"/>
    <w:link w:val="20"/>
    <w:qFormat/>
    <w:uiPriority w:val="0"/>
    <w:rPr>
      <w:rFonts w:asciiTheme="minorHAnsi" w:hAnsiTheme="minorHAnsi" w:eastAsiaTheme="minorEastAsia" w:cstheme="minorBidi"/>
      <w:sz w:val="18"/>
      <w:szCs w:val="18"/>
    </w:rPr>
  </w:style>
  <w:style w:type="paragraph" w:customStyle="1" w:styleId="188">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189">
    <w:name w:val="页脚1"/>
    <w:basedOn w:val="1"/>
    <w:unhideWhenUsed/>
    <w:qFormat/>
    <w:uiPriority w:val="99"/>
    <w:pPr>
      <w:tabs>
        <w:tab w:val="center" w:pos="4153"/>
        <w:tab w:val="right" w:pos="8306"/>
      </w:tabs>
      <w:jc w:val="left"/>
    </w:pPr>
    <w:rPr>
      <w:sz w:val="18"/>
      <w:szCs w:val="18"/>
    </w:rPr>
  </w:style>
  <w:style w:type="paragraph" w:customStyle="1" w:styleId="190">
    <w:name w:val="正文首行缩进 21"/>
    <w:basedOn w:val="191"/>
    <w:qFormat/>
    <w:uiPriority w:val="0"/>
    <w:pPr>
      <w:ind w:firstLine="420"/>
    </w:pPr>
  </w:style>
  <w:style w:type="paragraph" w:customStyle="1" w:styleId="191">
    <w:name w:val="正文文本缩进1"/>
    <w:basedOn w:val="1"/>
    <w:qFormat/>
    <w:uiPriority w:val="0"/>
    <w:pPr>
      <w:spacing w:after="120"/>
      <w:ind w:left="420"/>
    </w:pPr>
  </w:style>
  <w:style w:type="paragraph" w:customStyle="1" w:styleId="192">
    <w:name w:val="普通(网站)11"/>
    <w:basedOn w:val="1"/>
    <w:qFormat/>
    <w:uiPriority w:val="0"/>
    <w:pPr>
      <w:spacing w:beforeAutospacing="1" w:afterAutospacing="1"/>
      <w:jc w:val="left"/>
    </w:pPr>
    <w:rPr>
      <w:rFonts w:cs="Times New Roman"/>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Kingsoft</Company>
  <Pages>70</Pages>
  <Words>11166</Words>
  <Characters>11871</Characters>
  <TotalTime>0</TotalTime>
  <ScaleCrop>false</ScaleCrop>
  <LinksUpToDate>false</LinksUpToDate>
  <CharactersWithSpaces>12092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为谁而狂&amp;</cp:lastModifiedBy>
  <cp:lastPrinted>2026-09-01T07:18:00Z</cp:lastPrinted>
  <dcterms:modified xsi:type="dcterms:W3CDTF">2026-09-20T07:51:41Z</dcterms:modified>
  <cp:revision>135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B40528C9E4524656B158065AB217FB18_13</vt:lpwstr>
  </property>
  <property fmtid="{D5CDD505-2E9C-101B-9397-08002B2CF9AE}" pid="4" name="KSOTemplateDocerSaveRecord">
    <vt:lpwstr>eyJoZGlkIjoiMzM2ZTJmMzY2MmZkMWIyNTE3YmU4NjA4YmM5ZmZkNDAiLCJ1c2VySWQiOiI0Nzk1NTA5ODYifQ==</vt:lpwstr>
  </property>
</Properties>
</file>