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采购编号：</w:t>
      </w:r>
      <w:r>
        <w:rPr>
          <w:rFonts w:ascii="宋体" w:hAnsi="宋体"/>
          <w:sz w:val="32"/>
          <w:szCs w:val="32"/>
        </w:rPr>
        <w:t xml:space="preserve">JSZC-320000-JSSJ-G2026-0010</w:t>
      </w:r>
      <w:r/>
    </w:p>
    <w:p>
      <w:pPr>
        <w:ind w:left="2437" w:hanging="1446"/>
        <w:rPr>
          <w:rFonts w:hint="eastAsia" w:ascii="宋体" w:hAnsi="宋体"/>
          <w:sz w:val="32"/>
          <w:szCs w:val="32"/>
        </w:rPr>
      </w:pPr>
      <w:r>
        <w:rPr>
          <w:rFonts w:hint="eastAsia" w:ascii="宋体" w:hAnsi="宋体"/>
          <w:sz w:val="32"/>
          <w:szCs w:val="32"/>
        </w:rPr>
        <w:t xml:space="preserve">项目名称：</w:t>
      </w:r>
      <w:bookmarkStart w:id="0" w:name="OLE_LINK15"/>
      <w:r>
        <w:rPr>
          <w:rFonts w:hint="eastAsia" w:ascii="宋体" w:hAnsi="宋体"/>
          <w:sz w:val="32"/>
          <w:szCs w:val="32"/>
        </w:rPr>
        <w:t xml:space="preserve">2026年新污染物治理</w:t>
      </w:r>
      <w:bookmarkEnd w:id="0"/>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二〇二六年九月</w:t>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709"/>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719"/>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int="eastAsia" w:hAnsi="宋体"/>
            <w:sz w:val="32"/>
            <w:szCs w:val="32"/>
          </w:rPr>
          <w:t xml:space="preserve">3</w:t>
        </w:r>
        <w:r>
          <w:rPr>
            <w:rFonts w:hAnsi="宋体"/>
            <w:sz w:val="32"/>
            <w:szCs w:val="32"/>
          </w:rPr>
          <w:fldChar w:fldCharType="end"/>
        </w:r>
      </w:hyperlink>
      <w:r/>
      <w:r/>
    </w:p>
    <w:p>
      <w:pPr>
        <w:pStyle w:val="709"/>
        <w:rPr>
          <w:rFonts w:hint="eastAsia" w:hAnsi="宋体" w:cstheme="minorBidi"/>
          <w:sz w:val="32"/>
          <w:szCs w:val="32"/>
        </w:rPr>
      </w:pPr>
      <w:r/>
      <w:hyperlink w:tooltip="#_Toc129876262" w:anchor="_Toc129876262" w:history="1">
        <w:r>
          <w:rPr>
            <w:rStyle w:val="719"/>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int="eastAsia" w:hAnsi="宋体"/>
            <w:sz w:val="32"/>
            <w:szCs w:val="32"/>
          </w:rPr>
          <w:t xml:space="preserve">6</w:t>
        </w:r>
        <w:r>
          <w:rPr>
            <w:rFonts w:hAnsi="宋体"/>
            <w:sz w:val="32"/>
            <w:szCs w:val="32"/>
          </w:rPr>
          <w:fldChar w:fldCharType="end"/>
        </w:r>
      </w:hyperlink>
      <w:r/>
      <w:r/>
    </w:p>
    <w:p>
      <w:pPr>
        <w:pStyle w:val="709"/>
        <w:rPr>
          <w:rFonts w:hint="eastAsia" w:hAnsi="宋体" w:cstheme="minorBidi"/>
          <w:sz w:val="32"/>
          <w:szCs w:val="32"/>
        </w:rPr>
      </w:pPr>
      <w:r/>
      <w:hyperlink w:tooltip="#_Toc129876269" w:anchor="_Toc129876269" w:history="1">
        <w:r>
          <w:rPr>
            <w:rStyle w:val="719"/>
            <w:rFonts w:ascii="宋体" w:hAnsi="宋体" w:eastAsia="宋体"/>
            <w:sz w:val="32"/>
            <w:szCs w:val="32"/>
          </w:rPr>
          <w:t xml:space="preserve">第三章 </w:t>
        </w:r>
        <w:r>
          <w:rPr>
            <w:rStyle w:val="719"/>
            <w:rFonts w:hint="eastAsia" w:ascii="宋体" w:hAnsi="宋体" w:eastAsia="宋体"/>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int="eastAsia" w:hAnsi="宋体"/>
            <w:sz w:val="32"/>
            <w:szCs w:val="32"/>
          </w:rPr>
          <w:t xml:space="preserve">16</w:t>
        </w:r>
        <w:r>
          <w:rPr>
            <w:rFonts w:hAnsi="宋体"/>
            <w:sz w:val="32"/>
            <w:szCs w:val="32"/>
          </w:rPr>
          <w:fldChar w:fldCharType="end"/>
        </w:r>
      </w:hyperlink>
      <w:r/>
      <w:r/>
    </w:p>
    <w:p>
      <w:pPr>
        <w:pStyle w:val="709"/>
        <w:rPr>
          <w:rFonts w:hint="eastAsia" w:hAnsi="宋体" w:cstheme="minorBidi"/>
          <w:sz w:val="32"/>
          <w:szCs w:val="32"/>
        </w:rPr>
      </w:pPr>
      <w:r/>
      <w:hyperlink w:tooltip="#_Toc129876276" w:anchor="_Toc129876276" w:history="1">
        <w:r>
          <w:rPr>
            <w:rStyle w:val="719"/>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int="eastAsia" w:hAnsi="宋体"/>
            <w:sz w:val="32"/>
            <w:szCs w:val="32"/>
          </w:rPr>
          <w:t xml:space="preserve">20</w:t>
        </w:r>
        <w:r>
          <w:rPr>
            <w:rFonts w:hAnsi="宋体"/>
            <w:sz w:val="32"/>
            <w:szCs w:val="32"/>
          </w:rPr>
          <w:fldChar w:fldCharType="end"/>
        </w:r>
      </w:hyperlink>
      <w:r/>
      <w:r/>
    </w:p>
    <w:p>
      <w:pPr>
        <w:pStyle w:val="709"/>
        <w:rPr>
          <w:rFonts w:hint="eastAsia" w:hAnsi="宋体" w:cstheme="minorBidi"/>
          <w:sz w:val="32"/>
          <w:szCs w:val="32"/>
        </w:rPr>
      </w:pPr>
      <w:r/>
      <w:hyperlink w:tooltip="#_Toc129876277" w:anchor="_Toc129876277" w:history="1">
        <w:r>
          <w:rPr>
            <w:rStyle w:val="719"/>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int="eastAsia" w:hAnsi="宋体"/>
            <w:sz w:val="32"/>
            <w:szCs w:val="32"/>
          </w:rPr>
          <w:t xml:space="preserve">23</w:t>
        </w:r>
        <w:r>
          <w:rPr>
            <w:rFonts w:hAnsi="宋体"/>
            <w:sz w:val="32"/>
            <w:szCs w:val="32"/>
          </w:rPr>
          <w:fldChar w:fldCharType="end"/>
        </w:r>
      </w:hyperlink>
      <w:r/>
      <w:r/>
    </w:p>
    <w:p>
      <w:pPr>
        <w:pStyle w:val="709"/>
        <w:rPr>
          <w:rFonts w:hint="eastAsia" w:hAnsi="宋体" w:cstheme="minorBidi"/>
          <w:sz w:val="32"/>
          <w:szCs w:val="32"/>
        </w:rPr>
      </w:pPr>
      <w:r/>
      <w:hyperlink w:tooltip="#_Toc129876278" w:anchor="_Toc129876278" w:history="1">
        <w:r>
          <w:rPr>
            <w:rStyle w:val="719"/>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int="eastAsia" w:hAnsi="宋体"/>
            <w:sz w:val="32"/>
            <w:szCs w:val="32"/>
          </w:rPr>
          <w:t xml:space="preserve">28</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689"/>
        <w:jc w:val="center"/>
      </w:pPr>
      <w:r/>
      <w:bookmarkStart w:id="1" w:name="_Toc129876261"/>
      <w:r>
        <w:rPr>
          <w:rFonts w:hint="eastAsia"/>
        </w:rPr>
        <w:t xml:space="preserve">第一章</w:t>
      </w:r>
      <w:r>
        <w:rPr>
          <w:rFonts w:hint="eastAsia"/>
        </w:rPr>
        <w:t xml:space="preserve">  </w:t>
      </w:r>
      <w:r>
        <w:rPr>
          <w:rFonts w:hint="eastAsia"/>
        </w:rPr>
        <w:t xml:space="preserve">投标邀请</w:t>
      </w:r>
      <w:bookmarkEnd w:id="1"/>
      <w:r/>
      <w:r/>
    </w:p>
    <w:p>
      <w:pPr>
        <w:ind w:firstLine="480"/>
        <w:spacing w:line="400" w:lineRule="exact"/>
        <w:rPr>
          <w:rFonts w:hint="eastAsia" w:ascii="宋体" w:hAnsi="宋体"/>
          <w:sz w:val="24"/>
          <w:szCs w:val="24"/>
        </w:rPr>
      </w:pPr>
      <w:r/>
      <w:bookmarkStart w:id="2"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2026年新污染物治理项目</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bookmarkStart w:id="3" w:name="_Hlk237419263"/>
      <w:r>
        <w:rPr>
          <w:rFonts w:ascii="宋体" w:hAnsi="宋体"/>
          <w:sz w:val="24"/>
          <w:szCs w:val="24"/>
        </w:rPr>
        <w:t xml:space="preserve">JSZC-320000-JSSJ-G2026-0010 </w:t>
      </w:r>
      <w:bookmarkEnd w:id="3"/>
      <w:r/>
      <w:r/>
    </w:p>
    <w:p>
      <w:pPr>
        <w:ind w:firstLine="480"/>
        <w:spacing w:line="400" w:lineRule="exact"/>
        <w:rPr>
          <w:rFonts w:hint="eastAsia" w:ascii="宋体" w:hAnsi="宋体"/>
          <w:sz w:val="24"/>
          <w:szCs w:val="24"/>
        </w:rPr>
      </w:pPr>
      <w:r>
        <w:rPr>
          <w:rFonts w:hint="eastAsia" w:ascii="宋体" w:hAnsi="宋体"/>
          <w:sz w:val="24"/>
          <w:szCs w:val="24"/>
        </w:rPr>
        <w:t xml:space="preserve">项目名称：2026年新污染物治理</w:t>
      </w:r>
      <w:r/>
    </w:p>
    <w:p>
      <w:pPr>
        <w:ind w:firstLine="480"/>
        <w:spacing w:line="400" w:lineRule="exact"/>
        <w:rPr>
          <w:rFonts w:hint="eastAsia" w:ascii="宋体" w:hAnsi="宋体"/>
          <w:sz w:val="24"/>
          <w:szCs w:val="24"/>
        </w:rPr>
      </w:pPr>
      <w:r>
        <w:rPr>
          <w:rFonts w:hint="eastAsia" w:ascii="宋体" w:hAnsi="宋体"/>
          <w:sz w:val="24"/>
          <w:szCs w:val="24"/>
        </w:rPr>
        <w:t xml:space="preserve">预算金额：</w:t>
      </w:r>
      <w:bookmarkStart w:id="4" w:name="OLE_LINK37"/>
      <w:r>
        <w:rPr>
          <w:rFonts w:hint="eastAsia" w:ascii="宋体" w:hAnsi="宋体"/>
          <w:sz w:val="24"/>
          <w:szCs w:val="24"/>
        </w:rPr>
        <w:t xml:space="preserve">人民币</w:t>
      </w:r>
      <w:r>
        <w:rPr>
          <w:rFonts w:ascii="宋体" w:hAnsi="宋体"/>
          <w:sz w:val="24"/>
          <w:szCs w:val="24"/>
        </w:rPr>
        <w:t xml:space="preserve">1</w:t>
      </w:r>
      <w:r>
        <w:rPr>
          <w:rFonts w:hint="eastAsia" w:ascii="宋体" w:hAnsi="宋体"/>
          <w:sz w:val="24"/>
          <w:szCs w:val="24"/>
        </w:rPr>
        <w:t xml:space="preserve">99.75万元</w:t>
      </w:r>
      <w:bookmarkEnd w:id="4"/>
      <w:r/>
      <w:r/>
    </w:p>
    <w:p>
      <w:pPr>
        <w:ind w:firstLine="480"/>
        <w:spacing w:line="400" w:lineRule="exact"/>
        <w:rPr>
          <w:rFonts w:hint="eastAsia" w:ascii="宋体" w:hAnsi="宋体"/>
          <w:sz w:val="24"/>
          <w:szCs w:val="24"/>
        </w:rPr>
      </w:pPr>
      <w:r>
        <w:rPr>
          <w:rFonts w:hint="eastAsia" w:ascii="宋体" w:hAnsi="宋体"/>
          <w:sz w:val="24"/>
          <w:szCs w:val="24"/>
        </w:rPr>
        <w:t xml:space="preserve">最高限价：</w:t>
      </w:r>
      <w:bookmarkStart w:id="5" w:name="OLE_LINK4"/>
      <w:r>
        <w:rPr>
          <w:rFonts w:hint="eastAsia" w:ascii="宋体" w:hAnsi="宋体"/>
          <w:sz w:val="24"/>
          <w:szCs w:val="24"/>
        </w:rPr>
        <w:t xml:space="preserve">人民币</w:t>
      </w:r>
      <w:r>
        <w:rPr>
          <w:rFonts w:ascii="宋体" w:hAnsi="宋体"/>
          <w:sz w:val="24"/>
          <w:szCs w:val="24"/>
        </w:rPr>
        <w:t xml:space="preserve">1</w:t>
      </w:r>
      <w:r>
        <w:rPr>
          <w:rFonts w:hint="eastAsia" w:ascii="宋体" w:hAnsi="宋体"/>
          <w:sz w:val="24"/>
          <w:szCs w:val="24"/>
        </w:rPr>
        <w:t xml:space="preserve">99.75万元</w:t>
      </w:r>
      <w:bookmarkEnd w:id="5"/>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（二）具有良好的商业信誉和健全的财务会计制度，提供开标前十二个月内（2025年9月至今）任一月份的财务报表复印件（法人或者其他组织成立未满三个月的可以不提供）；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w:t>
      </w:r>
      <w:bookmarkStart w:id="6" w:name="OLE_LINK75"/>
      <w:r>
        <w:rPr>
          <w:rFonts w:hint="eastAsia" w:ascii="宋体" w:hAnsi="宋体"/>
          <w:sz w:val="24"/>
          <w:szCs w:val="24"/>
        </w:rPr>
        <w:t xml:space="preserve">有依法缴纳税收和社会保障资金的良好记录，提供开标前十二个月内（2025年9月至今）任一月份的依法缴纳税收和社会保险费的相关材料（提供相关主管部门证明或银行代扣证明的复印件，根据国家相关政策免缴或迟缴的需提供相关证明材料）</w:t>
      </w:r>
      <w:bookmarkEnd w:id="6"/>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2.落实采购政策需满足的资格要求：无</w:t>
      </w:r>
      <w:r>
        <w:rPr>
          <w:rFonts w:hint="eastAsia" w:ascii="宋体" w:hAnsi="宋体"/>
          <w:b/>
          <w:bCs/>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w:t>
      </w:r>
      <w:r>
        <w:rPr>
          <w:rFonts w:hint="eastAsia" w:ascii="宋体" w:hAnsi="宋体"/>
          <w:sz w:val="24"/>
          <w:szCs w:val="24"/>
        </w:rPr>
        <w:t xml:space="preserve">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时间：自招标文件公告发布之日起5个工作日</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地点：江苏政府采购网“苏采云”政府采购交易系统</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方式: 江苏政府采购网“苏采云”政府采购交易系统下载采购文件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2026年10月</w:t>
      </w:r>
      <w:r>
        <w:rPr>
          <w:rFonts w:hint="eastAsia" w:ascii="宋体" w:hAnsi="宋体"/>
          <w:sz w:val="24"/>
          <w:szCs w:val="24"/>
        </w:rPr>
        <w:t xml:space="preserve">15</w:t>
      </w:r>
      <w:r>
        <w:rPr>
          <w:rFonts w:hint="eastAsia" w:ascii="宋体" w:hAnsi="宋体"/>
          <w:sz w:val="24"/>
          <w:szCs w:val="24"/>
        </w:rPr>
        <w:t xml:space="preserve">日14点00分（北京时间）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地点：江苏政府采购网“苏采云”政府采购交易系统</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”)--将后缀名为“.</w:t>
      </w:r>
      <w:r>
        <w:rPr>
          <w:rFonts w:hint="eastAsia" w:ascii="宋体" w:hAnsi="宋体"/>
          <w:sz w:val="24"/>
          <w:szCs w:val="24"/>
        </w:rPr>
        <w:t xml:space="preserve">kedt</w:t>
      </w:r>
      <w:r>
        <w:rPr>
          <w:rFonts w:hint="eastAsia" w:ascii="宋体" w:hAnsi="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w:t>
      </w:r>
      <w:r>
        <w:rPr>
          <w:rFonts w:hint="eastAsia" w:ascii="宋体" w:hAnsi="宋体"/>
          <w:sz w:val="24"/>
          <w:szCs w:val="24"/>
        </w:rPr>
        <w:t xml:space="preserve">kedt</w:t>
      </w:r>
      <w:r>
        <w:rPr>
          <w:rFonts w:hint="eastAsia" w:ascii="宋体" w:hAnsi="宋体"/>
          <w:sz w:val="24"/>
          <w:szCs w:val="24"/>
        </w:rPr>
        <w:t xml:space="preserve">”)、供应商操作手册及政府采购客户端工具可通过“苏采云”系统--已报名项目--报名详情页面内相应链接进行下载。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 陈苏怡</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bookmarkStart w:id="7" w:name="OLE_LINK6"/>
      <w:r>
        <w:rPr>
          <w:rFonts w:hint="eastAsia" w:ascii="宋体" w:hAnsi="宋体"/>
          <w:sz w:val="24"/>
          <w:szCs w:val="24"/>
        </w:rPr>
        <w:t xml:space="preserve">025-58527553</w:t>
      </w:r>
      <w:bookmarkEnd w:id="7"/>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60" w:lineRule="exact"/>
        <w:tabs>
          <w:tab w:val="left" w:pos="0" w:leader="none"/>
        </w:tabs>
        <w:rPr>
          <w:rFonts w:hint="eastAsia" w:ascii="宋体" w:hAnsi="宋体" w:cs="宋体"/>
          <w:color w:val="000000" w:themeColor="text1"/>
          <w:sz w:val="24"/>
          <w:szCs w:val="24"/>
        </w:rPr>
      </w:pPr>
      <w:r>
        <w:rPr>
          <w:rFonts w:hint="eastAsia" w:ascii="宋体" w:hAnsi="宋体"/>
          <w:sz w:val="24"/>
          <w:szCs w:val="24"/>
        </w:rPr>
        <w:t xml:space="preserve">项目联系人:</w:t>
      </w:r>
      <w:r>
        <w:rPr>
          <w:rFonts w:hint="eastAsia" w:ascii="宋体" w:hAnsi="宋体" w:cs="宋体"/>
          <w:color w:val="000000" w:themeColor="text1"/>
          <w:sz w:val="24"/>
          <w:szCs w:val="24"/>
        </w:rPr>
        <w:t xml:space="preserve">黄素玲</w:t>
      </w:r>
      <w:r/>
    </w:p>
    <w:p>
      <w:pPr>
        <w:ind w:firstLine="480"/>
        <w:spacing w:line="380" w:lineRule="exact"/>
        <w:rPr>
          <w:rFonts w:hint="eastAsia" w:ascii="宋体" w:hAnsi="宋体"/>
          <w:sz w:val="24"/>
          <w:szCs w:val="24"/>
        </w:rPr>
      </w:pPr>
      <w:r>
        <w:rPr>
          <w:rFonts w:hint="eastAsia" w:ascii="宋体" w:hAnsi="宋体" w:cs="宋体"/>
          <w:color w:val="000000" w:themeColor="text1"/>
          <w:sz w:val="24"/>
          <w:szCs w:val="24"/>
        </w:rPr>
        <w:t xml:space="preserve">电话：</w:t>
      </w:r>
      <w:r>
        <w:rPr>
          <w:rFonts w:ascii="宋体" w:hAnsi="宋体" w:cs="宋体"/>
          <w:color w:val="000000" w:themeColor="text1"/>
          <w:sz w:val="24"/>
          <w:szCs w:val="24"/>
        </w:rPr>
        <w:t xml:space="preserve">025-86723972</w:t>
      </w:r>
      <w:r/>
    </w:p>
    <w:p>
      <w:pPr>
        <w:jc w:val="left"/>
        <w:widowControl/>
        <w:rPr>
          <w:rFonts w:eastAsia="方正小标宋_GBK"/>
          <w:b/>
          <w:bCs/>
          <w:sz w:val="28"/>
          <w:szCs w:val="44"/>
        </w:rPr>
      </w:pPr>
      <w:r>
        <w:br w:type="page" w:clear="all"/>
      </w:r>
      <w:r/>
    </w:p>
    <w:p>
      <w:pPr>
        <w:pStyle w:val="689"/>
        <w:jc w:val="center"/>
        <w:rPr>
          <w:rFonts w:hint="eastAsia" w:ascii="黑体" w:hAnsi="黑体" w:eastAsia="黑体"/>
          <w:szCs w:val="28"/>
        </w:rPr>
      </w:pPr>
      <w:r/>
      <w:bookmarkStart w:id="8" w:name="_Toc129876262"/>
      <w:r>
        <w:rPr>
          <w:rFonts w:hint="eastAsia" w:ascii="黑体" w:hAnsi="黑体" w:eastAsia="黑体"/>
          <w:szCs w:val="28"/>
        </w:rPr>
        <w:t xml:space="preserve">第二章  投标人须知</w:t>
      </w:r>
      <w:r/>
    </w:p>
    <w:p>
      <w:pPr>
        <w:pStyle w:val="690"/>
        <w:jc w:val="left"/>
        <w:rPr>
          <w:rFonts w:hint="eastAsia" w:ascii="黑体" w:hAnsi="黑体"/>
          <w:sz w:val="28"/>
          <w:szCs w:val="28"/>
        </w:rPr>
      </w:pPr>
      <w:r/>
      <w:bookmarkStart w:id="9"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10"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10"/>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中标供应商按照</w:t>
      </w:r>
      <w:r>
        <w:rPr>
          <w:rFonts w:hint="eastAsia" w:hAnsi="宋体"/>
          <w:sz w:val="24"/>
          <w:szCs w:val="24"/>
        </w:rPr>
        <w:t xml:space="preserve"> </w:t>
      </w:r>
      <w:r>
        <w:rPr>
          <w:rFonts w:hint="eastAsia" w:hAnsi="宋体"/>
          <w:sz w:val="24"/>
          <w:szCs w:val="24"/>
        </w:rPr>
        <w:t xml:space="preserve">《招标代理服务收费管理暂行办法》（国家发展计划</w:t>
      </w:r>
      <w:r>
        <w:rPr>
          <w:rFonts w:hint="eastAsia" w:ascii="宋体" w:hAnsi="宋体"/>
          <w:sz w:val="24"/>
          <w:szCs w:val="24"/>
        </w:rPr>
        <w:t xml:space="preserve">委员会计价格</w:t>
      </w:r>
      <w:r>
        <w:rPr>
          <w:rFonts w:hint="eastAsia" w:hAnsi="宋体"/>
          <w:sz w:val="24"/>
          <w:szCs w:val="24"/>
        </w:rPr>
        <w:t xml:space="preserve">〔</w:t>
      </w:r>
      <w:r>
        <w:rPr>
          <w:rFonts w:hint="eastAsia" w:hAnsi="宋体"/>
          <w:sz w:val="24"/>
          <w:szCs w:val="24"/>
        </w:rPr>
        <w:t xml:space="preserve">2002</w:t>
      </w:r>
      <w:r>
        <w:rPr>
          <w:rFonts w:hint="eastAsia" w:hAnsi="宋体"/>
          <w:sz w:val="24"/>
          <w:szCs w:val="24"/>
        </w:rPr>
        <w:t xml:space="preserve">〕</w:t>
      </w:r>
      <w:r>
        <w:rPr>
          <w:rFonts w:hint="eastAsia" w:ascii="宋体" w:hAnsi="宋体"/>
          <w:sz w:val="24"/>
          <w:szCs w:val="24"/>
        </w:rPr>
        <w:t xml:space="preserve">1980号）收费标准中服务项目的80%计算，向采购代理机构支付采购服务费，不足3000元的按3000收取。</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-57150</wp:posOffset>
                      </wp:positionH>
                      <wp:positionV relativeFrom="paragraph">
                        <wp:posOffset>104775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4.5pt,8.2pt" to="116.8pt,30.6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80"/>
        <w:rPr>
          <w:rFonts w:hint="eastAsia" w:hAnsi="宋体"/>
          <w:sz w:val="32"/>
          <w:szCs w:val="32"/>
        </w:rPr>
      </w:pPr>
      <w:r>
        <w:rPr>
          <w:rFonts w:hint="eastAsia" w:ascii="楷体" w:hAnsi="楷体" w:eastAsia="楷体"/>
          <w:sz w:val="24"/>
          <w:szCs w:val="28"/>
        </w:rPr>
        <w:t xml:space="preserve">注：代理服务收费按差额定率累进法计算。</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ascii="楷体" w:hAnsi="楷体" w:eastAsia="楷体" w:cs="黑体"/>
          <w:szCs w:val="21"/>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rPr>
          <w:rFonts w:hint="eastAsia" w:ascii="楷体" w:hAnsi="楷体" w:eastAsia="楷体" w:cs="黑体"/>
          <w:szCs w:val="21"/>
        </w:rPr>
        <w:t xml:space="preserve">  </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690"/>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w:t>
      </w:r>
      <w:r>
        <w:rPr>
          <w:rFonts w:hint="eastAsia" w:hAnsi="宋体"/>
          <w:sz w:val="24"/>
          <w:szCs w:val="24"/>
        </w:rPr>
        <w:t xml:space="preserve">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690"/>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9"/>
      <w:r/>
    </w:p>
    <w:p>
      <w:pPr>
        <w:pStyle w:val="690"/>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690"/>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sz w:val="24"/>
          <w:szCs w:val="24"/>
        </w:rPr>
      </w:pPr>
      <w:r>
        <w:rPr>
          <w:rFonts w:hint="eastAsia" w:hAnsi="宋体"/>
          <w:sz w:val="24"/>
          <w:szCs w:val="24"/>
        </w:rPr>
        <w:t xml:space="preserve">5.3.7.1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hAnsi="宋体"/>
          <w:sz w:val="24"/>
          <w:szCs w:val="24"/>
        </w:rPr>
        <w:t xml:space="preserve">理性的，评审委员会应当将其作为无效投标（响应）处理。审查相关情况应当在评审报告中进行记录。</w:t>
      </w:r>
      <w:r/>
    </w:p>
    <w:p>
      <w:pPr>
        <w:ind w:firstLine="480"/>
        <w:rPr>
          <w:rFonts w:hint="eastAsia" w:hAnsi="宋体"/>
          <w:b/>
          <w:bCs/>
          <w:sz w:val="24"/>
          <w:szCs w:val="24"/>
        </w:rPr>
      </w:pPr>
      <w:r>
        <w:rPr>
          <w:rFonts w:hint="eastAsia" w:hAnsi="宋体"/>
          <w:sz w:val="24"/>
          <w:szCs w:val="24"/>
        </w:rPr>
        <w:t xml:space="preserve">5.3.7.2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w:t>
      </w:r>
      <w:r>
        <w:rPr>
          <w:rFonts w:hint="eastAsia" w:hAnsi="宋体"/>
          <w:sz w:val="24"/>
          <w:szCs w:val="24"/>
        </w:rPr>
        <w:t xml:space="preserve">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690"/>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w:t>
      </w:r>
      <w:r>
        <w:rPr>
          <w:rFonts w:hint="eastAsia" w:hAnsi="宋体"/>
          <w:sz w:val="24"/>
          <w:szCs w:val="24"/>
        </w:rPr>
        <w:t xml:space="preserve"> </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者不是投标文件中确定的授权代表，须由投标人另行出具授权书。质疑函应以送达或邮寄的方式提交，未按上述要求提交的质疑函（含传真、电子邮件等）采购代理机构有权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w:t>
      </w:r>
      <w:r>
        <w:rPr>
          <w:rFonts w:hint="eastAsia" w:hAnsi="宋体"/>
          <w:sz w:val="24"/>
          <w:szCs w:val="24"/>
        </w:rPr>
        <w:t xml:space="preserve">《中标通知书》发出后，采购人改变成交结果的，或者中标供应商放弃中标项目的，应当依法承担法律责任。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690"/>
        <w:rPr>
          <w:rFonts w:hint="eastAsia" w:ascii="黑体" w:hAnsi="黑体"/>
          <w:sz w:val="28"/>
          <w:szCs w:val="28"/>
        </w:rPr>
      </w:pPr>
      <w:r>
        <w:rPr>
          <w:rFonts w:hint="eastAsia" w:ascii="黑体" w:hAnsi="黑体"/>
          <w:sz w:val="28"/>
          <w:szCs w:val="28"/>
        </w:rPr>
        <w:t xml:space="preserve">七、其他相关说明</w:t>
      </w:r>
      <w:r/>
    </w:p>
    <w:p>
      <w:pPr>
        <w:pStyle w:val="700"/>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2"/>
      <w:bookmarkEnd w:id="8"/>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11" w:name="_Toc479500548"/>
      <w:r>
        <w:rPr>
          <w:rFonts w:ascii="宋体" w:hAnsi="宋体"/>
          <w:b/>
          <w:szCs w:val="28"/>
        </w:rPr>
        <w:br w:type="page" w:clear="all"/>
      </w:r>
      <w:r/>
    </w:p>
    <w:p>
      <w:pPr>
        <w:pStyle w:val="689"/>
        <w:jc w:val="center"/>
        <w:spacing w:line="240" w:lineRule="auto"/>
        <w:rPr>
          <w:szCs w:val="28"/>
        </w:rPr>
      </w:pPr>
      <w:r/>
      <w:bookmarkStart w:id="12" w:name="_Toc129876269"/>
      <w:r/>
      <w:bookmarkStart w:id="13" w:name="_Toc76893581"/>
      <w:r/>
      <w:bookmarkEnd w:id="11"/>
      <w:r>
        <w:rPr>
          <w:rFonts w:hint="eastAsia"/>
          <w:szCs w:val="28"/>
        </w:rPr>
        <w:t xml:space="preserve">第三章</w:t>
      </w:r>
      <w:r>
        <w:rPr>
          <w:rFonts w:hint="eastAsia"/>
          <w:szCs w:val="28"/>
        </w:rPr>
        <w:t xml:space="preserve"> </w:t>
      </w:r>
      <w:r>
        <w:rPr>
          <w:rFonts w:hint="eastAsia"/>
          <w:szCs w:val="28"/>
        </w:rPr>
        <w:t xml:space="preserve">评标办法和定标原则</w:t>
      </w:r>
      <w:bookmarkEnd w:id="12"/>
      <w:r/>
      <w:bookmarkEnd w:id="13"/>
      <w:r/>
      <w:r/>
    </w:p>
    <w:p>
      <w:pPr>
        <w:ind w:firstLine="480"/>
        <w:rPr>
          <w:sz w:val="24"/>
          <w:szCs w:val="24"/>
        </w:rPr>
      </w:pPr>
      <w:r/>
      <w:bookmarkStart w:id="14" w:name="_Toc444852399"/>
      <w:r/>
      <w:bookmarkStart w:id="15" w:name="_Toc479456121"/>
      <w:r/>
      <w:bookmarkStart w:id="16" w:name="_Toc449081332"/>
      <w:r/>
      <w:bookmarkStart w:id="17" w:name="_Toc449539274"/>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700"/>
        <w:ind w:firstLine="480"/>
        <w:jc w:val="both"/>
        <w:rPr>
          <w:rFonts w:hint="eastAsia" w:ascii="宋体" w:hAnsi="宋体"/>
          <w:sz w:val="24"/>
        </w:rPr>
      </w:pPr>
      <w:r>
        <w:rPr>
          <w:rFonts w:hint="eastAsia" w:ascii="宋体" w:hAnsi="宋体"/>
          <w:sz w:val="24"/>
        </w:rPr>
        <w:t xml:space="preserve">二、由</w:t>
      </w:r>
      <w:r>
        <w:rPr>
          <w:rFonts w:hint="eastAsia"/>
          <w:sz w:val="24"/>
        </w:rPr>
        <w:t xml:space="preserve">评标委员会</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并由采购人按照排序由高到低的原则确定1名中标人。</w:t>
      </w:r>
      <w:r/>
    </w:p>
    <w:p>
      <w:pPr>
        <w:pStyle w:val="704"/>
        <w:rPr>
          <w:rFonts w:hint="default" w:ascii="Times New Roman" w:hAnsi="Times New Roman"/>
          <w:sz w:val="24"/>
          <w:szCs w:val="24"/>
        </w:rPr>
      </w:pPr>
      <w:r/>
      <w:bookmarkStart w:id="18" w:name="_Toc128419270"/>
      <w:r>
        <w:rPr>
          <w:rFonts w:ascii="Times New Roman" w:hAnsi="Times New Roman"/>
          <w:sz w:val="24"/>
          <w:szCs w:val="24"/>
        </w:rPr>
        <w:t xml:space="preserve">具体评标办法如下：</w:t>
      </w:r>
      <w:r/>
    </w:p>
    <w:tbl>
      <w:tblPr>
        <w:tblW w:w="9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992"/>
        <w:gridCol w:w="6520"/>
        <w:gridCol w:w="712"/>
      </w:tblGrid>
      <w:tr>
        <w:trPr>
          <w:jc w:val="center"/>
          <w:trHeight w:val="718"/>
        </w:trPr>
        <w:tc>
          <w:tcPr>
            <w:tcW w:w="988"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评分</w:t>
            </w:r>
            <w:r/>
          </w:p>
          <w:p>
            <w:pPr>
              <w:jc w:val="center"/>
              <w:rPr>
                <w:rFonts w:hint="eastAsia" w:ascii="宋体" w:hAnsi="宋体"/>
                <w:b/>
                <w:sz w:val="24"/>
                <w:szCs w:val="24"/>
              </w:rPr>
            </w:pPr>
            <w:r>
              <w:rPr>
                <w:rFonts w:ascii="宋体" w:hAnsi="宋体"/>
                <w:b/>
                <w:sz w:val="24"/>
                <w:szCs w:val="24"/>
              </w:rPr>
              <w:t xml:space="preserve">类别</w:t>
            </w:r>
            <w:r/>
          </w:p>
        </w:tc>
        <w:tc>
          <w:tcPr>
            <w:tcW w:w="99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评分</w:t>
            </w:r>
            <w:r/>
          </w:p>
          <w:p>
            <w:pPr>
              <w:jc w:val="center"/>
              <w:rPr>
                <w:rFonts w:hint="eastAsia" w:ascii="宋体" w:hAnsi="宋体"/>
                <w:b/>
                <w:sz w:val="24"/>
                <w:szCs w:val="24"/>
              </w:rPr>
            </w:pPr>
            <w:r>
              <w:rPr>
                <w:rFonts w:ascii="宋体" w:hAnsi="宋体"/>
                <w:b/>
                <w:sz w:val="24"/>
                <w:szCs w:val="24"/>
              </w:rPr>
              <w:t xml:space="preserve">项目</w:t>
            </w:r>
            <w:r/>
          </w:p>
        </w:tc>
        <w:tc>
          <w:tcPr>
            <w:tcW w:w="6520"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评审标准</w:t>
            </w:r>
            <w:r/>
          </w:p>
        </w:tc>
        <w:tc>
          <w:tcPr>
            <w:tcW w:w="71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分值</w:t>
            </w:r>
            <w:r/>
          </w:p>
        </w:tc>
      </w:tr>
      <w:tr>
        <w:trPr>
          <w:jc w:val="center"/>
          <w:trHeight w:val="1313"/>
        </w:trPr>
        <w:tc>
          <w:tcPr>
            <w:gridSpan w:val="2"/>
            <w:tcW w:w="1980"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（一）价格</w:t>
            </w:r>
            <w:r/>
          </w:p>
          <w:p>
            <w:pPr>
              <w:jc w:val="center"/>
              <w:rPr>
                <w:rFonts w:hint="eastAsia" w:ascii="宋体" w:hAnsi="宋体"/>
                <w:b/>
                <w:sz w:val="24"/>
                <w:szCs w:val="24"/>
              </w:rPr>
            </w:pPr>
            <w:r>
              <w:rPr>
                <w:rFonts w:ascii="宋体" w:hAnsi="宋体"/>
                <w:b/>
                <w:sz w:val="24"/>
                <w:szCs w:val="24"/>
              </w:rPr>
              <w:t xml:space="preserve">（10分）</w:t>
            </w:r>
            <w:r/>
          </w:p>
        </w:tc>
        <w:tc>
          <w:tcPr>
            <w:tcW w:w="6520" w:type="dxa"/>
            <w:vAlign w:val="center"/>
            <w:textDirection w:val="lrTb"/>
            <w:noWrap w:val="false"/>
          </w:tcPr>
          <w:p>
            <w:pPr>
              <w:rPr>
                <w:rFonts w:hint="eastAsia" w:ascii="宋体" w:hAnsi="宋体"/>
                <w:sz w:val="24"/>
                <w:szCs w:val="24"/>
              </w:rPr>
            </w:pPr>
            <w:r>
              <w:rPr>
                <w:rFonts w:ascii="宋体" w:hAnsi="宋体"/>
                <w:sz w:val="24"/>
                <w:szCs w:val="24"/>
              </w:rPr>
              <w:t xml:space="preserve">价格分采用低价优先法计算，即满足招标文件要求且报价最低的供应商报价为评标基准价，其价格分为满分，其他供应商的价格分统一按照以下公式计算：投标报价得分=（评标基准价/投标报价）×10分。（小数点保留两位）</w:t>
            </w:r>
            <w:r/>
          </w:p>
        </w:tc>
        <w:tc>
          <w:tcPr>
            <w:tcW w:w="71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10</w:t>
            </w:r>
            <w:r/>
          </w:p>
        </w:tc>
      </w:tr>
      <w:tr>
        <w:trPr>
          <w:jc w:val="center"/>
          <w:trHeight w:val="2256"/>
        </w:trPr>
        <w:tc>
          <w:tcPr>
            <w:tcW w:w="988" w:type="dxa"/>
            <w:vAlign w:val="center"/>
            <w:vMerge w:val="restart"/>
            <w:textDirection w:val="lrTb"/>
            <w:noWrap w:val="false"/>
          </w:tcPr>
          <w:p>
            <w:pPr>
              <w:jc w:val="center"/>
              <w:rPr>
                <w:rFonts w:hint="eastAsia" w:ascii="宋体" w:hAnsi="宋体"/>
                <w:b/>
                <w:sz w:val="24"/>
                <w:szCs w:val="24"/>
              </w:rPr>
            </w:pPr>
            <w:r>
              <w:rPr>
                <w:rFonts w:ascii="宋体" w:hAnsi="宋体"/>
                <w:b/>
                <w:sz w:val="24"/>
                <w:szCs w:val="24"/>
              </w:rPr>
              <w:t xml:space="preserve">（二）项目实施方案</w:t>
            </w:r>
            <w:r/>
          </w:p>
          <w:p>
            <w:pPr>
              <w:jc w:val="center"/>
              <w:rPr>
                <w:rFonts w:hint="eastAsia" w:ascii="宋体" w:hAnsi="宋体"/>
                <w:b/>
                <w:sz w:val="24"/>
                <w:szCs w:val="24"/>
              </w:rPr>
            </w:pPr>
            <w:r>
              <w:rPr>
                <w:rFonts w:ascii="宋体" w:hAnsi="宋体"/>
                <w:b/>
                <w:sz w:val="24"/>
                <w:szCs w:val="24"/>
              </w:rPr>
              <w:t xml:space="preserve">（35分）</w:t>
            </w:r>
            <w:r/>
          </w:p>
        </w:tc>
        <w:tc>
          <w:tcPr>
            <w:tcW w:w="99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项目</w:t>
            </w:r>
            <w:r>
              <w:rPr>
                <w:rFonts w:ascii="宋体" w:hAnsi="宋体"/>
                <w:b/>
                <w:sz w:val="24"/>
                <w:szCs w:val="24"/>
              </w:rPr>
              <w:br/>
              <w:t xml:space="preserve">理解</w:t>
            </w:r>
            <w:r/>
          </w:p>
        </w:tc>
        <w:tc>
          <w:tcPr>
            <w:tcW w:w="6520" w:type="dxa"/>
            <w:vAlign w:val="center"/>
            <w:textDirection w:val="lrTb"/>
            <w:noWrap w:val="false"/>
          </w:tcPr>
          <w:p>
            <w:pPr>
              <w:rPr>
                <w:rFonts w:hint="eastAsia" w:ascii="宋体" w:hAnsi="宋体"/>
                <w:sz w:val="24"/>
                <w:szCs w:val="24"/>
              </w:rPr>
            </w:pPr>
            <w:r>
              <w:rPr>
                <w:rFonts w:ascii="宋体" w:hAnsi="宋体"/>
                <w:sz w:val="24"/>
                <w:szCs w:val="24"/>
              </w:rPr>
              <w:t xml:space="preserve">供应商提供最新政策背景要求、工作内容及最终成果的了解及认知，对上述内容进行阐述，对认知是否明确、具体，是否贴合项目实际进行评分。</w:t>
            </w:r>
            <w:r/>
          </w:p>
          <w:p>
            <w:pPr>
              <w:rPr>
                <w:rFonts w:hint="eastAsia" w:ascii="宋体" w:hAnsi="宋体"/>
                <w:sz w:val="24"/>
                <w:szCs w:val="24"/>
              </w:rPr>
            </w:pPr>
            <w:r>
              <w:rPr>
                <w:rFonts w:ascii="宋体" w:hAnsi="宋体"/>
                <w:sz w:val="24"/>
                <w:szCs w:val="24"/>
              </w:rPr>
              <w:t xml:space="preserve">理解深入全面，认知明确具体，符合项目需求的得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理解较全面，认知较为具体，基本符合项目需求的得</w:t>
            </w:r>
            <w:r>
              <w:rPr>
                <w:rFonts w:hint="eastAsia" w:ascii="宋体" w:hAnsi="宋体"/>
                <w:sz w:val="24"/>
                <w:szCs w:val="24"/>
              </w:rPr>
              <w:t xml:space="preserve">3</w:t>
            </w:r>
            <w:r>
              <w:rPr>
                <w:rFonts w:ascii="宋体" w:hAnsi="宋体"/>
                <w:sz w:val="24"/>
                <w:szCs w:val="24"/>
              </w:rPr>
              <w:t xml:space="preserve">分；理解不够全面，认知不够具体得</w:t>
            </w:r>
            <w:r>
              <w:rPr>
                <w:rFonts w:hint="eastAsia" w:ascii="宋体" w:hAnsi="宋体"/>
                <w:sz w:val="24"/>
                <w:szCs w:val="24"/>
              </w:rPr>
              <w:t xml:space="preserve">1</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未提供不得分。</w:t>
            </w:r>
            <w:r/>
          </w:p>
        </w:tc>
        <w:tc>
          <w:tcPr>
            <w:tcW w:w="712"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5</w:t>
            </w:r>
            <w:r/>
          </w:p>
        </w:tc>
      </w:tr>
      <w:tr>
        <w:trPr>
          <w:jc w:val="center"/>
          <w:trHeight w:val="1534"/>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99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技术</w:t>
            </w:r>
            <w:r>
              <w:rPr>
                <w:rFonts w:ascii="宋体" w:hAnsi="宋体"/>
                <w:b/>
                <w:sz w:val="24"/>
                <w:szCs w:val="24"/>
              </w:rPr>
              <w:br/>
              <w:t xml:space="preserve">方案</w:t>
            </w:r>
            <w:r/>
          </w:p>
        </w:tc>
        <w:tc>
          <w:tcPr>
            <w:tcW w:w="6520" w:type="dxa"/>
            <w:vAlign w:val="center"/>
            <w:textDirection w:val="lrTb"/>
            <w:noWrap w:val="false"/>
          </w:tcPr>
          <w:p>
            <w:pPr>
              <w:rPr>
                <w:rFonts w:hint="eastAsia" w:ascii="宋体" w:hAnsi="宋体"/>
                <w:sz w:val="24"/>
                <w:szCs w:val="24"/>
              </w:rPr>
            </w:pPr>
            <w:r>
              <w:rPr>
                <w:rFonts w:hint="eastAsia" w:ascii="宋体" w:hAnsi="宋体"/>
                <w:sz w:val="24"/>
                <w:szCs w:val="24"/>
              </w:rPr>
              <w:t xml:space="preserve">根据</w:t>
            </w:r>
            <w:r>
              <w:rPr>
                <w:rFonts w:ascii="宋体" w:hAnsi="宋体"/>
                <w:sz w:val="24"/>
                <w:szCs w:val="24"/>
              </w:rPr>
              <w:t xml:space="preserve">供应商</w:t>
            </w:r>
            <w:r>
              <w:rPr>
                <w:rFonts w:hint="eastAsia" w:ascii="宋体" w:hAnsi="宋体"/>
                <w:sz w:val="24"/>
                <w:szCs w:val="24"/>
              </w:rPr>
              <w:t xml:space="preserve">针对本项目三项工作制定的整体技术方案完整性、贴合度、专业性、可行性进行打分，需完全匹配项目工作内容，技术思路清晰、方法科学合规。</w:t>
            </w:r>
            <w:r/>
          </w:p>
          <w:p>
            <w:pPr>
              <w:rPr>
                <w:rFonts w:hint="eastAsia" w:ascii="宋体" w:hAnsi="宋体"/>
                <w:sz w:val="24"/>
                <w:szCs w:val="24"/>
              </w:rPr>
            </w:pPr>
            <w:r>
              <w:rPr>
                <w:rFonts w:hint="eastAsia" w:ascii="宋体" w:hAnsi="宋体"/>
                <w:sz w:val="24"/>
                <w:szCs w:val="24"/>
              </w:rPr>
              <w:t xml:space="preserve">（1）化学物质环境信息统计调查技术方案（5分）。</w:t>
            </w:r>
            <w:r/>
          </w:p>
          <w:p>
            <w:pPr>
              <w:rPr>
                <w:rFonts w:hint="eastAsia" w:ascii="宋体" w:hAnsi="宋体"/>
                <w:sz w:val="24"/>
                <w:szCs w:val="24"/>
              </w:rPr>
            </w:pPr>
            <w:r>
              <w:rPr>
                <w:rFonts w:hint="eastAsia" w:ascii="宋体" w:hAnsi="宋体"/>
                <w:sz w:val="24"/>
                <w:szCs w:val="24"/>
              </w:rPr>
              <w:t xml:space="preserve">详细阐述化学物质环境信息统计调查质控流程、数据核查方法等全套技术方法，贴合国家最新化学物质调查统计规范，流程完整、针对性极强的，</w:t>
            </w:r>
            <w:r>
              <w:rPr>
                <w:rFonts w:ascii="宋体" w:hAnsi="宋体"/>
                <w:sz w:val="24"/>
                <w:szCs w:val="24"/>
              </w:rPr>
              <w:t xml:space="preserve">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方案基本完整，涵盖主要质控和审核环节，基本符合国家规范，针对性一般的，得3</w:t>
            </w:r>
            <w:r>
              <w:rPr>
                <w:rFonts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方案内容简略，仅简单提及工作内容，无具体技术流程和审核标准的，</w:t>
            </w:r>
            <w:r>
              <w:rPr>
                <w:rFonts w:ascii="宋体" w:hAnsi="宋体"/>
                <w:sz w:val="24"/>
                <w:szCs w:val="24"/>
              </w:rPr>
              <w:t xml:space="preserve">得</w:t>
            </w:r>
            <w:r>
              <w:rPr>
                <w:rFonts w:hint="eastAsia" w:ascii="宋体" w:hAnsi="宋体"/>
                <w:sz w:val="24"/>
                <w:szCs w:val="24"/>
              </w:rPr>
              <w:t xml:space="preserve">1</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未提供不得分。</w:t>
            </w:r>
            <w:r/>
          </w:p>
          <w:p>
            <w:pPr>
              <w:rPr>
                <w:rFonts w:hint="eastAsia" w:ascii="宋体" w:hAnsi="宋体"/>
                <w:sz w:val="24"/>
                <w:szCs w:val="24"/>
              </w:rPr>
            </w:pPr>
            <w:r>
              <w:rPr>
                <w:rFonts w:hint="eastAsia" w:ascii="宋体" w:hAnsi="宋体"/>
                <w:sz w:val="24"/>
                <w:szCs w:val="24"/>
              </w:rPr>
              <w:t xml:space="preserve">（2）新污染物溯源解析跟踪评估技术方案（5分）。</w:t>
            </w:r>
            <w:r/>
          </w:p>
          <w:p>
            <w:pPr>
              <w:rPr>
                <w:rFonts w:hint="eastAsia" w:ascii="宋体" w:hAnsi="宋体"/>
                <w:sz w:val="24"/>
                <w:szCs w:val="24"/>
              </w:rPr>
            </w:pPr>
            <w:r>
              <w:rPr>
                <w:rFonts w:hint="eastAsia" w:ascii="宋体" w:hAnsi="宋体"/>
                <w:sz w:val="24"/>
                <w:szCs w:val="24"/>
              </w:rPr>
              <w:t xml:space="preserve">针对化工园区全氟化合物等新污染物，制定完善的溯源排查、污染来源解析、风险评估全套技术方案，技术手段科学、评估体系完整、贴合园区治理实际的，</w:t>
            </w:r>
            <w:r>
              <w:rPr>
                <w:rFonts w:ascii="宋体" w:hAnsi="宋体"/>
                <w:sz w:val="24"/>
                <w:szCs w:val="24"/>
              </w:rPr>
              <w:t xml:space="preserve">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涵盖溯源、跟踪、评估核心工作，技术方法基本合理，内容较为完整的，</w:t>
            </w:r>
            <w:r>
              <w:rPr>
                <w:rFonts w:ascii="宋体" w:hAnsi="宋体"/>
                <w:sz w:val="24"/>
                <w:szCs w:val="24"/>
              </w:rPr>
              <w:t xml:space="preserve">得</w:t>
            </w:r>
            <w:r>
              <w:rPr>
                <w:rFonts w:hint="eastAsia" w:ascii="宋体" w:hAnsi="宋体"/>
                <w:sz w:val="24"/>
                <w:szCs w:val="24"/>
              </w:rPr>
              <w:t xml:space="preserve">3</w:t>
            </w:r>
            <w:r>
              <w:rPr>
                <w:rFonts w:ascii="宋体" w:hAnsi="宋体"/>
                <w:sz w:val="24"/>
                <w:szCs w:val="24"/>
              </w:rPr>
              <w:t xml:space="preserve">分；</w:t>
            </w:r>
            <w:r/>
          </w:p>
          <w:p>
            <w:pPr>
              <w:rPr>
                <w:rFonts w:hint="eastAsia" w:ascii="宋体" w:hAnsi="宋体"/>
                <w:sz w:val="24"/>
                <w:szCs w:val="24"/>
              </w:rPr>
            </w:pPr>
            <w:r>
              <w:rPr>
                <w:rFonts w:hint="eastAsia" w:ascii="宋体" w:hAnsi="宋体"/>
                <w:sz w:val="24"/>
                <w:szCs w:val="24"/>
              </w:rPr>
              <w:t xml:space="preserve">仅简单描述工作内容，无具体溯源解析、跟踪评估技术措施的，</w:t>
            </w:r>
            <w:r>
              <w:rPr>
                <w:rFonts w:ascii="宋体" w:hAnsi="宋体"/>
                <w:sz w:val="24"/>
                <w:szCs w:val="24"/>
              </w:rPr>
              <w:t xml:space="preserve">得</w:t>
            </w:r>
            <w:r>
              <w:rPr>
                <w:rFonts w:hint="eastAsia" w:ascii="宋体" w:hAnsi="宋体"/>
                <w:sz w:val="24"/>
                <w:szCs w:val="24"/>
              </w:rPr>
              <w:t xml:space="preserve">1</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未提供不得分。</w:t>
            </w:r>
            <w:r/>
          </w:p>
          <w:p>
            <w:pPr>
              <w:rPr>
                <w:rFonts w:hint="eastAsia" w:ascii="宋体" w:hAnsi="宋体"/>
                <w:sz w:val="24"/>
                <w:szCs w:val="24"/>
              </w:rPr>
            </w:pPr>
            <w:r>
              <w:rPr>
                <w:rFonts w:hint="eastAsia" w:ascii="宋体" w:hAnsi="宋体"/>
                <w:sz w:val="24"/>
                <w:szCs w:val="24"/>
              </w:rPr>
              <w:t xml:space="preserve">（3）涉公约履约物质企业现场调查管控技术方案（5分）。</w:t>
            </w:r>
            <w:r/>
          </w:p>
          <w:p>
            <w:pPr>
              <w:rPr>
                <w:rFonts w:hint="eastAsia" w:ascii="宋体" w:hAnsi="宋体"/>
                <w:sz w:val="24"/>
                <w:szCs w:val="24"/>
              </w:rPr>
            </w:pPr>
            <w:r>
              <w:rPr>
                <w:rFonts w:hint="eastAsia" w:ascii="宋体" w:hAnsi="宋体"/>
                <w:sz w:val="24"/>
                <w:szCs w:val="24"/>
              </w:rPr>
              <w:t xml:space="preserve">制定完善的现场核查流程、履约物质排查清单、企业管控措施核查要点、合规性判定等技术内容，贴合国际公约及国内管控政策，方案详实可落地的，</w:t>
            </w:r>
            <w:r>
              <w:rPr>
                <w:rFonts w:ascii="宋体" w:hAnsi="宋体"/>
                <w:sz w:val="24"/>
                <w:szCs w:val="24"/>
              </w:rPr>
              <w:t xml:space="preserve">得</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t xml:space="preserve">现场调查流程、核查内容基本完整，符合履约管控基本要求的，得3分；</w:t>
            </w:r>
            <w:r/>
          </w:p>
          <w:p>
            <w:pPr>
              <w:rPr>
                <w:rFonts w:hint="eastAsia" w:ascii="宋体" w:hAnsi="宋体"/>
                <w:sz w:val="24"/>
                <w:szCs w:val="24"/>
              </w:rPr>
            </w:pPr>
            <w:r>
              <w:rPr>
                <w:rFonts w:hint="eastAsia" w:ascii="宋体" w:hAnsi="宋体"/>
                <w:sz w:val="24"/>
                <w:szCs w:val="24"/>
              </w:rPr>
              <w:t xml:space="preserve">内容简略，无具体核查标准和管控核查措施的，得1分；</w:t>
            </w:r>
            <w:r/>
          </w:p>
          <w:p>
            <w:pPr>
              <w:rPr>
                <w:rFonts w:hint="eastAsia" w:ascii="宋体" w:hAnsi="宋体"/>
                <w:sz w:val="24"/>
                <w:szCs w:val="24"/>
              </w:rPr>
            </w:pPr>
            <w:r>
              <w:rPr>
                <w:rFonts w:ascii="宋体" w:hAnsi="宋体"/>
                <w:sz w:val="24"/>
                <w:szCs w:val="24"/>
              </w:rPr>
              <w:t xml:space="preserve">未提供不得分。</w:t>
            </w:r>
            <w:r/>
          </w:p>
        </w:tc>
        <w:tc>
          <w:tcPr>
            <w:tcW w:w="712"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15</w:t>
            </w:r>
            <w:r/>
          </w:p>
        </w:tc>
      </w:tr>
      <w:tr>
        <w:trPr>
          <w:jc w:val="center"/>
          <w:trHeight w:val="1640"/>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99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进度计划安排</w:t>
            </w:r>
            <w:r/>
          </w:p>
        </w:tc>
        <w:tc>
          <w:tcPr>
            <w:tcW w:w="6520" w:type="dxa"/>
            <w:vAlign w:val="center"/>
            <w:textDirection w:val="lrTb"/>
            <w:noWrap w:val="false"/>
          </w:tcPr>
          <w:p>
            <w:pPr>
              <w:rPr>
                <w:rFonts w:hint="eastAsia" w:ascii="宋体" w:hAnsi="宋体"/>
                <w:sz w:val="24"/>
                <w:szCs w:val="24"/>
              </w:rPr>
            </w:pPr>
            <w:r>
              <w:rPr>
                <w:rFonts w:hint="eastAsia" w:ascii="宋体" w:hAnsi="宋体"/>
                <w:sz w:val="24"/>
                <w:szCs w:val="24"/>
              </w:rPr>
              <w:t xml:space="preserve">根据</w:t>
            </w:r>
            <w:r>
              <w:rPr>
                <w:rFonts w:ascii="宋体" w:hAnsi="宋体"/>
                <w:sz w:val="24"/>
                <w:szCs w:val="24"/>
              </w:rPr>
              <w:t xml:space="preserve">供应商</w:t>
            </w:r>
            <w:r>
              <w:rPr>
                <w:rFonts w:hint="eastAsia" w:ascii="宋体" w:hAnsi="宋体"/>
                <w:sz w:val="24"/>
                <w:szCs w:val="24"/>
              </w:rPr>
              <w:t xml:space="preserve">项目整体实施计划、进度安排、阶段性管控措施的合理性、落地性打分，保障项目按期、保质完成全部工作任务。</w:t>
            </w:r>
            <w:r/>
          </w:p>
          <w:p>
            <w:pPr>
              <w:rPr>
                <w:rFonts w:hint="eastAsia" w:ascii="宋体" w:hAnsi="宋体"/>
                <w:sz w:val="24"/>
                <w:szCs w:val="24"/>
              </w:rPr>
            </w:pPr>
            <w:r>
              <w:rPr>
                <w:rFonts w:hint="eastAsia" w:ascii="宋体" w:hAnsi="宋体"/>
                <w:sz w:val="24"/>
                <w:szCs w:val="24"/>
              </w:rPr>
              <w:t xml:space="preserve">制定细化的阶段性进度计划表，明确各工作模块完成时限、节点目标，同时配备进度管控、应急调整机制，管控措施完善的，得5分；</w:t>
            </w:r>
            <w:r>
              <w:rPr>
                <w:rFonts w:ascii="宋体" w:hAnsi="宋体"/>
                <w:sz w:val="24"/>
                <w:szCs w:val="24"/>
              </w:rPr>
              <w:br/>
            </w:r>
            <w:r>
              <w:rPr>
                <w:rFonts w:hint="eastAsia" w:ascii="宋体" w:hAnsi="宋体"/>
                <w:sz w:val="24"/>
                <w:szCs w:val="24"/>
              </w:rPr>
              <w:t xml:space="preserve">进度计划清晰，节点明确，具备基本进度管控措施的，得3分；</w:t>
            </w:r>
            <w:r/>
          </w:p>
          <w:p>
            <w:pPr>
              <w:rPr>
                <w:rFonts w:hint="eastAsia" w:ascii="宋体" w:hAnsi="宋体"/>
                <w:sz w:val="24"/>
                <w:szCs w:val="24"/>
              </w:rPr>
            </w:pPr>
            <w:r>
              <w:rPr>
                <w:rFonts w:hint="eastAsia" w:ascii="宋体" w:hAnsi="宋体"/>
                <w:sz w:val="24"/>
                <w:szCs w:val="24"/>
              </w:rPr>
              <w:t xml:space="preserve">仅有简单进度说明，无细化节点及管控措施的，得1分；</w:t>
            </w:r>
            <w:r/>
          </w:p>
          <w:p>
            <w:pPr>
              <w:rPr>
                <w:rFonts w:hint="eastAsia" w:ascii="宋体" w:hAnsi="宋体"/>
                <w:sz w:val="24"/>
                <w:szCs w:val="24"/>
              </w:rPr>
            </w:pPr>
            <w:r>
              <w:rPr>
                <w:rFonts w:ascii="宋体" w:hAnsi="宋体"/>
                <w:sz w:val="24"/>
                <w:szCs w:val="24"/>
              </w:rPr>
              <w:t xml:space="preserve">未提供不得分。</w:t>
            </w:r>
            <w:r/>
          </w:p>
        </w:tc>
        <w:tc>
          <w:tcPr>
            <w:tcW w:w="712"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5</w:t>
            </w:r>
            <w:r/>
          </w:p>
        </w:tc>
      </w:tr>
      <w:tr>
        <w:trPr>
          <w:jc w:val="center"/>
          <w:trHeight w:val="53"/>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99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质量保障措施</w:t>
            </w:r>
            <w:r/>
          </w:p>
        </w:tc>
        <w:tc>
          <w:tcPr>
            <w:tcW w:w="6520" w:type="dxa"/>
            <w:vAlign w:val="center"/>
            <w:textDirection w:val="lrTb"/>
            <w:noWrap w:val="false"/>
          </w:tcPr>
          <w:p>
            <w:pPr>
              <w:rPr>
                <w:rFonts w:hint="eastAsia" w:ascii="宋体" w:hAnsi="宋体"/>
                <w:sz w:val="24"/>
                <w:szCs w:val="24"/>
              </w:rPr>
            </w:pPr>
            <w:r>
              <w:rPr>
                <w:rFonts w:ascii="宋体" w:hAnsi="宋体"/>
                <w:sz w:val="24"/>
                <w:szCs w:val="24"/>
              </w:rPr>
              <w:t xml:space="preserve">根据供应商提供的</w:t>
            </w:r>
            <w:r>
              <w:rPr>
                <w:rFonts w:ascii="宋体" w:hAnsi="宋体"/>
                <w:bCs/>
                <w:sz w:val="24"/>
                <w:szCs w:val="24"/>
              </w:rPr>
              <w:t xml:space="preserve">质量保障措施进行评分</w:t>
            </w:r>
            <w:r>
              <w:rPr>
                <w:rFonts w:ascii="宋体" w:hAnsi="宋体"/>
                <w:b/>
                <w:sz w:val="24"/>
                <w:szCs w:val="24"/>
              </w:rPr>
              <w:t xml:space="preserve">，</w:t>
            </w:r>
            <w:r>
              <w:rPr>
                <w:rFonts w:ascii="宋体" w:hAnsi="宋体"/>
                <w:sz w:val="24"/>
                <w:szCs w:val="24"/>
              </w:rPr>
              <w:t xml:space="preserve">是否具有必要的质量管理体系，能保证项目正常稳定实施并保证服务成果。</w:t>
            </w:r>
            <w:r/>
          </w:p>
          <w:p>
            <w:pPr>
              <w:rPr>
                <w:rFonts w:hint="eastAsia" w:ascii="宋体" w:hAnsi="宋体"/>
                <w:sz w:val="24"/>
                <w:szCs w:val="24"/>
              </w:rPr>
            </w:pPr>
            <w:r>
              <w:rPr>
                <w:rFonts w:ascii="宋体" w:hAnsi="宋体"/>
                <w:sz w:val="24"/>
                <w:szCs w:val="24"/>
              </w:rPr>
              <w:t xml:space="preserve">保障措施全面、可行性强，符合项目需求的得5分；</w:t>
            </w:r>
            <w:r/>
          </w:p>
          <w:p>
            <w:pPr>
              <w:rPr>
                <w:rFonts w:hint="eastAsia" w:ascii="宋体" w:hAnsi="宋体"/>
                <w:sz w:val="24"/>
                <w:szCs w:val="24"/>
              </w:rPr>
            </w:pPr>
            <w:r>
              <w:rPr>
                <w:rFonts w:ascii="宋体" w:hAnsi="宋体"/>
                <w:sz w:val="24"/>
                <w:szCs w:val="24"/>
              </w:rPr>
              <w:t xml:space="preserve">保障措施较全面，基本符合项目需求的得3分；</w:t>
            </w:r>
            <w:r/>
          </w:p>
          <w:p>
            <w:pPr>
              <w:rPr>
                <w:rFonts w:hint="eastAsia" w:ascii="宋体" w:hAnsi="宋体"/>
                <w:sz w:val="24"/>
                <w:szCs w:val="24"/>
              </w:rPr>
            </w:pPr>
            <w:r>
              <w:rPr>
                <w:rFonts w:ascii="宋体" w:hAnsi="宋体"/>
                <w:sz w:val="24"/>
                <w:szCs w:val="24"/>
              </w:rPr>
              <w:t xml:space="preserve">保障措施内容欠缺得1分；</w:t>
            </w:r>
            <w:r/>
          </w:p>
          <w:p>
            <w:pPr>
              <w:rPr>
                <w:rFonts w:hint="eastAsia" w:ascii="宋体" w:hAnsi="宋体"/>
                <w:sz w:val="24"/>
                <w:szCs w:val="24"/>
              </w:rPr>
            </w:pPr>
            <w:r>
              <w:rPr>
                <w:rFonts w:ascii="宋体" w:hAnsi="宋体"/>
                <w:sz w:val="24"/>
                <w:szCs w:val="24"/>
              </w:rPr>
              <w:t xml:space="preserve">未提供不得分。</w:t>
            </w:r>
            <w:r/>
          </w:p>
        </w:tc>
        <w:tc>
          <w:tcPr>
            <w:tcW w:w="71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5</w:t>
            </w:r>
            <w:r/>
          </w:p>
        </w:tc>
      </w:tr>
      <w:tr>
        <w:trPr>
          <w:jc w:val="center"/>
          <w:trHeight w:val="416"/>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99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项目重难点的分析和解决方案</w:t>
            </w:r>
            <w:r/>
          </w:p>
        </w:tc>
        <w:tc>
          <w:tcPr>
            <w:tcW w:w="6520" w:type="dxa"/>
            <w:vAlign w:val="center"/>
            <w:textDirection w:val="lrTb"/>
            <w:noWrap w:val="false"/>
          </w:tcPr>
          <w:p>
            <w:pPr>
              <w:rPr>
                <w:rFonts w:hint="eastAsia" w:ascii="宋体" w:hAnsi="宋体"/>
                <w:sz w:val="24"/>
                <w:szCs w:val="24"/>
              </w:rPr>
            </w:pPr>
            <w:r>
              <w:rPr>
                <w:rFonts w:ascii="宋体" w:hAnsi="宋体"/>
                <w:sz w:val="24"/>
                <w:szCs w:val="24"/>
              </w:rPr>
              <w:t xml:space="preserve">根据供应商提供的重难点分析和解决措施进行评分。</w:t>
            </w:r>
            <w:r/>
          </w:p>
          <w:p>
            <w:pPr>
              <w:rPr>
                <w:rFonts w:hint="eastAsia" w:ascii="宋体" w:hAnsi="宋体"/>
                <w:sz w:val="24"/>
                <w:szCs w:val="24"/>
              </w:rPr>
            </w:pPr>
            <w:r>
              <w:rPr>
                <w:rFonts w:ascii="宋体" w:hAnsi="宋体"/>
                <w:sz w:val="24"/>
                <w:szCs w:val="24"/>
              </w:rPr>
              <w:t xml:space="preserve">重点难点分析准确透彻，解决方案合理可行的得</w:t>
            </w:r>
            <w:r>
              <w:rPr>
                <w:rFonts w:hint="eastAsia" w:ascii="宋体" w:hAnsi="宋体"/>
                <w:sz w:val="24"/>
                <w:szCs w:val="24"/>
              </w:rPr>
              <w:t xml:space="preserve">5</w:t>
            </w:r>
            <w:r>
              <w:rPr>
                <w:rFonts w:ascii="宋体" w:hAnsi="宋体"/>
                <w:sz w:val="24"/>
                <w:szCs w:val="24"/>
              </w:rPr>
              <w:t xml:space="preserve">分；</w:t>
            </w:r>
            <w:r/>
          </w:p>
          <w:p>
            <w:pPr>
              <w:rPr>
                <w:rFonts w:hint="eastAsia" w:ascii="宋体" w:hAnsi="宋体"/>
                <w:sz w:val="24"/>
                <w:szCs w:val="24"/>
              </w:rPr>
            </w:pPr>
            <w:r>
              <w:rPr>
                <w:rFonts w:ascii="宋体" w:hAnsi="宋体"/>
                <w:sz w:val="24"/>
                <w:szCs w:val="24"/>
              </w:rPr>
              <w:t xml:space="preserve">重点难点分析较准确，解决方案较合理的得3分；</w:t>
            </w:r>
            <w:r/>
          </w:p>
          <w:p>
            <w:pPr>
              <w:rPr>
                <w:rFonts w:hint="eastAsia" w:ascii="宋体" w:hAnsi="宋体"/>
                <w:sz w:val="24"/>
                <w:szCs w:val="24"/>
              </w:rPr>
            </w:pPr>
            <w:r>
              <w:rPr>
                <w:rFonts w:ascii="宋体" w:hAnsi="宋体"/>
                <w:sz w:val="24"/>
                <w:szCs w:val="24"/>
              </w:rPr>
              <w:t xml:space="preserve">重点难点分析不够准确，解决方案不够合理的得1分；</w:t>
            </w:r>
            <w:r/>
          </w:p>
          <w:p>
            <w:pPr>
              <w:rPr>
                <w:rFonts w:hint="eastAsia" w:ascii="宋体" w:hAnsi="宋体"/>
                <w:sz w:val="24"/>
                <w:szCs w:val="24"/>
              </w:rPr>
            </w:pPr>
            <w:r>
              <w:rPr>
                <w:rFonts w:ascii="宋体" w:hAnsi="宋体"/>
                <w:sz w:val="24"/>
                <w:szCs w:val="24"/>
              </w:rPr>
              <w:t xml:space="preserve">未提供不得分。</w:t>
            </w:r>
            <w:r/>
          </w:p>
        </w:tc>
        <w:tc>
          <w:tcPr>
            <w:tcW w:w="712"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5</w:t>
            </w:r>
            <w:r/>
          </w:p>
        </w:tc>
      </w:tr>
      <w:tr>
        <w:trPr>
          <w:jc w:val="center"/>
          <w:trHeight w:val="90"/>
        </w:trPr>
        <w:tc>
          <w:tcPr>
            <w:tcW w:w="988" w:type="dxa"/>
            <w:vAlign w:val="center"/>
            <w:vMerge w:val="restart"/>
            <w:textDirection w:val="lrTb"/>
            <w:noWrap w:val="false"/>
          </w:tcPr>
          <w:p>
            <w:pPr>
              <w:jc w:val="center"/>
              <w:rPr>
                <w:rFonts w:hint="eastAsia" w:ascii="宋体" w:hAnsi="宋体"/>
                <w:b/>
                <w:sz w:val="24"/>
                <w:szCs w:val="24"/>
              </w:rPr>
            </w:pPr>
            <w:r>
              <w:rPr>
                <w:rFonts w:ascii="宋体" w:hAnsi="宋体"/>
                <w:b/>
                <w:sz w:val="24"/>
                <w:szCs w:val="24"/>
              </w:rPr>
              <w:t xml:space="preserve">（三）技术能力（3</w:t>
            </w:r>
            <w:r>
              <w:rPr>
                <w:rFonts w:hint="eastAsia" w:ascii="宋体" w:hAnsi="宋体"/>
                <w:b/>
                <w:sz w:val="24"/>
                <w:szCs w:val="24"/>
              </w:rPr>
              <w:t xml:space="preserve">2</w:t>
            </w:r>
            <w:r>
              <w:rPr>
                <w:rFonts w:ascii="宋体" w:hAnsi="宋体"/>
                <w:b/>
                <w:sz w:val="24"/>
                <w:szCs w:val="24"/>
              </w:rPr>
              <w:t xml:space="preserve">分）</w:t>
            </w:r>
            <w:r/>
          </w:p>
        </w:tc>
        <w:tc>
          <w:tcPr>
            <w:tcW w:w="99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项目负责人能力</w:t>
            </w:r>
            <w:r/>
          </w:p>
        </w:tc>
        <w:tc>
          <w:tcPr>
            <w:tcW w:w="6520" w:type="dxa"/>
            <w:vAlign w:val="center"/>
            <w:textDirection w:val="lrTb"/>
            <w:noWrap w:val="false"/>
          </w:tcPr>
          <w:p>
            <w:pPr>
              <w:rPr>
                <w:rFonts w:hint="eastAsia" w:ascii="宋体" w:hAnsi="宋体"/>
                <w:sz w:val="24"/>
                <w:szCs w:val="24"/>
              </w:rPr>
            </w:pPr>
            <w:r>
              <w:rPr>
                <w:rFonts w:ascii="宋体" w:hAnsi="宋体"/>
                <w:sz w:val="24"/>
                <w:szCs w:val="24"/>
              </w:rPr>
              <w:t xml:space="preserve">（1）项目负责人具有注册环保工程师证书的，得1分，具有注册环评工程师证书的，得1分；本项合计最高得</w:t>
            </w:r>
            <w:r>
              <w:rPr>
                <w:rFonts w:hint="eastAsia" w:ascii="宋体" w:hAnsi="宋体"/>
                <w:sz w:val="24"/>
                <w:szCs w:val="24"/>
              </w:rPr>
              <w:t xml:space="preserve">2</w:t>
            </w:r>
            <w:r>
              <w:rPr>
                <w:rFonts w:ascii="宋体" w:hAnsi="宋体"/>
                <w:sz w:val="24"/>
                <w:szCs w:val="24"/>
              </w:rPr>
              <w:t xml:space="preserve">分。（提供项目负责人注册环保工程师证书复印件、注册环评工程师证书复印件，加盖供应商公章，否则不予认可）</w:t>
            </w:r>
            <w:r/>
          </w:p>
          <w:p>
            <w:pPr>
              <w:rPr>
                <w:rFonts w:hint="eastAsia" w:ascii="宋体" w:hAnsi="宋体"/>
                <w:sz w:val="24"/>
                <w:szCs w:val="24"/>
              </w:rPr>
            </w:pPr>
            <w:r>
              <w:rPr>
                <w:rFonts w:ascii="宋体" w:hAnsi="宋体"/>
                <w:sz w:val="24"/>
                <w:szCs w:val="24"/>
              </w:rPr>
              <w:t xml:space="preserve">（2）项目负责人自202</w:t>
            </w:r>
            <w:r>
              <w:rPr>
                <w:rFonts w:hint="eastAsia" w:ascii="宋体" w:hAnsi="宋体"/>
                <w:sz w:val="24"/>
                <w:szCs w:val="24"/>
              </w:rPr>
              <w:t xml:space="preserve">1</w:t>
            </w:r>
            <w:r>
              <w:rPr>
                <w:rFonts w:ascii="宋体" w:hAnsi="宋体"/>
                <w:sz w:val="24"/>
                <w:szCs w:val="24"/>
              </w:rPr>
              <w:t xml:space="preserve">年1月1日</w:t>
            </w:r>
            <w:r>
              <w:rPr>
                <w:rFonts w:hint="eastAsia" w:ascii="宋体" w:hAnsi="宋体"/>
                <w:sz w:val="24"/>
                <w:szCs w:val="24"/>
              </w:rPr>
              <w:t xml:space="preserve">主持过省、市化学物质、新污染物相关课题研究的，每有一项得1分</w:t>
            </w:r>
            <w:r>
              <w:rPr>
                <w:rFonts w:hint="eastAsia" w:ascii="宋体" w:hAnsi="宋体"/>
                <w:sz w:val="24"/>
                <w:szCs w:val="24"/>
              </w:rPr>
              <w:t xml:space="preserve">，</w:t>
            </w:r>
            <w:r>
              <w:rPr>
                <w:rFonts w:ascii="宋体" w:hAnsi="宋体"/>
                <w:sz w:val="24"/>
                <w:szCs w:val="24"/>
              </w:rPr>
              <w:t xml:space="preserve">本项最高得</w:t>
            </w:r>
            <w:r>
              <w:rPr>
                <w:rFonts w:hint="eastAsia" w:ascii="宋体" w:hAnsi="宋体"/>
                <w:sz w:val="24"/>
                <w:szCs w:val="24"/>
              </w:rPr>
              <w:t xml:space="preserve">4</w:t>
            </w:r>
            <w:r>
              <w:rPr>
                <w:rFonts w:ascii="宋体" w:hAnsi="宋体"/>
                <w:sz w:val="24"/>
                <w:szCs w:val="24"/>
              </w:rPr>
              <w:t xml:space="preserve">分。</w:t>
            </w:r>
            <w:r>
              <w:rPr>
                <w:rFonts w:hint="eastAsia" w:ascii="宋体" w:hAnsi="宋体"/>
                <w:sz w:val="24"/>
                <w:szCs w:val="24"/>
              </w:rPr>
              <w:t xml:space="preserve">（供应商单位内部自主设立的研究课题不予计分；须提供课题立项批复文件或课题合同复印件并加盖供应商公章，以材料签署时间为准，未按要求提供佐证材料的本项不得分）。</w:t>
            </w:r>
            <w:r/>
          </w:p>
          <w:p>
            <w:pPr>
              <w:rPr>
                <w:rFonts w:hint="eastAsia" w:ascii="宋体" w:hAnsi="宋体"/>
                <w:sz w:val="24"/>
                <w:szCs w:val="24"/>
              </w:rPr>
            </w:pPr>
            <w:r>
              <w:rPr>
                <w:rFonts w:ascii="宋体" w:hAnsi="宋体"/>
                <w:sz w:val="24"/>
                <w:szCs w:val="24"/>
              </w:rPr>
              <w:t xml:space="preserve">（3）项目负责人具备环保类正高级职称，得</w:t>
            </w:r>
            <w:r>
              <w:rPr>
                <w:rFonts w:hint="eastAsia" w:ascii="宋体" w:hAnsi="宋体"/>
                <w:sz w:val="24"/>
                <w:szCs w:val="24"/>
              </w:rPr>
              <w:t xml:space="preserve">4</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副高级职</w:t>
            </w:r>
            <w:r>
              <w:rPr>
                <w:rFonts w:ascii="宋体" w:hAnsi="宋体"/>
                <w:sz w:val="24"/>
                <w:szCs w:val="24"/>
              </w:rPr>
              <w:t xml:space="preserve">称的，得</w:t>
            </w: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在职称得分基础上，</w:t>
            </w:r>
            <w:r>
              <w:rPr>
                <w:rStyle w:val="720"/>
                <w:rFonts w:hint="eastAsia" w:ascii="宋体" w:hAnsi="宋体" w:eastAsia="宋体"/>
                <w:b w:val="0"/>
                <w:sz w:val="24"/>
                <w:szCs w:val="24"/>
              </w:rPr>
              <w:t xml:space="preserve">项目负责人入选政府及其所属部门组建的新污染物治理专家委员会、专家库的，另加 2 分</w:t>
            </w:r>
            <w:r>
              <w:rPr>
                <w:rFonts w:hint="eastAsia" w:ascii="宋体" w:hAnsi="宋体"/>
                <w:sz w:val="24"/>
                <w:szCs w:val="24"/>
              </w:rPr>
              <w:t xml:space="preserve">。</w:t>
            </w:r>
            <w:r>
              <w:rPr>
                <w:rFonts w:ascii="宋体" w:hAnsi="宋体"/>
                <w:sz w:val="24"/>
                <w:szCs w:val="24"/>
              </w:rPr>
              <w:t xml:space="preserve">本项合计最高得</w:t>
            </w:r>
            <w:r>
              <w:rPr>
                <w:rFonts w:hint="eastAsia" w:ascii="宋体" w:hAnsi="宋体"/>
                <w:sz w:val="24"/>
                <w:szCs w:val="24"/>
              </w:rPr>
              <w:t xml:space="preserve">6</w:t>
            </w:r>
            <w:r>
              <w:rPr>
                <w:rFonts w:ascii="宋体" w:hAnsi="宋体"/>
                <w:sz w:val="24"/>
                <w:szCs w:val="24"/>
              </w:rPr>
              <w:t xml:space="preserve">分。（提供项目负责人职称证书复印件</w:t>
            </w:r>
            <w:r>
              <w:rPr>
                <w:rFonts w:hint="eastAsia" w:ascii="宋体" w:hAnsi="宋体"/>
                <w:sz w:val="24"/>
                <w:szCs w:val="24"/>
              </w:rPr>
              <w:t xml:space="preserve">、</w:t>
            </w:r>
            <w:r>
              <w:rPr>
                <w:rFonts w:hint="eastAsia" w:ascii="宋体" w:hAnsi="宋体"/>
                <w:color w:val="000000" w:themeColor="text1"/>
                <w:sz w:val="24"/>
                <w:szCs w:val="24"/>
              </w:rPr>
              <w:t xml:space="preserve">入选证明材料</w:t>
            </w:r>
            <w:r>
              <w:rPr>
                <w:rFonts w:ascii="宋体" w:hAnsi="宋体"/>
                <w:color w:val="000000" w:themeColor="text1"/>
                <w:sz w:val="24"/>
                <w:szCs w:val="24"/>
              </w:rPr>
              <w:t xml:space="preserve">复印件，</w:t>
            </w:r>
            <w:r>
              <w:rPr>
                <w:rFonts w:ascii="宋体" w:hAnsi="宋体"/>
                <w:sz w:val="24"/>
                <w:szCs w:val="24"/>
              </w:rPr>
              <w:t xml:space="preserve">以及供应商为其缴纳的202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1</w:t>
            </w:r>
            <w:r>
              <w:rPr>
                <w:rFonts w:ascii="宋体" w:hAnsi="宋体"/>
                <w:sz w:val="24"/>
                <w:szCs w:val="24"/>
              </w:rPr>
              <w:t xml:space="preserve">月以来任意连续三个月的社保证明材料复印件，加盖供应商公章，否则不予认可）</w:t>
            </w:r>
            <w:r/>
          </w:p>
        </w:tc>
        <w:tc>
          <w:tcPr>
            <w:tcW w:w="71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2</w:t>
            </w:r>
            <w:r/>
          </w:p>
        </w:tc>
      </w:tr>
      <w:tr>
        <w:trPr>
          <w:jc w:val="center"/>
          <w:trHeight w:val="3441"/>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99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项目组人员能力</w:t>
            </w:r>
            <w:r/>
          </w:p>
        </w:tc>
        <w:tc>
          <w:tcPr>
            <w:tcW w:w="6520" w:type="dxa"/>
            <w:vAlign w:val="center"/>
            <w:textDirection w:val="lrTb"/>
            <w:noWrap w:val="false"/>
          </w:tcPr>
          <w:p>
            <w:pPr>
              <w:rPr>
                <w:rFonts w:hint="eastAsia" w:ascii="宋体" w:hAnsi="宋体"/>
                <w:sz w:val="24"/>
                <w:szCs w:val="24"/>
              </w:rPr>
            </w:pPr>
            <w:r>
              <w:rPr>
                <w:rFonts w:ascii="宋体" w:hAnsi="宋体"/>
                <w:sz w:val="24"/>
                <w:szCs w:val="24"/>
              </w:rPr>
              <w:t xml:space="preserve">（1）项目组人员（除项目负责人外），具有环保类高级工程师（含）以上职称的，每提供1人得1分</w:t>
            </w:r>
            <w:r>
              <w:rPr>
                <w:rFonts w:hint="eastAsia" w:ascii="宋体" w:hAnsi="宋体"/>
                <w:sz w:val="24"/>
                <w:szCs w:val="24"/>
              </w:rPr>
              <w:t xml:space="preserve">；</w:t>
            </w:r>
            <w:r>
              <w:rPr>
                <w:rFonts w:ascii="宋体" w:hAnsi="宋体"/>
                <w:sz w:val="24"/>
                <w:szCs w:val="24"/>
              </w:rPr>
              <w:t xml:space="preserve">具有环保类</w:t>
            </w:r>
            <w:r>
              <w:rPr>
                <w:rFonts w:hint="eastAsia" w:ascii="宋体" w:hAnsi="宋体"/>
                <w:sz w:val="24"/>
                <w:szCs w:val="24"/>
              </w:rPr>
              <w:t xml:space="preserve">中</w:t>
            </w:r>
            <w:r>
              <w:rPr>
                <w:rFonts w:ascii="宋体" w:hAnsi="宋体"/>
                <w:sz w:val="24"/>
                <w:szCs w:val="24"/>
              </w:rPr>
              <w:t xml:space="preserve">级工程师（含）以上职称的，每提供1人得</w:t>
            </w:r>
            <w:r>
              <w:rPr>
                <w:rFonts w:hint="eastAsia" w:ascii="宋体" w:hAnsi="宋体"/>
                <w:sz w:val="24"/>
                <w:szCs w:val="24"/>
              </w:rPr>
              <w:t xml:space="preserve">0.5</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本项最高得</w:t>
            </w:r>
            <w:r>
              <w:rPr>
                <w:rFonts w:hint="eastAsia" w:ascii="宋体" w:hAnsi="宋体"/>
                <w:sz w:val="24"/>
                <w:szCs w:val="24"/>
              </w:rPr>
              <w:t xml:space="preserve">6</w:t>
            </w:r>
            <w:r>
              <w:rPr>
                <w:rFonts w:ascii="宋体" w:hAnsi="宋体"/>
                <w:sz w:val="24"/>
                <w:szCs w:val="24"/>
              </w:rPr>
              <w:t xml:space="preserve">分。（提供项目组人员职称证书</w:t>
            </w:r>
            <w:r>
              <w:rPr>
                <w:rFonts w:hint="eastAsia" w:ascii="宋体" w:hAnsi="宋体"/>
                <w:sz w:val="24"/>
                <w:szCs w:val="24"/>
              </w:rPr>
              <w:t xml:space="preserve">复</w:t>
            </w:r>
            <w:r>
              <w:rPr>
                <w:rFonts w:ascii="宋体" w:hAnsi="宋体"/>
                <w:sz w:val="24"/>
                <w:szCs w:val="24"/>
              </w:rPr>
              <w:t xml:space="preserve">印件</w:t>
            </w:r>
            <w:r>
              <w:rPr>
                <w:rFonts w:hint="eastAsia" w:ascii="宋体" w:hAnsi="宋体"/>
                <w:sz w:val="24"/>
                <w:szCs w:val="24"/>
              </w:rPr>
              <w:t xml:space="preserve">以及</w:t>
            </w:r>
            <w:r>
              <w:rPr>
                <w:rFonts w:ascii="宋体" w:hAnsi="宋体"/>
                <w:sz w:val="24"/>
                <w:szCs w:val="24"/>
              </w:rPr>
              <w:t xml:space="preserve">供应商为其缴纳的202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1</w:t>
            </w:r>
            <w:r>
              <w:rPr>
                <w:rFonts w:ascii="宋体" w:hAnsi="宋体"/>
                <w:sz w:val="24"/>
                <w:szCs w:val="24"/>
              </w:rPr>
              <w:t xml:space="preserve">月以来任意连续三个月的社保证明材料复印件，加盖供应商公章，否则不予认可）</w:t>
            </w:r>
            <w:r/>
          </w:p>
          <w:p>
            <w:pPr>
              <w:rPr>
                <w:rFonts w:hint="eastAsia" w:ascii="宋体" w:hAnsi="宋体"/>
                <w:sz w:val="24"/>
                <w:szCs w:val="24"/>
              </w:rPr>
            </w:pPr>
            <w:r>
              <w:rPr>
                <w:rFonts w:ascii="宋体" w:hAnsi="宋体"/>
                <w:sz w:val="24"/>
                <w:szCs w:val="24"/>
              </w:rPr>
              <w:t xml:space="preserve">（2）</w:t>
            </w:r>
            <w:bookmarkStart w:id="19" w:name="OLE_LINK7"/>
            <w:r>
              <w:rPr>
                <w:rFonts w:ascii="宋体" w:hAnsi="宋体"/>
                <w:sz w:val="24"/>
                <w:szCs w:val="24"/>
              </w:rPr>
              <w:t xml:space="preserve">项目组人员（除项目负责人外）</w:t>
            </w:r>
            <w:r>
              <w:rPr>
                <w:rFonts w:hint="eastAsia" w:ascii="宋体" w:hAnsi="宋体"/>
                <w:sz w:val="24"/>
                <w:szCs w:val="24"/>
              </w:rPr>
              <w:t xml:space="preserve">，具有博士学位的，每人加1分；具有硕士学位的，每人加0.5分；具有学士学位的，每人加0.25分；本项最高得3分。（提供</w:t>
            </w:r>
            <w:r>
              <w:rPr>
                <w:rFonts w:ascii="宋体" w:hAnsi="宋体"/>
                <w:sz w:val="24"/>
                <w:szCs w:val="24"/>
              </w:rPr>
              <w:t xml:space="preserve">项目组人员</w:t>
            </w:r>
            <w:r>
              <w:rPr>
                <w:rFonts w:hint="eastAsia" w:ascii="宋体" w:hAnsi="宋体"/>
                <w:sz w:val="24"/>
                <w:szCs w:val="24"/>
              </w:rPr>
              <w:t xml:space="preserve">学位证书复印件，以及供应商为其缴纳的 2026 年1月以来任意连续三个月社保证明复印件，加盖供应商公章；一人员只按最高学位计分一次，不重复累加）</w:t>
            </w:r>
            <w:bookmarkEnd w:id="19"/>
            <w:r/>
            <w:r/>
          </w:p>
        </w:tc>
        <w:tc>
          <w:tcPr>
            <w:tcW w:w="712"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9</w:t>
            </w:r>
            <w:r/>
          </w:p>
        </w:tc>
      </w:tr>
      <w:tr>
        <w:trPr>
          <w:jc w:val="center"/>
          <w:trHeight w:val="429"/>
        </w:trPr>
        <w:tc>
          <w:tcPr>
            <w:tcW w:w="988" w:type="dxa"/>
            <w:vAlign w:val="center"/>
            <w:vMerge w:val="continue"/>
            <w:textDirection w:val="lrTb"/>
            <w:noWrap w:val="false"/>
          </w:tcPr>
          <w:p>
            <w:pPr>
              <w:jc w:val="center"/>
              <w:rPr>
                <w:rFonts w:hint="eastAsia" w:ascii="宋体" w:hAnsi="宋体"/>
                <w:b/>
                <w:sz w:val="24"/>
                <w:szCs w:val="24"/>
              </w:rPr>
            </w:pPr>
            <w:r>
              <w:rPr>
                <w:rFonts w:hint="eastAsia" w:ascii="宋体" w:hAnsi="宋体"/>
                <w:b/>
                <w:sz w:val="24"/>
                <w:szCs w:val="24"/>
              </w:rPr>
            </w:r>
            <w:r/>
          </w:p>
        </w:tc>
        <w:tc>
          <w:tcPr>
            <w:tcW w:w="99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单位实力</w:t>
            </w:r>
            <w:r/>
          </w:p>
        </w:tc>
        <w:tc>
          <w:tcPr>
            <w:tcW w:w="6520" w:type="dxa"/>
            <w:vAlign w:val="center"/>
            <w:textDirection w:val="lrTb"/>
            <w:noWrap w:val="false"/>
          </w:tcPr>
          <w:p>
            <w:pPr>
              <w:spacing w:before="156"/>
              <w:rPr>
                <w:rFonts w:hint="eastAsia" w:ascii="宋体" w:hAnsi="宋体"/>
                <w:sz w:val="24"/>
                <w:szCs w:val="24"/>
              </w:rPr>
            </w:pPr>
            <w:r>
              <w:rPr>
                <w:rFonts w:ascii="宋体" w:hAnsi="宋体"/>
                <w:sz w:val="24"/>
                <w:szCs w:val="24"/>
              </w:rPr>
              <w:t xml:space="preserve">（1）供应商具有CMA检测资质，可以出具带有CMA标识的检测报告，有5类新污染物的，得</w:t>
            </w:r>
            <w:r>
              <w:rPr>
                <w:rFonts w:hint="eastAsia" w:ascii="宋体" w:hAnsi="宋体"/>
                <w:sz w:val="24"/>
                <w:szCs w:val="24"/>
              </w:rPr>
              <w:t xml:space="preserve">3</w:t>
            </w:r>
            <w:r>
              <w:rPr>
                <w:rFonts w:ascii="宋体" w:hAnsi="宋体"/>
                <w:sz w:val="24"/>
                <w:szCs w:val="24"/>
              </w:rPr>
              <w:t xml:space="preserve">分；1-4类的得1分。在5类基础上，每增加一类再得0.5分，最多得3分。本项合计最高得</w:t>
            </w:r>
            <w:r>
              <w:rPr>
                <w:rFonts w:hint="eastAsia" w:ascii="宋体" w:hAnsi="宋体"/>
                <w:sz w:val="24"/>
                <w:szCs w:val="24"/>
              </w:rPr>
              <w:t xml:space="preserve">6</w:t>
            </w:r>
            <w:r>
              <w:rPr>
                <w:rFonts w:ascii="宋体" w:hAnsi="宋体"/>
                <w:sz w:val="24"/>
                <w:szCs w:val="24"/>
              </w:rPr>
              <w:t xml:space="preserve">分。（本项目中新污染物是指列入《重点管控新污染物清单（2023年版）》《优先控制化学品名录（第一批）（第二批）（第</w:t>
            </w:r>
            <w:r>
              <w:rPr>
                <w:rFonts w:hint="eastAsia" w:ascii="宋体" w:hAnsi="宋体"/>
                <w:sz w:val="24"/>
                <w:szCs w:val="24"/>
              </w:rPr>
              <w:t xml:space="preserve">三</w:t>
            </w:r>
            <w:r>
              <w:rPr>
                <w:rFonts w:ascii="宋体" w:hAnsi="宋体"/>
                <w:sz w:val="24"/>
                <w:szCs w:val="24"/>
              </w:rPr>
              <w:t xml:space="preserve">批）》</w:t>
            </w:r>
            <w:r>
              <w:rPr>
                <w:rFonts w:hint="eastAsia" w:ascii="宋体" w:hAnsi="宋体"/>
                <w:sz w:val="24"/>
                <w:szCs w:val="24"/>
              </w:rPr>
              <w:t xml:space="preserve">清单中的化学物质</w:t>
            </w:r>
            <w:r>
              <w:rPr>
                <w:rFonts w:ascii="宋体" w:hAnsi="宋体"/>
                <w:sz w:val="24"/>
                <w:szCs w:val="24"/>
              </w:rPr>
              <w:t xml:space="preserve">，提供</w:t>
            </w:r>
            <w:r>
              <w:rPr>
                <w:rFonts w:hint="eastAsia" w:ascii="宋体" w:hAnsi="宋体"/>
                <w:sz w:val="24"/>
                <w:szCs w:val="24"/>
              </w:rPr>
              <w:t xml:space="preserve">有效的</w:t>
            </w:r>
            <w:r>
              <w:rPr>
                <w:rFonts w:ascii="宋体" w:hAnsi="宋体"/>
                <w:sz w:val="24"/>
                <w:szCs w:val="24"/>
              </w:rPr>
              <w:t xml:space="preserve">CMA证书复印件和检验检测机构资质认定证书附表复印件</w:t>
            </w:r>
            <w:r>
              <w:rPr>
                <w:rFonts w:hint="eastAsia" w:ascii="宋体" w:hAnsi="宋体"/>
                <w:sz w:val="24"/>
                <w:szCs w:val="24"/>
              </w:rPr>
              <w:t xml:space="preserve">（包含评审项的即可）</w:t>
            </w:r>
            <w:r>
              <w:rPr>
                <w:rFonts w:ascii="宋体" w:hAnsi="宋体"/>
                <w:sz w:val="24"/>
                <w:szCs w:val="24"/>
              </w:rPr>
              <w:t xml:space="preserve">并加盖供应商公章，同时在投标文件中</w:t>
            </w:r>
            <w:r>
              <w:rPr>
                <w:rFonts w:hint="eastAsia" w:ascii="宋体" w:hAnsi="宋体"/>
                <w:sz w:val="24"/>
                <w:szCs w:val="24"/>
              </w:rPr>
              <w:t xml:space="preserve">对新污染物类别</w:t>
            </w:r>
            <w:r>
              <w:rPr>
                <w:rFonts w:ascii="宋体" w:hAnsi="宋体"/>
                <w:sz w:val="24"/>
                <w:szCs w:val="24"/>
              </w:rPr>
              <w:t xml:space="preserve">做出标注）。</w:t>
            </w:r>
            <w:r>
              <w:rPr>
                <w:rFonts w:ascii="宋体" w:hAnsi="宋体"/>
                <w:sz w:val="24"/>
                <w:szCs w:val="24"/>
              </w:rPr>
              <w:br/>
              <w:t xml:space="preserve">（2）</w:t>
            </w:r>
            <w:bookmarkStart w:id="20" w:name="OLE_LINK8"/>
            <w:r>
              <w:rPr>
                <w:rFonts w:ascii="宋体" w:hAnsi="宋体"/>
                <w:sz w:val="24"/>
                <w:szCs w:val="24"/>
              </w:rPr>
              <w:t xml:space="preserve">供应商</w:t>
            </w:r>
            <w:r>
              <w:rPr>
                <w:rFonts w:hint="eastAsia" w:ascii="宋体" w:hAnsi="宋体"/>
                <w:sz w:val="24"/>
                <w:szCs w:val="24"/>
              </w:rPr>
              <w:t xml:space="preserve">获得过</w:t>
            </w:r>
            <w:r>
              <w:rPr>
                <w:rFonts w:ascii="宋体" w:hAnsi="宋体"/>
                <w:sz w:val="24"/>
                <w:szCs w:val="24"/>
              </w:rPr>
              <w:t xml:space="preserve">国家科学技术奖（生态环境相关类别）、省级科学技术奖（生态环境相关类别）</w:t>
            </w:r>
            <w:r>
              <w:rPr>
                <w:rFonts w:hint="eastAsia" w:ascii="宋体" w:hAnsi="宋体"/>
                <w:sz w:val="24"/>
                <w:szCs w:val="24"/>
              </w:rPr>
              <w:t xml:space="preserve">，</w:t>
            </w:r>
            <w:r>
              <w:rPr>
                <w:rFonts w:ascii="宋体" w:hAnsi="宋体"/>
                <w:sz w:val="24"/>
                <w:szCs w:val="24"/>
              </w:rPr>
              <w:t xml:space="preserve">每提供1</w:t>
            </w:r>
            <w:r>
              <w:rPr>
                <w:rFonts w:hint="eastAsia" w:ascii="宋体" w:hAnsi="宋体"/>
                <w:sz w:val="24"/>
                <w:szCs w:val="24"/>
              </w:rPr>
              <w:t xml:space="preserve">份得1分，本项最高得2分。</w:t>
            </w:r>
            <w:bookmarkEnd w:id="20"/>
            <w:r>
              <w:rPr>
                <w:rFonts w:hint="eastAsia" w:ascii="宋体" w:hAnsi="宋体"/>
                <w:sz w:val="24"/>
                <w:szCs w:val="24"/>
              </w:rPr>
              <w:t xml:space="preserve">（需提供证书</w:t>
            </w:r>
            <w:r>
              <w:rPr>
                <w:rFonts w:hint="eastAsia" w:ascii="宋体" w:hAnsi="宋体"/>
                <w:sz w:val="24"/>
                <w:szCs w:val="24"/>
              </w:rPr>
              <w:t xml:space="preserve">复印</w:t>
            </w:r>
            <w:r>
              <w:rPr>
                <w:rFonts w:hint="eastAsia" w:ascii="宋体" w:hAnsi="宋体"/>
                <w:sz w:val="24"/>
                <w:szCs w:val="24"/>
              </w:rPr>
              <w:t xml:space="preserve">件并加盖供应商公章，未按要求提供或未提供的不得分）</w:t>
            </w:r>
            <w:r>
              <w:rPr>
                <w:rFonts w:ascii="宋体" w:hAnsi="宋体"/>
                <w:sz w:val="24"/>
                <w:szCs w:val="24"/>
              </w:rPr>
              <w:t xml:space="preserve">。</w:t>
            </w:r>
            <w:r>
              <w:rPr>
                <w:rFonts w:ascii="宋体" w:hAnsi="宋体"/>
                <w:sz w:val="24"/>
                <w:szCs w:val="24"/>
              </w:rPr>
              <w:br/>
              <w:t xml:space="preserve">（3）供应</w:t>
            </w:r>
            <w:r>
              <w:rPr>
                <w:rFonts w:hint="eastAsia" w:ascii="宋体" w:hAnsi="宋体"/>
                <w:sz w:val="24"/>
                <w:szCs w:val="24"/>
              </w:rPr>
              <w:t xml:space="preserve">商具备省级或以上重点实验室或研究平台的，每提供一项得1.5分，本项最多得3分。（提供实验室批复文件或其他证明材料复印件，未按要求提供或未提供的不得分。）</w:t>
            </w:r>
            <w:r/>
          </w:p>
        </w:tc>
        <w:tc>
          <w:tcPr>
            <w:tcW w:w="71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1</w:t>
            </w:r>
            <w:r>
              <w:rPr>
                <w:rFonts w:hint="eastAsia" w:ascii="宋体" w:hAnsi="宋体"/>
                <w:b/>
                <w:sz w:val="24"/>
                <w:szCs w:val="24"/>
              </w:rPr>
              <w:t xml:space="preserve">1</w:t>
            </w:r>
            <w:r/>
          </w:p>
        </w:tc>
      </w:tr>
      <w:tr>
        <w:trPr>
          <w:jc w:val="center"/>
          <w:trHeight w:val="53"/>
        </w:trPr>
        <w:tc>
          <w:tcPr>
            <w:gridSpan w:val="2"/>
            <w:tcW w:w="1980"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（四）业绩</w:t>
            </w:r>
            <w:r/>
          </w:p>
          <w:p>
            <w:pPr>
              <w:jc w:val="center"/>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3</w:t>
            </w:r>
            <w:r>
              <w:rPr>
                <w:rFonts w:ascii="宋体" w:hAnsi="宋体"/>
                <w:b/>
                <w:sz w:val="24"/>
                <w:szCs w:val="24"/>
              </w:rPr>
              <w:t xml:space="preserve">分）</w:t>
            </w:r>
            <w:r/>
          </w:p>
        </w:tc>
        <w:tc>
          <w:tcPr>
            <w:tcW w:w="6520"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2022 年 1 月 1 日（含）以来，供应商作为牵头实施单位承担以下类别项目业绩：①化学物质环境信息统计调查类；②化学物质加密监测类；③化学物质环境风险评估类；④新化学物质管理登记类；⑤园区新污染物治理类；⑥落实《持久性有机污染物的斯德哥尔摩公约》履约类；⑦新污染物溯源解析类；⑧特征污染物名录库建设类。</w:t>
            </w:r>
            <w:r/>
          </w:p>
          <w:p>
            <w:pPr>
              <w:spacing w:before="156"/>
              <w:rPr>
                <w:rFonts w:hint="eastAsia" w:ascii="宋体" w:hAnsi="宋体"/>
                <w:sz w:val="24"/>
                <w:szCs w:val="24"/>
              </w:rPr>
            </w:pPr>
            <w:r>
              <w:rPr>
                <w:rFonts w:hint="eastAsia" w:ascii="宋体" w:hAnsi="宋体"/>
                <w:sz w:val="24"/>
                <w:szCs w:val="24"/>
              </w:rPr>
              <w:t xml:space="preserve">（1）业绩类别计分：每具备上述1个不同类别有效业绩，得 </w:t>
            </w:r>
            <w:r>
              <w:rPr>
                <w:rFonts w:hint="eastAsia" w:ascii="宋体" w:hAnsi="宋体"/>
                <w:sz w:val="24"/>
                <w:szCs w:val="24"/>
              </w:rPr>
              <w:t xml:space="preserve">2 分，本部分最高得16分。（同一份合同同时覆盖多个业绩类别的，仅认定为1个类别</w:t>
            </w:r>
            <w:r>
              <w:rPr>
                <w:rFonts w:hint="eastAsia" w:ascii="宋体" w:hAnsi="宋体"/>
                <w:color w:val="ee0000"/>
                <w:sz w:val="24"/>
                <w:szCs w:val="24"/>
              </w:rPr>
              <w:t xml:space="preserve">，</w:t>
            </w:r>
            <w:r>
              <w:rPr>
                <w:rFonts w:hint="eastAsia" w:ascii="宋体" w:hAnsi="宋体"/>
                <w:sz w:val="24"/>
                <w:szCs w:val="24"/>
              </w:rPr>
              <w:t xml:space="preserve">不重复累加计分，投标人须在投标文件中明确提供的合同属于哪一类别）</w:t>
            </w:r>
            <w:r>
              <w:rPr>
                <w:rFonts w:ascii="宋体" w:hAnsi="宋体"/>
                <w:sz w:val="24"/>
                <w:szCs w:val="24"/>
              </w:rPr>
              <w:br/>
            </w:r>
            <w:r>
              <w:rPr>
                <w:rFonts w:hint="eastAsia" w:ascii="宋体" w:hAnsi="宋体"/>
                <w:sz w:val="24"/>
                <w:szCs w:val="24"/>
              </w:rPr>
              <w:t xml:space="preserve">（2）业绩数量计分：在上述有效业绩合同范围内，提供 1</w:t>
            </w:r>
            <w:r>
              <w:rPr>
                <w:rFonts w:ascii="Cambria Math" w:hAnsi="Cambria Math" w:cs="Cambria Math"/>
                <w:sz w:val="24"/>
                <w:szCs w:val="24"/>
              </w:rPr>
              <w:t xml:space="preserve">‑</w:t>
            </w:r>
            <w:r>
              <w:rPr>
                <w:rFonts w:hint="eastAsia" w:ascii="宋体" w:hAnsi="宋体"/>
                <w:sz w:val="24"/>
                <w:szCs w:val="24"/>
              </w:rPr>
              <w:t xml:space="preserve">5 份有效合同得1分；提供6</w:t>
            </w:r>
            <w:r>
              <w:rPr>
                <w:rFonts w:ascii="Cambria Math" w:hAnsi="Cambria Math" w:cs="Cambria Math"/>
                <w:sz w:val="24"/>
                <w:szCs w:val="24"/>
              </w:rPr>
              <w:t xml:space="preserve">‑</w:t>
            </w:r>
            <w:r>
              <w:rPr>
                <w:rFonts w:hint="eastAsia" w:ascii="宋体" w:hAnsi="宋体"/>
                <w:sz w:val="24"/>
                <w:szCs w:val="24"/>
              </w:rPr>
              <w:t xml:space="preserve">10份有效合同得3分；提供11-15份有效合同得5分，提供16份及以上有效合同得7分，本部分最高得 7分。</w:t>
            </w:r>
            <w:r>
              <w:rPr>
                <w:rFonts w:ascii="宋体" w:hAnsi="宋体"/>
                <w:sz w:val="24"/>
                <w:szCs w:val="24"/>
              </w:rPr>
              <w:br/>
            </w:r>
            <w:r>
              <w:rPr>
                <w:rFonts w:hint="eastAsia" w:ascii="宋体" w:hAnsi="宋体"/>
                <w:sz w:val="24"/>
                <w:szCs w:val="24"/>
              </w:rPr>
              <w:t xml:space="preserve">注：须提供合同复印件（加盖供应商公章），合同材料需清晰体现项目实施内容、牵头实施单位身份、项目实施时间；未按要求提供佐证材料或材料无法满足判定条件的，对应业绩不予计分。本项两项得分相加合计最高 23 分。</w:t>
            </w:r>
            <w:r/>
          </w:p>
        </w:tc>
        <w:tc>
          <w:tcPr>
            <w:tcW w:w="71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3</w:t>
            </w:r>
            <w:r/>
          </w:p>
        </w:tc>
      </w:tr>
      <w:tr>
        <w:trPr>
          <w:jc w:val="center"/>
          <w:trHeight w:val="595"/>
        </w:trPr>
        <w:tc>
          <w:tcPr>
            <w:gridSpan w:val="3"/>
            <w:tcW w:w="8500"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合计得分</w:t>
            </w:r>
            <w:r/>
          </w:p>
        </w:tc>
        <w:tc>
          <w:tcPr>
            <w:tcW w:w="712" w:type="dxa"/>
            <w:vAlign w:val="center"/>
            <w:textDirection w:val="lrTb"/>
            <w:noWrap w:val="false"/>
          </w:tcPr>
          <w:p>
            <w:pPr>
              <w:jc w:val="center"/>
              <w:rPr>
                <w:rFonts w:hint="eastAsia" w:ascii="宋体" w:hAnsi="宋体"/>
                <w:b/>
                <w:sz w:val="24"/>
                <w:szCs w:val="24"/>
              </w:rPr>
            </w:pPr>
            <w:r>
              <w:rPr>
                <w:rFonts w:ascii="宋体" w:hAnsi="宋体"/>
                <w:b/>
                <w:sz w:val="24"/>
                <w:szCs w:val="24"/>
              </w:rPr>
              <w:t xml:space="preserve">100</w:t>
            </w:r>
            <w:r/>
          </w:p>
        </w:tc>
      </w:tr>
    </w:tbl>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sz w:val="24"/>
          <w:szCs w:val="24"/>
        </w:rPr>
        <w:t xml:space="preserve">[2014]68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ind w:firstLine="480"/>
        <w:spacing w:line="276" w:lineRule="auto"/>
        <w:rPr>
          <w:sz w:val="24"/>
          <w:szCs w:val="24"/>
        </w:rPr>
      </w:pPr>
      <w:r>
        <w:rPr>
          <w:sz w:val="24"/>
          <w:szCs w:val="24"/>
        </w:rPr>
        <w:t xml:space="preserve">5</w:t>
      </w:r>
      <w:r>
        <w:rPr>
          <w:sz w:val="24"/>
          <w:szCs w:val="24"/>
        </w:rPr>
        <w:t xml:space="preserve">、本项目为服务类采购，采购内容不涉及货物类产品的生产、制造或进口认定。不适用本国产品的价格扣除比率。</w:t>
      </w:r>
      <w:r/>
    </w:p>
    <w:p>
      <w:pPr>
        <w:jc w:val="left"/>
        <w:widowControl/>
        <w:rPr>
          <w:rFonts w:hint="eastAsia" w:ascii="宋体" w:hAnsi="宋体" w:eastAsia="方正小标宋_GBK"/>
          <w:b/>
          <w:bCs/>
          <w:sz w:val="28"/>
          <w:szCs w:val="28"/>
        </w:rPr>
      </w:pPr>
      <w:r/>
      <w:bookmarkStart w:id="21" w:name="_Toc479456127"/>
      <w:r/>
      <w:bookmarkStart w:id="22" w:name="_Toc449539280"/>
      <w:r/>
      <w:bookmarkStart w:id="23" w:name="_Toc76893592"/>
      <w:r/>
      <w:bookmarkStart w:id="24" w:name="_Toc129876276"/>
      <w:r/>
      <w:bookmarkEnd w:id="14"/>
      <w:r/>
      <w:bookmarkEnd w:id="15"/>
      <w:r/>
      <w:bookmarkEnd w:id="16"/>
      <w:r/>
      <w:bookmarkEnd w:id="17"/>
      <w:r/>
      <w:bookmarkEnd w:id="18"/>
      <w:r/>
      <w:r/>
    </w:p>
    <w:p>
      <w:pPr>
        <w:pStyle w:val="689"/>
        <w:jc w:val="center"/>
        <w:spacing w:line="240" w:lineRule="auto"/>
        <w:rPr>
          <w:rFonts w:hint="eastAsia" w:ascii="宋体" w:hAnsi="宋体"/>
          <w:bCs w:val="0"/>
          <w:szCs w:val="28"/>
        </w:rPr>
      </w:pPr>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25" w:name="_Toc449081337"/>
      <w:r/>
      <w:bookmarkStart w:id="26" w:name="_Toc479456128"/>
      <w:r/>
      <w:bookmarkEnd w:id="21"/>
      <w:r/>
      <w:bookmarkEnd w:id="22"/>
      <w:r/>
      <w:bookmarkEnd w:id="23"/>
      <w:r/>
      <w:bookmarkEnd w:id="24"/>
      <w:r/>
      <w:r/>
    </w:p>
    <w:p>
      <w:r/>
      <w:bookmarkStart w:id="27" w:name="_Toc97295833"/>
      <w:r/>
      <w:bookmarkStart w:id="28" w:name="_Toc76893593"/>
      <w:r/>
      <w:r/>
    </w:p>
    <w:p>
      <w:pPr>
        <w:ind w:firstLine="482"/>
        <w:spacing w:line="440" w:lineRule="exact"/>
        <w:rPr>
          <w:rFonts w:hint="eastAsia" w:ascii="宋体" w:hAnsi="宋体"/>
          <w:b/>
          <w:bCs/>
          <w:sz w:val="24"/>
          <w:szCs w:val="28"/>
        </w:rPr>
      </w:pPr>
      <w:r/>
      <w:bookmarkStart w:id="29" w:name="OLE_LINK28"/>
      <w:r/>
      <w:bookmarkEnd w:id="27"/>
      <w:r>
        <w:rPr>
          <w:rFonts w:hint="eastAsia" w:ascii="宋体" w:hAnsi="宋体"/>
          <w:b/>
          <w:bCs/>
          <w:sz w:val="24"/>
          <w:szCs w:val="28"/>
        </w:rPr>
        <w:t xml:space="preserve">一、背景介绍</w:t>
      </w:r>
      <w:r/>
    </w:p>
    <w:p>
      <w:pPr>
        <w:ind w:firstLine="480"/>
        <w:spacing w:line="440" w:lineRule="exact"/>
        <w:rPr>
          <w:rFonts w:hint="eastAsia" w:ascii="宋体" w:hAnsi="宋体"/>
          <w:sz w:val="24"/>
          <w:szCs w:val="28"/>
        </w:rPr>
      </w:pPr>
      <w:r>
        <w:rPr>
          <w:rFonts w:hint="eastAsia" w:ascii="宋体" w:hAnsi="宋体"/>
          <w:sz w:val="24"/>
          <w:szCs w:val="28"/>
        </w:rPr>
        <w:t xml:space="preserve">新污染物治理是党中央、国务院全面推进美丽中国建设</w:t>
      </w:r>
      <w:r>
        <w:rPr>
          <w:rFonts w:hint="eastAsia" w:ascii="宋体" w:hAnsi="宋体"/>
          <w:sz w:val="24"/>
          <w:szCs w:val="28"/>
        </w:rPr>
        <w:t xml:space="preserve">的重大战略部署，是防范生态环境风险、保障人民健康的关键举措。2026年作为“十五五”开局之年，国家新污染物治理体系加速完善、管控要求全面升级：2026年3月12日，《中华人民共和国生态环境法典》经全国人大审议通过，首次将新污染物治理纳入基础性法律规制，明确建立重点管控新污染物清单制度、实施全生命周期风险管控，为地方治理提供根本法治遵循；生态环境部持续深化“筛—评—控”全链条部署，2026年启动新一轮全国化学物质环境信息统计调查，优化风险评估模型，构建“天地一体”监测预警体系，推动治理从试点探索转向全面攻坚。</w:t>
      </w:r>
      <w:r/>
    </w:p>
    <w:p>
      <w:pPr>
        <w:ind w:firstLine="480"/>
        <w:spacing w:line="440" w:lineRule="exact"/>
        <w:rPr>
          <w:rFonts w:hint="eastAsia" w:ascii="宋体" w:hAnsi="宋体"/>
          <w:sz w:val="24"/>
          <w:szCs w:val="28"/>
        </w:rPr>
      </w:pPr>
      <w:r>
        <w:rPr>
          <w:rFonts w:hint="eastAsia" w:ascii="宋体" w:hAnsi="宋体"/>
          <w:sz w:val="24"/>
          <w:szCs w:val="28"/>
        </w:rPr>
        <w:t xml:space="preserve">2025年12月25日，生态环境部、国家疾控局联合印发《优先控制化学品名录（第三批）》（2025年</w:t>
      </w:r>
      <w:r>
        <w:rPr>
          <w:rFonts w:hint="eastAsia" w:ascii="宋体" w:hAnsi="宋体"/>
          <w:sz w:val="24"/>
          <w:szCs w:val="28"/>
        </w:rPr>
        <w:t xml:space="preserve">第43号公告），收录23种类高危害化学物质，涵盖致癌物、内分泌干扰物、全氟化合物等，为2026年全国精准管控划定核心范围。江苏省坚决对标国家顶层设计，2026年3月3日印发《江苏省重点管控新污染物补充清单（第一批）》，在国家14类管控物质基础上，新增双酚A等区域高风险物质，形成“国家清单+省级补充”的“14+1”精准管控格局。开展江苏省新污染物治理工作，是落实《生态环境法典》法定责任、兑现国家“2035年新污染物环境风险有效管控”目标的政治担当，是践行美丽江苏建设、扛起长江经济带生态保护先行责任的必然要求。</w:t>
      </w:r>
      <w:r/>
    </w:p>
    <w:p>
      <w:pPr>
        <w:ind w:firstLine="480"/>
        <w:spacing w:line="440" w:lineRule="exact"/>
        <w:rPr>
          <w:rFonts w:hint="eastAsia" w:ascii="宋体" w:hAnsi="宋体"/>
          <w:b/>
          <w:bCs/>
          <w:sz w:val="24"/>
          <w:szCs w:val="28"/>
        </w:rPr>
      </w:pPr>
      <w:r>
        <w:rPr>
          <w:rFonts w:hint="eastAsia" w:ascii="宋体" w:hAnsi="宋体"/>
          <w:sz w:val="24"/>
          <w:szCs w:val="28"/>
        </w:rPr>
        <w:t xml:space="preserve">开展江苏省新污染物治理工作，是贯彻《生态环境法典》法定责任、落实国家及省级战略部署的政治要求，是化解生态环境风险、守护人民健康安全的民生工程，是推动产业绿色转型、服务长三角协同发展的关键举措，更是精准对接国家及省级提升环境治理现代化水平的核心抓手。拟通过“2026年新污染物治理项目”，为江苏省新污染物治理工作提供坚实资金支撑，助力全省生态环境质量持续改善，为高质量发展筑牢生态安全屏障。</w:t>
      </w:r>
      <w:r/>
    </w:p>
    <w:p>
      <w:pPr>
        <w:ind w:firstLine="482"/>
        <w:spacing w:line="440" w:lineRule="exact"/>
        <w:rPr>
          <w:rFonts w:hint="eastAsia" w:ascii="宋体" w:hAnsi="宋体"/>
          <w:b/>
          <w:bCs/>
          <w:sz w:val="24"/>
          <w:szCs w:val="28"/>
        </w:rPr>
      </w:pPr>
      <w:r>
        <w:rPr>
          <w:rFonts w:hint="eastAsia" w:ascii="宋体" w:hAnsi="宋体"/>
          <w:b/>
          <w:bCs/>
          <w:sz w:val="24"/>
          <w:szCs w:val="28"/>
        </w:rPr>
        <w:t xml:space="preserve">二、工作内容</w:t>
      </w:r>
      <w:r/>
    </w:p>
    <w:p>
      <w:pPr>
        <w:ind w:firstLine="480"/>
        <w:spacing w:line="440" w:lineRule="exact"/>
        <w:rPr>
          <w:rFonts w:hint="eastAsia" w:ascii="宋体" w:hAnsi="宋体"/>
          <w:sz w:val="24"/>
          <w:szCs w:val="28"/>
        </w:rPr>
      </w:pPr>
      <w:r>
        <w:rPr>
          <w:rFonts w:hint="eastAsia" w:ascii="宋体" w:hAnsi="宋体"/>
          <w:sz w:val="24"/>
          <w:szCs w:val="28"/>
        </w:rPr>
        <w:t xml:space="preserve">1、完成国家化学物质统计调查数据质量分析及抽查复审。在国家化学物质环境信息统计调查工作的基础上，抽取一定数量的调查企业进行填报数据审核，针对非调查企业，抽样选取其中不少于10家企业进行现场复核，为后续统计调查工作编制化学物质</w:t>
      </w:r>
      <w:r>
        <w:rPr>
          <w:rFonts w:hint="eastAsia" w:ascii="宋体" w:hAnsi="宋体"/>
          <w:sz w:val="24"/>
          <w:szCs w:val="28"/>
        </w:rPr>
        <w:t xml:space="preserve">环境信息统计调查建议报告，以及化学物质环境信息统计调查相关指南、指引。</w:t>
      </w:r>
      <w:r/>
    </w:p>
    <w:p>
      <w:pPr>
        <w:ind w:firstLine="480"/>
        <w:spacing w:line="440" w:lineRule="exact"/>
        <w:rPr>
          <w:rFonts w:hint="eastAsia" w:ascii="宋体" w:hAnsi="宋体"/>
          <w:sz w:val="24"/>
          <w:szCs w:val="28"/>
        </w:rPr>
      </w:pPr>
      <w:r>
        <w:rPr>
          <w:rFonts w:hint="eastAsia" w:ascii="宋体" w:hAnsi="宋体"/>
          <w:sz w:val="24"/>
          <w:szCs w:val="28"/>
        </w:rPr>
        <w:t xml:space="preserve">2、化工园区全氟化合物等新污染物溯源解析跟踪评估。针对化工园区开展全氟化合物等新污染物的溯源解析与跟踪评估，进行现场踏勘、数据信息获取与现状分析；依托园区重点工段、治理设施及周边环境等开展多点位赋存水平解析；邀请相关领域专家进行溯源解析技术指导与评估论证。同时，开展化工园区新污染物深化治理全程技术帮扶与专家指导。</w:t>
      </w:r>
      <w:r/>
    </w:p>
    <w:p>
      <w:pPr>
        <w:ind w:firstLine="480"/>
        <w:spacing w:line="440" w:lineRule="exact"/>
        <w:rPr>
          <w:rFonts w:hint="eastAsia" w:ascii="宋体" w:hAnsi="宋体"/>
          <w:sz w:val="24"/>
          <w:szCs w:val="28"/>
        </w:rPr>
      </w:pPr>
      <w:r>
        <w:rPr>
          <w:rFonts w:hint="eastAsia" w:ascii="宋体" w:hAnsi="宋体"/>
          <w:sz w:val="24"/>
          <w:szCs w:val="28"/>
        </w:rPr>
        <w:t xml:space="preserve">3、开展涉公约履约物质企业的管控措施落实情况现场调查。根据化学物质环境信息统计调查结果、涉公约履约物质企业与周边环境的监测数据以及企业的环境风险管控措施落实情况，对我省公约物质履约情况进行评估，并编制公约履约方案落实情况报告。</w:t>
      </w:r>
      <w:r/>
    </w:p>
    <w:p>
      <w:pPr>
        <w:ind w:firstLine="482"/>
        <w:spacing w:line="440" w:lineRule="exact"/>
        <w:rPr>
          <w:rFonts w:hint="eastAsia" w:ascii="宋体" w:hAnsi="宋体"/>
          <w:b/>
          <w:bCs/>
          <w:sz w:val="24"/>
          <w:szCs w:val="28"/>
        </w:rPr>
      </w:pPr>
      <w:r>
        <w:rPr>
          <w:rFonts w:hint="eastAsia" w:ascii="宋体" w:hAnsi="宋体"/>
          <w:b/>
          <w:bCs/>
          <w:sz w:val="24"/>
          <w:szCs w:val="28"/>
        </w:rPr>
        <w:t xml:space="preserve">三、实施期限</w:t>
      </w:r>
      <w:r/>
    </w:p>
    <w:p>
      <w:pPr>
        <w:ind w:firstLine="480"/>
        <w:spacing w:line="440" w:lineRule="exact"/>
        <w:rPr>
          <w:rFonts w:hint="eastAsia" w:ascii="宋体" w:hAnsi="宋体"/>
          <w:sz w:val="24"/>
          <w:szCs w:val="28"/>
        </w:rPr>
      </w:pPr>
      <w:r>
        <w:rPr>
          <w:rFonts w:hint="eastAsia" w:ascii="宋体" w:hAnsi="宋体"/>
          <w:sz w:val="24"/>
          <w:szCs w:val="28"/>
        </w:rPr>
        <w:t xml:space="preserve">项目实施期限及实施目标如下：</w:t>
      </w:r>
      <w:r/>
    </w:p>
    <w:tbl>
      <w:tblPr>
        <w:tblW w:w="48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8"/>
        <w:gridCol w:w="2414"/>
        <w:gridCol w:w="1821"/>
        <w:gridCol w:w="3451"/>
      </w:tblGrid>
      <w:tr>
        <w:trPr>
          <w:cantSplit/>
          <w:jc w:val="center"/>
          <w:trHeight w:val="396"/>
          <w:tblHeader/>
        </w:trPr>
        <w:tc>
          <w:tcPr>
            <w:tcW w:w="590" w:type="pct"/>
            <w:vAlign w:val="center"/>
            <w:textDirection w:val="lrTb"/>
            <w:noWrap w:val="false"/>
          </w:tcPr>
          <w:p>
            <w:pPr>
              <w:jc w:val="center"/>
              <w:rPr>
                <w:rFonts w:hint="eastAsia" w:ascii="宋体" w:hAnsi="宋体"/>
                <w:b/>
                <w:bCs/>
                <w:sz w:val="24"/>
                <w:szCs w:val="32"/>
              </w:rPr>
            </w:pPr>
            <w:r>
              <w:rPr>
                <w:rFonts w:ascii="宋体" w:hAnsi="宋体"/>
                <w:b/>
                <w:bCs/>
                <w:sz w:val="24"/>
                <w:szCs w:val="32"/>
              </w:rPr>
              <w:t xml:space="preserve">序号</w:t>
            </w:r>
            <w:r/>
          </w:p>
        </w:tc>
        <w:tc>
          <w:tcPr>
            <w:tcW w:w="1385" w:type="pct"/>
            <w:vAlign w:val="center"/>
            <w:textDirection w:val="lrTb"/>
            <w:noWrap w:val="false"/>
          </w:tcPr>
          <w:p>
            <w:pPr>
              <w:jc w:val="center"/>
              <w:rPr>
                <w:rFonts w:hint="eastAsia" w:ascii="宋体" w:hAnsi="宋体"/>
                <w:b/>
                <w:bCs/>
                <w:sz w:val="24"/>
                <w:szCs w:val="32"/>
              </w:rPr>
            </w:pPr>
            <w:r>
              <w:rPr>
                <w:rFonts w:ascii="宋体" w:hAnsi="宋体"/>
                <w:b/>
                <w:bCs/>
                <w:sz w:val="24"/>
                <w:szCs w:val="32"/>
              </w:rPr>
              <w:t xml:space="preserve">建设内容</w:t>
            </w:r>
            <w:r/>
          </w:p>
        </w:tc>
        <w:tc>
          <w:tcPr>
            <w:tcW w:w="1045" w:type="pct"/>
            <w:vAlign w:val="center"/>
            <w:textDirection w:val="lrTb"/>
            <w:noWrap w:val="false"/>
          </w:tcPr>
          <w:p>
            <w:pPr>
              <w:jc w:val="center"/>
              <w:rPr>
                <w:rFonts w:hint="eastAsia" w:ascii="宋体" w:hAnsi="宋体"/>
                <w:b/>
                <w:bCs/>
                <w:sz w:val="24"/>
                <w:szCs w:val="32"/>
              </w:rPr>
            </w:pPr>
            <w:r>
              <w:rPr>
                <w:rFonts w:ascii="宋体" w:hAnsi="宋体"/>
                <w:b/>
                <w:bCs/>
                <w:sz w:val="24"/>
                <w:szCs w:val="32"/>
              </w:rPr>
              <w:t xml:space="preserve">实施期限</w:t>
            </w:r>
            <w:r/>
          </w:p>
        </w:tc>
        <w:tc>
          <w:tcPr>
            <w:tcW w:w="1980" w:type="pct"/>
            <w:vAlign w:val="center"/>
            <w:textDirection w:val="lrTb"/>
            <w:noWrap w:val="false"/>
          </w:tcPr>
          <w:p>
            <w:pPr>
              <w:jc w:val="center"/>
              <w:rPr>
                <w:rFonts w:hint="eastAsia" w:ascii="宋体" w:hAnsi="宋体"/>
                <w:b/>
                <w:bCs/>
                <w:sz w:val="24"/>
                <w:szCs w:val="32"/>
              </w:rPr>
            </w:pPr>
            <w:r>
              <w:rPr>
                <w:rFonts w:ascii="宋体" w:hAnsi="宋体"/>
                <w:b/>
                <w:bCs/>
                <w:sz w:val="24"/>
                <w:szCs w:val="32"/>
              </w:rPr>
              <w:t xml:space="preserve">实施目标</w:t>
            </w:r>
            <w:r/>
          </w:p>
        </w:tc>
      </w:tr>
      <w:tr>
        <w:trPr>
          <w:cantSplit/>
          <w:jc w:val="center"/>
          <w:trHeight w:val="1209"/>
        </w:trPr>
        <w:tc>
          <w:tcPr>
            <w:tcW w:w="590" w:type="pct"/>
            <w:vAlign w:val="center"/>
            <w:textDirection w:val="lrTb"/>
            <w:noWrap w:val="false"/>
          </w:tcPr>
          <w:p>
            <w:pPr>
              <w:jc w:val="center"/>
              <w:spacing w:line="380" w:lineRule="exact"/>
              <w:rPr>
                <w:rFonts w:hint="eastAsia" w:ascii="宋体" w:hAnsi="宋体"/>
                <w:sz w:val="24"/>
                <w:szCs w:val="32"/>
              </w:rPr>
            </w:pPr>
            <w:r/>
            <w:bookmarkStart w:id="30" w:name="_Hlk528511783"/>
            <w:r/>
            <w:bookmarkStart w:id="31" w:name="_Hlk528511638"/>
            <w:r>
              <w:rPr>
                <w:rFonts w:hint="eastAsia" w:ascii="宋体" w:hAnsi="宋体"/>
                <w:sz w:val="24"/>
                <w:szCs w:val="32"/>
              </w:rPr>
              <w:t xml:space="preserve">1</w:t>
            </w:r>
            <w:r/>
          </w:p>
        </w:tc>
        <w:tc>
          <w:tcPr>
            <w:tcW w:w="1385" w:type="pct"/>
            <w:vAlign w:val="center"/>
            <w:textDirection w:val="lrTb"/>
            <w:noWrap w:val="false"/>
          </w:tcPr>
          <w:p>
            <w:pPr>
              <w:jc w:val="center"/>
              <w:spacing w:line="380" w:lineRule="exact"/>
              <w:rPr>
                <w:rFonts w:hint="eastAsia" w:ascii="宋体" w:hAnsi="宋体"/>
                <w:sz w:val="24"/>
                <w:szCs w:val="32"/>
              </w:rPr>
            </w:pPr>
            <w:r>
              <w:rPr>
                <w:rFonts w:ascii="宋体" w:hAnsi="宋体"/>
                <w:sz w:val="24"/>
                <w:szCs w:val="32"/>
              </w:rPr>
              <w:t xml:space="preserve">202</w:t>
            </w:r>
            <w:r>
              <w:rPr>
                <w:rFonts w:hint="eastAsia" w:ascii="宋体" w:hAnsi="宋体"/>
                <w:sz w:val="24"/>
                <w:szCs w:val="32"/>
              </w:rPr>
              <w:t xml:space="preserve">6</w:t>
            </w:r>
            <w:r>
              <w:rPr>
                <w:rFonts w:ascii="宋体" w:hAnsi="宋体"/>
                <w:sz w:val="24"/>
                <w:szCs w:val="32"/>
              </w:rPr>
              <w:t xml:space="preserve">年化学物质统计调查</w:t>
            </w:r>
            <w:r/>
          </w:p>
        </w:tc>
        <w:tc>
          <w:tcPr>
            <w:tcW w:w="1045" w:type="pct"/>
            <w:vAlign w:val="center"/>
            <w:textDirection w:val="lrTb"/>
            <w:noWrap w:val="false"/>
          </w:tcPr>
          <w:p>
            <w:pPr>
              <w:jc w:val="center"/>
              <w:spacing w:line="380" w:lineRule="exact"/>
              <w:rPr>
                <w:rFonts w:hint="eastAsia" w:ascii="宋体" w:hAnsi="宋体"/>
                <w:sz w:val="24"/>
                <w:szCs w:val="32"/>
              </w:rPr>
            </w:pPr>
            <w:r>
              <w:rPr>
                <w:rFonts w:hint="eastAsia" w:ascii="宋体" w:hAnsi="宋体"/>
                <w:sz w:val="24"/>
                <w:szCs w:val="32"/>
              </w:rPr>
              <w:t xml:space="preserve">合同签订后-2026年底</w:t>
            </w:r>
            <w:r/>
          </w:p>
        </w:tc>
        <w:tc>
          <w:tcPr>
            <w:tcW w:w="1980" w:type="pct"/>
            <w:vAlign w:val="center"/>
            <w:textDirection w:val="lrTb"/>
            <w:noWrap w:val="false"/>
          </w:tcPr>
          <w:p>
            <w:pPr>
              <w:jc w:val="center"/>
              <w:spacing w:line="380" w:lineRule="exact"/>
              <w:rPr>
                <w:rFonts w:hint="eastAsia" w:ascii="宋体" w:hAnsi="宋体"/>
                <w:sz w:val="24"/>
                <w:szCs w:val="32"/>
              </w:rPr>
            </w:pPr>
            <w:r>
              <w:rPr>
                <w:rFonts w:hint="eastAsia" w:ascii="宋体" w:hAnsi="宋体"/>
                <w:sz w:val="24"/>
                <w:szCs w:val="32"/>
              </w:rPr>
              <w:t xml:space="preserve">完成化学物质环境信息统计调查建议报告，以及化学物质环境信息统计调查相关指南、指引编制。</w:t>
            </w:r>
            <w:r/>
          </w:p>
        </w:tc>
      </w:tr>
      <w:tr>
        <w:trPr>
          <w:cantSplit/>
          <w:jc w:val="center"/>
          <w:trHeight w:val="1209"/>
        </w:trPr>
        <w:tc>
          <w:tcPr>
            <w:tcW w:w="590" w:type="pct"/>
            <w:vAlign w:val="center"/>
            <w:textDirection w:val="lrTb"/>
            <w:noWrap w:val="false"/>
          </w:tcPr>
          <w:p>
            <w:pPr>
              <w:jc w:val="center"/>
              <w:spacing w:line="380" w:lineRule="exact"/>
              <w:rPr>
                <w:rFonts w:hint="eastAsia" w:ascii="宋体" w:hAnsi="宋体"/>
                <w:sz w:val="24"/>
                <w:szCs w:val="32"/>
              </w:rPr>
            </w:pPr>
            <w:r>
              <w:rPr>
                <w:rFonts w:hint="eastAsia" w:ascii="宋体" w:hAnsi="宋体"/>
                <w:sz w:val="24"/>
                <w:szCs w:val="32"/>
              </w:rPr>
              <w:t xml:space="preserve">2</w:t>
            </w:r>
            <w:r/>
          </w:p>
        </w:tc>
        <w:tc>
          <w:tcPr>
            <w:tcW w:w="1385" w:type="pct"/>
            <w:vAlign w:val="center"/>
            <w:textDirection w:val="lrTb"/>
            <w:noWrap w:val="false"/>
          </w:tcPr>
          <w:p>
            <w:pPr>
              <w:jc w:val="center"/>
              <w:spacing w:line="380" w:lineRule="exact"/>
              <w:rPr>
                <w:rFonts w:hint="eastAsia" w:ascii="宋体" w:hAnsi="宋体"/>
                <w:sz w:val="24"/>
                <w:szCs w:val="32"/>
              </w:rPr>
            </w:pPr>
            <w:r>
              <w:rPr>
                <w:rFonts w:ascii="宋体" w:hAnsi="宋体"/>
                <w:sz w:val="24"/>
                <w:szCs w:val="32"/>
              </w:rPr>
              <w:t xml:space="preserve">化工园区全氟化合物等新污染物的溯源解析与跟踪评估</w:t>
            </w:r>
            <w:r/>
          </w:p>
        </w:tc>
        <w:tc>
          <w:tcPr>
            <w:tcW w:w="1045" w:type="pct"/>
            <w:vAlign w:val="center"/>
            <w:textDirection w:val="lrTb"/>
            <w:noWrap w:val="false"/>
          </w:tcPr>
          <w:p>
            <w:pPr>
              <w:jc w:val="center"/>
              <w:spacing w:line="380" w:lineRule="exact"/>
              <w:rPr>
                <w:rFonts w:hint="eastAsia" w:ascii="宋体" w:hAnsi="宋体"/>
                <w:sz w:val="24"/>
                <w:szCs w:val="32"/>
              </w:rPr>
            </w:pPr>
            <w:r>
              <w:rPr>
                <w:rFonts w:hint="eastAsia" w:ascii="宋体" w:hAnsi="宋体"/>
                <w:sz w:val="24"/>
                <w:szCs w:val="32"/>
              </w:rPr>
              <w:t xml:space="preserve">合同签订后-2026年底</w:t>
            </w:r>
            <w:r/>
          </w:p>
        </w:tc>
        <w:tc>
          <w:tcPr>
            <w:tcW w:w="1980" w:type="pct"/>
            <w:vAlign w:val="center"/>
            <w:textDirection w:val="lrTb"/>
            <w:noWrap w:val="false"/>
          </w:tcPr>
          <w:p>
            <w:pPr>
              <w:jc w:val="center"/>
              <w:spacing w:line="380" w:lineRule="exact"/>
              <w:rPr>
                <w:rFonts w:hint="eastAsia" w:ascii="宋体" w:hAnsi="宋体"/>
                <w:sz w:val="24"/>
                <w:szCs w:val="32"/>
              </w:rPr>
            </w:pPr>
            <w:r>
              <w:rPr>
                <w:rFonts w:ascii="宋体" w:hAnsi="宋体"/>
                <w:sz w:val="24"/>
                <w:szCs w:val="32"/>
              </w:rPr>
              <w:t xml:space="preserve">开展化工园区新污染物深化治理全程技术帮扶与专家指导</w:t>
            </w:r>
            <w:r>
              <w:rPr>
                <w:rFonts w:hint="eastAsia" w:ascii="宋体" w:hAnsi="宋体"/>
                <w:sz w:val="24"/>
                <w:szCs w:val="32"/>
              </w:rPr>
              <w:t xml:space="preserve">；</w:t>
            </w:r>
            <w:r>
              <w:rPr>
                <w:rFonts w:ascii="宋体" w:hAnsi="宋体"/>
                <w:sz w:val="24"/>
                <w:szCs w:val="32"/>
              </w:rPr>
              <w:t xml:space="preserve">完成化工园区全氟化合物等新污染物溯源解析。</w:t>
            </w:r>
            <w:r/>
          </w:p>
        </w:tc>
      </w:tr>
      <w:tr>
        <w:trPr>
          <w:cantSplit/>
          <w:jc w:val="center"/>
          <w:trHeight w:val="911"/>
        </w:trPr>
        <w:tc>
          <w:tcPr>
            <w:tcW w:w="590" w:type="pct"/>
            <w:vAlign w:val="center"/>
            <w:textDirection w:val="lrTb"/>
            <w:noWrap w:val="false"/>
          </w:tcPr>
          <w:p>
            <w:pPr>
              <w:jc w:val="center"/>
              <w:spacing w:line="380" w:lineRule="exact"/>
              <w:rPr>
                <w:rFonts w:hint="eastAsia" w:ascii="宋体" w:hAnsi="宋体"/>
                <w:sz w:val="24"/>
                <w:szCs w:val="32"/>
              </w:rPr>
            </w:pPr>
            <w:r>
              <w:rPr>
                <w:rFonts w:hint="eastAsia" w:ascii="宋体" w:hAnsi="宋体"/>
                <w:sz w:val="24"/>
                <w:szCs w:val="32"/>
              </w:rPr>
              <w:t xml:space="preserve">3</w:t>
            </w:r>
            <w:r/>
          </w:p>
        </w:tc>
        <w:tc>
          <w:tcPr>
            <w:tcW w:w="1385" w:type="pct"/>
            <w:vAlign w:val="center"/>
            <w:textDirection w:val="lrTb"/>
            <w:noWrap w:val="false"/>
          </w:tcPr>
          <w:p>
            <w:pPr>
              <w:jc w:val="center"/>
              <w:spacing w:line="380" w:lineRule="exact"/>
              <w:rPr>
                <w:rFonts w:hint="eastAsia" w:ascii="宋体" w:hAnsi="宋体"/>
                <w:sz w:val="24"/>
                <w:szCs w:val="32"/>
              </w:rPr>
            </w:pPr>
            <w:r>
              <w:rPr>
                <w:rFonts w:ascii="宋体" w:hAnsi="宋体"/>
                <w:sz w:val="24"/>
                <w:szCs w:val="32"/>
              </w:rPr>
              <w:t xml:space="preserve">《关于持久性有机污染物的斯德哥尔摩公约》落实</w:t>
            </w:r>
            <w:r>
              <w:rPr>
                <w:rFonts w:hint="eastAsia" w:ascii="宋体" w:hAnsi="宋体"/>
                <w:sz w:val="24"/>
                <w:szCs w:val="32"/>
              </w:rPr>
              <w:t xml:space="preserve">情况调查</w:t>
            </w:r>
            <w:r/>
          </w:p>
        </w:tc>
        <w:tc>
          <w:tcPr>
            <w:tcW w:w="1045" w:type="pct"/>
            <w:vAlign w:val="center"/>
            <w:textDirection w:val="lrTb"/>
            <w:noWrap w:val="false"/>
          </w:tcPr>
          <w:p>
            <w:pPr>
              <w:jc w:val="center"/>
              <w:spacing w:line="380" w:lineRule="exact"/>
              <w:rPr>
                <w:rFonts w:hint="eastAsia" w:ascii="宋体" w:hAnsi="宋体"/>
                <w:sz w:val="24"/>
                <w:szCs w:val="32"/>
              </w:rPr>
            </w:pPr>
            <w:r>
              <w:rPr>
                <w:rFonts w:hint="eastAsia" w:ascii="宋体" w:hAnsi="宋体"/>
                <w:sz w:val="24"/>
                <w:szCs w:val="32"/>
              </w:rPr>
              <w:t xml:space="preserve">合同签订后-2026年底</w:t>
            </w:r>
            <w:r/>
          </w:p>
        </w:tc>
        <w:tc>
          <w:tcPr>
            <w:tcW w:w="1980" w:type="pct"/>
            <w:vAlign w:val="center"/>
            <w:textDirection w:val="lrTb"/>
            <w:noWrap w:val="false"/>
          </w:tcPr>
          <w:p>
            <w:pPr>
              <w:jc w:val="center"/>
              <w:spacing w:line="380" w:lineRule="exact"/>
              <w:rPr>
                <w:rFonts w:hint="eastAsia" w:ascii="宋体" w:hAnsi="宋体"/>
                <w:sz w:val="24"/>
                <w:szCs w:val="32"/>
              </w:rPr>
            </w:pPr>
            <w:r>
              <w:rPr>
                <w:rFonts w:ascii="宋体" w:hAnsi="宋体"/>
                <w:sz w:val="24"/>
                <w:szCs w:val="32"/>
              </w:rPr>
              <w:t xml:space="preserve">完成涉公约物质企业现场核查及周边环境风险评估，</w:t>
            </w:r>
            <w:r>
              <w:rPr>
                <w:rFonts w:hint="eastAsia" w:ascii="宋体" w:hAnsi="宋体"/>
                <w:sz w:val="24"/>
                <w:szCs w:val="32"/>
              </w:rPr>
              <w:t xml:space="preserve">完成</w:t>
            </w:r>
            <w:r>
              <w:rPr>
                <w:rFonts w:ascii="宋体" w:hAnsi="宋体"/>
                <w:sz w:val="24"/>
                <w:szCs w:val="32"/>
              </w:rPr>
              <w:t xml:space="preserve">2026年江苏省斯德哥尔摩公约落实年度工作报告。</w:t>
            </w:r>
            <w:bookmarkEnd w:id="30"/>
            <w:bookmarkEnd w:id="31"/>
            <w:r/>
          </w:p>
        </w:tc>
      </w:tr>
    </w:tbl>
    <w:p>
      <w:pPr>
        <w:ind w:firstLine="482"/>
        <w:spacing w:line="440" w:lineRule="exact"/>
        <w:rPr>
          <w:rFonts w:hint="eastAsia" w:ascii="宋体" w:hAnsi="宋体"/>
          <w:b/>
          <w:bCs/>
          <w:sz w:val="24"/>
          <w:szCs w:val="28"/>
        </w:rPr>
      </w:pPr>
      <w:r>
        <w:rPr>
          <w:rFonts w:hint="eastAsia" w:ascii="宋体" w:hAnsi="宋体"/>
          <w:b/>
          <w:bCs/>
          <w:sz w:val="24"/>
          <w:szCs w:val="28"/>
        </w:rPr>
        <w:t xml:space="preserve">四、</w:t>
      </w:r>
      <w:bookmarkStart w:id="32" w:name="OLE_LINK18"/>
      <w:r>
        <w:rPr>
          <w:rFonts w:hint="eastAsia" w:ascii="宋体" w:hAnsi="宋体"/>
          <w:b/>
          <w:bCs/>
          <w:sz w:val="24"/>
          <w:szCs w:val="28"/>
        </w:rPr>
        <w:t xml:space="preserve">预期成果</w:t>
      </w:r>
      <w:bookmarkEnd w:id="32"/>
      <w:r/>
      <w:r/>
    </w:p>
    <w:p>
      <w:pPr>
        <w:ind w:firstLine="480"/>
        <w:spacing w:line="440" w:lineRule="exact"/>
        <w:rPr>
          <w:rFonts w:hint="eastAsia" w:ascii="宋体" w:hAnsi="宋体"/>
          <w:sz w:val="24"/>
          <w:szCs w:val="28"/>
        </w:rPr>
      </w:pPr>
      <w:r>
        <w:rPr>
          <w:rFonts w:hint="eastAsia" w:ascii="宋体" w:hAnsi="宋体"/>
          <w:sz w:val="24"/>
          <w:szCs w:val="28"/>
        </w:rPr>
        <w:t xml:space="preserve">1、完成化学物质环境信息统计调查建议报告，以及化学物质环境信息统计调查相关指南、指引编制；</w:t>
      </w:r>
      <w:r/>
    </w:p>
    <w:p>
      <w:pPr>
        <w:ind w:firstLine="480"/>
        <w:spacing w:line="440" w:lineRule="exact"/>
        <w:rPr>
          <w:rFonts w:hint="eastAsia" w:ascii="宋体" w:hAnsi="宋体"/>
          <w:sz w:val="24"/>
          <w:szCs w:val="28"/>
        </w:rPr>
      </w:pPr>
      <w:r>
        <w:rPr>
          <w:rFonts w:hint="eastAsia" w:ascii="宋体" w:hAnsi="宋体"/>
          <w:sz w:val="24"/>
          <w:szCs w:val="28"/>
        </w:rPr>
        <w:t xml:space="preserve">2、开展新污染物深化治理全程技术帮扶、专家指导，完成化工园区全氟化合物等新污染物溯源解析跟踪评估，形成技术报告。</w:t>
      </w:r>
      <w:r/>
    </w:p>
    <w:p>
      <w:pPr>
        <w:ind w:firstLine="480"/>
        <w:spacing w:line="440" w:lineRule="exact"/>
        <w:rPr>
          <w:rFonts w:hint="eastAsia" w:ascii="宋体" w:hAnsi="宋体"/>
          <w:sz w:val="24"/>
          <w:szCs w:val="28"/>
        </w:rPr>
      </w:pPr>
      <w:r>
        <w:rPr>
          <w:rFonts w:hint="eastAsia" w:ascii="宋体" w:hAnsi="宋体"/>
          <w:sz w:val="24"/>
          <w:szCs w:val="28"/>
        </w:rPr>
        <w:t xml:space="preserve">3、完成涉斯德哥尔摩公约履约物质企业管控措施落实情况调查，编制形成2026年公约履约报告。</w:t>
      </w:r>
      <w:r/>
    </w:p>
    <w:p>
      <w:pPr>
        <w:ind w:firstLine="482"/>
        <w:spacing w:line="440" w:lineRule="exact"/>
        <w:rPr>
          <w:rFonts w:hint="eastAsia" w:ascii="宋体" w:hAnsi="宋体"/>
          <w:b/>
          <w:bCs/>
          <w:sz w:val="24"/>
          <w:szCs w:val="28"/>
        </w:rPr>
      </w:pPr>
      <w:r>
        <w:rPr>
          <w:rFonts w:hint="eastAsia" w:ascii="宋体" w:hAnsi="宋体"/>
          <w:b/>
          <w:bCs/>
          <w:sz w:val="24"/>
          <w:szCs w:val="28"/>
        </w:rPr>
        <w:t xml:space="preserve">五、商务条款要求</w:t>
      </w:r>
      <w:r/>
    </w:p>
    <w:p>
      <w:pPr>
        <w:ind w:firstLine="480"/>
        <w:spacing w:line="440" w:lineRule="exact"/>
        <w:rPr>
          <w:rFonts w:hint="eastAsia" w:ascii="宋体" w:hAnsi="宋体"/>
          <w:sz w:val="24"/>
          <w:szCs w:val="28"/>
        </w:rPr>
      </w:pPr>
      <w:r>
        <w:rPr>
          <w:rFonts w:hint="eastAsia" w:ascii="宋体" w:hAnsi="宋体"/>
          <w:sz w:val="24"/>
          <w:szCs w:val="28"/>
        </w:rPr>
        <w:t xml:space="preserve">1、合同履行期限：合同签订之日至2027年4月底。</w:t>
      </w:r>
      <w:r/>
    </w:p>
    <w:p>
      <w:pPr>
        <w:ind w:left="-15" w:firstLine="480"/>
        <w:spacing w:line="440" w:lineRule="exact"/>
        <w:widowControl/>
        <w:rPr>
          <w:rFonts w:hint="eastAsia" w:ascii="宋体" w:hAnsi="宋体"/>
          <w:sz w:val="24"/>
        </w:rPr>
      </w:pPr>
      <w:r>
        <w:rPr>
          <w:rFonts w:hint="eastAsia" w:ascii="宋体" w:hAnsi="宋体"/>
          <w:sz w:val="24"/>
          <w:szCs w:val="24"/>
        </w:rPr>
        <w:t xml:space="preserve">2、服务地点：江苏省</w:t>
      </w:r>
      <w:r/>
    </w:p>
    <w:p>
      <w:pPr>
        <w:ind w:firstLine="480"/>
        <w:spacing w:line="440" w:lineRule="exact"/>
        <w:rPr>
          <w:rFonts w:hint="eastAsia" w:ascii="宋体" w:hAnsi="宋体"/>
          <w:sz w:val="24"/>
          <w:szCs w:val="28"/>
        </w:rPr>
      </w:pPr>
      <w:r>
        <w:rPr>
          <w:rFonts w:hint="eastAsia" w:ascii="宋体" w:hAnsi="宋体"/>
          <w:sz w:val="24"/>
          <w:szCs w:val="28"/>
        </w:rPr>
        <w:t xml:space="preserve">3、付款方式：合同签订后30日内，支付合同总金额的70%；项目成果全部提交后，支付合同总金额的30%。</w:t>
      </w:r>
      <w:r/>
    </w:p>
    <w:p>
      <w:pPr>
        <w:ind w:left="-15" w:firstLine="480"/>
        <w:spacing w:line="440" w:lineRule="exact"/>
        <w:widowControl/>
        <w:rPr>
          <w:rFonts w:hint="eastAsia" w:ascii="宋体" w:hAnsi="宋体"/>
          <w:sz w:val="24"/>
        </w:rPr>
      </w:pPr>
      <w:r>
        <w:rPr>
          <w:rFonts w:hint="eastAsia" w:ascii="宋体" w:hAnsi="宋体"/>
          <w:sz w:val="24"/>
          <w:szCs w:val="24"/>
        </w:rPr>
        <w:t xml:space="preserve">4、成果交付：根据采购人及合同要求，在服务期满前，提交相关成果材料，提交形式包括电子或纸质材料。</w:t>
      </w:r>
      <w:r/>
    </w:p>
    <w:p>
      <w:pPr>
        <w:ind w:left="-15" w:firstLine="480"/>
        <w:spacing w:line="440" w:lineRule="exact"/>
        <w:widowControl/>
        <w:rPr>
          <w:rFonts w:hint="eastAsia" w:ascii="宋体" w:hAnsi="宋体"/>
          <w:sz w:val="24"/>
          <w:szCs w:val="28"/>
        </w:rPr>
      </w:pPr>
      <w:r>
        <w:rPr>
          <w:rFonts w:hint="eastAsia" w:ascii="宋体" w:hAnsi="宋体"/>
          <w:sz w:val="24"/>
          <w:szCs w:val="24"/>
        </w:rPr>
        <w:t xml:space="preserve">5、报价要求：</w:t>
      </w:r>
      <w:r>
        <w:rPr>
          <w:rFonts w:hint="eastAsia" w:ascii="宋体" w:hAnsi="宋体"/>
          <w:sz w:val="24"/>
          <w:szCs w:val="28"/>
          <w14:ligatures w14:val="standardContextual"/>
        </w:rPr>
        <w:t xml:space="preserve">本项目由投标人负责提供所需服务全部相关工作，故投标人报价须涵盖人工费、调研差旅费、资料印刷费、管理费、税金及利润、招标代理费等项目所需的一切费用。对于本采购文件未列明，而投标人认为必需的费用也需列入总报价。在合同实施时，采购人将不予支付投标人没有列入的项目费用，并认为此项目的费用已包括在总报价中。中标价格一经确认，投标人不得向采购人追加任何费用。</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6、验收标准：采购人在合同履行期间，有权依照采购文件相关要求对中标人提供的相关服务或交付的工作成果进行验收。合同约定的履约验收条件达到时，由采购人依据《江苏省政府采购履约验收管理办法》（苏财规〔2024〕7号），对投标人履行采购合同情况开展一次性验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7、知识产权：</w:t>
      </w:r>
      <w:bookmarkStart w:id="33" w:name="OLE_LINK17"/>
      <w:r>
        <w:rPr>
          <w:rFonts w:ascii="宋体" w:hAnsi="宋体"/>
          <w:sz w:val="24"/>
          <w:szCs w:val="28"/>
          <w14:ligatures w14:val="standardContextual"/>
        </w:rPr>
        <w:t xml:space="preserve">本项目实施过程中所形成的</w:t>
      </w:r>
      <w:bookmarkEnd w:id="33"/>
      <w:r>
        <w:rPr>
          <w:rFonts w:ascii="宋体" w:hAnsi="宋体"/>
          <w:sz w:val="24"/>
          <w:szCs w:val="28"/>
          <w14:ligatures w14:val="standardContextual"/>
        </w:rPr>
        <w:t xml:space="preserve">成果版权归采购人所有，未经同意不得随意传播、复制。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8、项目人员要求：投标人需针对本项目，配备高能力、高资质的相应人员组成项目部，项目的技术负责人和实施人员具备实施类似行业项目的服务经验，能提供快捷的服务响应，能完全参照采购方采购需求，在规定的时限内完成工作任务。在本项目执行期间，项目团队的人员要相对固定，未得到采购方同意不得擅自更换团队服务人员。</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9、保密要求：采购人未公开发布前，任何单位和个人未经采购人同意都无权以任何形式向社会公开展示研究成果。</w:t>
      </w:r>
      <w:r/>
    </w:p>
    <w:p>
      <w:pPr>
        <w:ind w:firstLine="482"/>
        <w:spacing w:line="440" w:lineRule="exact"/>
        <w:rPr>
          <w:rFonts w:hint="eastAsia" w:ascii="宋体" w:hAnsi="宋体"/>
          <w:b/>
          <w:bCs/>
          <w:sz w:val="24"/>
          <w:szCs w:val="28"/>
        </w:rPr>
      </w:pPr>
      <w:r>
        <w:rPr>
          <w:rFonts w:hint="eastAsia" w:ascii="宋体" w:hAnsi="宋体"/>
          <w:b/>
          <w:bCs/>
          <w:sz w:val="24"/>
          <w:szCs w:val="28"/>
        </w:rPr>
        <w:t xml:space="preserve">四、其他要求</w:t>
      </w:r>
      <w:r/>
    </w:p>
    <w:p>
      <w:pPr>
        <w:pStyle w:val="704"/>
        <w:ind w:firstLine="480"/>
        <w:spacing w:line="440" w:lineRule="exact"/>
        <w:rPr>
          <w:rFonts w:hAnsi="宋体"/>
          <w:sz w:val="24"/>
          <w:szCs w:val="24"/>
        </w:rPr>
      </w:pPr>
      <w:r>
        <w:rPr>
          <w:rFonts w:hAnsi="宋体"/>
          <w:sz w:val="24"/>
          <w:szCs w:val="24"/>
        </w:rPr>
        <w:t xml:space="preserve">1、</w:t>
      </w:r>
      <w:r>
        <w:rPr>
          <w:rFonts w:hAnsi="宋体"/>
          <w:bCs/>
          <w:sz w:val="24"/>
          <w:szCs w:val="24"/>
        </w:rPr>
        <w:t xml:space="preserve">投标人</w:t>
      </w:r>
      <w:r>
        <w:rPr>
          <w:rFonts w:hAnsi="宋体"/>
          <w:sz w:val="24"/>
          <w:szCs w:val="24"/>
        </w:rPr>
        <w:t xml:space="preserve">有实施本项目的专业能力及项目经验。</w:t>
      </w:r>
      <w:r/>
    </w:p>
    <w:p>
      <w:pPr>
        <w:pStyle w:val="704"/>
        <w:ind w:firstLine="480"/>
        <w:spacing w:line="440" w:lineRule="exact"/>
        <w:rPr>
          <w:rFonts w:hAnsi="宋体"/>
          <w:sz w:val="24"/>
          <w:szCs w:val="24"/>
        </w:rPr>
      </w:pPr>
      <w:r>
        <w:rPr>
          <w:rFonts w:hAnsi="宋体"/>
          <w:sz w:val="24"/>
          <w:szCs w:val="24"/>
        </w:rPr>
        <w:t xml:space="preserve">2、</w:t>
      </w:r>
      <w:r>
        <w:rPr>
          <w:rFonts w:hAnsi="宋体"/>
          <w:bCs/>
          <w:sz w:val="24"/>
          <w:szCs w:val="24"/>
        </w:rPr>
        <w:t xml:space="preserve">投标人</w:t>
      </w:r>
      <w:r>
        <w:rPr>
          <w:rFonts w:hAnsi="宋体"/>
          <w:sz w:val="24"/>
          <w:szCs w:val="24"/>
        </w:rPr>
        <w:t xml:space="preserve">应具有实施本项目的技术能力，提供技术方案。</w:t>
      </w:r>
      <w:r/>
    </w:p>
    <w:p>
      <w:pPr>
        <w:ind w:left="-15" w:firstLine="480"/>
        <w:spacing w:line="440" w:lineRule="exact"/>
        <w:widowControl/>
        <w:rPr>
          <w:rFonts w:hint="eastAsia" w:ascii="宋体" w:hAnsi="宋体"/>
          <w:sz w:val="24"/>
        </w:rPr>
      </w:pPr>
      <w:r>
        <w:rPr>
          <w:rFonts w:hint="eastAsia" w:ascii="宋体" w:hAnsi="宋体"/>
          <w:sz w:val="24"/>
          <w:szCs w:val="24"/>
        </w:rPr>
        <w:t xml:space="preserve">（1）项目理解：对项目最新政策背景要求、工作内容及最终成果有深刻的了解及认知。</w:t>
      </w:r>
      <w:r/>
    </w:p>
    <w:p>
      <w:pPr>
        <w:ind w:left="-15" w:firstLine="480"/>
        <w:spacing w:line="440" w:lineRule="exact"/>
        <w:widowControl/>
        <w:rPr>
          <w:rFonts w:hint="eastAsia" w:ascii="宋体" w:hAnsi="宋体"/>
          <w:sz w:val="24"/>
        </w:rPr>
      </w:pPr>
      <w:r>
        <w:rPr>
          <w:rFonts w:hint="eastAsia" w:ascii="宋体" w:hAnsi="宋体"/>
          <w:sz w:val="24"/>
          <w:szCs w:val="24"/>
        </w:rPr>
        <w:t xml:space="preserve">（2）工作计划：科学制定完全匹配项目工作内容的技术方案，详细阐述化学物质环境信息统计调查质控流程、数据核查方法等全套技术方法，贴合国家最新化学物质调查</w:t>
      </w:r>
      <w:r>
        <w:rPr>
          <w:rFonts w:hint="eastAsia" w:ascii="宋体" w:hAnsi="宋体"/>
          <w:sz w:val="24"/>
          <w:szCs w:val="24"/>
        </w:rPr>
        <w:t xml:space="preserve">统计规范；针对化工园区全氟化合物等新污染物，制定完善的溯源排查、污染来源解析、风险评估全套技术方案；制定完善的现场核查流程、履约物质排查清单、企业管控措施核查要点、合规性判定等技术内容，贴合国际公约及国内管控政策，方案详实可落地。</w:t>
      </w:r>
      <w:r/>
    </w:p>
    <w:p>
      <w:pPr>
        <w:ind w:left="-15" w:firstLine="480"/>
        <w:spacing w:line="440" w:lineRule="exact"/>
        <w:widowControl/>
        <w:rPr>
          <w:rFonts w:hint="eastAsia" w:ascii="宋体" w:hAnsi="宋体"/>
          <w:sz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）进度计划安排：制定细化的阶段性进度计划表，明确各工作模块完成时限、节点目标，同时配备进度管控、应急调整机制。</w:t>
      </w:r>
      <w:r/>
    </w:p>
    <w:p>
      <w:pPr>
        <w:ind w:left="-15" w:firstLine="480"/>
        <w:spacing w:line="440" w:lineRule="exact"/>
        <w:widowControl/>
        <w:rPr>
          <w:rFonts w:hint="eastAsia" w:ascii="宋体" w:hAnsi="宋体"/>
          <w:sz w:val="24"/>
        </w:rPr>
      </w:pPr>
      <w:r>
        <w:rPr>
          <w:rFonts w:hint="eastAsia" w:ascii="宋体" w:hAnsi="宋体"/>
          <w:sz w:val="24"/>
          <w:szCs w:val="24"/>
        </w:rPr>
        <w:t xml:space="preserve">（4）质量保证：结合供应商的内部管理流程、技术力量、质量保证体系等因素，科学、合理地提出本项目质量保障举措。</w:t>
      </w:r>
      <w:r/>
    </w:p>
    <w:p>
      <w:pPr>
        <w:ind w:left="-15" w:firstLine="480"/>
        <w:spacing w:line="440" w:lineRule="exact"/>
        <w:widowControl/>
        <w:rPr>
          <w:rFonts w:hint="eastAsia" w:ascii="宋体" w:hAnsi="宋体"/>
          <w:sz w:val="24"/>
        </w:rPr>
      </w:pPr>
      <w:r>
        <w:rPr>
          <w:rFonts w:hint="eastAsia" w:ascii="宋体" w:hAnsi="宋体"/>
          <w:sz w:val="24"/>
          <w:szCs w:val="24"/>
        </w:rPr>
        <w:t xml:space="preserve">（5）项目重难点的分析和解决方案：在充分研究各项工作任务工作内容的基础上，系统分析预判该项目的重点难点，并针对重点难点任务给出可行的解决方案。</w:t>
      </w:r>
      <w:r/>
    </w:p>
    <w:p>
      <w:pPr>
        <w:spacing w:line="440" w:lineRule="exact"/>
        <w:rPr>
          <w:rFonts w:hint="eastAsia" w:ascii="宋体" w:hAnsi="宋体"/>
          <w:bCs/>
          <w:sz w:val="24"/>
          <w:szCs w:val="24"/>
        </w:rPr>
      </w:pPr>
      <w:r>
        <w:rPr>
          <w:rFonts w:hint="eastAsia" w:ascii="宋体" w:hAnsi="宋体"/>
          <w:bCs/>
          <w:sz w:val="24"/>
          <w:szCs w:val="24"/>
        </w:rPr>
      </w:r>
      <w:r/>
    </w:p>
    <w:p>
      <w:pPr>
        <w:spacing w:line="440" w:lineRule="exact"/>
        <w:rPr>
          <w:rFonts w:hint="eastAsia" w:ascii="宋体" w:hAnsi="宋体"/>
          <w:bCs/>
          <w:sz w:val="24"/>
          <w:szCs w:val="24"/>
        </w:rPr>
      </w:pPr>
      <w:r>
        <w:rPr>
          <w:rFonts w:hint="eastAsia" w:ascii="宋体" w:hAnsi="宋体"/>
          <w:bCs/>
          <w:sz w:val="24"/>
          <w:szCs w:val="24"/>
        </w:rPr>
      </w:r>
      <w:r/>
    </w:p>
    <w:p>
      <w:pPr>
        <w:spacing w:line="440" w:lineRule="exact"/>
        <w:rPr>
          <w:b/>
          <w:bCs/>
          <w:sz w:val="28"/>
          <w:szCs w:val="24"/>
        </w:rPr>
      </w:pPr>
      <w:r>
        <w:rPr>
          <w:b/>
          <w:bCs/>
          <w:sz w:val="28"/>
          <w:szCs w:val="24"/>
        </w:rPr>
      </w:r>
      <w:r/>
    </w:p>
    <w:p>
      <w:pPr>
        <w:spacing w:line="440" w:lineRule="exact"/>
        <w:rPr>
          <w:rFonts w:hint="eastAsia" w:ascii="宋体" w:hAnsi="宋体"/>
          <w:bCs/>
          <w:szCs w:val="21"/>
        </w:rPr>
      </w:pPr>
      <w:r/>
      <w:bookmarkStart w:id="34" w:name="_Toc129876277"/>
      <w:r/>
      <w:bookmarkStart w:id="35" w:name="_Toc101206002"/>
      <w:r/>
      <w:bookmarkEnd w:id="29"/>
      <w:r>
        <w:rPr>
          <w:rFonts w:hint="eastAsia" w:ascii="宋体" w:hAnsi="宋体"/>
          <w:sz w:val="32"/>
          <w:szCs w:val="32"/>
        </w:rPr>
        <w:br w:type="page" w:clear="all"/>
      </w:r>
      <w:bookmarkEnd w:id="34"/>
      <w:bookmarkEnd w:id="35"/>
      <w:r/>
    </w:p>
    <w:p>
      <w:pPr>
        <w:spacing w:before="19"/>
        <w:widowControl/>
        <w:rPr>
          <w:rFonts w:hint="eastAsia" w:ascii="宋体" w:hAnsi="宋体"/>
          <w:sz w:val="32"/>
          <w:szCs w:val="32"/>
        </w:rPr>
      </w:pPr>
      <w:r>
        <w:rPr>
          <w:rFonts w:hint="eastAsia" w:ascii="宋体" w:hAnsi="宋体"/>
          <w:sz w:val="32"/>
          <w:szCs w:val="32"/>
        </w:rPr>
      </w:r>
      <w:r/>
    </w:p>
    <w:p>
      <w:pPr>
        <w:pStyle w:val="689"/>
        <w:jc w:val="center"/>
        <w:spacing w:line="240" w:lineRule="auto"/>
        <w:rPr>
          <w:rFonts w:hint="eastAsia" w:ascii="宋体" w:hAnsi="宋体"/>
          <w:sz w:val="32"/>
          <w:szCs w:val="32"/>
        </w:rPr>
      </w:pPr>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采购合同文本</w:t>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800" w:lineRule="exact"/>
        <w:rPr>
          <w:sz w:val="30"/>
        </w:rPr>
      </w:pPr>
      <w:r>
        <w:rPr>
          <w:rFonts w:hint="eastAsia" w:cs="宋体" w:asciiTheme="minorEastAsia" w:hAnsiTheme="minorEastAsia" w:eastAsiaTheme="minorEastAsia"/>
          <w:sz w:val="24"/>
        </w:rPr>
        <w:br w:type="page" w:clear="all"/>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JSZC-320000-JSSJ-G2026-0010</w:t>
      </w:r>
      <w:r>
        <w:rPr>
          <w:rFonts w:hint="eastAsia" w:ascii="宋体" w:hAnsi="宋体"/>
          <w:sz w:val="24"/>
          <w:szCs w:val="24"/>
        </w:rPr>
        <w:t xml:space="preserve">的</w:t>
      </w:r>
      <w:r>
        <w:rPr>
          <w:rFonts w:hint="eastAsia" w:ascii="宋体" w:hAnsi="宋体"/>
          <w:sz w:val="24"/>
          <w:szCs w:val="24"/>
          <w:u w:val="single"/>
        </w:rPr>
        <w:t xml:space="preserve">2026年新污染物治理项目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rPr>
          <w:rFonts w:hint="eastAsia" w:ascii="宋体" w:hAnsi="宋体"/>
          <w:sz w:val="24"/>
          <w:szCs w:val="24"/>
          <w:u w:val="single"/>
        </w:rPr>
        <w:t xml:space="preserve">2026年新污染物治理</w:t>
      </w:r>
      <w:r/>
    </w:p>
    <w:p>
      <w:pPr>
        <w:ind w:firstLine="600"/>
        <w:spacing w:before="19"/>
        <w:widowControl/>
        <w:rPr>
          <w:rFonts w:hint="eastAsia" w:ascii="宋体" w:hAnsi="宋体"/>
          <w:sz w:val="24"/>
          <w:szCs w:val="24"/>
        </w:rPr>
      </w:pPr>
      <w:r>
        <w:rPr>
          <w:rFonts w:hint="eastAsia" w:ascii="宋体" w:hAnsi="宋体"/>
          <w:sz w:val="24"/>
          <w:szCs w:val="24"/>
        </w:rPr>
        <w:t xml:space="preserve">2.服务内容：</w:t>
      </w:r>
      <w:r>
        <w:rPr>
          <w:rFonts w:hint="eastAsia" w:ascii="宋体" w:hAnsi="宋体"/>
          <w:sz w:val="24"/>
          <w:szCs w:val="24"/>
          <w:u w:val="single"/>
        </w:rPr>
        <w:t xml:space="preserve">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3.服务期限：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4.补充条款：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36" w:name="hetong_bigmoney"/>
      <w:r/>
      <w:bookmarkEnd w:id="36"/>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w:t>
      </w:r>
      <w:bookmarkStart w:id="37" w:name="hetong_money"/>
      <w:r/>
      <w:bookmarkEnd w:id="37"/>
      <w:r>
        <w:rPr>
          <w:rFonts w:hint="eastAsia" w:ascii="宋体" w:hAnsi="宋体"/>
          <w:sz w:val="24"/>
          <w:szCs w:val="24"/>
          <w:u w:val="single"/>
        </w:rPr>
        <w:t xml:space="preserve">        .)</w:t>
      </w:r>
      <w:r>
        <w:rPr>
          <w:rFonts w:hint="eastAsia" w:ascii="宋体" w:hAnsi="宋体"/>
          <w:sz w:val="24"/>
          <w:szCs w:val="24"/>
        </w:rPr>
        <w:t xml:space="preserve">，本合同价款包含所有乙方提供合同约定的服务内容的报酬及乙方提供该项服务所支出的必要费用（包括中标服务费），甲方在上述合同价款之外不再向乙方支付其他任何费用。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本合同项下服务的提供参照合同文件的具体要求履行，甲乙双方通过补充条款进行特殊约定的从其约定。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1.甲方在合同履行期间，有权对乙方提供的相关服务或交付的工作成果进行验收，验收时甲方可对每一项服务的履约情况进行确认。</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3.如有必要，甲方邀请参加本项目的其他供应商或第三方专业机构及专家参与验收,相关意见将作为验收书的参考资料。</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5.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38" w:name="purchase_relation_name"/>
      <w:r/>
      <w:bookmarkEnd w:id="38"/>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39" w:name="purchase_relation_tel"/>
      <w:r/>
      <w:bookmarkEnd w:id="39"/>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40" w:name="supplier_relation_name"/>
      <w:r/>
      <w:bookmarkEnd w:id="40"/>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41" w:name="supplier_relation_tel"/>
      <w:r/>
      <w:bookmarkEnd w:id="41"/>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1.中标人应按以下第（</w:t>
      </w:r>
      <w:r>
        <w:rPr>
          <w:rFonts w:ascii="宋体" w:hAnsi="宋体"/>
          <w:sz w:val="24"/>
          <w:szCs w:val="24"/>
        </w:rPr>
        <w:t xml:space="preserve">1）</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rPr>
          <w:rFonts w:hint="eastAsia" w:ascii="宋体" w:hAnsi="宋体"/>
          <w:sz w:val="24"/>
          <w:szCs w:val="24"/>
        </w:rPr>
      </w:pPr>
      <w:r>
        <w:rPr>
          <w:rFonts w:hint="eastAsia" w:ascii="宋体" w:hAnsi="宋体"/>
          <w:sz w:val="24"/>
          <w:szCs w:val="28"/>
        </w:rPr>
        <w:t xml:space="preserve">合同签订后30日内，支付合同总金额的70%；项目成果全部提交后，支付合同总金额的30%</w:t>
      </w:r>
      <w:r>
        <w:rPr>
          <w:rFonts w:hint="eastAsia" w:ascii="宋体" w:hAnsi="宋体"/>
          <w:sz w:val="24"/>
          <w:szCs w:val="24"/>
        </w:rPr>
        <w:t xml:space="preserve">。</w:t>
      </w:r>
      <w:r/>
    </w:p>
    <w:p>
      <w:pPr>
        <w:ind w:firstLine="482"/>
        <w:rPr>
          <w:rFonts w:hint="eastAsia" w:ascii="宋体" w:hAnsi="宋体"/>
          <w:b/>
          <w:bCs/>
          <w:sz w:val="24"/>
          <w:szCs w:val="24"/>
        </w:rPr>
      </w:pPr>
      <w:r>
        <w:rPr>
          <w:rFonts w:hint="eastAsia" w:ascii="宋体" w:hAnsi="宋体"/>
          <w:b/>
          <w:bCs/>
          <w:sz w:val="24"/>
          <w:szCs w:val="24"/>
        </w:rPr>
        <w:t xml:space="preserve">九、税费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十二、违约责任</w:t>
      </w:r>
      <w:r/>
    </w:p>
    <w:p>
      <w:pPr>
        <w:ind w:firstLine="480"/>
        <w:rPr>
          <w:rFonts w:hint="eastAsia" w:ascii="宋体" w:hAnsi="宋体"/>
          <w:color w:val="000000"/>
          <w:sz w:val="24"/>
          <w:szCs w:val="24"/>
          <w:lang w:val="zh-CN"/>
        </w:rPr>
      </w:pPr>
      <w:r/>
      <w:bookmarkStart w:id="42" w:name="_Hlk225518649"/>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w:t>
      </w:r>
      <w:r>
        <w:rPr>
          <w:rFonts w:hint="eastAsia" w:ascii="宋体" w:hAnsi="宋体"/>
          <w:color w:val="000000"/>
          <w:sz w:val="24"/>
          <w:szCs w:val="24"/>
          <w:lang w:val="zh-CN"/>
        </w:rPr>
        <w:t xml:space="preserve">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bookmarkEnd w:id="42"/>
      <w:r>
        <w:rPr>
          <w:rFonts w:hint="eastAsia" w:ascii="宋体" w:hAnsi="宋体"/>
          <w:color w:val="000000"/>
          <w:sz w:val="24"/>
          <w:szCs w:val="24"/>
          <w:lang w:val="zh-CN"/>
        </w:rPr>
        <w:t xml:space="preserve">。</w:t>
      </w:r>
      <w:r/>
    </w:p>
    <w:p>
      <w:pPr>
        <w:ind w:firstLine="482"/>
        <w:rPr>
          <w:rFonts w:hint="eastAsia" w:ascii="宋体" w:hAnsi="宋体"/>
          <w:b/>
          <w:bCs/>
          <w:sz w:val="24"/>
          <w:szCs w:val="24"/>
        </w:rPr>
      </w:pPr>
      <w:r>
        <w:rPr>
          <w:rFonts w:hint="eastAsia" w:ascii="宋体" w:hAnsi="宋体"/>
          <w:b/>
          <w:bCs/>
          <w:sz w:val="24"/>
          <w:szCs w:val="24"/>
        </w:rPr>
        <w:t xml:space="preserve">十三、不可抗力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本合同一式叁份，中文书写。甲乙双方各执一份，代理采购机构执一份。</w:t>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43" w:name="suppliers_name_one"/>
      <w:r/>
      <w:bookmarkEnd w:id="43"/>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32"/>
          <w:szCs w:val="32"/>
        </w:rPr>
        <w:br/>
      </w:r>
      <w:r>
        <w:rPr>
          <w:rFonts w:ascii="宋体" w:hAnsi="宋体"/>
          <w:sz w:val="32"/>
          <w:szCs w:val="32"/>
        </w:rPr>
        <w:br/>
      </w:r>
      <w:r>
        <w:rPr>
          <w:rFonts w:ascii="宋体" w:hAnsi="宋体"/>
          <w:sz w:val="32"/>
          <w:szCs w:val="32"/>
        </w:rPr>
        <w:br/>
      </w:r>
      <w:r/>
    </w:p>
    <w:p>
      <w:pPr>
        <w:spacing w:before="19"/>
        <w:widowControl/>
        <w:rPr>
          <w:rFonts w:hint="eastAsia" w:ascii="宋体" w:hAnsi="宋体"/>
          <w:sz w:val="32"/>
          <w:szCs w:val="32"/>
        </w:rPr>
      </w:pPr>
      <w:r>
        <w:rPr>
          <w:rFonts w:hint="eastAsia" w:ascii="宋体" w:hAnsi="宋体"/>
          <w:sz w:val="32"/>
          <w:szCs w:val="32"/>
        </w:rPr>
      </w:r>
      <w:r/>
    </w:p>
    <w:p>
      <w:pPr>
        <w:pStyle w:val="689"/>
        <w:jc w:val="center"/>
        <w:spacing w:line="240" w:lineRule="auto"/>
        <w:rPr>
          <w:rFonts w:hint="eastAsia" w:ascii="宋体" w:hAnsi="宋体"/>
          <w:sz w:val="40"/>
          <w:szCs w:val="40"/>
        </w:rPr>
      </w:pPr>
      <w:r/>
      <w:bookmarkStart w:id="44"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25"/>
      <w:r/>
      <w:bookmarkEnd w:id="26"/>
      <w:r/>
      <w:bookmarkEnd w:id="28"/>
      <w:r/>
      <w:bookmarkEnd w:id="44"/>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ind w:firstLine="1124"/>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sz w:val="40"/>
          <w:szCs w:val="40"/>
        </w:rPr>
      </w:pPr>
      <w:r/>
      <w:bookmarkStart w:id="45" w:name="_Toc351733256"/>
      <w:r/>
      <w:bookmarkStart w:id="46" w:name="_Toc384716020"/>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47" w:name="_Toc479456129"/>
      <w:r/>
      <w:bookmarkStart w:id="48" w:name="_Toc76893594"/>
      <w:r/>
      <w:bookmarkStart w:id="49" w:name="_Toc449539282"/>
      <w:r>
        <w:rPr>
          <w:szCs w:val="24"/>
        </w:rPr>
        <w:br w:type="page" w:clear="all"/>
      </w:r>
      <w:r/>
    </w:p>
    <w:p>
      <w:pPr>
        <w:pStyle w:val="690"/>
        <w:numPr>
          <w:ilvl w:val="0"/>
          <w:numId w:val="2"/>
        </w:numPr>
        <w:spacing w:line="240" w:lineRule="auto"/>
        <w:rPr>
          <w:sz w:val="28"/>
          <w:szCs w:val="28"/>
        </w:rPr>
      </w:pPr>
      <w:r/>
      <w:bookmarkStart w:id="50" w:name="_Toc129876279"/>
      <w:r/>
      <w:bookmarkStart w:id="51" w:name="_Toc128508979"/>
      <w:r>
        <w:rPr>
          <w:rFonts w:hint="eastAsia"/>
          <w:sz w:val="28"/>
          <w:szCs w:val="28"/>
        </w:rPr>
        <w:t xml:space="preserve">投标函、投标报价及项目相关文件</w:t>
      </w:r>
      <w:bookmarkEnd w:id="47"/>
      <w:r/>
      <w:bookmarkEnd w:id="48"/>
      <w:r/>
      <w:bookmarkEnd w:id="49"/>
      <w:r/>
      <w:bookmarkEnd w:id="50"/>
      <w:r/>
      <w:bookmarkEnd w:id="51"/>
      <w:r/>
      <w:r/>
    </w:p>
    <w:p>
      <w:r/>
      <w:r/>
    </w:p>
    <w:p>
      <w:pPr>
        <w:pStyle w:val="691"/>
        <w:jc w:val="center"/>
        <w:spacing w:line="240" w:lineRule="auto"/>
        <w:rPr>
          <w:rFonts w:hint="eastAsia" w:ascii="宋体" w:hAnsi="宋体"/>
          <w:sz w:val="24"/>
          <w:szCs w:val="24"/>
        </w:rPr>
      </w:pPr>
      <w:r/>
      <w:bookmarkStart w:id="52" w:name="_Toc128508980"/>
      <w:r/>
      <w:bookmarkStart w:id="53" w:name="_Toc101797548"/>
      <w:r/>
      <w:bookmarkStart w:id="54" w:name="_Toc76893595"/>
      <w:r/>
      <w:bookmarkStart w:id="55" w:name="_Toc449539283"/>
      <w:r/>
      <w:bookmarkStart w:id="56" w:name="_Toc101280174"/>
      <w:r/>
      <w:bookmarkStart w:id="57" w:name="_Toc101280227"/>
      <w:r/>
      <w:bookmarkStart w:id="58" w:name="_Toc101862114"/>
      <w:r/>
      <w:bookmarkStart w:id="59" w:name="_Toc78882146"/>
      <w:r/>
      <w:bookmarkStart w:id="60" w:name="_Toc129876280"/>
      <w:r>
        <w:rPr>
          <w:rFonts w:hint="eastAsia" w:ascii="宋体" w:hAnsi="宋体"/>
          <w:sz w:val="24"/>
          <w:szCs w:val="24"/>
        </w:rPr>
        <w:t xml:space="preserve">1.</w:t>
      </w:r>
      <w:bookmarkStart w:id="61" w:name="_Hlk227060039"/>
      <w:r/>
      <w:bookmarkStart w:id="62" w:name="OLE_LINK10"/>
      <w:r>
        <w:rPr>
          <w:rFonts w:hint="eastAsia" w:ascii="宋体" w:hAnsi="宋体"/>
          <w:sz w:val="24"/>
          <w:szCs w:val="24"/>
        </w:rPr>
        <w:t xml:space="preserve">投标函</w:t>
      </w:r>
      <w:bookmarkEnd w:id="52"/>
      <w:r/>
      <w:bookmarkEnd w:id="53"/>
      <w:r/>
      <w:bookmarkEnd w:id="54"/>
      <w:r/>
      <w:bookmarkEnd w:id="55"/>
      <w:r/>
      <w:bookmarkEnd w:id="56"/>
      <w:r/>
      <w:bookmarkEnd w:id="57"/>
      <w:r/>
      <w:bookmarkEnd w:id="58"/>
      <w:r/>
      <w:bookmarkEnd w:id="59"/>
      <w:r/>
      <w:bookmarkEnd w:id="60"/>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2026年新污染物治理项目</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JSZC-320000-JSSJ-G2026-0010</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1、我们郑重承诺：我们是符合</w:t>
      </w:r>
      <w:r>
        <w:rPr>
          <w:rFonts w:hint="eastAsia" w:hAnsi="宋体"/>
          <w:sz w:val="24"/>
          <w:szCs w:val="24"/>
        </w:rPr>
        <w:t xml:space="preserve">《中华人民共和国政府采购法》</w:t>
      </w:r>
      <w:r>
        <w:rPr>
          <w:rFonts w:hint="eastAsia" w:ascii="宋体" w:hAnsi="宋体" w:cs="新宋体"/>
          <w:sz w:val="24"/>
          <w:szCs w:val="24"/>
        </w:rPr>
        <w:t xml:space="preserve">第二十二条规定的供应商，本投标文件中提供的所有材料均是真实有效的。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投标人全称：</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63" w:name="_Toc403992032"/>
      <w:r/>
      <w:bookmarkStart w:id="64" w:name="_Toc464044789"/>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bookmarkEnd w:id="61"/>
      <w:r/>
    </w:p>
    <w:p>
      <w:r/>
      <w:bookmarkEnd w:id="62"/>
      <w:r/>
    </w:p>
    <w:p>
      <w:pPr>
        <w:pStyle w:val="691"/>
        <w:jc w:val="center"/>
        <w:spacing w:line="240" w:lineRule="auto"/>
        <w:rPr>
          <w:rFonts w:hint="eastAsia" w:ascii="宋体" w:hAnsi="宋体"/>
          <w:sz w:val="24"/>
          <w:szCs w:val="24"/>
        </w:rPr>
      </w:pPr>
      <w:r>
        <w:br w:type="page" w:clear="all"/>
      </w:r>
      <w:bookmarkStart w:id="65" w:name="_Toc101280228"/>
      <w:r/>
      <w:bookmarkStart w:id="66" w:name="_Toc101797549"/>
      <w:r/>
      <w:bookmarkStart w:id="67" w:name="_Toc101862115"/>
      <w:r/>
      <w:bookmarkStart w:id="68" w:name="_Toc76893596"/>
      <w:r/>
      <w:bookmarkStart w:id="69" w:name="_Toc101280175"/>
      <w:r/>
      <w:bookmarkStart w:id="70" w:name="_Toc129876281"/>
      <w:r/>
      <w:bookmarkStart w:id="71" w:name="_Toc128508981"/>
      <w:r/>
      <w:bookmarkStart w:id="72" w:name="_Toc78882147"/>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w:t>
      </w:r>
      <w:r>
        <w:rPr>
          <w:rFonts w:hint="eastAsia"/>
          <w:bCs/>
          <w:color w:val="000000"/>
          <w:sz w:val="24"/>
          <w:szCs w:val="24"/>
        </w:rPr>
        <w:t xml:space="preserve">被授权人的姓名</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JSZC-320000-JSSJ-G2026-0010</w:t>
      </w:r>
      <w:r>
        <w:rPr>
          <w:rFonts w:hint="eastAsia" w:ascii="宋体" w:hAnsi="宋体"/>
          <w:sz w:val="24"/>
          <w:szCs w:val="24"/>
          <w:u w:val="single"/>
        </w:rPr>
        <w:t xml:space="preserve">）2026年新污染物治理</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t xml:space="preserve">投标人全称（加盖CA电子公章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360" w:lineRule="auto"/>
        <w:shd w:val="clear" w:color="auto" w:fill="ffffff"/>
        <w:widowControl/>
        <w:rPr>
          <w:b/>
          <w:sz w:val="24"/>
          <w:szCs w:val="24"/>
        </w:rPr>
      </w:pPr>
      <w:r>
        <w:rPr>
          <w:b/>
          <w:sz w:val="24"/>
          <w:szCs w:val="24"/>
        </w:rPr>
        <w:t xml:space="preserve">附：法定代表人身份证复印件（正反面）及法定代表人授权代表身份证复印件（正反面）</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691"/>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63"/>
      <w:r/>
      <w:bookmarkEnd w:id="64"/>
      <w:r/>
      <w:bookmarkEnd w:id="65"/>
      <w:r/>
      <w:bookmarkEnd w:id="66"/>
      <w:r/>
      <w:bookmarkEnd w:id="67"/>
      <w:r/>
      <w:bookmarkEnd w:id="68"/>
      <w:r/>
      <w:bookmarkEnd w:id="69"/>
      <w:r/>
      <w:bookmarkEnd w:id="70"/>
      <w:r/>
      <w:bookmarkEnd w:id="71"/>
      <w:r/>
      <w:bookmarkEnd w:id="72"/>
      <w:r/>
      <w:r/>
    </w:p>
    <w:p>
      <w:pPr>
        <w:ind w:firstLine="482"/>
        <w:spacing w:line="0" w:lineRule="atLeast"/>
        <w:rPr>
          <w:rFonts w:ascii="宋体"/>
          <w:color w:val="000000"/>
          <w:sz w:val="24"/>
          <w:szCs w:val="24"/>
        </w:rPr>
      </w:pPr>
      <w:r>
        <w:rPr>
          <w:rFonts w:hint="eastAsia" w:ascii="宋体"/>
          <w:color w:val="000000"/>
          <w:sz w:val="24"/>
          <w:szCs w:val="24"/>
        </w:rPr>
        <w:t xml:space="preserve">投标人全称（加盖CA电子公章）：</w:t>
      </w:r>
      <w:r/>
    </w:p>
    <w:p>
      <w:pPr>
        <w:ind w:firstLine="482"/>
        <w:spacing w:line="0" w:lineRule="atLeast"/>
        <w:rPr>
          <w:color w:val="000000"/>
          <w:sz w:val="24"/>
          <w:szCs w:val="24"/>
        </w:rPr>
      </w:pPr>
      <w:r>
        <w:rPr>
          <w:rFonts w:hint="eastAsia" w:ascii="宋体"/>
          <w:color w:val="000000"/>
          <w:sz w:val="24"/>
          <w:szCs w:val="24"/>
        </w:rPr>
        <w:t xml:space="preserve">项目名称：</w:t>
      </w:r>
      <w:r/>
    </w:p>
    <w:p>
      <w:pPr>
        <w:ind w:firstLine="482"/>
        <w:spacing w:line="0" w:lineRule="atLeast"/>
        <w:rPr>
          <w:rFonts w:ascii="宋体"/>
          <w:color w:val="000000"/>
          <w:sz w:val="24"/>
          <w:szCs w:val="24"/>
        </w:rPr>
      </w:pPr>
      <w:r>
        <w:rPr>
          <w:rFonts w:hint="eastAsia" w:ascii="宋体"/>
          <w:color w:val="000000"/>
          <w:sz w:val="24"/>
          <w:szCs w:val="24"/>
        </w:rPr>
        <w:t xml:space="preserve">采购编号：                                   </w:t>
      </w:r>
      <w:r/>
    </w:p>
    <w:p>
      <w:pPr>
        <w:ind w:firstLine="482"/>
        <w:spacing w:line="0" w:lineRule="atLeast"/>
        <w:rPr>
          <w:rFonts w:ascii="宋体"/>
          <w:color w:val="000000"/>
          <w:sz w:val="24"/>
          <w:szCs w:val="24"/>
        </w:rPr>
      </w:pPr>
      <w:r>
        <w:rPr>
          <w:rFonts w:hint="eastAsia" w:asci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color w:val="000000"/>
                <w:sz w:val="24"/>
                <w:szCs w:val="24"/>
              </w:rPr>
            </w:pPr>
            <w:r>
              <w:rPr>
                <w:rFonts w:hint="eastAsia" w:ascii="宋体" w:cs="宋体"/>
                <w:color w:val="000000"/>
                <w:sz w:val="24"/>
                <w:szCs w:val="24"/>
              </w:rPr>
              <w:t xml:space="preserve">                        </w:t>
            </w:r>
            <w:r>
              <w:rPr>
                <w:rFonts w:hint="eastAsia" w:ascii="宋体"/>
                <w:color w:val="000000"/>
                <w:sz w:val="24"/>
                <w:szCs w:val="24"/>
              </w:rPr>
              <w:t xml:space="preserve">投标总报价</w:t>
            </w:r>
            <w:r/>
          </w:p>
        </w:tc>
      </w:tr>
      <w:tr>
        <w:trPr>
          <w:cantSplit/>
          <w:trHeight w:val="1060"/>
        </w:trPr>
        <w:tc>
          <w:tcPr>
            <w:tcW w:w="8780" w:type="dxa"/>
            <w:vAlign w:val="center"/>
            <w:textDirection w:val="lrTb"/>
            <w:noWrap w:val="false"/>
          </w:tcPr>
          <w:p>
            <w:pPr>
              <w:pStyle w:val="727"/>
              <w:ind w:firstLine="0"/>
              <w:spacing w:before="0" w:after="0" w:line="500" w:lineRule="exact"/>
              <w:rPr>
                <w:rFonts w:ascii="宋体"/>
                <w:color w:val="000000"/>
                <w:szCs w:val="21"/>
              </w:rPr>
            </w:pPr>
            <w:r>
              <w:rPr>
                <w:rFonts w:hint="eastAsia" w:ascii="宋体" w:cs="宋体"/>
                <w:color w:val="000000"/>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73" w:name="_Toc351733251"/>
      <w:r/>
      <w:bookmarkStart w:id="74" w:name="_Toc365968486"/>
      <w:r/>
      <w:bookmarkStart w:id="75" w:name="_Toc448871080"/>
      <w:r/>
      <w:bookmarkStart w:id="76" w:name="_Toc460850159"/>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77" w:name="_Hlk129938483"/>
      <w:r>
        <w:rPr>
          <w:rFonts w:hint="eastAsia" w:ascii="宋体" w:hAnsi="宋体"/>
          <w:sz w:val="24"/>
          <w:szCs w:val="24"/>
        </w:rPr>
        <w:t xml:space="preserve">有关本项目实施所涉及的一切费用均计入报价</w:t>
      </w:r>
      <w:bookmarkEnd w:id="77"/>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15"/>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r/>
      <w:r/>
    </w:p>
    <w:p>
      <w:pPr>
        <w:pStyle w:val="691"/>
        <w:jc w:val="center"/>
        <w:tabs>
          <w:tab w:val="left" w:pos="2730" w:leader="none"/>
        </w:tabs>
        <w:rPr>
          <w:rFonts w:hint="eastAsia" w:ascii="宋体" w:hAnsi="宋体"/>
          <w:sz w:val="24"/>
          <w:szCs w:val="24"/>
        </w:rPr>
      </w:pPr>
      <w:r/>
      <w:bookmarkStart w:id="78" w:name="_Toc76893246"/>
      <w:r/>
      <w:bookmarkStart w:id="79" w:name="_Toc27654208"/>
      <w:r/>
      <w:bookmarkStart w:id="80" w:name="_Toc128508982"/>
      <w:r/>
      <w:bookmarkStart w:id="81" w:name="_Toc101280229"/>
      <w:r/>
      <w:bookmarkStart w:id="82" w:name="_Toc101438300"/>
      <w:r/>
      <w:bookmarkStart w:id="83" w:name="_Toc129876282"/>
      <w:r/>
      <w:bookmarkStart w:id="84" w:name="_Toc101280176"/>
      <w:r/>
      <w:bookmarkStart w:id="85" w:name="_Toc78882148"/>
      <w:r/>
      <w:bookmarkStart w:id="86" w:name="_Toc76893597"/>
      <w:r/>
      <w:bookmarkStart w:id="87" w:name="_Toc8068369"/>
      <w:r/>
      <w:bookmarkStart w:id="88" w:name="_Toc101280230"/>
      <w:r/>
      <w:bookmarkStart w:id="89" w:name="_Toc101797551"/>
      <w:r/>
      <w:bookmarkStart w:id="90" w:name="_Toc101862117"/>
      <w:r/>
      <w:bookmarkStart w:id="91" w:name="_Toc85454841"/>
      <w:r/>
      <w:bookmarkStart w:id="92" w:name="_Toc101280177"/>
      <w:r/>
      <w:bookmarkStart w:id="93" w:name="_Toc101206009"/>
      <w:r/>
      <w:bookmarkStart w:id="94" w:name="_Toc100764167"/>
      <w:r/>
      <w:bookmarkStart w:id="95" w:name="_Toc503997275"/>
      <w:r/>
      <w:bookmarkStart w:id="96" w:name="_Toc485301532"/>
      <w:r/>
      <w:bookmarkStart w:id="97" w:name="_Toc76396060"/>
      <w:r/>
      <w:bookmarkStart w:id="98" w:name="_Toc76893598"/>
      <w:r/>
      <w:bookmarkStart w:id="99" w:name="_Toc78882149"/>
      <w:r/>
      <w:bookmarkStart w:id="100" w:name="_Toc503997274"/>
      <w:r/>
      <w:bookmarkStart w:id="101" w:name="_Toc27654209"/>
      <w:r/>
      <w:bookmarkStart w:id="102" w:name="_Toc449539286"/>
      <w:r/>
      <w:bookmarkStart w:id="103" w:name="_Toc365968480"/>
      <w:r/>
      <w:bookmarkStart w:id="104" w:name="_Toc485301531"/>
      <w:r/>
      <w:bookmarkStart w:id="105" w:name="_Toc449539292"/>
      <w:r/>
      <w:bookmarkStart w:id="106" w:name="_Toc479456130"/>
      <w:r/>
      <w:bookmarkEnd w:id="73"/>
      <w:r/>
      <w:bookmarkEnd w:id="74"/>
      <w:r/>
      <w:bookmarkEnd w:id="75"/>
      <w:r/>
      <w:bookmarkEnd w:id="76"/>
      <w:r>
        <w:rPr>
          <w:rFonts w:hint="eastAsia" w:ascii="宋体" w:hAnsi="宋体"/>
          <w:sz w:val="24"/>
          <w:szCs w:val="24"/>
        </w:rPr>
        <w:t xml:space="preserve">4.</w:t>
      </w:r>
      <w:bookmarkEnd w:id="78"/>
      <w:r/>
      <w:bookmarkEnd w:id="79"/>
      <w:r>
        <w:rPr>
          <w:rFonts w:hint="eastAsia" w:ascii="宋体" w:hAnsi="宋体"/>
          <w:sz w:val="24"/>
          <w:szCs w:val="24"/>
        </w:rPr>
        <w:t xml:space="preserve"> </w:t>
      </w:r>
      <w:bookmarkStart w:id="107" w:name="OLE_LINK9"/>
      <w:r/>
      <w:bookmarkEnd w:id="80"/>
      <w:r/>
      <w:bookmarkEnd w:id="81"/>
      <w:r/>
      <w:bookmarkEnd w:id="82"/>
      <w:r/>
      <w:bookmarkEnd w:id="83"/>
      <w:r/>
      <w:bookmarkEnd w:id="84"/>
      <w:r/>
      <w:bookmarkEnd w:id="85"/>
      <w:r/>
      <w:bookmarkEnd w:id="86"/>
      <w:r>
        <w:rPr>
          <w:rFonts w:hint="eastAsia" w:ascii="宋体" w:hAnsi="宋体"/>
          <w:sz w:val="24"/>
          <w:szCs w:val="24"/>
        </w:rPr>
        <w:t xml:space="preserve">投标产品配置及分项报价表</w:t>
      </w:r>
      <w:bookmarkEnd w:id="107"/>
      <w:r/>
      <w:r/>
    </w:p>
    <w:p>
      <w:r>
        <w:rPr>
          <w:rFonts w:hint="eastAsia"/>
        </w:rPr>
        <w:tab/>
      </w:r>
      <w:r>
        <w:rPr>
          <w:rFonts w:hint="eastAsia"/>
        </w:rPr>
        <w:t xml:space="preserve">单位：元</w:t>
      </w:r>
      <w:r/>
    </w:p>
    <w:tbl>
      <w:tblPr>
        <w:tblW w:w="9075"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2536"/>
        <w:gridCol w:w="1009"/>
        <w:gridCol w:w="890"/>
        <w:gridCol w:w="1525"/>
        <w:gridCol w:w="2127"/>
      </w:tblGrid>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pPr>
              <w:rPr>
                <w:b/>
                <w:bCs/>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rPr>
                <w:b/>
                <w:bCs/>
              </w:rPr>
            </w:pPr>
            <w:r>
              <w:rPr>
                <w:rFonts w:hint="eastAsia"/>
                <w:b/>
                <w:bCs/>
              </w:rPr>
              <w:t xml:space="preserve">费用明细</w:t>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rPr>
                <w:b/>
                <w:bCs/>
              </w:rPr>
            </w:pPr>
            <w:r>
              <w:rPr>
                <w:rFonts w:hint="eastAsia"/>
                <w:b/>
                <w:bCs/>
              </w:rPr>
              <w:t xml:space="preserve">单位</w:t>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pPr>
              <w:rPr>
                <w:b/>
                <w:bCs/>
              </w:rPr>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rPr>
                <w:b/>
                <w:bCs/>
              </w:rPr>
            </w:pPr>
            <w:r>
              <w:rPr>
                <w:rFonts w:hint="eastAsia"/>
                <w:b/>
                <w:bCs/>
              </w:rPr>
              <w:t xml:space="preserve">单价</w:t>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pPr>
              <w:rPr>
                <w:b/>
                <w:bCs/>
              </w:rPr>
            </w:pPr>
            <w:r>
              <w:rPr>
                <w:rFonts w:hint="eastAsia"/>
                <w:b/>
                <w:bCs/>
              </w:rPr>
              <w:t xml:space="preserve">总价</w:t>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601"/>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Pr>
                <w:rFonts w:hint="eastAsia"/>
              </w:rPr>
              <w:t xml:space="preserve">投标报价总价</w:t>
            </w:r>
            <w:r/>
          </w:p>
        </w:tc>
        <w:tc>
          <w:tcPr>
            <w:gridSpan w:val="5"/>
            <w:tcBorders>
              <w:top w:val="single" w:color="auto" w:sz="4" w:space="0"/>
              <w:left w:val="single" w:color="auto" w:sz="4" w:space="0"/>
              <w:bottom w:val="single" w:color="auto" w:sz="4" w:space="0"/>
              <w:right w:val="single" w:color="auto" w:sz="4" w:space="0"/>
            </w:tcBorders>
            <w:tcW w:w="8086" w:type="dxa"/>
            <w:vAlign w:val="center"/>
            <w:textDirection w:val="lrTb"/>
            <w:noWrap w:val="false"/>
          </w:tcPr>
          <w:p>
            <w:pPr>
              <w:rPr>
                <w:u w:val="single"/>
              </w:rPr>
            </w:pPr>
            <w:r>
              <w:rPr>
                <w:rFonts w:hint="eastAsia"/>
              </w:rPr>
              <w:t xml:space="preserve">人民币（大写）：</w:t>
            </w:r>
            <w:r>
              <w:rPr>
                <w:rFonts w:hint="eastAsia"/>
                <w:u w:val="single"/>
              </w:rPr>
              <w:t xml:space="preserve">             </w:t>
            </w:r>
            <w:r>
              <w:rPr>
                <w:rFonts w:hint="eastAsia"/>
              </w:rPr>
              <w:t xml:space="preserve">元整</w:t>
            </w:r>
            <w:r>
              <w:rPr>
                <w:rFonts w:hint="eastAsia"/>
              </w:rPr>
              <w:t xml:space="preserve"> </w:t>
            </w:r>
            <w:r>
              <w:rPr>
                <w:rFonts w:hint="eastAsia"/>
              </w:rPr>
              <w:t xml:space="preserve">￥</w:t>
            </w:r>
            <w:r>
              <w:rPr>
                <w:rFonts w:hint="eastAsia"/>
                <w:u w:val="single"/>
              </w:rPr>
              <w:t xml:space="preserve">             .</w:t>
            </w:r>
            <w:r/>
          </w:p>
        </w:tc>
      </w:tr>
    </w:tbl>
    <w:p>
      <w:pPr>
        <w:spacing w:before="4"/>
        <w:widowControl/>
        <w:rPr>
          <w:b/>
          <w:bCs/>
        </w:rPr>
      </w:pPr>
      <w:r>
        <w:rPr>
          <w:rFonts w:hint="eastAsia" w:ascii="宋体" w:hAnsi="宋体"/>
          <w:sz w:val="24"/>
          <w:szCs w:val="24"/>
        </w:rPr>
        <w:t xml:space="preserve">投标人全称（加盖CA电子公章）：   </w:t>
      </w:r>
      <w:r>
        <w:rPr>
          <w:rFonts w:hint="eastAsia"/>
          <w:b/>
          <w:bCs/>
        </w:rPr>
        <w:t xml:space="preserve">        </w:t>
      </w:r>
      <w:r/>
    </w:p>
    <w:p>
      <w:pPr>
        <w:rPr>
          <w:b/>
          <w:bCs/>
        </w:rPr>
      </w:pPr>
      <w:r>
        <w:rPr>
          <w:b/>
          <w:bCs/>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rPr>
          <w:rFonts w:hint="eastAsia" w:ascii="宋体" w:hAnsi="宋体"/>
          <w:sz w:val="24"/>
          <w:szCs w:val="24"/>
        </w:rPr>
      </w:pPr>
      <w:r>
        <w:rPr>
          <w:rFonts w:hint="eastAsia" w:ascii="宋体" w:hAnsi="宋体"/>
          <w:sz w:val="24"/>
          <w:szCs w:val="24"/>
        </w:rPr>
        <w:t xml:space="preserve">（3）总价=单价*数量，数量由投标人自行计算并填列。</w:t>
      </w:r>
      <w:r/>
    </w:p>
    <w:p>
      <w:pPr>
        <w:rPr>
          <w:rFonts w:hint="eastAsia" w:ascii="宋体" w:hAnsi="宋体"/>
          <w:sz w:val="24"/>
          <w:szCs w:val="24"/>
        </w:rPr>
      </w:pPr>
      <w:r>
        <w:rPr>
          <w:rFonts w:hint="eastAsia" w:ascii="宋体" w:hAnsi="宋体"/>
          <w:sz w:val="24"/>
          <w:szCs w:val="24"/>
        </w:rPr>
        <w:t xml:space="preserve">（4）此总计数应当等于“开标一览表”中“投标报价总计”数。</w:t>
      </w:r>
      <w:r/>
    </w:p>
    <w:p>
      <w:r/>
      <w:r/>
    </w:p>
    <w:p>
      <w:pPr>
        <w:pStyle w:val="691"/>
        <w:jc w:val="center"/>
        <w:rPr>
          <w:sz w:val="24"/>
          <w:szCs w:val="24"/>
        </w:rPr>
      </w:pPr>
      <w:r/>
      <w:bookmarkStart w:id="108" w:name="_Toc128508983"/>
      <w:r/>
      <w:bookmarkStart w:id="109" w:name="_Toc129876283"/>
      <w:r/>
      <w:bookmarkStart w:id="110" w:name="_Toc107648609"/>
      <w:r/>
      <w:bookmarkStart w:id="111" w:name="_Toc128419294"/>
      <w:r>
        <w:rPr>
          <w:rFonts w:hint="eastAsia" w:ascii="宋体" w:hAnsi="宋体"/>
          <w:sz w:val="24"/>
          <w:szCs w:val="24"/>
        </w:rPr>
        <w:t xml:space="preserve">5.</w:t>
      </w:r>
      <w:r>
        <w:rPr>
          <w:rFonts w:hint="eastAsia"/>
        </w:rPr>
        <w:t xml:space="preserve"> </w:t>
      </w:r>
      <w:r>
        <w:rPr>
          <w:rFonts w:hint="eastAsia" w:ascii="宋体" w:hAnsi="宋体"/>
          <w:sz w:val="24"/>
          <w:szCs w:val="24"/>
        </w:rPr>
        <w:t xml:space="preserve">技术响应偏离表</w:t>
      </w:r>
      <w:bookmarkEnd w:id="108"/>
      <w:r/>
      <w:bookmarkEnd w:id="109"/>
      <w:r/>
      <w:bookmarkEnd w:id="110"/>
      <w:r/>
      <w:bookmarkEnd w:id="111"/>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w:t>
      </w:r>
      <w:r>
        <w:rPr>
          <w:rFonts w:hint="eastAsia" w:ascii="宋体"/>
          <w:color w:val="000000"/>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w:t>
      </w:r>
      <w:r>
        <w:rPr>
          <w:rFonts w:hint="eastAsia" w:ascii="宋体" w:hAnsi="宋体"/>
          <w:b/>
          <w:bCs/>
          <w:color w:val="ff0000"/>
          <w:sz w:val="24"/>
          <w:szCs w:val="24"/>
        </w:rPr>
        <w:t xml:space="preserve">第四章”中的“工作内容、预期成果”</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600"/>
        <w:rPr>
          <w:rFonts w:hint="eastAsia" w:ascii="宋体" w:hAnsi="宋体"/>
          <w:sz w:val="24"/>
          <w:szCs w:val="24"/>
        </w:rPr>
      </w:pPr>
      <w:r>
        <w:rPr>
          <w:rFonts w:hint="eastAsia" w:ascii="宋体" w:hAnsi="宋体"/>
          <w:sz w:val="24"/>
          <w:szCs w:val="24"/>
        </w:rPr>
        <w:t xml:space="preserve">（6）未提供或未按要求提供将不能通过符合性审查。</w:t>
      </w:r>
      <w:r/>
    </w:p>
    <w:p>
      <w:pPr>
        <w:ind w:firstLine="360"/>
        <w:rPr>
          <w:rFonts w:hint="eastAsia" w:hAnsi="宋体"/>
          <w:sz w:val="24"/>
          <w:szCs w:val="24"/>
        </w:rPr>
      </w:pPr>
      <w:r>
        <w:rPr>
          <w:rFonts w:hint="eastAsia" w:hAnsi="宋体"/>
          <w:sz w:val="24"/>
          <w:szCs w:val="24"/>
        </w:rPr>
        <w:t xml:space="preserve"> </w:t>
      </w:r>
      <w:r/>
    </w:p>
    <w:p>
      <w:pPr>
        <w:pStyle w:val="691"/>
        <w:jc w:val="center"/>
        <w:spacing w:line="240" w:lineRule="auto"/>
        <w:rPr>
          <w:rFonts w:hint="eastAsia" w:ascii="宋体" w:hAnsi="宋体"/>
          <w:sz w:val="24"/>
          <w:szCs w:val="24"/>
        </w:rPr>
      </w:pPr>
      <w:r/>
      <w:bookmarkStart w:id="112" w:name="_Toc129876284"/>
      <w:r/>
      <w:bookmarkStart w:id="113" w:name="_Toc128508984"/>
      <w:r>
        <w:rPr>
          <w:rFonts w:hint="eastAsia" w:ascii="宋体" w:hAnsi="宋体"/>
          <w:sz w:val="24"/>
          <w:szCs w:val="24"/>
        </w:rPr>
        <w:t xml:space="preserve">6.</w:t>
      </w:r>
      <w:bookmarkStart w:id="114" w:name="_Toc460850155"/>
      <w:r>
        <w:rPr>
          <w:rFonts w:hint="eastAsia"/>
        </w:rPr>
        <w:t xml:space="preserve"> </w:t>
      </w:r>
      <w:r>
        <w:rPr>
          <w:rFonts w:hint="eastAsia" w:ascii="宋体" w:hAnsi="宋体"/>
          <w:sz w:val="24"/>
          <w:szCs w:val="24"/>
        </w:rPr>
        <w:t xml:space="preserve">商务响应偏离表</w:t>
      </w:r>
      <w:bookmarkEnd w:id="87"/>
      <w:r/>
      <w:bookmarkEnd w:id="88"/>
      <w:r/>
      <w:bookmarkEnd w:id="89"/>
      <w:r/>
      <w:bookmarkEnd w:id="90"/>
      <w:r/>
      <w:bookmarkEnd w:id="91"/>
      <w:r/>
      <w:bookmarkEnd w:id="92"/>
      <w:r/>
      <w:bookmarkEnd w:id="93"/>
      <w:r/>
      <w:bookmarkEnd w:id="94"/>
      <w:r/>
      <w:bookmarkEnd w:id="95"/>
      <w:r/>
      <w:bookmarkEnd w:id="96"/>
      <w:r/>
      <w:bookmarkEnd w:id="97"/>
      <w:r/>
      <w:bookmarkEnd w:id="112"/>
      <w:r/>
      <w:bookmarkEnd w:id="113"/>
      <w:r/>
      <w:bookmarkEnd w:id="114"/>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bookmarkStart w:id="115" w:name="OLE_LINK33"/>
      <w:r>
        <w:rPr>
          <w:rFonts w:ascii="宋体" w:hAnsi="宋体"/>
          <w:b/>
          <w:bCs/>
          <w:sz w:val="24"/>
          <w:szCs w:val="24"/>
        </w:rPr>
        <w:t xml:space="preserve">投标人全称（</w:t>
      </w:r>
      <w:r>
        <w:rPr>
          <w:rFonts w:hint="eastAsia" w:ascii="宋体"/>
          <w:color w:val="000000"/>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bookmarkEnd w:id="115"/>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firstLine="360"/>
        <w:rPr>
          <w:rFonts w:hint="eastAsia" w:ascii="宋体" w:hAnsi="宋体"/>
          <w:sz w:val="24"/>
          <w:szCs w:val="24"/>
        </w:rPr>
      </w:pPr>
      <w:r>
        <w:rPr>
          <w:rFonts w:hint="eastAsia" w:ascii="宋体" w:hAnsi="宋体"/>
          <w:sz w:val="24"/>
          <w:szCs w:val="24"/>
        </w:rPr>
        <w:t xml:space="preserve">（5）未提供或未按要求提供将不能通过符合性审查。</w:t>
      </w:r>
      <w:r/>
    </w:p>
    <w:p>
      <w:pPr>
        <w:pStyle w:val="691"/>
        <w:jc w:val="left"/>
        <w:rPr>
          <w:rFonts w:hint="eastAsia" w:ascii="宋体" w:hAnsi="宋体"/>
          <w:sz w:val="24"/>
          <w:szCs w:val="24"/>
        </w:rPr>
      </w:pPr>
      <w:r/>
      <w:bookmarkStart w:id="116" w:name="_Toc129876285"/>
      <w:r/>
      <w:bookmarkStart w:id="117" w:name="_Toc101280231"/>
      <w:r/>
      <w:bookmarkStart w:id="118" w:name="_Toc101862118"/>
      <w:r/>
      <w:bookmarkStart w:id="119" w:name="_Toc101797552"/>
      <w:r/>
      <w:bookmarkStart w:id="120" w:name="_Toc128508985"/>
      <w:r/>
      <w:bookmarkStart w:id="121" w:name="_Toc101280178"/>
      <w:r/>
      <w:bookmarkStart w:id="122" w:name="OLE_LINK30"/>
      <w:r>
        <w:rPr>
          <w:rFonts w:hint="eastAsia" w:ascii="宋体" w:hAnsi="宋体"/>
          <w:sz w:val="24"/>
          <w:szCs w:val="24"/>
        </w:rPr>
        <w:t xml:space="preserve">7.</w:t>
      </w:r>
      <w:bookmarkEnd w:id="98"/>
      <w:r/>
      <w:bookmarkEnd w:id="99"/>
      <w:r/>
      <w:bookmarkEnd w:id="100"/>
      <w:r/>
      <w:bookmarkEnd w:id="101"/>
      <w:r/>
      <w:bookmarkEnd w:id="102"/>
      <w:r/>
      <w:bookmarkEnd w:id="103"/>
      <w:r/>
      <w:bookmarkEnd w:id="104"/>
      <w:r>
        <w:rPr>
          <w:rFonts w:hint="eastAsia"/>
          <w:sz w:val="24"/>
          <w:szCs w:val="24"/>
        </w:rPr>
        <w:t xml:space="preserve"> </w:t>
      </w:r>
      <w:bookmarkEnd w:id="116"/>
      <w:r/>
      <w:bookmarkEnd w:id="117"/>
      <w:r/>
      <w:bookmarkEnd w:id="118"/>
      <w:r/>
      <w:bookmarkEnd w:id="119"/>
      <w:r/>
      <w:bookmarkEnd w:id="120"/>
      <w:r/>
      <w:bookmarkEnd w:id="121"/>
      <w:r>
        <w:rPr>
          <w:rFonts w:hint="eastAsia" w:ascii="宋体" w:hAnsi="宋体"/>
          <w:sz w:val="24"/>
          <w:szCs w:val="24"/>
        </w:rPr>
        <w:t xml:space="preserve">项目实施方案</w:t>
      </w:r>
      <w:bookmarkEnd w:id="122"/>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pStyle w:val="691"/>
        <w:jc w:val="left"/>
        <w:spacing w:before="0" w:line="415" w:lineRule="auto"/>
        <w:rPr>
          <w:color w:val="000000" w:themeColor="text1"/>
          <w:sz w:val="24"/>
          <w:szCs w:val="24"/>
        </w:rPr>
      </w:pPr>
      <w:r/>
      <w:bookmarkStart w:id="123" w:name="_Toc9881478"/>
      <w:r/>
      <w:bookmarkStart w:id="124" w:name="_Toc397549032"/>
      <w:r/>
      <w:bookmarkStart w:id="125" w:name="_Toc437438934"/>
      <w:r/>
      <w:bookmarkStart w:id="126" w:name="_Toc100764170"/>
      <w:r/>
      <w:bookmarkStart w:id="127" w:name="_Toc69395108"/>
      <w:r/>
      <w:bookmarkStart w:id="128" w:name="_Toc504506078"/>
      <w:r/>
      <w:bookmarkStart w:id="129" w:name="_Toc536528804"/>
      <w:r/>
      <w:bookmarkStart w:id="130" w:name="_Toc101206012"/>
      <w:r/>
      <w:bookmarkStart w:id="131" w:name="_Toc85454843"/>
      <w:r/>
      <w:bookmarkStart w:id="132" w:name="_Toc101280179"/>
      <w:r/>
      <w:bookmarkStart w:id="133" w:name="_Toc129876286"/>
      <w:r/>
      <w:bookmarkStart w:id="134" w:name="_Toc128508986"/>
      <w:r/>
      <w:bookmarkStart w:id="135" w:name="_Toc101280232"/>
      <w:r/>
      <w:bookmarkStart w:id="136" w:name="_Toc101862119"/>
      <w:r/>
      <w:bookmarkStart w:id="137" w:name="_Toc101797553"/>
      <w:r/>
      <w:bookmarkStart w:id="138" w:name="_Toc76893601"/>
      <w:r/>
      <w:bookmarkStart w:id="139" w:name="_Toc78882152"/>
      <w:r/>
      <w:bookmarkStart w:id="140" w:name="_Toc6167775"/>
      <w:r>
        <w:rPr>
          <w:rFonts w:hint="eastAsia" w:ascii="宋体" w:hAnsi="宋体"/>
          <w:sz w:val="24"/>
          <w:szCs w:val="24"/>
        </w:rPr>
        <w:t xml:space="preserve">8.</w:t>
      </w:r>
      <w:bookmarkEnd w:id="123"/>
      <w:r/>
      <w:bookmarkEnd w:id="124"/>
      <w:r/>
      <w:bookmarkEnd w:id="125"/>
      <w:r/>
      <w:bookmarkEnd w:id="126"/>
      <w:r/>
      <w:bookmarkEnd w:id="127"/>
      <w:r/>
      <w:bookmarkEnd w:id="128"/>
      <w:r/>
      <w:bookmarkEnd w:id="129"/>
      <w:r/>
      <w:bookmarkEnd w:id="130"/>
      <w:r/>
      <w:bookmarkEnd w:id="131"/>
      <w:r>
        <w:rPr>
          <w:rFonts w:hint="eastAsia" w:ascii="宋体" w:hAnsi="宋体"/>
          <w:color w:val="000000" w:themeColor="text1"/>
          <w:sz w:val="24"/>
          <w:szCs w:val="24"/>
        </w:rPr>
        <w:t xml:space="preserve">项目团队一览表</w:t>
      </w:r>
      <w:bookmarkEnd w:id="132"/>
      <w:r/>
      <w:bookmarkEnd w:id="133"/>
      <w:r/>
      <w:bookmarkEnd w:id="134"/>
      <w:r/>
      <w:bookmarkEnd w:id="135"/>
      <w:r/>
      <w:bookmarkEnd w:id="136"/>
      <w:r/>
      <w:bookmarkEnd w:id="137"/>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13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证书</w:t>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工作经验</w:t>
            </w:r>
            <w:r/>
          </w:p>
        </w:tc>
        <w:tc>
          <w:tcPr>
            <w:tcW w:w="1575" w:type="dxa"/>
            <w:vAlign w:val="center"/>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sz w:val="24"/>
          <w:szCs w:val="24"/>
        </w:rPr>
      </w:pPr>
      <w:r>
        <w:rPr>
          <w:rFonts w:hint="eastAsia" w:ascii="宋体" w:hAnsi="宋体"/>
          <w:color w:val="000000" w:themeColor="text1"/>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sz w:val="24"/>
          <w:szCs w:val="24"/>
        </w:rPr>
        <w:t xml:space="preserve">按评分办法要求提供相关证明材料附后</w:t>
      </w:r>
      <w:r>
        <w:rPr>
          <w:rFonts w:hint="eastAsia" w:ascii="宋体" w:hAnsi="宋体"/>
          <w:b/>
          <w:color w:val="000000" w:themeColor="text1"/>
          <w:sz w:val="24"/>
          <w:szCs w:val="24"/>
        </w:rPr>
        <w:t xml:space="preserve">。</w:t>
      </w:r>
      <w:bookmarkEnd w:id="138"/>
      <w:bookmarkEnd w:id="139"/>
      <w:bookmarkEnd w:id="140"/>
      <w:r/>
    </w:p>
    <w:p>
      <w:pPr>
        <w:ind w:right="422"/>
        <w:jc w:val="left"/>
        <w:rPr>
          <w:rFonts w:hint="eastAsia" w:ascii="宋体" w:hAnsi="宋体"/>
          <w:b/>
          <w:bCs/>
          <w:szCs w:val="21"/>
        </w:rPr>
      </w:pPr>
      <w:r>
        <w:rPr>
          <w:rFonts w:hint="eastAsia" w:ascii="宋体" w:hAnsi="宋体"/>
          <w:b/>
          <w:bCs/>
          <w:szCs w:val="21"/>
        </w:rPr>
      </w:r>
      <w:r/>
    </w:p>
    <w:p>
      <w:pPr>
        <w:pStyle w:val="691"/>
        <w:jc w:val="left"/>
        <w:spacing w:line="240" w:lineRule="auto"/>
        <w:rPr>
          <w:rFonts w:hint="eastAsia" w:ascii="宋体" w:hAnsi="宋体"/>
          <w:sz w:val="24"/>
          <w:szCs w:val="24"/>
        </w:rPr>
      </w:pPr>
      <w:r/>
      <w:bookmarkStart w:id="141" w:name="_Toc129876289"/>
      <w:r>
        <w:rPr>
          <w:rFonts w:hint="eastAsia" w:ascii="宋体" w:hAnsi="宋体"/>
          <w:sz w:val="24"/>
          <w:szCs w:val="24"/>
        </w:rPr>
        <w:t xml:space="preserve">9</w:t>
      </w:r>
      <w:r>
        <w:rPr>
          <w:rFonts w:ascii="宋体" w:hAnsi="宋体"/>
          <w:sz w:val="24"/>
          <w:szCs w:val="24"/>
        </w:rPr>
        <w:t xml:space="preserve">.</w:t>
      </w:r>
      <w:bookmarkStart w:id="142" w:name="_Toc128508989"/>
      <w:r/>
      <w:bookmarkStart w:id="143" w:name="_Toc76893602"/>
      <w:r/>
      <w:bookmarkStart w:id="144" w:name="_Toc78882153"/>
      <w:r>
        <w:rPr>
          <w:rFonts w:hint="eastAsia" w:ascii="宋体" w:hAnsi="宋体"/>
          <w:sz w:val="24"/>
          <w:szCs w:val="24"/>
        </w:rPr>
        <w:t xml:space="preserve">业绩</w:t>
      </w:r>
      <w:bookmarkEnd w:id="141"/>
      <w:r/>
      <w:bookmarkEnd w:id="142"/>
      <w:r/>
      <w:bookmarkEnd w:id="143"/>
      <w:r/>
      <w:bookmarkEnd w:id="144"/>
      <w:r/>
      <w:r/>
    </w:p>
    <w:tbl>
      <w:tblPr>
        <w:tblW w:w="916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134"/>
        <w:gridCol w:w="2552"/>
        <w:gridCol w:w="1701"/>
        <w:gridCol w:w="1417"/>
        <w:gridCol w:w="1496"/>
      </w:tblGrid>
      <w:tr>
        <w:trPr>
          <w:trHeight w:val="41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141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49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b/>
          <w:color w:val="000000" w:themeColor="text1"/>
          <w:sz w:val="24"/>
          <w:szCs w:val="24"/>
        </w:rPr>
      </w:pPr>
      <w:r>
        <w:rPr>
          <w:rFonts w:hint="eastAsia" w:ascii="宋体" w:hAnsi="宋体"/>
          <w:b/>
          <w:bCs/>
          <w:sz w:val="24"/>
          <w:szCs w:val="24"/>
        </w:rPr>
        <w:t xml:space="preserve">（2）按评分办法要求提供相关证明材料附后</w:t>
      </w:r>
      <w:r>
        <w:rPr>
          <w:rFonts w:hint="eastAsia" w:ascii="宋体" w:hAnsi="宋体"/>
          <w:b/>
          <w:color w:val="000000" w:themeColor="text1"/>
          <w:sz w:val="24"/>
          <w:szCs w:val="24"/>
        </w:rPr>
        <w:t xml:space="preserve">。</w:t>
      </w:r>
      <w:r/>
    </w:p>
    <w:p>
      <w:pPr>
        <w:ind w:firstLine="480"/>
        <w:rPr>
          <w:rFonts w:hint="eastAsia" w:ascii="宋体" w:hAnsi="宋体"/>
          <w:sz w:val="24"/>
          <w:szCs w:val="24"/>
        </w:rPr>
      </w:pPr>
      <w:r>
        <w:rPr>
          <w:rFonts w:hint="eastAsia" w:ascii="宋体" w:hAnsi="宋体"/>
          <w:sz w:val="24"/>
          <w:szCs w:val="24"/>
        </w:rPr>
      </w:r>
      <w:r/>
    </w:p>
    <w:p>
      <w:pPr>
        <w:pStyle w:val="691"/>
        <w:jc w:val="left"/>
        <w:spacing w:line="240" w:lineRule="auto"/>
        <w:rPr>
          <w:sz w:val="24"/>
          <w:szCs w:val="24"/>
        </w:rPr>
      </w:pPr>
      <w:r/>
      <w:bookmarkStart w:id="145" w:name="_Toc128419298"/>
      <w:r/>
      <w:bookmarkStart w:id="146" w:name="_Toc129876290"/>
      <w:r/>
      <w:bookmarkStart w:id="147" w:name="_Toc128508990"/>
      <w:r>
        <w:rPr>
          <w:rFonts w:hint="eastAsia" w:ascii="宋体" w:hAnsi="宋体"/>
          <w:sz w:val="24"/>
          <w:szCs w:val="24"/>
        </w:rPr>
        <w:t xml:space="preserve">10</w:t>
      </w:r>
      <w:r>
        <w:rPr>
          <w:rFonts w:ascii="宋体" w:hAnsi="宋体"/>
          <w:sz w:val="24"/>
          <w:szCs w:val="24"/>
        </w:rPr>
        <w:t xml:space="preserve">.</w:t>
      </w:r>
      <w:bookmarkEnd w:id="145"/>
      <w:r>
        <w:rPr>
          <w:rFonts w:hint="eastAsia" w:ascii="宋体" w:hAnsi="宋体"/>
          <w:sz w:val="24"/>
          <w:szCs w:val="24"/>
        </w:rPr>
        <w:t xml:space="preserve">单位实力</w:t>
      </w:r>
      <w:r/>
    </w:p>
    <w:tbl>
      <w:tblPr>
        <w:tblW w:w="9271"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2"/>
        <w:gridCol w:w="987"/>
        <w:gridCol w:w="3680"/>
        <w:gridCol w:w="1236"/>
        <w:gridCol w:w="2476"/>
      </w:tblGrid>
      <w:tr>
        <w:trPr>
          <w:trHeight w:val="461"/>
        </w:trPr>
        <w:tc>
          <w:tcPr>
            <w:tcW w:w="8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98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36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能力名称</w:t>
            </w:r>
            <w:r/>
          </w:p>
        </w:tc>
        <w:tc>
          <w:tcPr>
            <w:tcW w:w="12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签订日期</w:t>
            </w:r>
            <w:r/>
          </w:p>
        </w:tc>
        <w:tc>
          <w:tcPr>
            <w:tcW w:w="247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按评分办法提供相关材料附后。</w:t>
      </w:r>
      <w:r/>
    </w:p>
    <w:p>
      <w:pPr>
        <w:pStyle w:val="691"/>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其他</w:t>
      </w:r>
      <w:bookmarkEnd w:id="146"/>
      <w:r/>
      <w:bookmarkEnd w:id="147"/>
      <w:r/>
      <w:r/>
    </w:p>
    <w:p>
      <w:pPr>
        <w:ind w:firstLine="480"/>
        <w:rPr>
          <w:sz w:val="24"/>
          <w:szCs w:val="24"/>
        </w:rPr>
      </w:pPr>
      <w:r>
        <w:rPr>
          <w:rFonts w:hint="eastAsia"/>
          <w:sz w:val="24"/>
          <w:szCs w:val="24"/>
        </w:rPr>
        <w:t xml:space="preserve">（各投标人根据评分办法的要求提供的其他证明材料等，格式自拟）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w:t>
      </w:r>
      <w:bookmarkStart w:id="148" w:name="OLE_LINK76"/>
      <w:r>
        <w:rPr>
          <w:rFonts w:hint="eastAsia"/>
          <w:b/>
          <w:sz w:val="32"/>
          <w:szCs w:val="32"/>
        </w:rPr>
        <w:t xml:space="preserve">未提供或未按要求提供将不能通过符合性审查。</w:t>
      </w:r>
      <w:bookmarkEnd w:id="148"/>
      <w:r>
        <w:rPr>
          <w:rFonts w:ascii="宋体" w:hAnsi="宋体"/>
          <w:szCs w:val="21"/>
        </w:rPr>
        <w:br w:type="page" w:clear="all"/>
      </w:r>
      <w:r/>
    </w:p>
    <w:p>
      <w:pPr>
        <w:pStyle w:val="690"/>
        <w:spacing w:line="240" w:lineRule="auto"/>
        <w:rPr>
          <w:rFonts w:hint="eastAsia" w:ascii="宋体" w:hAnsi="宋体"/>
          <w:sz w:val="28"/>
          <w:szCs w:val="28"/>
        </w:rPr>
      </w:pPr>
      <w:r/>
      <w:bookmarkStart w:id="149" w:name="_Toc76893604"/>
      <w:r/>
      <w:bookmarkStart w:id="150" w:name="_Toc129876291"/>
      <w:r/>
      <w:bookmarkStart w:id="151" w:name="_Toc128508991"/>
      <w:r>
        <w:rPr>
          <w:rFonts w:hint="eastAsia" w:ascii="宋体" w:hAnsi="宋体"/>
          <w:sz w:val="28"/>
          <w:szCs w:val="28"/>
        </w:rPr>
        <w:t xml:space="preserve">二、资格证明文件</w:t>
      </w:r>
      <w:bookmarkEnd w:id="105"/>
      <w:r/>
      <w:bookmarkEnd w:id="106"/>
      <w:r/>
      <w:bookmarkEnd w:id="149"/>
      <w:r/>
      <w:bookmarkEnd w:id="150"/>
      <w:r/>
      <w:bookmarkEnd w:id="151"/>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法人或者其他组织的营业执照等证明文件，自然人的身份证明</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9</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个月内（2025年9月至今）任一月份的依法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52" w:name="_Toc449539293"/>
      <w:r/>
      <w:bookmarkStart w:id="153" w:name="_Toc479456131"/>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690"/>
        <w:spacing w:line="240" w:lineRule="auto"/>
        <w:rPr>
          <w:rFonts w:hint="eastAsia" w:ascii="宋体" w:hAnsi="宋体"/>
          <w:sz w:val="28"/>
          <w:szCs w:val="28"/>
        </w:rPr>
      </w:pPr>
      <w:r/>
      <w:bookmarkStart w:id="154" w:name="_Toc76893605"/>
      <w:r/>
      <w:bookmarkStart w:id="155" w:name="_Toc128508992"/>
      <w:r/>
      <w:bookmarkStart w:id="156" w:name="_Toc129876292"/>
      <w:r>
        <w:rPr>
          <w:rFonts w:hint="eastAsia" w:ascii="宋体" w:hAnsi="宋体"/>
          <w:sz w:val="28"/>
          <w:szCs w:val="28"/>
        </w:rPr>
        <w:t xml:space="preserve">三、相关附表格式</w:t>
      </w:r>
      <w:bookmarkEnd w:id="152"/>
      <w:r/>
      <w:bookmarkEnd w:id="153"/>
      <w:r/>
      <w:bookmarkEnd w:id="154"/>
      <w:r/>
      <w:bookmarkEnd w:id="155"/>
      <w:r/>
      <w:bookmarkEnd w:id="156"/>
      <w:r>
        <w:rPr>
          <w:rFonts w:ascii="宋体" w:hAnsi="宋体"/>
          <w:sz w:val="28"/>
          <w:szCs w:val="28"/>
        </w:rPr>
        <w:br/>
      </w:r>
      <w:r/>
    </w:p>
    <w:p>
      <w:pPr>
        <w:pStyle w:val="691"/>
        <w:jc w:val="left"/>
        <w:rPr>
          <w:rFonts w:hint="eastAsia" w:ascii="宋体" w:hAnsi="宋体"/>
          <w:sz w:val="24"/>
          <w:szCs w:val="24"/>
        </w:rPr>
      </w:pPr>
      <w:r/>
      <w:bookmarkStart w:id="157" w:name="_Toc128419303"/>
      <w:r/>
      <w:bookmarkStart w:id="158" w:name="_Toc128508993"/>
      <w:r/>
      <w:bookmarkStart w:id="159" w:name="_Toc128126367"/>
      <w:r/>
      <w:bookmarkStart w:id="160" w:name="_Toc129876293"/>
      <w:r/>
      <w:bookmarkStart w:id="161" w:name="_Toc101206016"/>
      <w:r/>
      <w:bookmarkStart w:id="162" w:name="_Toc69395114"/>
      <w:r/>
      <w:bookmarkStart w:id="163" w:name="_Toc101872358"/>
      <w:r/>
      <w:bookmarkStart w:id="164" w:name="_Toc81210621"/>
      <w:r/>
      <w:bookmarkStart w:id="165" w:name="_Toc100764174"/>
      <w:r/>
      <w:bookmarkStart w:id="166" w:name="_Toc102746690"/>
      <w:r/>
      <w:bookmarkStart w:id="167" w:name="_Toc85454848"/>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bookmarkEnd w:id="157"/>
      <w:r/>
      <w:bookmarkEnd w:id="158"/>
      <w:r/>
      <w:bookmarkEnd w:id="159"/>
      <w:r/>
      <w:bookmarkEnd w:id="160"/>
      <w:r>
        <w:rPr>
          <w:rFonts w:ascii="宋体" w:hAnsi="宋体"/>
          <w:sz w:val="24"/>
          <w:szCs w:val="24"/>
        </w:rPr>
        <w:t xml:space="preserve">法人或者其他组织的营业执照等证明文件，自然人的身份证明</w:t>
      </w:r>
      <w:r/>
    </w:p>
    <w:p>
      <w:pPr>
        <w:ind w:firstLine="480"/>
        <w:jc w:val="left"/>
        <w:widowControl/>
        <w:rPr>
          <w:sz w:val="24"/>
          <w:szCs w:val="24"/>
        </w:rPr>
      </w:pPr>
      <w:r>
        <w:rPr>
          <w:rFonts w:hint="eastAsia"/>
          <w:sz w:val="24"/>
          <w:szCs w:val="24"/>
        </w:rPr>
        <w:t xml:space="preserve">提供证明文件复印件</w:t>
      </w:r>
      <w:bookmarkEnd w:id="161"/>
      <w:r/>
      <w:bookmarkEnd w:id="162"/>
      <w:r/>
      <w:bookmarkEnd w:id="163"/>
      <w:r/>
      <w:bookmarkEnd w:id="164"/>
      <w:r/>
      <w:bookmarkEnd w:id="165"/>
      <w:r/>
      <w:bookmarkEnd w:id="166"/>
      <w:r/>
      <w:bookmarkEnd w:id="167"/>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691"/>
        <w:jc w:val="left"/>
        <w:rPr>
          <w:rFonts w:hint="eastAsia" w:ascii="宋体" w:hAnsi="宋体"/>
          <w:sz w:val="24"/>
          <w:szCs w:val="24"/>
        </w:rPr>
      </w:pPr>
      <w:r/>
      <w:bookmarkStart w:id="168" w:name="_Toc128508994"/>
      <w:r/>
      <w:bookmarkStart w:id="169" w:name="_Toc1298762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68"/>
      <w:r/>
      <w:bookmarkEnd w:id="169"/>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9</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691"/>
        <w:jc w:val="left"/>
        <w:rPr>
          <w:rFonts w:hint="eastAsia" w:ascii="宋体" w:hAnsi="宋体"/>
          <w:sz w:val="24"/>
          <w:szCs w:val="24"/>
        </w:rPr>
      </w:pPr>
      <w:r/>
      <w:bookmarkStart w:id="170" w:name="_Toc100764175"/>
      <w:r/>
      <w:bookmarkStart w:id="171" w:name="_Toc101206019"/>
      <w:r/>
      <w:bookmarkStart w:id="172" w:name="_Toc129876296"/>
      <w:r/>
      <w:bookmarkStart w:id="173" w:name="_Toc101280184"/>
      <w:r/>
      <w:bookmarkStart w:id="174" w:name="_Toc128508996"/>
      <w:r/>
      <w:bookmarkStart w:id="175" w:name="_Toc101280237"/>
      <w:r/>
      <w:bookmarkStart w:id="176" w:name="_Toc101797558"/>
      <w:r/>
      <w:bookmarkStart w:id="177" w:name="_Toc101862124"/>
      <w:r/>
      <w:bookmarkStart w:id="178" w:name="_Toc29244197"/>
      <w:r/>
      <w:bookmarkEnd w:id="45"/>
      <w:r/>
      <w:bookmarkEnd w:id="46"/>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9</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691"/>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70"/>
      <w:r/>
      <w:bookmarkEnd w:id="171"/>
      <w:r/>
      <w:bookmarkEnd w:id="172"/>
      <w:r/>
      <w:bookmarkEnd w:id="173"/>
      <w:r/>
      <w:bookmarkEnd w:id="174"/>
      <w:r/>
      <w:bookmarkEnd w:id="175"/>
      <w:r/>
      <w:bookmarkEnd w:id="176"/>
      <w:r/>
      <w:bookmarkEnd w:id="177"/>
      <w:r/>
      <w:r/>
    </w:p>
    <w:p>
      <w:pPr>
        <w:ind w:left="420"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left="420" w:firstLine="480"/>
        <w:rPr>
          <w:rFonts w:hint="eastAsia" w:ascii="宋体" w:hAnsi="宋体" w:cs="新宋体"/>
          <w:sz w:val="24"/>
          <w:szCs w:val="24"/>
        </w:rPr>
      </w:pPr>
      <w:r>
        <w:rPr>
          <w:rFonts w:hint="eastAsia" w:ascii="宋体" w:hAnsi="宋体" w:cs="新宋体"/>
          <w:sz w:val="24"/>
          <w:szCs w:val="24"/>
        </w:rPr>
        <w:t xml:space="preserve">主要设备有：   </w:t>
      </w:r>
      <w:r/>
    </w:p>
    <w:p>
      <w:pPr>
        <w:ind w:left="420"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left="420" w:firstLine="480"/>
        <w:rPr>
          <w:rFonts w:hint="eastAsia" w:ascii="宋体" w:hAnsi="宋体" w:cs="新宋体"/>
          <w:sz w:val="24"/>
          <w:szCs w:val="24"/>
        </w:rPr>
      </w:pPr>
      <w:r>
        <w:rPr>
          <w:rFonts w:hint="eastAsia" w:ascii="宋体" w:hAnsi="宋体" w:cs="新宋体"/>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691"/>
        <w:jc w:val="left"/>
        <w:spacing w:line="240" w:lineRule="auto"/>
        <w:rPr>
          <w:rFonts w:hint="eastAsia" w:ascii="宋体" w:hAnsi="宋体"/>
          <w:sz w:val="24"/>
          <w:szCs w:val="24"/>
        </w:rPr>
      </w:pPr>
      <w:r/>
      <w:bookmarkStart w:id="179" w:name="_Toc76893608"/>
      <w:r/>
      <w:bookmarkStart w:id="180" w:name="_Toc101280185"/>
      <w:r/>
      <w:bookmarkStart w:id="181" w:name="_Toc78882159"/>
      <w:r/>
      <w:bookmarkStart w:id="182" w:name="_Toc101862125"/>
      <w:r/>
      <w:bookmarkStart w:id="183" w:name="_Toc27654219"/>
      <w:r/>
      <w:bookmarkStart w:id="184" w:name="_Toc128508997"/>
      <w:r/>
      <w:bookmarkStart w:id="185" w:name="_Toc101280238"/>
      <w:r/>
      <w:bookmarkStart w:id="186" w:name="_Toc129876297"/>
      <w:r/>
      <w:bookmarkStart w:id="187" w:name="_Toc101797559"/>
      <w:r/>
      <w:bookmarkEnd w:id="178"/>
      <w:r>
        <w:rPr>
          <w:rFonts w:ascii="宋体" w:hAnsi="宋体"/>
          <w:sz w:val="22"/>
          <w:szCs w:val="22"/>
        </w:rPr>
        <w:t xml:space="preserve">5</w:t>
      </w:r>
      <w:r>
        <w:rPr>
          <w:rFonts w:hint="eastAsia" w:ascii="宋体" w:hAnsi="宋体"/>
          <w:sz w:val="24"/>
          <w:szCs w:val="24"/>
        </w:rPr>
        <w:t xml:space="preserve">.声明</w:t>
      </w:r>
      <w:bookmarkEnd w:id="179"/>
      <w:r/>
      <w:bookmarkEnd w:id="180"/>
      <w:r/>
      <w:bookmarkEnd w:id="181"/>
      <w:r/>
      <w:bookmarkEnd w:id="182"/>
      <w:r/>
      <w:bookmarkEnd w:id="183"/>
      <w:r/>
      <w:bookmarkEnd w:id="184"/>
      <w:r/>
      <w:bookmarkEnd w:id="185"/>
      <w:r/>
      <w:bookmarkEnd w:id="186"/>
      <w:r/>
      <w:bookmarkEnd w:id="187"/>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188" w:name="_Toc509751133"/>
      <w:r/>
      <w:bookmarkStart w:id="189" w:name="_Toc6348256"/>
      <w:r/>
      <w:bookmarkStart w:id="190" w:name="_Toc27654220"/>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691"/>
        <w:jc w:val="left"/>
        <w:spacing w:line="240" w:lineRule="auto"/>
        <w:rPr>
          <w:rFonts w:hint="eastAsia" w:ascii="宋体" w:hAnsi="宋体"/>
          <w:sz w:val="24"/>
          <w:szCs w:val="24"/>
        </w:rPr>
      </w:pPr>
      <w:r/>
      <w:bookmarkStart w:id="191" w:name="_Toc128508998"/>
      <w:r/>
      <w:bookmarkStart w:id="192" w:name="_Toc78882162"/>
      <w:r/>
      <w:bookmarkStart w:id="193" w:name="_Toc101797560"/>
      <w:r/>
      <w:bookmarkStart w:id="194" w:name="_Toc129876298"/>
      <w:r/>
      <w:bookmarkStart w:id="195" w:name="_Toc101280239"/>
      <w:r/>
      <w:bookmarkStart w:id="196" w:name="_Toc76893611"/>
      <w:r/>
      <w:bookmarkStart w:id="197" w:name="_Toc101862126"/>
      <w:r/>
      <w:bookmarkStart w:id="198" w:name="_Toc101280186"/>
      <w:r>
        <w:rPr>
          <w:rFonts w:ascii="宋体" w:hAnsi="宋体"/>
          <w:sz w:val="24"/>
          <w:szCs w:val="24"/>
        </w:rPr>
        <w:t xml:space="preserve">6.</w:t>
      </w:r>
      <w:r>
        <w:rPr>
          <w:rFonts w:hint="eastAsia" w:ascii="宋体" w:hAnsi="宋体"/>
          <w:sz w:val="24"/>
          <w:szCs w:val="24"/>
        </w:rPr>
        <w:t xml:space="preserve">中小企业声明函</w:t>
      </w:r>
      <w:bookmarkEnd w:id="188"/>
      <w:r/>
      <w:bookmarkEnd w:id="189"/>
      <w:r/>
      <w:bookmarkEnd w:id="190"/>
      <w:r/>
      <w:bookmarkEnd w:id="191"/>
      <w:r/>
      <w:bookmarkEnd w:id="192"/>
      <w:r/>
      <w:bookmarkEnd w:id="193"/>
      <w:r/>
      <w:bookmarkEnd w:id="194"/>
      <w:r/>
      <w:bookmarkEnd w:id="195"/>
      <w:r/>
      <w:bookmarkEnd w:id="196"/>
      <w:r/>
      <w:bookmarkEnd w:id="197"/>
      <w:r/>
      <w:bookmarkEnd w:id="198"/>
      <w:r/>
      <w:r/>
    </w:p>
    <w:p>
      <w:pPr>
        <w:pStyle w:val="785"/>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785"/>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ascii="宋体" w:hAnsi="宋体"/>
          <w:sz w:val="24"/>
          <w:szCs w:val="24"/>
          <w:u w:val="single"/>
        </w:rPr>
        <w:t xml:space="preserve">JSZC-320000-JSSJ-G2026-0010</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2026年新污染物治理</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785"/>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2026年新污染物治理</w:t>
      </w:r>
      <w:r>
        <w:rPr>
          <w:rFonts w:hint="eastAsia" w:ascii="宋体" w:hAnsi="宋体" w:eastAsia="宋体" w:cs="微软雅黑"/>
          <w:sz w:val="24"/>
          <w:szCs w:val="24"/>
          <w:u w:val="single"/>
        </w:rPr>
        <w:t xml:space="preserve">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785"/>
        <w:ind w:firstLine="480"/>
        <w:rPr>
          <w:rFonts w:hint="eastAsia" w:ascii="宋体" w:hAnsi="宋体" w:eastAsia="宋体"/>
          <w:sz w:val="24"/>
          <w:szCs w:val="24"/>
        </w:rPr>
      </w:pPr>
      <w:r>
        <w:rPr>
          <w:rFonts w:ascii="宋体" w:hAnsi="宋体" w:eastAsia="宋体"/>
          <w:sz w:val="24"/>
          <w:szCs w:val="24"/>
        </w:rPr>
        <w:t xml:space="preserve">…… </w:t>
      </w:r>
      <w:r/>
    </w:p>
    <w:p>
      <w:pPr>
        <w:pStyle w:val="785"/>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785"/>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785"/>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785"/>
        <w:ind w:firstLine="4800"/>
        <w:rPr>
          <w:rFonts w:hint="eastAsia" w:ascii="宋体" w:hAnsi="宋体" w:eastAsia="宋体"/>
          <w:sz w:val="24"/>
          <w:szCs w:val="24"/>
        </w:rPr>
      </w:pPr>
      <w:r>
        <w:rPr>
          <w:rFonts w:ascii="宋体" w:hAnsi="宋体" w:eastAsia="宋体"/>
          <w:sz w:val="24"/>
          <w:szCs w:val="24"/>
        </w:rPr>
        <w:t xml:space="preserve">日 期：</w:t>
      </w:r>
      <w:r/>
    </w:p>
    <w:p>
      <w:pPr>
        <w:pStyle w:val="785"/>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691"/>
        <w:jc w:val="left"/>
        <w:spacing w:line="240" w:lineRule="auto"/>
        <w:rPr>
          <w:rFonts w:hint="eastAsia" w:ascii="宋体" w:hAnsi="宋体"/>
          <w:sz w:val="24"/>
          <w:szCs w:val="24"/>
        </w:rPr>
      </w:pPr>
      <w:r/>
      <w:bookmarkStart w:id="199" w:name="_Toc128508999"/>
      <w:r/>
      <w:bookmarkStart w:id="200" w:name="_Toc76893612"/>
      <w:r/>
      <w:bookmarkStart w:id="201" w:name="_Toc29244199"/>
      <w:r/>
      <w:bookmarkStart w:id="202" w:name="_Toc101280240"/>
      <w:r/>
      <w:bookmarkStart w:id="203" w:name="_Toc101862127"/>
      <w:r/>
      <w:bookmarkStart w:id="204" w:name="_Toc101280187"/>
      <w:r/>
      <w:bookmarkStart w:id="205" w:name="_Toc78882163"/>
      <w:r/>
      <w:bookmarkStart w:id="206" w:name="_Toc129876299"/>
      <w:r/>
      <w:bookmarkStart w:id="207" w:name="_Toc28902621"/>
      <w:r/>
      <w:bookmarkStart w:id="208" w:name="_Toc101797561"/>
      <w:r/>
      <w:bookmarkStart w:id="209" w:name="OLE_LINK14"/>
      <w:r/>
      <w:bookmarkStart w:id="210" w:name="OLE_LINK13"/>
      <w:r>
        <w:rPr>
          <w:rFonts w:ascii="宋体" w:hAnsi="宋体"/>
          <w:sz w:val="24"/>
          <w:szCs w:val="24"/>
        </w:rPr>
        <w:t xml:space="preserve">7.</w:t>
      </w:r>
      <w:bookmarkStart w:id="211" w:name="_Hlk28902389"/>
      <w:r>
        <w:rPr>
          <w:rFonts w:hint="eastAsia" w:ascii="宋体" w:hAnsi="宋体"/>
          <w:sz w:val="24"/>
          <w:szCs w:val="24"/>
        </w:rPr>
        <w:t xml:space="preserve">残疾人福利性单位声明函</w:t>
      </w:r>
      <w:bookmarkEnd w:id="199"/>
      <w:r/>
      <w:bookmarkEnd w:id="200"/>
      <w:r/>
      <w:bookmarkEnd w:id="201"/>
      <w:r/>
      <w:bookmarkEnd w:id="202"/>
      <w:r/>
      <w:bookmarkEnd w:id="203"/>
      <w:r/>
      <w:bookmarkEnd w:id="204"/>
      <w:r/>
      <w:bookmarkEnd w:id="205"/>
      <w:r/>
      <w:bookmarkEnd w:id="206"/>
      <w:r/>
      <w:bookmarkEnd w:id="207"/>
      <w:r/>
      <w:bookmarkEnd w:id="208"/>
      <w:r/>
      <w:bookmarkEnd w:id="211"/>
      <w:r/>
      <w:bookmarkEnd w:id="209"/>
      <w:bookmarkEnd w:id="210"/>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JSZC-320000-JSSJ-G2026-0010</w:t>
      </w:r>
      <w:r>
        <w:rPr>
          <w:rFonts w:hint="eastAsia" w:ascii="宋体" w:hAnsi="宋体"/>
          <w:sz w:val="24"/>
          <w:szCs w:val="24"/>
          <w:u w:val="single"/>
        </w:rPr>
        <w:t xml:space="preserve">2026年新污染物治理项目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691"/>
        <w:jc w:val="left"/>
        <w:spacing w:line="240" w:lineRule="auto"/>
        <w:rPr>
          <w:rFonts w:hint="eastAsia" w:ascii="宋体" w:hAnsi="宋体"/>
          <w:sz w:val="24"/>
          <w:szCs w:val="24"/>
        </w:rPr>
      </w:pPr>
      <w:r/>
      <w:bookmarkStart w:id="212" w:name="_Toc129876300"/>
      <w:r/>
      <w:bookmarkStart w:id="213" w:name="_Toc128509000"/>
      <w:r>
        <w:rPr>
          <w:rFonts w:ascii="宋体" w:hAnsi="宋体"/>
          <w:sz w:val="24"/>
          <w:szCs w:val="24"/>
        </w:rPr>
        <w:t xml:space="preserve">8</w:t>
      </w:r>
      <w:r>
        <w:rPr>
          <w:rFonts w:hint="eastAsia" w:ascii="宋体" w:hAnsi="宋体"/>
          <w:sz w:val="24"/>
          <w:szCs w:val="24"/>
        </w:rPr>
        <w:t xml:space="preserve">.</w:t>
      </w:r>
      <w:bookmarkStart w:id="214" w:name="OLE_LINK5"/>
      <w:r>
        <w:rPr>
          <w:rFonts w:hint="eastAsia" w:ascii="宋体" w:hAnsi="宋体"/>
          <w:sz w:val="24"/>
          <w:szCs w:val="24"/>
        </w:rPr>
        <w:t xml:space="preserve"> </w:t>
      </w:r>
      <w:bookmarkStart w:id="215" w:name="OLE_LINK3"/>
      <w:r>
        <w:rPr>
          <w:rFonts w:hint="eastAsia" w:ascii="宋体" w:hAnsi="宋体"/>
          <w:sz w:val="24"/>
          <w:szCs w:val="24"/>
        </w:rPr>
        <w:t xml:space="preserve">监狱和戒毒企业证明材料</w:t>
      </w:r>
      <w:bookmarkEnd w:id="212"/>
      <w:r/>
      <w:bookmarkEnd w:id="213"/>
      <w:r/>
      <w:r/>
    </w:p>
    <w:p>
      <w:pPr>
        <w:ind w:firstLine="960"/>
        <w:rPr>
          <w:sz w:val="24"/>
          <w:szCs w:val="24"/>
        </w:rPr>
      </w:pPr>
      <w:r>
        <w:rPr>
          <w:rFonts w:hint="eastAsia"/>
          <w:sz w:val="24"/>
          <w:szCs w:val="24"/>
        </w:rPr>
        <w:t xml:space="preserve">（提供证明材料）</w:t>
      </w:r>
      <w:bookmarkEnd w:id="214"/>
      <w:bookmarkEnd w:id="215"/>
      <w:r/>
    </w:p>
    <w:p>
      <w:pPr>
        <w:ind w:firstLine="960"/>
        <w:rPr>
          <w:sz w:val="24"/>
          <w:szCs w:val="24"/>
        </w:rPr>
      </w:pPr>
      <w:r>
        <w:rPr>
          <w:sz w:val="24"/>
          <w:szCs w:val="24"/>
        </w:rPr>
      </w:r>
      <w:r/>
    </w:p>
    <w:p>
      <w:pPr>
        <w:pStyle w:val="691"/>
        <w:jc w:val="left"/>
        <w:spacing w:line="240" w:lineRule="auto"/>
        <w:rPr>
          <w:rFonts w:hint="eastAsia" w:ascii="宋体" w:hAnsi="宋体"/>
          <w:sz w:val="24"/>
          <w:szCs w:val="24"/>
        </w:rPr>
      </w:pPr>
      <w:r/>
      <w:bookmarkStart w:id="216" w:name="_Toc129876301"/>
      <w:r/>
      <w:bookmarkStart w:id="217" w:name="_Toc128509001"/>
      <w:r>
        <w:rPr>
          <w:rFonts w:ascii="宋体" w:hAnsi="宋体"/>
          <w:sz w:val="24"/>
          <w:szCs w:val="24"/>
        </w:rPr>
        <w:t xml:space="preserve">9.</w:t>
      </w:r>
      <w:r>
        <w:rPr>
          <w:rFonts w:hint="eastAsia" w:ascii="宋体" w:hAnsi="宋体"/>
          <w:sz w:val="24"/>
          <w:szCs w:val="24"/>
        </w:rPr>
        <w:t xml:space="preserve">其他</w:t>
      </w:r>
      <w:bookmarkEnd w:id="216"/>
      <w:r/>
      <w:bookmarkEnd w:id="217"/>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40" w:right="1418" w:bottom="1440"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mbria Math">
    <w:panose1 w:val="02040503050406030204"/>
  </w:font>
  <w:font w:name="楷体">
    <w:panose1 w:val="02010609060101010101"/>
  </w:font>
  <w:font w:name="新宋体">
    <w:panose1 w:val="02010609030101010101"/>
  </w:font>
  <w:font w:name="楷体_GB2312">
    <w:panose1 w:val="02010609060101010101"/>
  </w:font>
  <w:font w:name="方正仿宋简体">
    <w:panose1 w:val="020B0503020202020204"/>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707"/>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pStyle w:val="767"/>
      <w:isLgl w:val="false"/>
      <w:suff w:val="space"/>
      <w:lvlText w:val="%1."/>
      <w:lvlJc w:val="left"/>
      <w:pPr>
        <w:ind w:left="425" w:hanging="425"/>
      </w:pPr>
      <w:rPr>
        <w:rFonts w:hint="default" w:ascii="Times New Roman" w:hAnsi="Times New Roman" w:eastAsia="黑体"/>
      </w:rPr>
    </w:lvl>
    <w:lvl w:ilvl="1">
      <w:start w:val="1"/>
      <w:numFmt w:val="chineseCountingThousand"/>
      <w:pStyle w:val="776"/>
      <w:isLgl w:val="false"/>
      <w:suff w:val="space"/>
      <w:lvlText w:val="（%2）"/>
      <w:lvlJc w:val="left"/>
      <w:pPr>
        <w:ind w:left="567" w:hanging="567"/>
      </w:pPr>
      <w:rPr>
        <w:rFonts w:hint="default" w:ascii="Times New Roman" w:hAnsi="Times New Roman" w:eastAsia="黑体"/>
      </w:rPr>
    </w:lvl>
    <w:lvl w:ilvl="2">
      <w:start w:val="1"/>
      <w:numFmt w:val="decimal"/>
      <w:pStyle w:val="771"/>
      <w:isLgl w:val="false"/>
      <w:suff w:val="space"/>
      <w:lvlText w:val="%3."/>
      <w:lvlJc w:val="left"/>
      <w:pPr>
        <w:ind w:left="709" w:hanging="369"/>
      </w:pPr>
      <w:rPr>
        <w:rFonts w:hint="default" w:ascii="Times New Roman" w:hAnsi="Times New Roman" w:eastAsia="黑体"/>
      </w:rPr>
    </w:lvl>
    <w:lvl w:ilvl="3">
      <w:start w:val="1"/>
      <w:numFmt w:val="decimal"/>
      <w:pStyle w:val="770"/>
      <w:isLgl w:val="false"/>
      <w:suff w:val="space"/>
      <w:lvlText w:val="（%4）"/>
      <w:lvlJc w:val="left"/>
      <w:pPr>
        <w:ind w:left="851" w:hanging="567"/>
      </w:pPr>
      <w:rPr>
        <w:rFonts w:hint="default" w:ascii="Times New Roman" w:hAnsi="Times New Roman" w:eastAsia="黑体"/>
      </w:rPr>
    </w:lvl>
    <w:lvl w:ilvl="4">
      <w:start w:val="1"/>
      <w:numFmt w:val="lowerLetter"/>
      <w:pStyle w:val="773"/>
      <w:isLgl w:val="false"/>
      <w:suff w:val="space"/>
      <w:lvlText w:val="%5."/>
      <w:lvlJc w:val="left"/>
      <w:pPr>
        <w:ind w:left="992" w:hanging="425"/>
      </w:pPr>
      <w:rPr>
        <w:rFonts w:hint="default" w:ascii="Times New Roman" w:hAnsi="Times New Roman" w:eastAsia="黑体"/>
      </w:rPr>
    </w:lvl>
    <w:lvl w:ilvl="5">
      <w:start w:val="1"/>
      <w:numFmt w:val="lowerLetter"/>
      <w:pStyle w:val="774"/>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5"/>
    <w:link w:val="689"/>
    <w:uiPriority w:val="9"/>
    <w:rPr>
      <w:rFonts w:ascii="Arial" w:hAnsi="Arial" w:eastAsia="Arial" w:cs="Arial"/>
      <w:sz w:val="40"/>
      <w:szCs w:val="40"/>
    </w:rPr>
  </w:style>
  <w:style w:type="character" w:styleId="15">
    <w:name w:val="Heading 2 Char"/>
    <w:basedOn w:val="695"/>
    <w:link w:val="690"/>
    <w:uiPriority w:val="9"/>
    <w:rPr>
      <w:rFonts w:ascii="Arial" w:hAnsi="Arial" w:eastAsia="Arial" w:cs="Arial"/>
      <w:sz w:val="34"/>
    </w:rPr>
  </w:style>
  <w:style w:type="character" w:styleId="17">
    <w:name w:val="Heading 3 Char"/>
    <w:basedOn w:val="695"/>
    <w:link w:val="691"/>
    <w:uiPriority w:val="9"/>
    <w:rPr>
      <w:rFonts w:ascii="Arial" w:hAnsi="Arial" w:eastAsia="Arial" w:cs="Arial"/>
      <w:sz w:val="30"/>
      <w:szCs w:val="30"/>
    </w:rPr>
  </w:style>
  <w:style w:type="character" w:styleId="19">
    <w:name w:val="Heading 4 Char"/>
    <w:basedOn w:val="695"/>
    <w:link w:val="692"/>
    <w:uiPriority w:val="9"/>
    <w:rPr>
      <w:rFonts w:ascii="Arial" w:hAnsi="Arial" w:eastAsia="Arial" w:cs="Arial"/>
      <w:b/>
      <w:bCs/>
      <w:sz w:val="26"/>
      <w:szCs w:val="26"/>
    </w:rPr>
  </w:style>
  <w:style w:type="character" w:styleId="21">
    <w:name w:val="Heading 5 Char"/>
    <w:basedOn w:val="695"/>
    <w:link w:val="693"/>
    <w:uiPriority w:val="9"/>
    <w:rPr>
      <w:rFonts w:ascii="Arial" w:hAnsi="Arial" w:eastAsia="Arial" w:cs="Arial"/>
      <w:b/>
      <w:bCs/>
      <w:sz w:val="24"/>
      <w:szCs w:val="24"/>
    </w:rPr>
  </w:style>
  <w:style w:type="character" w:styleId="23">
    <w:name w:val="Heading 6 Char"/>
    <w:basedOn w:val="695"/>
    <w:link w:val="694"/>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5"/>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5"/>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5"/>
    <w:link w:val="28"/>
    <w:uiPriority w:val="9"/>
    <w:rPr>
      <w:rFonts w:ascii="Arial" w:hAnsi="Arial" w:eastAsia="Arial" w:cs="Arial"/>
      <w:i/>
      <w:iCs/>
      <w:sz w:val="21"/>
      <w:szCs w:val="21"/>
    </w:r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695"/>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695"/>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5"/>
    <w:link w:val="708"/>
    <w:uiPriority w:val="99"/>
  </w:style>
  <w:style w:type="character" w:styleId="44">
    <w:name w:val="Footer Char"/>
    <w:basedOn w:val="695"/>
    <w:link w:val="707"/>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707"/>
    <w:uiPriority w:val="99"/>
  </w:style>
  <w:style w:type="table" w:styleId="48">
    <w:name w:val="Table Grid Light"/>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0"/>
    <w:uiPriority w:val="99"/>
    <w:rPr>
      <w:sz w:val="18"/>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5"/>
    <w:uiPriority w:val="99"/>
    <w:semiHidden/>
    <w:unhideWhenUsed/>
    <w:rPr>
      <w:vertAlign w:val="superscript"/>
    </w:r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qFormat/>
    <w:pPr>
      <w:jc w:val="both"/>
      <w:widowControl w:val="off"/>
    </w:pPr>
    <w:rPr>
      <w:sz w:val="21"/>
      <w:szCs w:val="22"/>
    </w:rPr>
  </w:style>
  <w:style w:type="paragraph" w:styleId="689">
    <w:name w:val="Heading 1"/>
    <w:basedOn w:val="688"/>
    <w:next w:val="688"/>
    <w:link w:val="724"/>
    <w:qFormat/>
    <w:pPr>
      <w:keepLines/>
      <w:keepNext/>
      <w:spacing w:before="340" w:after="330" w:line="578" w:lineRule="auto"/>
      <w:outlineLvl w:val="0"/>
    </w:pPr>
    <w:rPr>
      <w:rFonts w:eastAsia="方正小标宋_GBK"/>
      <w:b/>
      <w:bCs/>
      <w:sz w:val="28"/>
      <w:szCs w:val="44"/>
    </w:rPr>
  </w:style>
  <w:style w:type="paragraph" w:styleId="690">
    <w:name w:val="Heading 2"/>
    <w:basedOn w:val="688"/>
    <w:next w:val="688"/>
    <w:link w:val="725"/>
    <w:qFormat/>
    <w:pPr>
      <w:jc w:val="center"/>
      <w:keepLines/>
      <w:keepNext/>
      <w:spacing w:before="260" w:after="260" w:line="416" w:lineRule="auto"/>
      <w:outlineLvl w:val="1"/>
    </w:pPr>
    <w:rPr>
      <w:rFonts w:ascii="Arial" w:hAnsi="Arial" w:eastAsia="黑体"/>
      <w:bCs/>
      <w:sz w:val="24"/>
      <w:szCs w:val="32"/>
    </w:rPr>
  </w:style>
  <w:style w:type="paragraph" w:styleId="691">
    <w:name w:val="Heading 3"/>
    <w:basedOn w:val="688"/>
    <w:next w:val="688"/>
    <w:link w:val="729"/>
    <w:unhideWhenUsed/>
    <w:qFormat/>
    <w:pPr>
      <w:keepLines/>
      <w:keepNext/>
      <w:spacing w:before="260" w:after="260" w:line="416" w:lineRule="auto"/>
      <w:outlineLvl w:val="2"/>
    </w:pPr>
    <w:rPr>
      <w:b/>
      <w:bCs/>
      <w:sz w:val="32"/>
      <w:szCs w:val="32"/>
    </w:rPr>
  </w:style>
  <w:style w:type="paragraph" w:styleId="692">
    <w:name w:val="Heading 4"/>
    <w:basedOn w:val="688"/>
    <w:next w:val="688"/>
    <w:link w:val="730"/>
    <w:uiPriority w:val="9"/>
    <w:qFormat/>
    <w:p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31"/>
    <w:uiPriority w:val="9"/>
    <w:qFormat/>
    <w:pPr>
      <w:keepLines/>
      <w:keepNext/>
      <w:spacing w:before="280" w:after="290" w:line="376" w:lineRule="auto"/>
      <w:outlineLvl w:val="4"/>
    </w:pPr>
    <w:rPr>
      <w:b/>
      <w:bCs/>
      <w:sz w:val="28"/>
      <w:szCs w:val="28"/>
    </w:rPr>
  </w:style>
  <w:style w:type="paragraph" w:styleId="694">
    <w:name w:val="Heading 6"/>
    <w:basedOn w:val="688"/>
    <w:next w:val="688"/>
    <w:link w:val="732"/>
    <w:uiPriority w:val="9"/>
    <w:qFormat/>
    <w:pPr>
      <w:keepLines/>
      <w:keepNext/>
      <w:spacing w:before="240" w:after="64" w:line="320" w:lineRule="auto"/>
      <w:outlineLvl w:val="5"/>
    </w:pPr>
    <w:rPr>
      <w:rFonts w:ascii="Cambria" w:hAnsi="Cambria"/>
      <w:b/>
      <w:bCs/>
      <w:sz w:val="24"/>
      <w:szCs w:val="24"/>
    </w:rPr>
  </w:style>
  <w:style w:type="character" w:styleId="695" w:default="1">
    <w:name w:val="Default Paragraph Font"/>
    <w:uiPriority w:val="1"/>
    <w:semiHidden/>
    <w:unhideWhenUsed/>
  </w:style>
  <w:style w:type="table" w:styleId="696" w:default="1">
    <w:name w:val="Normal Table"/>
    <w:uiPriority w:val="99"/>
    <w:semiHidden/>
    <w:unhideWhenUsed/>
    <w:tblPr>
      <w:tblInd w:w="0" w:type="dxa"/>
      <w:tblCellMar>
        <w:left w:w="108" w:type="dxa"/>
        <w:top w:w="0" w:type="dxa"/>
        <w:right w:w="108" w:type="dxa"/>
        <w:bottom w:w="0" w:type="dxa"/>
      </w:tblCellMar>
    </w:tblPr>
  </w:style>
  <w:style w:type="numbering" w:styleId="697" w:default="1">
    <w:name w:val="No List"/>
    <w:uiPriority w:val="99"/>
    <w:semiHidden/>
    <w:unhideWhenUsed/>
  </w:style>
  <w:style w:type="paragraph" w:styleId="698">
    <w:name w:val="Normal Indent"/>
    <w:basedOn w:val="688"/>
    <w:link w:val="757"/>
    <w:uiPriority w:val="99"/>
    <w:qFormat/>
    <w:pPr>
      <w:ind w:firstLine="420"/>
      <w:jc w:val="left"/>
    </w:pPr>
    <w:rPr>
      <w:rFonts w:ascii="宋体"/>
      <w:sz w:val="24"/>
      <w:szCs w:val="20"/>
    </w:rPr>
  </w:style>
  <w:style w:type="paragraph" w:styleId="699">
    <w:name w:val="annotation text"/>
    <w:basedOn w:val="688"/>
    <w:link w:val="726"/>
    <w:qFormat/>
    <w:pPr>
      <w:jc w:val="left"/>
    </w:pPr>
    <w:rPr>
      <w:rFonts w:ascii="宋体"/>
      <w:sz w:val="20"/>
      <w:szCs w:val="20"/>
    </w:rPr>
  </w:style>
  <w:style w:type="paragraph" w:styleId="700">
    <w:name w:val="Body Text"/>
    <w:basedOn w:val="688"/>
    <w:link w:val="733"/>
    <w:qFormat/>
    <w:pPr>
      <w:jc w:val="center"/>
    </w:pPr>
    <w:rPr>
      <w:sz w:val="44"/>
      <w:szCs w:val="24"/>
    </w:rPr>
  </w:style>
  <w:style w:type="paragraph" w:styleId="701">
    <w:name w:val="Body Text Indent"/>
    <w:basedOn w:val="688"/>
    <w:link w:val="734"/>
    <w:uiPriority w:val="99"/>
    <w:unhideWhenUsed/>
    <w:qFormat/>
    <w:pPr>
      <w:ind w:left="420"/>
      <w:spacing w:after="120"/>
    </w:pPr>
  </w:style>
  <w:style w:type="paragraph" w:styleId="702">
    <w:name w:val="index 4"/>
    <w:basedOn w:val="688"/>
    <w:next w:val="688"/>
    <w:unhideWhenUsed/>
    <w:qFormat/>
    <w:rPr>
      <w:rFonts w:ascii="宋体" w:hAnsi="宋体" w:cs="宋体"/>
      <w:sz w:val="22"/>
      <w:lang w:val="zh-CN" w:bidi="zh-CN"/>
    </w:rPr>
  </w:style>
  <w:style w:type="paragraph" w:styleId="703">
    <w:name w:val="toc 3"/>
    <w:basedOn w:val="688"/>
    <w:next w:val="688"/>
    <w:uiPriority w:val="39"/>
    <w:unhideWhenUsed/>
    <w:qFormat/>
    <w:pPr>
      <w:ind w:left="840"/>
    </w:pPr>
  </w:style>
  <w:style w:type="paragraph" w:styleId="704">
    <w:name w:val="Plain Text"/>
    <w:basedOn w:val="688"/>
    <w:link w:val="735"/>
    <w:qFormat/>
    <w:rPr>
      <w:rFonts w:hint="eastAsia" w:ascii="宋体" w:hAnsi="Courier New"/>
      <w:szCs w:val="21"/>
    </w:rPr>
  </w:style>
  <w:style w:type="paragraph" w:styleId="705">
    <w:name w:val="Date"/>
    <w:basedOn w:val="688"/>
    <w:next w:val="688"/>
    <w:link w:val="736"/>
    <w:qFormat/>
    <w:rPr>
      <w:sz w:val="28"/>
      <w:szCs w:val="20"/>
    </w:rPr>
  </w:style>
  <w:style w:type="paragraph" w:styleId="706">
    <w:name w:val="Balloon Text"/>
    <w:basedOn w:val="688"/>
    <w:link w:val="737"/>
    <w:semiHidden/>
    <w:qFormat/>
    <w:rPr>
      <w:sz w:val="18"/>
      <w:szCs w:val="18"/>
    </w:rPr>
  </w:style>
  <w:style w:type="paragraph" w:styleId="707">
    <w:name w:val="Footer"/>
    <w:basedOn w:val="688"/>
    <w:link w:val="723"/>
    <w:uiPriority w:val="99"/>
    <w:unhideWhenUsed/>
    <w:qFormat/>
    <w:pPr>
      <w:jc w:val="left"/>
      <w:tabs>
        <w:tab w:val="center" w:pos="4153" w:leader="none"/>
        <w:tab w:val="right" w:pos="8306" w:leader="none"/>
      </w:tabs>
    </w:pPr>
    <w:rPr>
      <w:sz w:val="18"/>
      <w:szCs w:val="18"/>
    </w:rPr>
  </w:style>
  <w:style w:type="paragraph" w:styleId="708">
    <w:name w:val="Header"/>
    <w:basedOn w:val="688"/>
    <w:link w:val="7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88"/>
    <w:next w:val="688"/>
    <w:uiPriority w:val="39"/>
    <w:qFormat/>
    <w:pPr>
      <w:jc w:val="center"/>
      <w:spacing w:line="500" w:lineRule="exact"/>
      <w:tabs>
        <w:tab w:val="right" w:pos="8296" w:leader="dot"/>
      </w:tabs>
    </w:pPr>
    <w:rPr>
      <w:rFonts w:ascii="宋体"/>
      <w:sz w:val="20"/>
      <w:szCs w:val="20"/>
    </w:rPr>
  </w:style>
  <w:style w:type="paragraph" w:styleId="710">
    <w:name w:val="footnote text"/>
    <w:basedOn w:val="688"/>
    <w:link w:val="738"/>
    <w:uiPriority w:val="99"/>
    <w:unhideWhenUsed/>
    <w:qFormat/>
    <w:pPr>
      <w:jc w:val="left"/>
    </w:pPr>
    <w:rPr>
      <w:sz w:val="18"/>
      <w:szCs w:val="18"/>
    </w:rPr>
  </w:style>
  <w:style w:type="paragraph" w:styleId="711">
    <w:name w:val="toc 2"/>
    <w:basedOn w:val="688"/>
    <w:next w:val="688"/>
    <w:uiPriority w:val="39"/>
    <w:qFormat/>
    <w:pPr>
      <w:ind w:left="420"/>
      <w:jc w:val="left"/>
    </w:pPr>
    <w:rPr>
      <w:rFonts w:ascii="宋体"/>
      <w:sz w:val="20"/>
      <w:szCs w:val="20"/>
    </w:rPr>
  </w:style>
  <w:style w:type="paragraph" w:styleId="712">
    <w:name w:val="Normal (Web)"/>
    <w:basedOn w:val="688"/>
    <w:unhideWhenUsed/>
    <w:qFormat/>
    <w:pPr>
      <w:jc w:val="left"/>
      <w:spacing w:before="100" w:beforeAutospacing="1" w:after="100" w:afterAutospacing="1"/>
      <w:widowControl/>
    </w:pPr>
    <w:rPr>
      <w:rFonts w:ascii="宋体" w:hAnsi="宋体" w:cs="宋体"/>
      <w:sz w:val="24"/>
      <w:szCs w:val="24"/>
    </w:rPr>
  </w:style>
  <w:style w:type="paragraph" w:styleId="713">
    <w:name w:val="annotation subject"/>
    <w:basedOn w:val="699"/>
    <w:next w:val="699"/>
    <w:link w:val="739"/>
    <w:semiHidden/>
    <w:qFormat/>
    <w:rPr>
      <w:rFonts w:ascii="Times New Roman"/>
      <w:b/>
      <w:bCs/>
      <w:sz w:val="21"/>
      <w:szCs w:val="22"/>
    </w:rPr>
  </w:style>
  <w:style w:type="paragraph" w:styleId="714">
    <w:name w:val="Body Text First Indent"/>
    <w:basedOn w:val="700"/>
    <w:link w:val="795"/>
    <w:uiPriority w:val="99"/>
    <w:unhideWhenUsed/>
    <w:qFormat/>
    <w:pPr>
      <w:ind w:firstLine="420"/>
      <w:jc w:val="both"/>
      <w:spacing w:after="120"/>
    </w:pPr>
    <w:rPr>
      <w:sz w:val="21"/>
      <w:szCs w:val="22"/>
    </w:rPr>
  </w:style>
  <w:style w:type="paragraph" w:styleId="715">
    <w:name w:val="Body Text First Indent 2"/>
    <w:basedOn w:val="701"/>
    <w:link w:val="791"/>
    <w:uiPriority w:val="99"/>
    <w:unhideWhenUsed/>
    <w:qFormat/>
    <w:pPr>
      <w:ind w:firstLine="420"/>
    </w:pPr>
    <w:rPr>
      <w:rFonts w:asciiTheme="minorHAnsi" w:hAnsiTheme="minorHAnsi" w:eastAsiaTheme="minorEastAsia" w:cstheme="minorBidi"/>
    </w:rPr>
  </w:style>
  <w:style w:type="table" w:styleId="716">
    <w:name w:val="Table Grid"/>
    <w:basedOn w:val="6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7">
    <w:name w:val="Strong"/>
    <w:uiPriority w:val="22"/>
    <w:qFormat/>
    <w:rPr>
      <w:b/>
      <w:bCs/>
    </w:rPr>
  </w:style>
  <w:style w:type="character" w:styleId="718">
    <w:name w:val="page number"/>
    <w:qFormat/>
  </w:style>
  <w:style w:type="character" w:styleId="719">
    <w:name w:val="Hyperlink"/>
    <w:uiPriority w:val="99"/>
    <w:qFormat/>
    <w:rPr>
      <w:rFonts w:ascii="仿宋_GB2312" w:eastAsia="仿宋_GB2312"/>
      <w:b/>
      <w:color w:val="0000ff"/>
      <w:sz w:val="24"/>
      <w:szCs w:val="24"/>
      <w:u w:val="single"/>
      <w:lang w:val="en-US" w:eastAsia="zh-CN" w:bidi="ar-SA"/>
    </w:rPr>
  </w:style>
  <w:style w:type="character" w:styleId="720">
    <w:name w:val="annotation reference"/>
    <w:qFormat/>
    <w:rPr>
      <w:rFonts w:ascii="仿宋_GB2312" w:eastAsia="仿宋_GB2312"/>
      <w:b/>
      <w:sz w:val="21"/>
      <w:szCs w:val="21"/>
      <w:lang w:val="en-US" w:eastAsia="zh-CN" w:bidi="ar-SA"/>
    </w:rPr>
  </w:style>
  <w:style w:type="character" w:styleId="721">
    <w:name w:val="footnote reference"/>
    <w:uiPriority w:val="99"/>
    <w:unhideWhenUsed/>
    <w:qFormat/>
    <w:rPr>
      <w:vertAlign w:val="superscript"/>
    </w:rPr>
  </w:style>
  <w:style w:type="character" w:styleId="722" w:customStyle="1">
    <w:name w:val="页眉 字符"/>
    <w:basedOn w:val="695"/>
    <w:link w:val="708"/>
    <w:uiPriority w:val="99"/>
    <w:qFormat/>
    <w:rPr>
      <w:sz w:val="18"/>
      <w:szCs w:val="18"/>
    </w:rPr>
  </w:style>
  <w:style w:type="character" w:styleId="723" w:customStyle="1">
    <w:name w:val="页脚 字符"/>
    <w:basedOn w:val="695"/>
    <w:link w:val="707"/>
    <w:uiPriority w:val="99"/>
    <w:qFormat/>
    <w:rPr>
      <w:sz w:val="18"/>
      <w:szCs w:val="18"/>
    </w:rPr>
  </w:style>
  <w:style w:type="character" w:styleId="724" w:customStyle="1">
    <w:name w:val="标题 1 字符"/>
    <w:basedOn w:val="695"/>
    <w:link w:val="689"/>
    <w:qFormat/>
    <w:rPr>
      <w:rFonts w:ascii="Times New Roman" w:hAnsi="Times New Roman" w:eastAsia="方正小标宋_GBK" w:cs="Times New Roman"/>
      <w:b/>
      <w:bCs/>
      <w:sz w:val="28"/>
      <w:szCs w:val="44"/>
    </w:rPr>
  </w:style>
  <w:style w:type="character" w:styleId="725" w:customStyle="1">
    <w:name w:val="标题 2 字符"/>
    <w:basedOn w:val="695"/>
    <w:link w:val="690"/>
    <w:qFormat/>
    <w:rPr>
      <w:rFonts w:ascii="Arial" w:hAnsi="Arial" w:eastAsia="黑体" w:cs="Times New Roman"/>
      <w:bCs/>
      <w:sz w:val="24"/>
      <w:szCs w:val="32"/>
    </w:rPr>
  </w:style>
  <w:style w:type="character" w:styleId="726" w:customStyle="1">
    <w:name w:val="批注文字 字符"/>
    <w:basedOn w:val="695"/>
    <w:link w:val="699"/>
    <w:qFormat/>
    <w:rPr>
      <w:rFonts w:ascii="宋体" w:hAnsi="Times New Roman" w:eastAsia="宋体" w:cs="Times New Roman"/>
      <w:sz w:val="20"/>
      <w:szCs w:val="20"/>
    </w:rPr>
  </w:style>
  <w:style w:type="paragraph" w:styleId="727" w:customStyle="1">
    <w:name w:val="普通正文"/>
    <w:basedOn w:val="688"/>
    <w:qFormat/>
    <w:pPr>
      <w:ind w:firstLine="480"/>
      <w:jc w:val="left"/>
      <w:spacing w:before="120" w:after="120" w:line="360" w:lineRule="auto"/>
    </w:pPr>
    <w:rPr>
      <w:rFonts w:ascii="Arial" w:hAnsi="Arial"/>
      <w:sz w:val="24"/>
      <w:szCs w:val="24"/>
    </w:rPr>
  </w:style>
  <w:style w:type="paragraph" w:styleId="728">
    <w:name w:val="List Paragraph"/>
    <w:basedOn w:val="688"/>
    <w:uiPriority w:val="34"/>
    <w:qFormat/>
    <w:pPr>
      <w:ind w:firstLine="420"/>
    </w:pPr>
  </w:style>
  <w:style w:type="character" w:styleId="729" w:customStyle="1">
    <w:name w:val="标题 3 字符"/>
    <w:basedOn w:val="695"/>
    <w:link w:val="691"/>
    <w:qFormat/>
    <w:rPr>
      <w:rFonts w:ascii="Times New Roman" w:hAnsi="Times New Roman" w:eastAsia="宋体" w:cs="Times New Roman"/>
      <w:b/>
      <w:bCs/>
      <w:sz w:val="32"/>
      <w:szCs w:val="32"/>
    </w:rPr>
  </w:style>
  <w:style w:type="character" w:styleId="730" w:customStyle="1">
    <w:name w:val="标题 4 字符"/>
    <w:basedOn w:val="695"/>
    <w:link w:val="692"/>
    <w:uiPriority w:val="9"/>
    <w:qFormat/>
    <w:rPr>
      <w:rFonts w:ascii="Cambria" w:hAnsi="Cambria" w:eastAsia="宋体" w:cs="Times New Roman"/>
      <w:b/>
      <w:bCs/>
      <w:sz w:val="28"/>
      <w:szCs w:val="28"/>
    </w:rPr>
  </w:style>
  <w:style w:type="character" w:styleId="731" w:customStyle="1">
    <w:name w:val="标题 5 字符"/>
    <w:basedOn w:val="695"/>
    <w:link w:val="693"/>
    <w:uiPriority w:val="9"/>
    <w:qFormat/>
    <w:rPr>
      <w:rFonts w:ascii="Times New Roman" w:hAnsi="Times New Roman" w:eastAsia="宋体" w:cs="Times New Roman"/>
      <w:b/>
      <w:bCs/>
      <w:sz w:val="28"/>
      <w:szCs w:val="28"/>
    </w:rPr>
  </w:style>
  <w:style w:type="character" w:styleId="732" w:customStyle="1">
    <w:name w:val="标题 6 字符"/>
    <w:basedOn w:val="695"/>
    <w:link w:val="694"/>
    <w:uiPriority w:val="9"/>
    <w:qFormat/>
    <w:rPr>
      <w:rFonts w:ascii="Cambria" w:hAnsi="Cambria" w:eastAsia="宋体" w:cs="Times New Roman"/>
      <w:b/>
      <w:bCs/>
      <w:sz w:val="24"/>
      <w:szCs w:val="24"/>
    </w:rPr>
  </w:style>
  <w:style w:type="character" w:styleId="733" w:customStyle="1">
    <w:name w:val="正文文本 字符"/>
    <w:basedOn w:val="695"/>
    <w:link w:val="700"/>
    <w:qFormat/>
    <w:rPr>
      <w:rFonts w:ascii="Times New Roman" w:hAnsi="Times New Roman" w:eastAsia="宋体" w:cs="Times New Roman"/>
      <w:sz w:val="44"/>
      <w:szCs w:val="24"/>
    </w:rPr>
  </w:style>
  <w:style w:type="character" w:styleId="734" w:customStyle="1">
    <w:name w:val="正文文本缩进 字符"/>
    <w:basedOn w:val="695"/>
    <w:link w:val="701"/>
    <w:uiPriority w:val="99"/>
    <w:qFormat/>
    <w:rPr>
      <w:rFonts w:ascii="Times New Roman" w:hAnsi="Times New Roman" w:eastAsia="宋体" w:cs="Times New Roman"/>
    </w:rPr>
  </w:style>
  <w:style w:type="character" w:styleId="735" w:customStyle="1">
    <w:name w:val="纯文本 字符"/>
    <w:basedOn w:val="695"/>
    <w:link w:val="704"/>
    <w:qFormat/>
    <w:rPr>
      <w:rFonts w:ascii="宋体" w:hAnsi="Courier New" w:eastAsia="宋体" w:cs="Times New Roman"/>
      <w:szCs w:val="20"/>
    </w:rPr>
  </w:style>
  <w:style w:type="character" w:styleId="736" w:customStyle="1">
    <w:name w:val="日期 字符"/>
    <w:basedOn w:val="695"/>
    <w:link w:val="705"/>
    <w:qFormat/>
    <w:rPr>
      <w:rFonts w:ascii="Times New Roman" w:hAnsi="Times New Roman" w:eastAsia="宋体" w:cs="Times New Roman"/>
      <w:sz w:val="28"/>
      <w:szCs w:val="20"/>
    </w:rPr>
  </w:style>
  <w:style w:type="character" w:styleId="737" w:customStyle="1">
    <w:name w:val="批注框文本 字符"/>
    <w:basedOn w:val="695"/>
    <w:link w:val="706"/>
    <w:semiHidden/>
    <w:qFormat/>
    <w:rPr>
      <w:rFonts w:ascii="Times New Roman" w:hAnsi="Times New Roman" w:eastAsia="宋体" w:cs="Times New Roman"/>
      <w:sz w:val="18"/>
      <w:szCs w:val="18"/>
    </w:rPr>
  </w:style>
  <w:style w:type="character" w:styleId="738" w:customStyle="1">
    <w:name w:val="脚注文本 字符"/>
    <w:basedOn w:val="695"/>
    <w:link w:val="710"/>
    <w:uiPriority w:val="99"/>
    <w:qFormat/>
    <w:rPr>
      <w:rFonts w:ascii="Times New Roman" w:hAnsi="Times New Roman" w:eastAsia="宋体" w:cs="Times New Roman"/>
      <w:sz w:val="18"/>
      <w:szCs w:val="18"/>
    </w:rPr>
  </w:style>
  <w:style w:type="character" w:styleId="739" w:customStyle="1">
    <w:name w:val="批注主题 字符"/>
    <w:basedOn w:val="726"/>
    <w:link w:val="713"/>
    <w:semiHidden/>
    <w:qFormat/>
    <w:rPr>
      <w:rFonts w:ascii="Times New Roman" w:hAnsi="Times New Roman" w:eastAsia="宋体" w:cs="Times New Roman"/>
      <w:b/>
      <w:bCs/>
      <w:sz w:val="20"/>
      <w:szCs w:val="20"/>
    </w:rPr>
  </w:style>
  <w:style w:type="character" w:styleId="740" w:customStyle="1">
    <w:name w:val="font151"/>
    <w:qFormat/>
    <w:rPr>
      <w:rFonts w:hint="eastAsia" w:ascii="宋体" w:hAnsi="宋体" w:eastAsia="宋体" w:cs="宋体"/>
      <w:b/>
      <w:color w:val="dd0806"/>
      <w:sz w:val="18"/>
      <w:szCs w:val="18"/>
      <w:u w:val="none"/>
    </w:rPr>
  </w:style>
  <w:style w:type="character" w:styleId="741" w:customStyle="1">
    <w:name w:val="font161"/>
    <w:qFormat/>
    <w:rPr>
      <w:rFonts w:hint="eastAsia" w:ascii="宋体" w:hAnsi="宋体" w:eastAsia="宋体" w:cs="宋体"/>
      <w:color w:val="000000"/>
      <w:sz w:val="18"/>
      <w:szCs w:val="18"/>
      <w:u w:val="none"/>
    </w:rPr>
  </w:style>
  <w:style w:type="character" w:styleId="742" w:customStyle="1">
    <w:name w:val="页脚 字符1"/>
    <w:qFormat/>
    <w:rPr>
      <w:sz w:val="18"/>
      <w:szCs w:val="18"/>
    </w:rPr>
  </w:style>
  <w:style w:type="character" w:styleId="743" w:customStyle="1">
    <w:name w:val="z-窗体顶端 Char"/>
    <w:link w:val="744"/>
    <w:uiPriority w:val="99"/>
    <w:qFormat/>
    <w:rPr>
      <w:rFonts w:ascii="Arial" w:hAnsi="Arial" w:eastAsia="宋体" w:cs="Arial"/>
      <w:vanish/>
      <w:sz w:val="16"/>
      <w:szCs w:val="16"/>
    </w:rPr>
  </w:style>
  <w:style w:type="paragraph" w:styleId="744" w:customStyle="1">
    <w:name w:val="_Style 27"/>
    <w:basedOn w:val="688"/>
    <w:next w:val="688"/>
    <w:link w:val="743"/>
    <w:uiPriority w:val="99"/>
    <w:unhideWhenUsed/>
    <w:qFormat/>
    <w:pPr>
      <w:jc w:val="center"/>
      <w:widowControl/>
      <w:pBdr>
        <w:bottom w:val="single" w:color="auto" w:sz="6" w:space="1"/>
      </w:pBdr>
    </w:pPr>
    <w:rPr>
      <w:rFonts w:ascii="Arial" w:hAnsi="Arial" w:cs="Arial"/>
      <w:vanish/>
      <w:sz w:val="16"/>
      <w:szCs w:val="16"/>
    </w:rPr>
  </w:style>
  <w:style w:type="character" w:styleId="745" w:customStyle="1">
    <w:name w:val="font212"/>
    <w:qFormat/>
    <w:rPr>
      <w:rFonts w:hint="eastAsia" w:ascii="宋体" w:hAnsi="宋体" w:eastAsia="宋体" w:cs="宋体"/>
      <w:color w:val="000000"/>
      <w:sz w:val="18"/>
      <w:szCs w:val="18"/>
      <w:u w:val="none"/>
    </w:rPr>
  </w:style>
  <w:style w:type="character" w:styleId="746" w:customStyle="1">
    <w:name w:val="font11"/>
    <w:qFormat/>
    <w:rPr>
      <w:rFonts w:hint="default" w:ascii="Arial" w:hAnsi="Arial" w:cs="Arial"/>
      <w:color w:val="000000"/>
      <w:sz w:val="20"/>
      <w:szCs w:val="20"/>
      <w:u w:val="none"/>
    </w:rPr>
  </w:style>
  <w:style w:type="character" w:styleId="747" w:customStyle="1">
    <w:name w:val="font231"/>
    <w:qFormat/>
    <w:rPr>
      <w:rFonts w:hint="eastAsia" w:ascii="宋体" w:hAnsi="宋体" w:eastAsia="宋体" w:cs="宋体"/>
      <w:color w:val="000000"/>
      <w:sz w:val="18"/>
      <w:szCs w:val="18"/>
      <w:u w:val="none"/>
    </w:rPr>
  </w:style>
  <w:style w:type="character" w:styleId="748" w:customStyle="1">
    <w:name w:val="font211"/>
    <w:qFormat/>
    <w:rPr>
      <w:rFonts w:hint="eastAsia" w:ascii="宋体" w:hAnsi="宋体" w:eastAsia="宋体" w:cs="宋体"/>
      <w:color w:val="000000"/>
      <w:sz w:val="18"/>
      <w:szCs w:val="18"/>
      <w:u w:val="none"/>
    </w:rPr>
  </w:style>
  <w:style w:type="character" w:styleId="749" w:customStyle="1">
    <w:name w:val="Char Char21"/>
    <w:qFormat/>
    <w:rPr>
      <w:b/>
      <w:bCs/>
      <w:sz w:val="44"/>
      <w:szCs w:val="44"/>
    </w:rPr>
  </w:style>
  <w:style w:type="character" w:styleId="750" w:customStyle="1">
    <w:name w:val="未处理的提及1"/>
    <w:uiPriority w:val="99"/>
    <w:unhideWhenUsed/>
    <w:qFormat/>
    <w:rPr>
      <w:color w:val="605e5c"/>
      <w:shd w:val="clear" w:color="auto" w:fill="e1dfdd"/>
    </w:rPr>
  </w:style>
  <w:style w:type="character" w:styleId="751" w:customStyle="1">
    <w:name w:val="z-窗体底端 Char"/>
    <w:link w:val="752"/>
    <w:uiPriority w:val="99"/>
    <w:qFormat/>
    <w:rPr>
      <w:rFonts w:ascii="Arial" w:hAnsi="Arial" w:eastAsia="宋体" w:cs="Arial"/>
      <w:vanish/>
      <w:sz w:val="16"/>
      <w:szCs w:val="16"/>
    </w:rPr>
  </w:style>
  <w:style w:type="paragraph" w:styleId="752" w:customStyle="1">
    <w:name w:val="_Style 26"/>
    <w:basedOn w:val="688"/>
    <w:next w:val="688"/>
    <w:link w:val="751"/>
    <w:uiPriority w:val="99"/>
    <w:unhideWhenUsed/>
    <w:qFormat/>
    <w:pPr>
      <w:jc w:val="center"/>
      <w:widowControl/>
      <w:pBdr>
        <w:top w:val="single" w:color="auto" w:sz="6" w:space="1"/>
      </w:pBdr>
    </w:pPr>
    <w:rPr>
      <w:rFonts w:ascii="Arial" w:hAnsi="Arial" w:cs="Arial"/>
      <w:vanish/>
      <w:sz w:val="16"/>
      <w:szCs w:val="16"/>
    </w:rPr>
  </w:style>
  <w:style w:type="character" w:styleId="753" w:customStyle="1">
    <w:name w:val="font51"/>
    <w:qFormat/>
    <w:rPr>
      <w:rFonts w:hint="eastAsia" w:ascii="宋体" w:hAnsi="宋体" w:eastAsia="宋体" w:cs="宋体"/>
      <w:color w:val="000000"/>
      <w:sz w:val="20"/>
      <w:szCs w:val="20"/>
      <w:u w:val="none"/>
    </w:rPr>
  </w:style>
  <w:style w:type="character" w:styleId="754" w:customStyle="1">
    <w:name w:val="日期 Char1"/>
    <w:uiPriority w:val="99"/>
    <w:semiHidden/>
    <w:qFormat/>
    <w:rPr>
      <w:sz w:val="21"/>
      <w:szCs w:val="22"/>
    </w:rPr>
  </w:style>
  <w:style w:type="character" w:styleId="755" w:customStyle="1">
    <w:name w:val="font241"/>
    <w:qFormat/>
    <w:rPr>
      <w:rFonts w:hint="default" w:ascii="Tahoma" w:hAnsi="Tahoma" w:eastAsia="Tahoma" w:cs="Tahoma"/>
      <w:color w:val="000000"/>
      <w:sz w:val="18"/>
      <w:szCs w:val="18"/>
      <w:u w:val="none"/>
    </w:rPr>
  </w:style>
  <w:style w:type="character" w:styleId="756" w:customStyle="1">
    <w:name w:val="页眉 字符1"/>
    <w:uiPriority w:val="99"/>
    <w:qFormat/>
    <w:rPr>
      <w:sz w:val="18"/>
      <w:szCs w:val="18"/>
    </w:rPr>
  </w:style>
  <w:style w:type="character" w:styleId="757" w:customStyle="1">
    <w:name w:val="正文缩进 字符"/>
    <w:link w:val="698"/>
    <w:qFormat/>
    <w:rPr>
      <w:rFonts w:ascii="宋体" w:hAnsi="Times New Roman" w:eastAsia="宋体" w:cs="Times New Roman"/>
      <w:sz w:val="24"/>
      <w:szCs w:val="20"/>
    </w:rPr>
  </w:style>
  <w:style w:type="character" w:styleId="758" w:customStyle="1">
    <w:name w:val="批注文字 字符2"/>
    <w:qFormat/>
    <w:rPr>
      <w:sz w:val="21"/>
      <w:szCs w:val="22"/>
    </w:rPr>
  </w:style>
  <w:style w:type="character" w:styleId="759" w:customStyle="1">
    <w:name w:val="批注文字 字符1"/>
    <w:uiPriority w:val="99"/>
    <w:qFormat/>
    <w:rPr>
      <w:sz w:val="21"/>
      <w:szCs w:val="22"/>
    </w:rPr>
  </w:style>
  <w:style w:type="character" w:styleId="760" w:customStyle="1">
    <w:name w:val="font191"/>
    <w:qFormat/>
    <w:rPr>
      <w:rFonts w:ascii="Tahoma" w:hAnsi="Tahoma" w:eastAsia="Tahoma" w:cs="Tahoma"/>
      <w:color w:val="000000"/>
      <w:sz w:val="18"/>
      <w:szCs w:val="18"/>
      <w:u w:val="none"/>
    </w:rPr>
  </w:style>
  <w:style w:type="character" w:styleId="761" w:customStyle="1">
    <w:name w:val="font271"/>
    <w:qFormat/>
    <w:rPr>
      <w:rFonts w:hint="eastAsia" w:ascii="宋体" w:hAnsi="宋体" w:eastAsia="宋体" w:cs="宋体"/>
      <w:b/>
      <w:color w:val="dd0806"/>
      <w:sz w:val="20"/>
      <w:szCs w:val="20"/>
      <w:u w:val="none"/>
    </w:rPr>
  </w:style>
  <w:style w:type="character" w:styleId="762" w:customStyle="1">
    <w:name w:val="font222"/>
    <w:qFormat/>
    <w:rPr>
      <w:rFonts w:hint="eastAsia" w:ascii="宋体" w:hAnsi="宋体" w:eastAsia="宋体" w:cs="宋体"/>
      <w:color w:val="dd0806"/>
      <w:sz w:val="18"/>
      <w:szCs w:val="18"/>
      <w:u w:val="none"/>
    </w:rPr>
  </w:style>
  <w:style w:type="character" w:styleId="763" w:customStyle="1">
    <w:name w:val="font221"/>
    <w:qFormat/>
    <w:rPr>
      <w:rFonts w:hint="eastAsia" w:ascii="宋体" w:hAnsi="宋体" w:eastAsia="宋体" w:cs="宋体"/>
      <w:color w:val="dd0806"/>
      <w:sz w:val="18"/>
      <w:szCs w:val="18"/>
      <w:u w:val="none"/>
    </w:rPr>
  </w:style>
  <w:style w:type="paragraph" w:styleId="764" w:customStyle="1">
    <w:name w:val="无间隔1"/>
    <w:uiPriority w:val="1"/>
    <w:qFormat/>
    <w:pPr>
      <w:jc w:val="both"/>
      <w:widowControl w:val="off"/>
    </w:pPr>
    <w:rPr>
      <w:sz w:val="21"/>
      <w:szCs w:val="24"/>
    </w:rPr>
  </w:style>
  <w:style w:type="paragraph" w:styleId="765" w:customStyle="1">
    <w:name w:val="Blockquote"/>
    <w:basedOn w:val="688"/>
    <w:qFormat/>
    <w:pPr>
      <w:ind w:left="360" w:right="360"/>
      <w:jc w:val="left"/>
      <w:spacing w:before="100" w:after="100"/>
    </w:pPr>
    <w:rPr>
      <w:sz w:val="24"/>
      <w:szCs w:val="20"/>
    </w:rPr>
  </w:style>
  <w:style w:type="paragraph" w:styleId="766" w:customStyle="1">
    <w:name w:val="_Style 24"/>
    <w:basedOn w:val="688"/>
    <w:qFormat/>
    <w:pPr>
      <w:ind w:firstLine="420"/>
    </w:pPr>
  </w:style>
  <w:style w:type="paragraph" w:styleId="767" w:customStyle="1">
    <w:name w:val="公文标题1"/>
    <w:basedOn w:val="689"/>
    <w:next w:val="688"/>
    <w:qFormat/>
    <w:pPr>
      <w:numPr>
        <w:numId w:val="1"/>
      </w:numPr>
    </w:pPr>
    <w:rPr>
      <w:rFonts w:eastAsia="黑体"/>
      <w:sz w:val="36"/>
    </w:rPr>
  </w:style>
  <w:style w:type="paragraph" w:styleId="768" w:customStyle="1">
    <w:name w:val="列出段落1"/>
    <w:basedOn w:val="688"/>
    <w:uiPriority w:val="99"/>
    <w:unhideWhenUsed/>
    <w:qFormat/>
    <w:pPr>
      <w:ind w:firstLine="420"/>
    </w:pPr>
  </w:style>
  <w:style w:type="paragraph" w:styleId="769" w:customStyle="1">
    <w:name w:val="_Style 1"/>
    <w:basedOn w:val="688"/>
    <w:uiPriority w:val="34"/>
    <w:qFormat/>
    <w:pPr>
      <w:ind w:firstLine="420"/>
    </w:pPr>
    <w:rPr>
      <w:szCs w:val="20"/>
    </w:rPr>
  </w:style>
  <w:style w:type="paragraph" w:styleId="770" w:customStyle="1">
    <w:name w:val="公文标题4"/>
    <w:basedOn w:val="692"/>
    <w:next w:val="688"/>
    <w:qFormat/>
    <w:pPr>
      <w:numPr>
        <w:ilvl w:val="3"/>
        <w:numId w:val="1"/>
      </w:numPr>
    </w:pPr>
    <w:rPr>
      <w:rFonts w:ascii="Times New Roman" w:hAnsi="Times New Roman" w:eastAsia="黑体"/>
    </w:rPr>
  </w:style>
  <w:style w:type="paragraph" w:styleId="771" w:customStyle="1">
    <w:name w:val="公文标题3"/>
    <w:basedOn w:val="691"/>
    <w:next w:val="688"/>
    <w:qFormat/>
    <w:pPr>
      <w:numPr>
        <w:ilvl w:val="2"/>
        <w:numId w:val="1"/>
      </w:numPr>
    </w:pPr>
    <w:rPr>
      <w:rFonts w:eastAsia="黑体"/>
      <w:sz w:val="30"/>
    </w:rPr>
  </w:style>
  <w:style w:type="paragraph" w:styleId="772" w:customStyle="1">
    <w:name w:val="_Style 25"/>
    <w:basedOn w:val="689"/>
    <w:next w:val="688"/>
    <w:uiPriority w:val="39"/>
    <w:qFormat/>
    <w:pPr>
      <w:jc w:val="left"/>
      <w:spacing w:before="480" w:after="0" w:line="276" w:lineRule="auto"/>
      <w:widowControl/>
      <w:outlineLvl w:val="9"/>
    </w:pPr>
    <w:rPr>
      <w:rFonts w:ascii="Cambria" w:hAnsi="Cambria" w:eastAsia="宋体"/>
      <w:color w:val="365f91"/>
      <w:szCs w:val="28"/>
    </w:rPr>
  </w:style>
  <w:style w:type="paragraph" w:styleId="773" w:customStyle="1">
    <w:name w:val="公文标题5"/>
    <w:basedOn w:val="693"/>
    <w:next w:val="688"/>
    <w:qFormat/>
    <w:pPr>
      <w:numPr>
        <w:ilvl w:val="4"/>
        <w:numId w:val="1"/>
      </w:numPr>
    </w:pPr>
    <w:rPr>
      <w:rFonts w:eastAsia="黑体"/>
      <w:sz w:val="24"/>
    </w:rPr>
  </w:style>
  <w:style w:type="paragraph" w:styleId="774" w:customStyle="1">
    <w:name w:val="公文标题6"/>
    <w:basedOn w:val="694"/>
    <w:next w:val="688"/>
    <w:qFormat/>
    <w:pPr>
      <w:numPr>
        <w:ilvl w:val="5"/>
        <w:numId w:val="1"/>
      </w:numPr>
    </w:pPr>
    <w:rPr>
      <w:rFonts w:ascii="Times New Roman" w:hAnsi="Times New Roman" w:eastAsia="黑体"/>
    </w:rPr>
  </w:style>
  <w:style w:type="paragraph" w:styleId="775" w:customStyle="1">
    <w:name w:val="reader-word-layer"/>
    <w:basedOn w:val="688"/>
    <w:qFormat/>
    <w:pPr>
      <w:jc w:val="left"/>
      <w:spacing w:before="100" w:beforeAutospacing="1" w:after="100" w:afterAutospacing="1"/>
      <w:widowControl/>
    </w:pPr>
    <w:rPr>
      <w:rFonts w:ascii="宋体" w:hAnsi="宋体" w:cs="宋体"/>
      <w:sz w:val="24"/>
      <w:szCs w:val="24"/>
    </w:rPr>
  </w:style>
  <w:style w:type="paragraph" w:styleId="776" w:customStyle="1">
    <w:name w:val="公文标题2"/>
    <w:basedOn w:val="690"/>
    <w:next w:val="688"/>
    <w:qFormat/>
    <w:pPr>
      <w:numPr>
        <w:ilvl w:val="1"/>
        <w:numId w:val="1"/>
      </w:numPr>
      <w:jc w:val="both"/>
    </w:pPr>
    <w:rPr>
      <w:rFonts w:ascii="Times New Roman" w:hAnsi="Times New Roman"/>
      <w:b/>
      <w:sz w:val="32"/>
    </w:rPr>
  </w:style>
  <w:style w:type="character" w:styleId="777" w:customStyle="1">
    <w:name w:val="正文文本 字符1"/>
    <w:qFormat/>
    <w:rPr>
      <w:rFonts w:ascii="Times New Roman" w:hAnsi="Times New Roman" w:eastAsia="宋体" w:cs="Times New Roman"/>
      <w:sz w:val="44"/>
      <w:szCs w:val="24"/>
    </w:rPr>
  </w:style>
  <w:style w:type="character" w:styleId="778" w:customStyle="1">
    <w:name w:val="标题 3 字符1"/>
    <w:qFormat/>
    <w:rPr>
      <w:b/>
      <w:bCs/>
      <w:sz w:val="32"/>
      <w:szCs w:val="32"/>
    </w:rPr>
  </w:style>
  <w:style w:type="character" w:styleId="779" w:customStyle="1">
    <w:name w:val="NormalCharacter"/>
    <w:semiHidden/>
    <w:qFormat/>
  </w:style>
  <w:style w:type="paragraph" w:styleId="780">
    <w:name w:val="No Spacing"/>
    <w:uiPriority w:val="1"/>
    <w:qFormat/>
    <w:pPr>
      <w:jc w:val="both"/>
      <w:widowControl w:val="off"/>
    </w:pPr>
    <w:rPr>
      <w:rFonts w:asciiTheme="minorHAnsi" w:hAnsiTheme="minorHAnsi" w:eastAsiaTheme="minorEastAsia" w:cstheme="minorBidi"/>
      <w:sz w:val="21"/>
      <w:szCs w:val="22"/>
    </w:rPr>
  </w:style>
  <w:style w:type="paragraph" w:styleId="781" w:customStyle="1">
    <w:name w:val="纯文本1"/>
    <w:basedOn w:val="688"/>
    <w:qFormat/>
    <w:rPr>
      <w:rFonts w:ascii="宋体" w:hAnsi="Courier New"/>
      <w:szCs w:val="20"/>
    </w:rPr>
  </w:style>
  <w:style w:type="paragraph" w:styleId="782" w:customStyle="1">
    <w:name w:val="Plain Text1"/>
    <w:basedOn w:val="688"/>
    <w:qFormat/>
    <w:rPr>
      <w:rFonts w:hint="eastAsia" w:ascii="宋体" w:hAnsi="Courier New" w:eastAsia="楷体_GB2312"/>
      <w:sz w:val="28"/>
      <w:szCs w:val="20"/>
    </w:rPr>
  </w:style>
  <w:style w:type="character" w:styleId="783" w:customStyle="1">
    <w:name w:val="二级目录 Char"/>
    <w:link w:val="784"/>
    <w:qFormat/>
    <w:rPr>
      <w:b/>
      <w:sz w:val="30"/>
      <w:szCs w:val="28"/>
    </w:rPr>
  </w:style>
  <w:style w:type="paragraph" w:styleId="784" w:customStyle="1">
    <w:name w:val="二级目录"/>
    <w:next w:val="688"/>
    <w:link w:val="783"/>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785" w:customStyle="1">
    <w:name w:val="无间隔2"/>
    <w:link w:val="786"/>
    <w:uiPriority w:val="1"/>
    <w:qFormat/>
    <w:pPr>
      <w:jc w:val="both"/>
      <w:widowControl w:val="off"/>
    </w:pPr>
    <w:rPr>
      <w:rFonts w:asciiTheme="minorHAnsi" w:hAnsiTheme="minorHAnsi" w:eastAsiaTheme="minorEastAsia" w:cstheme="minorBidi"/>
      <w:sz w:val="21"/>
      <w:szCs w:val="22"/>
    </w:rPr>
  </w:style>
  <w:style w:type="character" w:styleId="786" w:customStyle="1">
    <w:name w:val="无间隔 字符"/>
    <w:link w:val="785"/>
    <w:uiPriority w:val="1"/>
    <w:qFormat/>
  </w:style>
  <w:style w:type="paragraph" w:styleId="787" w:customStyle="1">
    <w:name w:val="[Normal]"/>
    <w:qFormat/>
    <w:rPr>
      <w:rFonts w:ascii="方正仿宋简体" w:hAnsi="方正仿宋简体" w:eastAsia="方正仿宋简体" w:cs="Courier New"/>
      <w:sz w:val="24"/>
      <w:szCs w:val="22"/>
      <w:lang w:val="zh-CN"/>
    </w:rPr>
  </w:style>
  <w:style w:type="paragraph" w:styleId="788" w:customStyle="1">
    <w:name w:val="修订1"/>
    <w:hidden/>
    <w:uiPriority w:val="99"/>
    <w:semiHidden/>
    <w:qFormat/>
    <w:rPr>
      <w:sz w:val="21"/>
      <w:szCs w:val="22"/>
    </w:rPr>
  </w:style>
  <w:style w:type="paragraph" w:styleId="789" w:customStyle="1">
    <w:name w:val="修订2"/>
    <w:hidden/>
    <w:uiPriority w:val="99"/>
    <w:semiHidden/>
    <w:qFormat/>
    <w:rPr>
      <w:sz w:val="21"/>
      <w:szCs w:val="22"/>
    </w:rPr>
  </w:style>
  <w:style w:type="paragraph" w:styleId="790" w:customStyle="1">
    <w:name w:val="首行缩进"/>
    <w:basedOn w:val="688"/>
    <w:qFormat/>
    <w:pPr>
      <w:ind w:firstLine="480"/>
      <w:jc w:val="left"/>
      <w:spacing w:line="360" w:lineRule="auto"/>
    </w:pPr>
    <w:rPr>
      <w:rFonts w:ascii="宋体" w:hAnsi="宋体" w:cs="宋体"/>
      <w:sz w:val="24"/>
      <w:lang w:val="zh-CN" w:bidi="zh-CN"/>
    </w:rPr>
  </w:style>
  <w:style w:type="character" w:styleId="791" w:customStyle="1">
    <w:name w:val="正文文本首行缩进 2 字符"/>
    <w:basedOn w:val="734"/>
    <w:link w:val="715"/>
    <w:uiPriority w:val="99"/>
    <w:qFormat/>
    <w:rPr>
      <w:rFonts w:ascii="Times New Roman" w:hAnsi="Times New Roman" w:eastAsia="宋体" w:cs="Times New Roman"/>
      <w:sz w:val="21"/>
      <w:szCs w:val="22"/>
    </w:rPr>
  </w:style>
  <w:style w:type="paragraph" w:styleId="792" w:customStyle="1">
    <w:name w:val="p"/>
    <w:basedOn w:val="688"/>
    <w:qFormat/>
    <w:pPr>
      <w:ind w:firstLine="375"/>
      <w:jc w:val="left"/>
      <w:spacing w:line="525" w:lineRule="atLeast"/>
      <w:widowControl/>
    </w:pPr>
    <w:rPr>
      <w:sz w:val="24"/>
      <w:szCs w:val="24"/>
    </w:rPr>
  </w:style>
  <w:style w:type="paragraph" w:styleId="793" w:customStyle="1">
    <w:name w:val="修订3"/>
    <w:hidden/>
    <w:uiPriority w:val="99"/>
    <w:semiHidden/>
    <w:qFormat/>
    <w:rPr>
      <w:sz w:val="21"/>
      <w:szCs w:val="22"/>
    </w:rPr>
  </w:style>
  <w:style w:type="paragraph" w:styleId="794" w:customStyle="1">
    <w:name w:val="修订4"/>
    <w:hidden/>
    <w:uiPriority w:val="99"/>
    <w:semiHidden/>
    <w:qFormat/>
    <w:rPr>
      <w:sz w:val="21"/>
      <w:szCs w:val="22"/>
    </w:rPr>
  </w:style>
  <w:style w:type="character" w:styleId="795" w:customStyle="1">
    <w:name w:val="正文文本首行缩进 字符"/>
    <w:basedOn w:val="733"/>
    <w:link w:val="714"/>
    <w:uiPriority w:val="99"/>
    <w:qFormat/>
    <w:rPr>
      <w:rFonts w:ascii="Times New Roman" w:hAnsi="Times New Roman" w:eastAsia="宋体" w:cs="Times New Roman"/>
      <w:sz w:val="21"/>
      <w:szCs w:val="22"/>
    </w:rPr>
  </w:style>
  <w:style w:type="paragraph" w:styleId="796" w:customStyle="1">
    <w:name w:val="paragraph"/>
    <w:basedOn w:val="688"/>
    <w:qFormat/>
    <w:pPr>
      <w:jc w:val="left"/>
      <w:spacing w:before="100" w:beforeAutospacing="1" w:after="100" w:afterAutospacing="1"/>
      <w:widowControl/>
    </w:pPr>
    <w:rPr>
      <w:rFonts w:ascii="宋体" w:hAnsi="宋体" w:cs="宋体"/>
      <w:sz w:val="24"/>
      <w:szCs w:val="24"/>
    </w:rPr>
  </w:style>
  <w:style w:type="paragraph" w:styleId="797" w:customStyle="1">
    <w:name w:val="修订5"/>
    <w:hidden/>
    <w:uiPriority w:val="99"/>
    <w:unhideWhenUsed/>
    <w:qFormat/>
    <w:rPr>
      <w:sz w:val="21"/>
      <w:szCs w:val="22"/>
    </w:rPr>
  </w:style>
  <w:style w:type="character" w:styleId="798" w:customStyle="1">
    <w:name w:val="15"/>
    <w:basedOn w:val="695"/>
    <w:qFormat/>
    <w:rPr>
      <w:sz w:val="21"/>
      <w:szCs w:val="21"/>
    </w:rPr>
  </w:style>
  <w:style w:type="paragraph" w:styleId="799" w:customStyle="1">
    <w:name w:val="修订6"/>
    <w:hidden/>
    <w:uiPriority w:val="99"/>
    <w:unhideWhenUsed/>
    <w:qFormat/>
    <w:rPr>
      <w:sz w:val="21"/>
      <w:szCs w:val="22"/>
    </w:rPr>
  </w:style>
  <w:style w:type="paragraph" w:styleId="800" w:customStyle="1">
    <w:name w:val="修订7"/>
    <w:hidden/>
    <w:uiPriority w:val="99"/>
    <w:unhideWhenUsed/>
    <w:qFormat/>
    <w:rPr>
      <w:sz w:val="21"/>
      <w:szCs w:val="22"/>
    </w:rPr>
  </w:style>
  <w:style w:type="paragraph" w:styleId="801" w:customStyle="1">
    <w:name w:val="修订8"/>
    <w:hidden/>
    <w:uiPriority w:val="99"/>
    <w:unhideWhenUsed/>
    <w:qFormat/>
    <w:rPr>
      <w:sz w:val="21"/>
      <w:szCs w:val="22"/>
    </w:rPr>
  </w:style>
  <w:style w:type="paragraph" w:styleId="802" w:customStyle="1">
    <w:name w:val="修订9"/>
    <w:hidden/>
    <w:uiPriority w:val="99"/>
    <w:unhideWhenUsed/>
    <w:qFormat/>
    <w:rPr>
      <w:sz w:val="21"/>
      <w:szCs w:val="22"/>
    </w:rPr>
  </w:style>
  <w:style w:type="paragraph" w:styleId="803" w:customStyle="1">
    <w:name w:val="修订10"/>
    <w:hidden/>
    <w:uiPriority w:val="99"/>
    <w:semiHidden/>
    <w:qFormat/>
    <w:rPr>
      <w:sz w:val="21"/>
      <w:szCs w:val="22"/>
    </w:rPr>
  </w:style>
  <w:style w:type="paragraph" w:styleId="804" w:customStyle="1">
    <w:name w:val="修订11"/>
    <w:hidden/>
    <w:uiPriority w:val="99"/>
    <w:unhideWhenUsed/>
    <w:qFormat/>
    <w:rPr>
      <w:sz w:val="21"/>
      <w:szCs w:val="22"/>
    </w:rPr>
  </w:style>
  <w:style w:type="paragraph" w:styleId="805" w:customStyle="1">
    <w:name w:val="修订12"/>
    <w:hidden/>
    <w:uiPriority w:val="99"/>
    <w:unhideWhenUsed/>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58dca67c-2029-4892-a40a-78554945b02e</errorID>
      <errorWord xmlns="http://schemas.wps.cn/vas-ai-hub/contract-review">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报告</item>
      </candidateList>
      <explain xmlns="http://schemas.wps.cn/vas-ai-hub/contract-review">❶〈动〉把事情或意见正式告诉上级或群众：你应当把事情的经过向领导～｜大会主席～了开会宗旨。❷〈名〉用口头或书面的形式向上级或群众所做的正式陈述：总结～｜动员～。</explain>
      <paraID xmlns="http://schemas.wps.cn/vas-ai-hub/contract-review">75E4E692</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604e7969-0913-4c6e-878a-c38fe4eb2b5b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7A15B18A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6df5b947-7b72-4384-a168-dee4eb06350c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655BE433</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c2bf102a-459a-4e84-96b4-0a27d3c6a21f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655BE433</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b579bb09-ef3d-4f71-a2aa-869e7b4ec9c0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3422A71B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60aa8b3f-0926-4062-9f8b-0f452c52de72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3071894E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4a3ba604-2e2d-4092-b6e6-4c2645ac1111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97cc2ebe-a4b3-47e1-92bd-31e136c143f5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4aeb70c8-3f8d-4ac2-ab1c-d1f2b1a42da9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714430f0-8d8f-442c-a0ba-09369dd98c4c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ef68082b-988d-419a-b3c8-6d41c2a7ce3c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a69eed50-d66f-4a02-b10b-731a16c2ec39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6EF9F219</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b5cfe6bf-e1f3-44b1-9995-5cf1257d8e30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03ac93e3-54f8-4378-a8b1-cdaf215616b5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6EF9F219</paraID>
      <start xmlns="http://schemas.wps.cn/vas-ai-hub/contract-review">69</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781913c0-2730-4984-9415-740a8d2f1e04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fb5544b9-1264-4c17-bdad-604a067cbd3f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b930fbaa-2b58-4c8d-b063-c0fc093a40f6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c1a0c24a-14be-406f-ac34-337440a0d1c8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434c21a8-dfca-41c6-89ab-6cc02543f730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4dc737db-348b-4b21-8a3c-c624f8ff0f0b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67f024de-c7aa-4303-9a5e-c0675295e6a3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155</start>
      <end xmlns="http://schemas.wps.cn/vas-ai-hub/contract-review">156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3fd94b7c-8095-434b-9684-42ce7dea1ffc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6EF9F219</paraID>
      <start xmlns="http://schemas.wps.cn/vas-ai-hub/contract-review">159</start>
      <end xmlns="http://schemas.wps.cn/vas-ai-hub/contract-review">160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de17a935-487f-4d4c-a1e9-d838ef916c8a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5FFCF945</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76a867c1-7612-43d9-b069-623bf9149899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6F3AB27</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b99f56a7-a0ab-462e-9996-0cd19355ff6f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6F3AB27</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01d4c2d9-2567-46ac-b723-29979f25625c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604f7c10-fa57-462d-8b11-2ae52522d695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4CF9BDE6</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222ac00d-6d2e-4349-b091-f1a227288c8f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62e70bd8-970b-474f-be39-b1ebe9bb7438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dec13530-cf4b-4c0f-be97-062d4606f78b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be3e383e-511f-4a38-b290-84f017b6125f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6a00aaee-a9ce-45f0-9f98-790e550d9e32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4CF9BDE6</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39f526b0-b3d3-4b7a-8d03-32b5eac92c22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23F70C61</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05263f8a-3a54-49d9-b4a2-145c15d6d00d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23F70C61</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a85c38bf-6bf3-4714-abdc-667df0c2090a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23F70C61</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1c53ffb7-8ce5-42ca-a5ad-d6094f99c889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23F70C61</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68c2ae68-f65f-4f01-ac5b-394140396aa6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57A2A753</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538dfab5-16e3-431a-bbea-1c12977c45da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7717D881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7a89df97-6356-48ae-896f-587d190c9e91</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2F182ED5</paraID>
      <start xmlns="http://schemas.wps.cn/vas-ai-hub/contract-review">77</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d78ad0d5-3a37-4623-a2d7-ee5fde88b310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4F6C07EF</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e7d8797d-2679-4b8b-bbeb-64ad936892de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4F6C07EF</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d0c1acda-3259-48ae-9d07-d46baa1f5a93</errorID>
      <errorWord xmlns="http://schemas.wps.cn/vas-ai-hub/contract-review">[2002]1980号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〔2002〕1980号</item>
      </candidateList>
      <explain xmlns="http://schemas.wps.cn/vas-ai-hub/contract-review">发文字号格式错误。</explain>
      <paraID xmlns="http://schemas.wps.cn/vas-ai-hub/contract-review"> AE72E1D</paraID>
      <start xmlns="http://schemas.wps.cn/vas-ai-hub/contract-review">42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05d010dd-e4c6-460d-84c7-08d3cdf4e23a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3BA06034</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e3569cd5-dc61-4db0-a514-7597648887fd</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5EB06ABC</paraID>
      <start xmlns="http://schemas.wps.cn/vas-ai-hub/contract-review">80</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356c7849-7c02-4e0f-9298-b08004a8ce47</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49BA4582</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53608ba1-66dd-4bda-91af-ad61ed85fe83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2146730A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e83a5e33-a7f5-4044-aa47-db04840ecc5a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2146730A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da085132-01ef-4cae-af9f-f04c96cdb1fc</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7DBA4B9C</paraID>
      <start xmlns="http://schemas.wps.cn/vas-ai-hub/contract-review">104</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a8b4ba51-0389-49ca-8c1e-496437e51792</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11964AF9</paraID>
      <start xmlns="http://schemas.wps.cn/vas-ai-hub/contract-review">18</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df0fb2a6-0779-49dc-8663-7d75fb9ebf4a</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74CEC98B</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fc285e23-1a91-49a4-9416-99dd6594e59a</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3C16C1A6</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301fa981-cb64-4781-8a1a-95f204746e14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 7C69A42</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4ba0d2c6-011c-4db6-9998-eddf35ca27ee</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6F5DA1CA</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25f6e06d-22a1-4f63-afe5-7ba6e882d8af</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7614BD7D</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fcaac4c7-01d6-4efa-a999-743f87ca2a17</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14B64F09</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9b98502b-a010-4828-b206-af721d186927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54403481</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e4a97c70-8d0d-4d07-9b54-785c5e2706d3</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52E51796</paraID>
      <start xmlns="http://schemas.wps.cn/vas-ai-hub/contract-review">32</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fe9123cb-8ce0-48d1-b30b-4be69a16867a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14398FB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b7019c18-a457-41d9-a517-8e73e7f396bc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39EE5862</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01ca0953-e788-41e2-9949-d88e7a855bfb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24730A87</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a3d52ec1-2249-4e74-b63a-03c3e6ec824c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17E1B7F</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8225f615-237e-4321-ac5a-785236bbd648</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 17E1B7F</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fcbea01f-4eb6-4970-97dc-348937927291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4CA12269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aa782d2a-0796-47b6-8fee-abe1e03338e7</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3643D2A3</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c8aa337c-13c0-4528-914b-6ffe3d0cc20a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7A1A25E9</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def23431-20ef-4548-b645-6dcea8a0338f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2E1456B3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43431b6d-ced3-4398-9556-c4251261261e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2E1456B3</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88be3087-83b6-4998-b6c1-7c8f157bfb0c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38CA8926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0b74b28a-b6bf-4362-b178-cd95fafa8464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38CA8926</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bc25a381-44a7-4fba-8452-2c288eba31e9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53E39195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223c28a5-bcfb-4794-8a66-ae2ec505f750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5C54E7DB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a03bcb0d-d1cd-458b-b40c-77479497dc94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404F9786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ac4ec2fc-03d3-4ef3-954b-1ce9fd5ed2e1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4874B6C9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20ed5fe0-fff7-4fc1-8960-52e1f8c5d0c5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4874B6C9</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6167d9c6-a7e0-4b64-ba75-77a5351816f2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40952552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b313a53a-3db9-4574-bb1f-12ff7a728bc9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353B8E13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6421fb66-8b0d-4b37-abb8-b0413d73033b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48E068BB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e94c58c1-9d63-43d4-97ba-2c0f2e31dc8d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67511CD6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5bfdf009-d4ad-4889-8106-f59108a5d482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74197864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73ad981d-9f7e-41f8-b794-56690a64309b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74197864</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e8e258a0-4f20-443d-9ba6-17d871205254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329438A9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b8e36393-5664-4dd6-b61b-748a9f56adc4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354C5D2B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7d09b803-4e68-4ec2-9b76-6a65cddc1e97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7D5B6590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d0834f1f-ec27-4041-b8c8-0e63612a0151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36544EF5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88743279-2603-4c57-8364-ef9c01d3f8ba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60C025D8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74851f4c-b0e1-420b-a07f-65a0854fcc28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297F67AF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85cf7670-0ba3-4dc7-b36d-e81413c3898a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9661154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6b371943-bd25-4806-8948-1c6cbfa80c17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21899A24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3dd1226d-a193-48af-8e75-7680ebf7ea36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72DB316D</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282f6917-2ed7-47b2-8a9e-61fe847aae3c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72DB316D</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571baed0-06ee-4904-b2c1-e630e561c4fc</errorID>
      <errorWord xmlns="http://schemas.wps.cn/vas-ai-hub/contract-review">[2014]68号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〔2014〕68号</item>
      </candidateList>
      <explain xmlns="http://schemas.wps.cn/vas-ai-hub/contract-review">发文字号格式错误。</explain>
      <paraID xmlns="http://schemas.wps.cn/vas-ai-hub/contract-review">5E041C0E</paraID>
      <start xmlns="http://schemas.wps.cn/vas-ai-hub/contract-review">38</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060f3b0c-f535-48f5-9f48-d623ca8067af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5EB52FDB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561c505d-deea-4b37-8fec-83b8e580e1a7</errorID>
      <errorWord xmlns="http://schemas.wps.cn/vas-ai-hub/contract-review">环评环境影响</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环境影响</item>
      </candidateList>
      <explain xmlns="http://schemas.wps.cn/vas-ai-hub/contract-review"/>
      <paraID xmlns="http://schemas.wps.cn/vas-ai-hub/contract-review">757127F5</paraID>
      <start xmlns="http://schemas.wps.cn/vas-ai-hub/contract-review">397</start>
      <end xmlns="http://schemas.wps.cn/vas-ai-hub/contract-review">403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5afbb0d7-795a-4456-9ea7-1a0ed5afce7a</errorID>
      <errorWord xmlns="http://schemas.wps.cn/vas-ai-hub/contract-review">环境影响报书</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环境影响报告</item>
      </candidateList>
      <explain xmlns="http://schemas.wps.cn/vas-ai-hub/contract-review"/>
      <paraID xmlns="http://schemas.wps.cn/vas-ai-hub/contract-review">3CA1757B</paraID>
      <start xmlns="http://schemas.wps.cn/vas-ai-hub/contract-review">30</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69b80d85-7bb2-44a3-a79c-2939b465e800</errorID>
      <errorWord xmlns="http://schemas.wps.cn/vas-ai-hub/contract-review">环评环境影响</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环境影响</item>
      </candidateList>
      <explain xmlns="http://schemas.wps.cn/vas-ai-hub/contract-review"/>
      <paraID xmlns="http://schemas.wps.cn/vas-ai-hub/contract-review">3F779DD5</paraID>
      <start xmlns="http://schemas.wps.cn/vas-ai-hub/contract-review">111</start>
      <end xmlns="http://schemas.wps.cn/vas-ai-hub/contract-review">117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716834e0-fff0-449c-abb6-8fdba4d8a11f</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6AEECAFE</paraID>
      <start xmlns="http://schemas.wps.cn/vas-ai-hub/contract-review">14</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cfc49eee-70bb-48d9-93d3-7a9051acf80d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65EE7193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1ad60952-5d15-40b0-93f6-55982b01af09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788059F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34c62d16-630b-4563-925d-b7a9c8f9baf2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84C69D9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4d1b31b8-768b-4b78-b035-dfdd01a186df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76856F70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eb498131-5b3a-447c-82bf-b79f300a2236</errorID>
      <errorWord xmlns="http://schemas.wps.cn/vas-ai-hub/contract-review">环评环境影响</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环境影响</item>
      </candidateList>
      <explain xmlns="http://schemas.wps.cn/vas-ai-hub/contract-review"/>
      <paraID xmlns="http://schemas.wps.cn/vas-ai-hub/contract-review">76856F70</paraID>
      <start xmlns="http://schemas.wps.cn/vas-ai-hub/contract-review">32</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452b97a4-dc4b-48ad-a108-725a87bcc5be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41EF3C71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8bb63637-ae24-4375-810d-573eea8208aa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11EE974A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abb9cda7-432f-4776-a399-55c3a41ec99f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92EBC5D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6b1d24d8-7d32-4e87-b42b-a704bb752ebf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60FD0464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9ebe960d-1062-42fa-bae7-69d95140d4af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659E4A8A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7d99d1b1-2583-4752-b0c7-7da210be4bbf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49E84A6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2d50b020-421f-410c-a458-ea0c500c0d58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50539917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e223447c-0567-4585-959c-576cf9daa313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3224D774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fa210fcb-1c38-49ce-abcc-c56ae7e4abba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5CF4EE32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0c6cf5e0-0ae6-4dac-8345-5720b57d6674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3B62E5FB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4c361de8-deae-4e2f-85fa-4b5a60ff4a22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5C1DA4A6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6d7fdb84-a308-43cb-bcb9-d1993e7defb2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784265AB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29e4b235-e0cf-4095-909a-53570fc0b873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26434A82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11c95e77-091b-4f94-8c08-cb411b1fdbe9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7E8E1A97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0ba55bb5-c764-41fc-b35b-c50c920dc7eb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2C9F09FE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31529199-b64d-4249-9071-a6441adf0049</errorID>
      <errorWord xmlns="http://schemas.wps.cn/vas-ai-hub/contract-review">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评等</item>
      </candidateList>
      <explain xmlns="http://schemas.wps.cn/vas-ai-hub/contract-review"/>
      <paraID xmlns="http://schemas.wps.cn/vas-ai-hub/contract-review">2C9F09FE</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5cf027a3-9f66-45f2-99c2-4fc5f43b7a70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6C4F27EB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9ac57783-16b0-46a2-ab03-8026e222f7f1</errorID>
      <errorWord xmlns="http://schemas.wps.cn/vas-ai-hub/contract-review">需具备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须具备</item>
      </candidateList>
      <explain xmlns="http://schemas.wps.cn/vas-ai-hub/contract-review"/>
      <paraID xmlns="http://schemas.wps.cn/vas-ai-hub/contract-review">6C4F27EB</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20f3e47f-c621-4671-9cde-d7f553cac6a4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33BB49A0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fbb69a8c-d7c8-4873-8ae1-359cfad7016d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DC67F1B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a97216a5-d8b6-4190-a111-aeb7f38960e5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7167B80C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7fa5cfeb-ce3b-4147-a06f-45eb292d038b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3EB9DDD8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d74a0af9-deb6-4193-b84c-c8d5199a9040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31A78442</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ce3e5211-68e0-43da-ab44-bb04e9e0a133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289B0C5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1b096025-21d8-4b15-a82d-882c7177b416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344DAC81</paraID>
      <start xmlns="http://schemas.wps.cn/vas-ai-hub/contract-review">91</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bc646de6-062f-42f2-bb1e-d55862bfaefd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344DAC81</paraID>
      <start xmlns="http://schemas.wps.cn/vas-ai-hub/contract-review">97</start>
      <end xmlns="http://schemas.wps.cn/vas-ai-hub/contract-review">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7033c7c2-7f97-4b22-8a4f-deff566a96cd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344DAC81</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c5a1e2c3-09c9-47cc-9411-309f81e32dc2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7A904274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09cac421-159f-4d1b-a47c-3102bcdb4166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B52633D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5defd4f7-e42d-4967-a3ce-78d8a177d9bf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754B5366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095d6abb-bcf0-4423-b7c8-5aade5d055f4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754B5366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8cf2aff4-9f7e-419a-97ae-48946188852f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65CB6EAE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74ce3cf0-0924-4142-8c58-c3d6eca39b7a</errorID>
      <errorWord xmlns="http://schemas.wps.cn/vas-ai-hub/contract-review">环境影响报书</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环境影响报告</item>
      </candidateList>
      <explain xmlns="http://schemas.wps.cn/vas-ai-hub/contract-review"/>
      <paraID xmlns="http://schemas.wps.cn/vas-ai-hub/contract-review">65CB6EAE</paraID>
      <start xmlns="http://schemas.wps.cn/vas-ai-hub/contract-review">4</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394bc629-adaf-47ee-8494-53ed0499c1e7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48620884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241d67f3-666f-496b-946b-408cddea314b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73ED7ABB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5739dcf0-eb0b-4d35-bfa4-587d4dfc436e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788A3C69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5f4414fa-5b41-4c3a-b7fe-166eefedd84b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788A3C69</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5ea881a9-b587-4881-bafd-9f47ce548244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788A3C69</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a9e3dd1f-c288-495c-8544-058f270f4b81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6A3C784F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7a6d9de2-1a69-4e82-bcc1-56efe8e63e12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2CE06BC2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f988c0bf-cd9b-426f-babb-98c748681d1f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1CB86D4D</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7f4e8824-82db-446a-8d94-76a2dbee14c9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1CB86D4D</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a6ca6dfd-34a5-46fc-b287-329f606f5586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1CB86D4D</paraID>
      <start xmlns="http://schemas.wps.cn/vas-ai-hub/contract-review">131</start>
      <end xmlns="http://schemas.wps.cn/vas-ai-hub/contract-review">132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6941c94e-0d39-432f-aa38-f9e19ca438df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1CB86D4D</paraID>
      <start xmlns="http://schemas.wps.cn/vas-ai-hub/contract-review">160</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3c2f2f93-40e4-4949-995f-e441698c8b15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1CB86D4D</paraID>
      <start xmlns="http://schemas.wps.cn/vas-ai-hub/contract-review">163</start>
      <end xmlns="http://schemas.wps.cn/vas-ai-hub/contract-review">164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78bdd3f4-2266-4d81-8c77-afc5c054d0e7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3BC7958F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2f2db4ec-e787-45bc-af54-95f6186683a6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72C165A3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1de35d6e-0270-4beb-b83c-f7cdcd007e5b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65247E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89b01109-373d-4f10-ac1b-fcb6d750082a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65247E</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fdd13213-5cad-48bb-9eff-d4b6d00b055d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43359611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48c70dc0-970c-4c5a-9cbe-9669845a74db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43359611</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20eecc18-a968-408c-8b28-e76bfcaf7487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43359611</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7cb64f8a-1719-49df-9949-82b5d8f5ded9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43359611</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05a657d6-c9f0-4341-81d6-8bf243f590c8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43359611</paraID>
      <start xmlns="http://schemas.wps.cn/vas-ai-hub/contract-review">106</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dc78609d-f88c-4acc-9372-b44680a33a91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79CAEF07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6a7eda86-ef24-4023-89a7-e756c9573031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480B3D30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6c413eab-4d09-453f-9bb6-eaab49bbc1db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7237286F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4efd4f4e-38e4-402b-ac52-5bdf6054c6b2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49172DE6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9ebb5afd-095a-41be-ac18-7e2763909d18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1948A8E6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5b2a5e25-816a-4d22-a285-76a49b38e850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138438F4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eb2ac62e-ec9a-4ffe-ba57-3de8e5ffe40c</errorID>
      <errorWord xmlns="http://schemas.wps.cn/vas-ai-hub/contract-review">是由于乙方的过错造成</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是由于乙方的过错</item>
      </candidateList>
      <explain xmlns="http://schemas.wps.cn/vas-ai-hub/contract-review">该表达中的“是由于乙方的过错造成”存在语义重复。</explain>
      <paraID xmlns="http://schemas.wps.cn/vas-ai-hub/contract-review">4AF9011D</paraID>
      <start xmlns="http://schemas.wps.cn/vas-ai-hub/contract-review">41</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c486d61c-7fc1-474f-91ca-5a276daca4ff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35C960E0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d883db0e-b47d-48d0-810e-39707db17f50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9964825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753ca97d-ee8a-4b29-a2e3-d4249ec04c3d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2A27FF0E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19c119cc-68e6-4c07-a40c-30e0b36374b5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5B708A76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87426e33-4cd0-43d4-ac20-547d70e068cf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6865D8DF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5cd0de21-8c64-4a88-9ece-8c37964c8b2a</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6865D8DF</paraID>
      <start xmlns="http://schemas.wps.cn/vas-ai-hub/contract-review">14</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d26de712-3056-4ac9-ac4e-73cc6499f23c</errorID>
      <errorWord xmlns="http://schemas.wps.cn/vas-ai-hub/contract-review">第22条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第二十二条</item>
      </candidateList>
      <explain xmlns="http://schemas.wps.cn/vas-ai-hub/contract-review">法律条目书写应使用汉字数字，不使用阿拉伯数字。</explain>
      <paraID xmlns="http://schemas.wps.cn/vas-ai-hub/contract-review">6865D8DF</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fe09f5b4-8d7a-4e0e-889b-e90933779c5b</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6865D8DF</paraID>
      <start xmlns="http://schemas.wps.cn/vas-ai-hub/contract-review">37</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97887037-9998-46da-90e6-618d13fcda72</errorID>
      <errorWord xmlns="http://schemas.wps.cn/vas-ai-hub/contract-review">第77条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第七十七条</item>
      </candidateList>
      <explain xmlns="http://schemas.wps.cn/vas-ai-hub/contract-review">法律条目书写应使用汉字数字，不使用阿拉伯数字。</explain>
      <paraID xmlns="http://schemas.wps.cn/vas-ai-hub/contract-review">6865D8DF</paraID>
      <start xmlns="http://schemas.wps.cn/vas-ai-hub/contract-review">44</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94c13c2f-0e4f-4159-afb4-41d835074208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263DD761</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fddddc2b-9ec3-4ce3-ab4d-ade549d366ff</errorID>
      <errorWord xmlns="http://schemas.wps.cn/vas-ai-hub/contract-review">所有的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所有</item>
      </candidateList>
      <explain xmlns="http://schemas.wps.cn/vas-ai-hub/contract-review"/>
      <paraID xmlns="http://schemas.wps.cn/vas-ai-hub/contract-review">263DD761</paraID>
      <start xmlns="http://schemas.wps.cn/vas-ai-hub/contract-review">16</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f180c764-9e50-4a69-b215-db346eea9f09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2D7C5B16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599f7b95-a7df-491e-a3e2-e50cddc0758c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16BF3356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a8c10f18-3d25-406c-8358-c5bd1ba38bfc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402123A3</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8365a174-5c92-4ae0-829a-b00002a4188a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5261034C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cc5d8e84-879c-4afb-8b5d-bea8962a0e76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4FB6B116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cd622136-82a7-432e-8d77-cc36a6bee8cd</errorID>
      <errorWord xmlns="http://schemas.wps.cn/vas-ai-hub/contract-review">环评环境影响</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环境影响</item>
      </candidateList>
      <explain xmlns="http://schemas.wps.cn/vas-ai-hub/contract-review"/>
      <paraID xmlns="http://schemas.wps.cn/vas-ai-hub/contract-review"> 2818E89</paraID>
      <start xmlns="http://schemas.wps.cn/vas-ai-hub/contract-review">32</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626f5010-3f28-4680-9fa4-ecc5b0ac6683</errorID>
      <errorWord xmlns="http://schemas.wps.cn/vas-ai-hub/contract-review">其它所有</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其他所有</item>
      </candidateList>
      <explain xmlns="http://schemas.wps.cn/vas-ai-hub/contract-review">词汇[其它所有]为不规范表述或旧称，其规范书面表述为[其他所有]。</explain>
      <paraID xmlns="http://schemas.wps.cn/vas-ai-hub/contract-review">12902611</paraID>
      <start xmlns="http://schemas.wps.cn/vas-ai-hub/contract-review">88</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fb0b5a76-a491-42e0-954d-a567945751f7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6E8509DE</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b6275d83-d9c4-403d-b740-8ebc00d89b26</errorID>
      <errorWord xmlns="http://schemas.wps.cn/vas-ai-hub/contract-review">评委会会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评委会</item>
      </candidateList>
      <explain xmlns="http://schemas.wps.cn/vas-ai-hub/contract-review"/>
      <paraID xmlns="http://schemas.wps.cn/vas-ai-hub/contract-review"> 9A2FE0F</paraID>
      <start xmlns="http://schemas.wps.cn/vas-ai-hub/contract-review">98</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b24ba93c-128a-4dd7-9a7e-a0309ac07802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2AF5075</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1f59e8f5-9855-4ab8-8149-f929cd5fe840</errorID>
      <errorWord xmlns="http://schemas.wps.cn/vas-ai-hub/contract-review">所将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所</item>
      </candidateList>
      <explain xmlns="http://schemas.wps.cn/vas-ai-hub/contract-review"/>
      <paraID xmlns="http://schemas.wps.cn/vas-ai-hub/contract-review">47F27CBF</paraID>
      <start xmlns="http://schemas.wps.cn/vas-ai-hub/contract-review">71</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2ae731a3-f1de-46b6-9597-ee20ff6edca1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2F183816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f2d747db-bdd4-4b2f-9857-645ae4bcb5e0</errorID>
      <errorWord xmlns="http://schemas.wps.cn/vas-ai-hub/contract-review">采购采购活动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采购活动</item>
      </candidateList>
      <explain xmlns="http://schemas.wps.cn/vas-ai-hub/contract-review"/>
      <paraID xmlns="http://schemas.wps.cn/vas-ai-hub/contract-review"> 6FA834E</paraID>
      <start xmlns="http://schemas.wps.cn/vas-ai-hub/contract-review">6</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11b3311a-0eb3-4c8c-9482-8674922b6b91</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20E8092F</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017505-4E5B-4ED3-9908-223CA770341F}">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黄素玲</cp:lastModifiedBy>
  <cp:revision>2</cp:revision>
  <dcterms:created xsi:type="dcterms:W3CDTF">2026-09-23T07:28:00Z</dcterms:created>
  <dcterms:modified xsi:type="dcterms:W3CDTF">2026-09-23T07:55:26Z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C07DDC57E84F547E0652AF6A8F602418_43</vt:lpwstr>
  </property>
  <property fmtid="{D5CDD505-2E9C-101B-9397-08002B2CF9AE}" pid="4" name="KSOTemplateDocerSaveRecord">
    <vt:lpwstr>eyJoZGlkIjoiZWJhOTZjZWFkOTUwZjQ1Njc1ODFiMzVhZjRjM2Q2NTUiLCJ1c2VySWQiOiI1MTI5NTc1MTEifQ==</vt:lpwstr>
  </property>
</Properties>
</file>