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734"/>
        <w:jc w:val="center"/>
        <w:spacing w:before="120" w:after="120" w:line="400" w:lineRule="exact"/>
        <w:rPr>
          <w:rFonts w:hint="eastAsia" w:ascii="方正小标宋_GBK" w:hAnsi="方正小标宋_GBK" w:eastAsia="方正小标宋_GBK" w:cs="方正小标宋_GBK"/>
          <w:color w:val="000000"/>
          <w:sz w:val="28"/>
          <w:szCs w:val="28"/>
        </w:rPr>
      </w:pPr>
      <w:r>
        <w:rPr>
          <w:rFonts w:hint="eastAsia" w:ascii="方正小标宋_GBK" w:hAnsi="方正小标宋_GBK" w:eastAsia="方正小标宋_GBK" w:cs="方正小标宋_GBK"/>
          <w:color w:val="000000"/>
          <w:sz w:val="28"/>
          <w:szCs w:val="28"/>
        </w:rPr>
        <w:t xml:space="preserve">招　标　文　件</w:t>
      </w:r>
      <w:r>
        <w:rPr>
          <w:rFonts w:hint="eastAsia" w:ascii="方正小标宋_GBK" w:hAnsi="方正小标宋_GBK" w:eastAsia="方正小标宋_GBK" w:cs="方正小标宋_GBK"/>
          <w:color w:val="000000"/>
          <w:sz w:val="28"/>
          <w:szCs w:val="28"/>
        </w:rPr>
      </w:r>
      <w:r/>
    </w:p>
    <w:p>
      <w:pPr>
        <w:pStyle w:val="734"/>
        <w:ind w:firstLine="560"/>
        <w:jc w:val="left"/>
        <w:spacing w:before="120" w:after="120" w:line="400" w:lineRule="exact"/>
        <w:rPr>
          <w:rFonts w:hint="eastAsia" w:ascii="Arial" w:hAnsi="Arial"/>
          <w:b/>
          <w:bCs/>
          <w:color w:val="000000"/>
          <w:sz w:val="28"/>
          <w:szCs w:val="28"/>
        </w:rPr>
      </w:pPr>
      <w:r>
        <w:rPr>
          <w:rFonts w:hint="eastAsia" w:ascii="Arial" w:hAnsi="Arial"/>
          <w:b/>
          <w:bCs/>
          <w:color w:val="000000"/>
          <w:sz w:val="28"/>
          <w:szCs w:val="28"/>
        </w:rPr>
      </w:r>
      <w:r/>
    </w:p>
    <w:p>
      <w:pPr>
        <w:pStyle w:val="734"/>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w:t>
      </w:r>
      <w:bookmarkStart w:id="0" w:name="OLE_LINK1"/>
      <w:r>
        <w:rPr>
          <w:rFonts w:hint="eastAsia" w:ascii="方正黑体_GBK" w:hAnsi="方正黑体_GBK" w:eastAsia="方正黑体_GBK" w:cs="方正黑体_GBK"/>
          <w:color w:val="000000"/>
          <w:sz w:val="28"/>
          <w:szCs w:val="28"/>
        </w:rPr>
        <w:t xml:space="preserve">国产化算力设备及参数面交换机</w:t>
      </w:r>
      <w:bookmarkEnd w:id="0"/>
      <w:r>
        <w:rPr>
          <w:rFonts w:hint="eastAsia" w:ascii="方正黑体_GBK" w:hAnsi="方正黑体_GBK" w:eastAsia="方正黑体_GBK" w:cs="方正黑体_GBK"/>
          <w:color w:val="000000"/>
          <w:sz w:val="28"/>
          <w:szCs w:val="28"/>
        </w:rPr>
      </w:r>
      <w:r/>
    </w:p>
    <w:p>
      <w:pPr>
        <w:pStyle w:val="734"/>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JSZC-320000-SCZX-G2026-0385</w:t>
      </w:r>
      <w:r>
        <w:rPr>
          <w:rFonts w:hint="eastAsia" w:ascii="方正黑体_GBK" w:hAnsi="方正黑体_GBK" w:eastAsia="方正黑体_GBK" w:cs="方正黑体_GBK"/>
          <w:color w:val="000000"/>
          <w:sz w:val="28"/>
          <w:szCs w:val="28"/>
        </w:rPr>
      </w:r>
      <w:r/>
    </w:p>
    <w:p>
      <w:pPr>
        <w:pStyle w:val="734"/>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（全流程电子化-货物类项目，适用于“苏采云”系统）</w:t>
      </w:r>
      <w:r>
        <w:rPr>
          <w:rFonts w:hint="eastAsia" w:ascii="方正黑体_GBK" w:hAnsi="方正黑体_GBK" w:eastAsia="方正黑体_GBK" w:cs="方正黑体_GBK"/>
          <w:color w:val="000000"/>
          <w:sz w:val="28"/>
          <w:szCs w:val="28"/>
        </w:rPr>
      </w:r>
      <w:r/>
    </w:p>
    <w:p>
      <w:pPr>
        <w:pStyle w:val="73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46"/>
        <w:rPr>
          <w:rFonts w:hint="eastAsia"/>
        </w:rPr>
      </w:pPr>
      <w:r>
        <w:rPr>
          <w:rFonts w:hint="eastAsia"/>
        </w:rPr>
      </w:r>
      <w:r/>
    </w:p>
    <w:p>
      <w:pPr>
        <w:pStyle w:val="73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4"/>
        <w:jc w:val="left"/>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34"/>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734"/>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w:t>
      </w:r>
      <w:r>
        <w:rPr>
          <w:rFonts w:hint="eastAsia" w:ascii="方正黑体_GBK" w:hAnsi="方正黑体_GBK" w:eastAsia="方正黑体_GBK" w:cs="方正黑体_GBK"/>
          <w:color w:val="000000"/>
          <w:sz w:val="28"/>
          <w:szCs w:val="28"/>
          <w:lang w:val="en-US" w:eastAsia="zh-CN"/>
        </w:rPr>
        <w:t xml:space="preserve">9</w:t>
      </w:r>
      <w:r>
        <w:rPr>
          <w:rFonts w:hint="eastAsia" w:ascii="方正黑体_GBK" w:hAnsi="方正黑体_GBK" w:eastAsia="方正黑体_GBK" w:cs="方正黑体_GBK"/>
          <w:color w:val="000000"/>
          <w:sz w:val="28"/>
          <w:szCs w:val="28"/>
        </w:rPr>
        <w:t xml:space="preserve">月</w:t>
      </w:r>
      <w:r>
        <w:rPr>
          <w:rFonts w:hint="eastAsia" w:ascii="方正黑体_GBK" w:hAnsi="方正黑体_GBK" w:eastAsia="方正黑体_GBK" w:cs="方正黑体_GBK"/>
          <w:color w:val="000000"/>
          <w:sz w:val="28"/>
          <w:szCs w:val="28"/>
        </w:rPr>
      </w:r>
      <w:r/>
    </w:p>
    <w:p>
      <w:pPr>
        <w:pStyle w:val="73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3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34"/>
        <w:jc w:val="center"/>
        <w:spacing w:line="660" w:lineRule="exact"/>
        <w:rPr>
          <w:rFonts w:hint="eastAsia" w:ascii="黑体" w:hAnsi="Arial" w:eastAsia="黑体"/>
          <w:b/>
          <w:color w:val="000000"/>
          <w:sz w:val="28"/>
          <w:szCs w:val="28"/>
        </w:rPr>
        <w:outlineLvl w:val="0"/>
      </w:pPr>
      <w:r>
        <w:rPr>
          <w:color w:val="000000"/>
          <w:szCs w:val="21"/>
        </w:rPr>
        <w:br w:type="page" w:clear="all"/>
      </w:r>
      <w:bookmarkStart w:id="1" w:name="_Toc120614210"/>
      <w:r/>
      <w:bookmarkStart w:id="2" w:name="_Toc523127445"/>
      <w:r/>
      <w:bookmarkStart w:id="3" w:name="_Toc513029200"/>
      <w:r/>
      <w:bookmarkStart w:id="4" w:name="_Toc20823272"/>
      <w:r/>
      <w:bookmarkStart w:id="5" w:name="_Toc16938516"/>
      <w:r/>
      <w:bookmarkStart w:id="6" w:name="_Toc479757206"/>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color w:val="000000"/>
          <w:sz w:val="28"/>
          <w:szCs w:val="28"/>
        </w:rPr>
      </w:r>
      <w:r/>
    </w:p>
    <w:p>
      <w:pPr>
        <w:pStyle w:val="734"/>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73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第一章 投标邀请……………………………………</w:t>
      </w:r>
      <w:r>
        <w:rPr>
          <w:rFonts w:hint="eastAsia" w:ascii="方正黑体_GBK" w:hAnsi="方正黑体_GBK" w:eastAsia="方正黑体_GBK" w:cs="方正黑体_GBK"/>
          <w:color w:val="000000"/>
          <w:sz w:val="28"/>
          <w:szCs w:val="28"/>
          <w:lang w:val="en-US" w:eastAsia="zh-CN"/>
        </w:rPr>
        <w:t xml:space="preserve">03</w:t>
      </w:r>
      <w:r>
        <w:rPr>
          <w:rFonts w:ascii="方正黑体_GBK" w:hAnsi="方正黑体_GBK" w:eastAsia="方正黑体_GBK" w:cs="方正黑体_GBK"/>
          <w:color w:val="000000"/>
          <w:sz w:val="28"/>
          <w:szCs w:val="28"/>
          <w:lang w:val="en-US" w:eastAsia="zh-CN"/>
        </w:rPr>
      </w:r>
      <w:r/>
    </w:p>
    <w:p>
      <w:pPr>
        <w:pStyle w:val="73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rPr>
        <w:t xml:space="preserve">第二章 投标人须知</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06</w:t>
      </w:r>
      <w:r>
        <w:rPr>
          <w:rFonts w:ascii="方正黑体_GBK" w:hAnsi="方正黑体_GBK" w:eastAsia="方正黑体_GBK" w:cs="方正黑体_GBK"/>
          <w:color w:val="000000"/>
          <w:sz w:val="28"/>
          <w:szCs w:val="28"/>
          <w:lang w:val="en-US" w:eastAsia="zh-CN"/>
        </w:rPr>
      </w:r>
      <w:r/>
    </w:p>
    <w:p>
      <w:pPr>
        <w:pStyle w:val="73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lang w:val="en-US" w:eastAsia="zh-CN"/>
        </w:rPr>
        <w:t xml:space="preserve">18</w:t>
      </w:r>
      <w:r>
        <w:rPr>
          <w:rFonts w:ascii="方正黑体_GBK" w:hAnsi="方正黑体_GBK" w:eastAsia="方正黑体_GBK" w:cs="方正黑体_GBK"/>
          <w:color w:val="000000"/>
          <w:sz w:val="28"/>
          <w:szCs w:val="28"/>
          <w:lang w:val="en-US" w:eastAsia="zh-CN"/>
        </w:rPr>
      </w:r>
      <w:r/>
    </w:p>
    <w:p>
      <w:pPr>
        <w:pStyle w:val="73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第四章 采购需求……………………………………</w:t>
      </w:r>
      <w:r>
        <w:rPr>
          <w:rFonts w:hint="eastAsia" w:ascii="方正黑体_GBK" w:hAnsi="方正黑体_GBK" w:eastAsia="方正黑体_GBK" w:cs="方正黑体_GBK"/>
          <w:color w:val="000000"/>
          <w:sz w:val="28"/>
          <w:szCs w:val="28"/>
          <w:lang w:val="en-US" w:eastAsia="zh-CN"/>
        </w:rPr>
        <w:t xml:space="preserve">37</w:t>
      </w:r>
      <w:r>
        <w:rPr>
          <w:rFonts w:ascii="方正黑体_GBK" w:hAnsi="方正黑体_GBK" w:eastAsia="方正黑体_GBK" w:cs="方正黑体_GBK"/>
          <w:color w:val="000000"/>
          <w:sz w:val="28"/>
          <w:szCs w:val="28"/>
          <w:lang w:val="en-US" w:eastAsia="zh-CN"/>
        </w:rPr>
      </w:r>
      <w:r/>
    </w:p>
    <w:p>
      <w:pPr>
        <w:pStyle w:val="73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rPr>
        <w:t xml:space="preserve">第五章 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48</w:t>
      </w:r>
      <w:r>
        <w:rPr>
          <w:rFonts w:ascii="方正黑体_GBK" w:hAnsi="方正黑体_GBK" w:eastAsia="方正黑体_GBK" w:cs="方正黑体_GBK"/>
          <w:color w:val="000000"/>
          <w:sz w:val="28"/>
          <w:szCs w:val="28"/>
          <w:lang w:val="en-US" w:eastAsia="zh-CN"/>
        </w:rPr>
      </w:r>
      <w:r/>
    </w:p>
    <w:p>
      <w:pPr>
        <w:pStyle w:val="73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lang w:val="en-US" w:eastAsia="zh-CN"/>
        </w:rPr>
        <w:t xml:space="preserve">52</w:t>
      </w:r>
      <w:r>
        <w:rPr>
          <w:rFonts w:ascii="方正黑体_GBK" w:hAnsi="方正黑体_GBK" w:eastAsia="方正黑体_GBK" w:cs="方正黑体_GBK"/>
          <w:color w:val="000000"/>
          <w:sz w:val="28"/>
          <w:szCs w:val="28"/>
          <w:lang w:val="en-US" w:eastAsia="zh-CN"/>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jc w:val="center"/>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1"/>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受江苏省疾病预防控制中心的委托，江苏省政府采购中心就国产化算力设备及参数面交换机(JSZC-320000-SCZX-G2026-0385)项目进行公开招标采购，欢迎符合条件的供应商投标。</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国产化算力设备及参数面交换机</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eastAsia="方正仿宋_GBK"/>
          <w:color w:val="000000"/>
          <w:sz w:val="28"/>
          <w:szCs w:val="28"/>
          <w:lang w:val="en-US" w:eastAsia="zh-CN"/>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lang w:val="en-US" w:eastAsia="zh-CN"/>
        </w:rPr>
        <w:t xml:space="preserve">10</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lang w:val="en-US" w:eastAsia="zh-CN"/>
        </w:rPr>
        <w:t xml:space="preserve">15</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lang w:val="en-US" w:eastAsia="zh-CN"/>
        </w:rPr>
        <w:t xml:space="preserve">30</w:t>
      </w:r>
      <w:r>
        <w:rPr>
          <w:rFonts w:hint="eastAsia" w:ascii="方正仿宋_GBK" w:hAnsi="方正仿宋_GBK" w:eastAsia="方正仿宋_GBK" w:cs="方正仿宋_GBK"/>
          <w:bCs/>
          <w:color w:val="000000"/>
          <w:sz w:val="28"/>
          <w:szCs w:val="28"/>
        </w:rPr>
        <w:t xml:space="preserve">分（北京时间）前递交投标文件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7" w:name="_Toc38985263"/>
      <w:r/>
      <w:bookmarkStart w:id="8" w:name="_Toc28359079"/>
      <w:r/>
      <w:bookmarkStart w:id="9" w:name="_Toc35393621"/>
      <w:r/>
      <w:bookmarkStart w:id="10" w:name="_Toc35393790"/>
      <w:r/>
      <w:bookmarkStart w:id="11" w:name="_Toc28359002"/>
      <w:r/>
      <w:bookmarkStart w:id="12" w:name="_Hlk24379207"/>
      <w:r>
        <w:rPr>
          <w:rFonts w:hint="eastAsia" w:ascii="方正黑体_GBK" w:hAnsi="方正黑体_GBK" w:eastAsia="方正黑体_GBK" w:cs="方正黑体_GBK"/>
          <w:color w:val="000000"/>
          <w:sz w:val="28"/>
          <w:szCs w:val="28"/>
        </w:rPr>
        <w:t xml:space="preserve">一、项目基本情况</w:t>
      </w:r>
      <w:bookmarkEnd w:id="7"/>
      <w:r/>
      <w:bookmarkEnd w:id="8"/>
      <w:r/>
      <w:bookmarkEnd w:id="9"/>
      <w:r/>
      <w:bookmarkEnd w:id="10"/>
      <w:r/>
      <w:bookmarkEnd w:id="11"/>
      <w:r>
        <w:rPr>
          <w:rFonts w:hint="eastAsia" w:ascii="方正黑体_GBK" w:hAnsi="方正黑体_GBK" w:eastAsia="方正黑体_GBK" w:cs="方正黑体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eastAsia="方正仿宋_GBK"/>
          <w:color w:val="000000"/>
          <w:sz w:val="28"/>
          <w:szCs w:val="28"/>
        </w:rPr>
        <w:t xml:space="preserve">JSZC-320000-SCZX-G2026-0385</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eastAsia="方正仿宋_GBK"/>
          <w:color w:val="000000"/>
          <w:sz w:val="28"/>
          <w:szCs w:val="28"/>
        </w:rPr>
        <w:t xml:space="preserve">国产化算力设备及参数面交换机</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sz w:val="28"/>
          <w:szCs w:val="28"/>
        </w:rPr>
      </w:pPr>
      <w:r/>
      <w:bookmarkEnd w:id="12"/>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4404"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rHeight w:val="431"/>
        </w:trPr>
        <w:tc>
          <w:tcPr>
            <w:tcW w:w="1092"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center"/>
            <w:textDirection w:val="lrTb"/>
            <w:noWrap w:val="false"/>
          </w:tcPr>
          <w:p>
            <w:pPr>
              <w:pStyle w:val="734"/>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459</w:t>
            </w:r>
            <w:r>
              <w:rPr>
                <w:rFonts w:ascii="方正仿宋_GBK" w:hAnsi="方正仿宋_GBK" w:eastAsia="方正仿宋_GBK" w:cs="方正仿宋_GBK"/>
                <w:sz w:val="28"/>
                <w:szCs w:val="28"/>
              </w:rPr>
            </w:r>
            <w:r/>
          </w:p>
        </w:tc>
      </w:tr>
    </w:tbl>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6224"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1843"/>
        <w:gridCol w:w="3296"/>
      </w:tblGrid>
      <w:tr>
        <w:trPr>
          <w:trHeight w:val="849"/>
        </w:trPr>
        <w:tc>
          <w:tcPr>
            <w:tcW w:w="108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843" w:type="dxa"/>
            <w:vAlign w:val="center"/>
            <w:textDirection w:val="lrTb"/>
            <w:noWrap w:val="false"/>
          </w:tcPr>
          <w:p>
            <w:pPr>
              <w:pStyle w:val="734"/>
              <w:jc w:val="center"/>
              <w:spacing w:line="264" w:lineRule="auto"/>
              <w:rPr>
                <w:rFonts w:hint="eastAsia" w:ascii="宋体" w:hAnsi="宋体" w:cs="宋体"/>
                <w:bCs/>
                <w:color w:val="000000"/>
                <w:sz w:val="24"/>
              </w:rPr>
            </w:pPr>
            <w:r>
              <w:rPr>
                <w:rFonts w:hint="eastAsia" w:ascii="宋体" w:hAnsi="宋体" w:cs="宋体"/>
                <w:bCs/>
                <w:color w:val="000000"/>
                <w:sz w:val="24"/>
              </w:rPr>
              <w:t xml:space="preserve">名称</w:t>
            </w:r>
            <w:r>
              <w:rPr>
                <w:rFonts w:hint="eastAsia" w:ascii="宋体" w:hAnsi="宋体" w:cs="宋体"/>
                <w:bCs/>
                <w:color w:val="000000"/>
                <w:sz w:val="24"/>
              </w:rPr>
            </w:r>
            <w:r/>
          </w:p>
        </w:tc>
        <w:tc>
          <w:tcPr>
            <w:tcW w:w="329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85" w:type="dxa"/>
            <w:vAlign w:val="center"/>
            <w:vMerge w:val="restart"/>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843"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训推一体节点</w:t>
            </w:r>
            <w:r>
              <w:rPr>
                <w:rFonts w:hint="eastAsia" w:ascii="方正仿宋_GBK" w:hAnsi="方正仿宋_GBK" w:eastAsia="方正仿宋_GBK" w:cs="方正仿宋_GBK"/>
                <w:sz w:val="28"/>
                <w:szCs w:val="28"/>
              </w:rPr>
            </w:r>
            <w:r/>
          </w:p>
        </w:tc>
        <w:tc>
          <w:tcPr>
            <w:tcW w:w="3296" w:type="dxa"/>
            <w:vAlign w:val="center"/>
            <w:textDirection w:val="lrTb"/>
            <w:noWrap w:val="false"/>
          </w:tcPr>
          <w:p>
            <w:pPr>
              <w:pStyle w:val="734"/>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408</w:t>
            </w:r>
            <w:r>
              <w:rPr>
                <w:rFonts w:ascii="方正仿宋_GBK" w:hAnsi="方正仿宋_GBK" w:eastAsia="方正仿宋_GBK" w:cs="方正仿宋_GBK"/>
                <w:sz w:val="28"/>
                <w:szCs w:val="28"/>
              </w:rPr>
            </w:r>
            <w:r/>
          </w:p>
        </w:tc>
      </w:tr>
      <w:tr>
        <w:trPr/>
        <w:tc>
          <w:tcPr>
            <w:tcW w:w="1085" w:type="dxa"/>
            <w:vAlign w:val="top"/>
            <w:vMerge w:val="continue"/>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843"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参数交换机</w:t>
            </w:r>
            <w:r>
              <w:rPr>
                <w:rFonts w:hint="eastAsia" w:ascii="方正仿宋_GBK" w:hAnsi="方正仿宋_GBK" w:eastAsia="方正仿宋_GBK" w:cs="方正仿宋_GBK"/>
                <w:sz w:val="28"/>
                <w:szCs w:val="28"/>
              </w:rPr>
            </w:r>
            <w:r/>
          </w:p>
        </w:tc>
        <w:tc>
          <w:tcPr>
            <w:tcW w:w="329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35</w:t>
            </w:r>
            <w:r>
              <w:rPr>
                <w:rFonts w:hint="eastAsia" w:ascii="方正仿宋_GBK" w:hAnsi="方正仿宋_GBK" w:eastAsia="方正仿宋_GBK" w:cs="方正仿宋_GBK"/>
                <w:sz w:val="28"/>
                <w:szCs w:val="28"/>
              </w:rPr>
            </w:r>
            <w:r/>
          </w:p>
        </w:tc>
      </w:tr>
      <w:tr>
        <w:trPr/>
        <w:tc>
          <w:tcPr>
            <w:tcW w:w="1085" w:type="dxa"/>
            <w:vAlign w:val="top"/>
            <w:vMerge w:val="continue"/>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843"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AI 算力管理平台</w:t>
            </w:r>
            <w:r>
              <w:rPr>
                <w:rFonts w:hint="eastAsia" w:ascii="方正仿宋_GBK" w:hAnsi="方正仿宋_GBK" w:eastAsia="方正仿宋_GBK" w:cs="方正仿宋_GBK"/>
                <w:sz w:val="28"/>
                <w:szCs w:val="28"/>
              </w:rPr>
            </w:r>
            <w:r/>
          </w:p>
        </w:tc>
        <w:tc>
          <w:tcPr>
            <w:tcW w:w="3296" w:type="dxa"/>
            <w:vAlign w:val="center"/>
            <w:textDirection w:val="lrTb"/>
            <w:noWrap w:val="false"/>
          </w:tcPr>
          <w:p>
            <w:pPr>
              <w:pStyle w:val="734"/>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w:t>
            </w:r>
            <w:r>
              <w:rPr>
                <w:rFonts w:ascii="方正仿宋_GBK" w:hAnsi="方正仿宋_GBK" w:eastAsia="方正仿宋_GBK" w:cs="方正仿宋_GBK"/>
                <w:sz w:val="28"/>
                <w:szCs w:val="28"/>
              </w:rPr>
            </w:r>
            <w:r/>
          </w:p>
        </w:tc>
      </w:tr>
    </w:tbl>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5.采购需求(简介)：当前智能技术广泛应用于公共卫生领域，为支撑省统筹传染病监测预警与应急指挥平台建设，提升中心智能科研与业务处置能力，本次二期扩容拟采购4台国产化AI训推服务器、1台配套参数面交换机及一套算力管理平台。</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合同签订后，45 个日历日内完成设备到货、安装及调试合格。卖方免费提供由专业工程师现场指导的安装、调试。</w:t>
      </w:r>
      <w:r>
        <w:rPr>
          <w:rFonts w:hint="eastAsia" w:ascii="方正仿宋_GBK" w:hAnsi="方正仿宋_GBK" w:eastAsia="方正仿宋_GBK" w:cs="方正仿宋_GBK"/>
          <w:sz w:val="28"/>
          <w:szCs w:val="28"/>
          <w:u w:val="single"/>
        </w:rPr>
      </w:r>
      <w:r/>
    </w:p>
    <w:p>
      <w:pPr>
        <w:pStyle w:val="73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 w:name="_Toc35393791"/>
      <w:r/>
      <w:bookmarkStart w:id="14" w:name="_Toc28359003"/>
      <w:r/>
      <w:bookmarkStart w:id="15" w:name="_Toc35393622"/>
      <w:r/>
      <w:bookmarkStart w:id="16" w:name="_Toc38985264"/>
      <w:r/>
      <w:bookmarkStart w:id="17" w:name="_Toc28359080"/>
      <w:r>
        <w:rPr>
          <w:rFonts w:hint="eastAsia" w:ascii="方正黑体_GBK" w:hAnsi="方正黑体_GBK" w:eastAsia="方正黑体_GBK" w:cs="方正黑体_GBK"/>
          <w:color w:val="000000"/>
          <w:sz w:val="28"/>
          <w:szCs w:val="28"/>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color w:val="000000"/>
          <w:sz w:val="28"/>
          <w:szCs w:val="28"/>
        </w:rPr>
      </w:r>
      <w:r/>
    </w:p>
    <w:p>
      <w:pPr>
        <w:pStyle w:val="734"/>
        <w:ind w:firstLine="560"/>
        <w:spacing w:line="400" w:lineRule="exact"/>
        <w:rPr>
          <w:rFonts w:hint="eastAsia" w:ascii="方正楷体_GBK" w:hAnsi="方正楷体_GBK" w:eastAsia="方正楷体_GBK" w:cs="方正楷体_GBK"/>
          <w:color w:val="000000"/>
          <w:sz w:val="28"/>
          <w:szCs w:val="28"/>
        </w:rPr>
      </w:pPr>
      <w:r/>
      <w:bookmarkStart w:id="18" w:name="_Toc35393792"/>
      <w:r/>
      <w:bookmarkStart w:id="19" w:name="_Toc38985265"/>
      <w:r/>
      <w:bookmarkStart w:id="20" w:name="_Toc35393623"/>
      <w:r/>
      <w:bookmarkStart w:id="21" w:name="_Toc28359004"/>
      <w:r/>
      <w:bookmarkStart w:id="22" w:name="_Toc28359081"/>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4"/>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4"/>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734"/>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8"/>
      <w:r/>
      <w:bookmarkEnd w:id="19"/>
      <w:r/>
      <w:bookmarkEnd w:id="20"/>
      <w:r/>
      <w:bookmarkEnd w:id="21"/>
      <w:r/>
      <w:bookmarkEnd w:id="22"/>
      <w:r/>
      <w:bookmarkStart w:id="23" w:name="_Toc28359082"/>
      <w:r/>
      <w:bookmarkStart w:id="24" w:name="_Toc28359005"/>
      <w:r/>
      <w:bookmarkStart w:id="25" w:name="_Toc35393624"/>
      <w:r/>
      <w:bookmarkStart w:id="26" w:name="_Toc35393793"/>
      <w:r/>
      <w:bookmarkStart w:id="27" w:name="_Toc38985266"/>
      <w:r>
        <w:rPr>
          <w:rFonts w:hint="eastAsia" w:ascii="方正黑体_GBK" w:hAnsi="方正黑体_GBK" w:eastAsia="方正黑体_GBK" w:cs="方正黑体_GBK"/>
          <w:color w:val="000000"/>
          <w:sz w:val="28"/>
          <w:szCs w:val="28"/>
        </w:rPr>
        <w:t xml:space="preserve">四、提交投标文件</w:t>
      </w:r>
      <w:bookmarkEnd w:id="23"/>
      <w:r/>
      <w:bookmarkEnd w:id="24"/>
      <w:r>
        <w:rPr>
          <w:rFonts w:hint="eastAsia" w:ascii="方正黑体_GBK" w:hAnsi="方正黑体_GBK" w:eastAsia="方正黑体_GBK" w:cs="方正黑体_GBK"/>
          <w:color w:val="000000"/>
          <w:sz w:val="28"/>
          <w:szCs w:val="28"/>
        </w:rPr>
        <w:t xml:space="preserve">截止时间、开标时间和地点</w:t>
      </w:r>
      <w:bookmarkEnd w:id="25"/>
      <w:r/>
      <w:bookmarkEnd w:id="26"/>
      <w:r/>
      <w:bookmarkEnd w:id="27"/>
      <w:r>
        <w:rPr>
          <w:rFonts w:hint="eastAsia" w:ascii="方正黑体_GBK" w:hAnsi="方正黑体_GBK" w:eastAsia="方正黑体_GBK" w:cs="方正黑体_GBK"/>
          <w:color w:val="000000"/>
          <w:sz w:val="28"/>
          <w:szCs w:val="28"/>
        </w:rPr>
      </w:r>
      <w:r/>
    </w:p>
    <w:p>
      <w:pPr>
        <w:pStyle w:val="734"/>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lang w:val="en-US" w:eastAsia="zh-CN"/>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lang w:val="en-US" w:eastAsia="zh-CN"/>
        </w:rPr>
        <w:t xml:space="preserve">10</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lang w:val="en-US" w:eastAsia="zh-CN"/>
        </w:rPr>
        <w:t xml:space="preserve">15</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lang w:val="en-US" w:eastAsia="zh-CN"/>
        </w:rPr>
        <w:t xml:space="preserve">30</w:t>
      </w:r>
      <w:r>
        <w:rPr>
          <w:rFonts w:hint="eastAsia" w:ascii="方正仿宋_GBK" w:hAnsi="方正仿宋_GBK" w:eastAsia="方正仿宋_GBK" w:cs="方正仿宋_GBK"/>
          <w:bCs/>
          <w:color w:val="000000"/>
          <w:sz w:val="28"/>
          <w:szCs w:val="28"/>
        </w:rPr>
        <w:t xml:space="preserve">分</w:t>
      </w:r>
      <w:r>
        <w:rPr>
          <w:rFonts w:hint="eastAsia" w:ascii="方正仿宋_GBK" w:hAnsi="方正仿宋_GBK" w:eastAsia="方正仿宋_GBK" w:cs="方正仿宋_GBK"/>
          <w:bCs/>
          <w:color w:val="000000"/>
          <w:sz w:val="28"/>
          <w:szCs w:val="28"/>
        </w:rPr>
        <w:t xml:space="preserve">（北京时间）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73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28" w:name="_Toc28359007"/>
      <w:r/>
      <w:bookmarkStart w:id="29" w:name="_Toc35393625"/>
      <w:r/>
      <w:bookmarkStart w:id="30" w:name="_Toc28359084"/>
      <w:r/>
      <w:bookmarkStart w:id="31" w:name="_Toc35393794"/>
      <w:r/>
      <w:bookmarkStart w:id="32" w:name="_Toc38985267"/>
      <w:r>
        <w:rPr>
          <w:rFonts w:hint="eastAsia" w:ascii="方正黑体_GBK" w:hAnsi="方正黑体_GBK" w:eastAsia="方正黑体_GBK" w:cs="方正黑体_GBK"/>
          <w:color w:val="000000"/>
          <w:sz w:val="28"/>
          <w:szCs w:val="28"/>
        </w:rPr>
        <w:t xml:space="preserve">五、公告期限</w:t>
      </w:r>
      <w:bookmarkEnd w:id="28"/>
      <w:r/>
      <w:bookmarkEnd w:id="29"/>
      <w:r/>
      <w:bookmarkEnd w:id="30"/>
      <w:r/>
      <w:bookmarkEnd w:id="31"/>
      <w:r/>
      <w:bookmarkEnd w:id="32"/>
      <w:r>
        <w:rPr>
          <w:rFonts w:hint="eastAsia" w:ascii="方正黑体_GBK" w:hAnsi="方正黑体_GBK" w:eastAsia="方正黑体_GBK" w:cs="方正黑体_GBK"/>
          <w:color w:val="00000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73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33" w:name="_Toc38985268"/>
      <w:r/>
      <w:bookmarkStart w:id="34" w:name="_Toc35393795"/>
      <w:r/>
      <w:bookmarkStart w:id="35" w:name="_Toc35393626"/>
      <w:r>
        <w:rPr>
          <w:rFonts w:hint="eastAsia" w:ascii="方正黑体_GBK" w:hAnsi="方正黑体_GBK" w:eastAsia="方正黑体_GBK" w:cs="方正黑体_GBK"/>
          <w:color w:val="000000"/>
          <w:sz w:val="28"/>
          <w:szCs w:val="28"/>
        </w:rPr>
        <w:t xml:space="preserve">六、其他补充事宜</w:t>
      </w:r>
      <w:bookmarkEnd w:id="33"/>
      <w:r/>
      <w:bookmarkEnd w:id="34"/>
      <w:r/>
      <w:bookmarkEnd w:id="35"/>
      <w:r>
        <w:rPr>
          <w:rFonts w:hint="eastAsia" w:ascii="方正黑体_GBK" w:hAnsi="方正黑体_GBK" w:eastAsia="方正黑体_GBK" w:cs="方正黑体_GBK"/>
          <w:color w:val="00000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73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36" w:name="_Toc35393627"/>
      <w:r/>
      <w:bookmarkStart w:id="37" w:name="_Toc38985269"/>
      <w:r/>
      <w:bookmarkStart w:id="38" w:name="_Toc35393796"/>
      <w:r/>
      <w:bookmarkStart w:id="39" w:name="_Toc28359008"/>
      <w:r/>
      <w:bookmarkStart w:id="40" w:name="_Toc28359085"/>
      <w:r>
        <w:rPr>
          <w:rFonts w:hint="eastAsia" w:ascii="方正黑体_GBK" w:hAnsi="方正黑体_GBK" w:eastAsia="方正黑体_GBK" w:cs="方正黑体_GBK"/>
          <w:color w:val="000000"/>
          <w:sz w:val="28"/>
          <w:szCs w:val="28"/>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color w:val="000000"/>
          <w:sz w:val="28"/>
          <w:szCs w:val="28"/>
        </w:rPr>
      </w:r>
      <w:r/>
    </w:p>
    <w:p>
      <w:pPr>
        <w:pStyle w:val="734"/>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u w:val="none"/>
        </w:rPr>
      </w:pPr>
      <w:r>
        <w:rPr>
          <w:rFonts w:hint="eastAsia" w:ascii="方正仿宋_GBK" w:hAnsi="方正仿宋_GBK" w:eastAsia="方正仿宋_GBK" w:cs="方正仿宋_GBK"/>
          <w:sz w:val="28"/>
          <w:szCs w:val="28"/>
          <w:u w:val="none"/>
        </w:rPr>
        <w:t xml:space="preserve">名 称：江苏省疾病预防控制中心</w:t>
      </w:r>
      <w:r>
        <w:rPr>
          <w:rFonts w:hint="eastAsia" w:ascii="方正仿宋_GBK" w:hAnsi="方正仿宋_GBK" w:eastAsia="方正仿宋_GBK" w:cs="方正仿宋_GBK"/>
          <w:sz w:val="28"/>
          <w:szCs w:val="28"/>
          <w:u w:val="none"/>
        </w:rPr>
      </w:r>
      <w:r/>
    </w:p>
    <w:p>
      <w:pPr>
        <w:pStyle w:val="734"/>
        <w:ind w:firstLine="560"/>
        <w:jc w:val="left"/>
        <w:spacing w:line="400" w:lineRule="exact"/>
        <w:rPr>
          <w:rFonts w:hint="eastAsia" w:ascii="方正仿宋_GBK" w:hAnsi="方正仿宋_GBK" w:eastAsia="方正仿宋_GBK" w:cs="方正仿宋_GBK"/>
          <w:sz w:val="28"/>
          <w:szCs w:val="28"/>
          <w:u w:val="none"/>
        </w:rPr>
      </w:pPr>
      <w:r>
        <w:rPr>
          <w:rFonts w:hint="eastAsia" w:ascii="方正仿宋_GBK" w:hAnsi="方正仿宋_GBK" w:eastAsia="方正仿宋_GBK" w:cs="方正仿宋_GBK"/>
          <w:sz w:val="28"/>
          <w:szCs w:val="28"/>
          <w:u w:val="none"/>
        </w:rPr>
        <w:t xml:space="preserve">地 址：江苏省南京市鼓楼区江苏路172号　</w:t>
      </w:r>
      <w:r>
        <w:rPr>
          <w:rFonts w:hint="eastAsia" w:ascii="方正仿宋_GBK" w:hAnsi="方正仿宋_GBK" w:eastAsia="方正仿宋_GBK" w:cs="方正仿宋_GBK"/>
          <w:sz w:val="28"/>
          <w:szCs w:val="28"/>
          <w:u w:val="none"/>
        </w:rPr>
      </w:r>
      <w:r/>
    </w:p>
    <w:p>
      <w:pPr>
        <w:pStyle w:val="734"/>
        <w:ind w:firstLine="560"/>
        <w:jc w:val="left"/>
        <w:spacing w:line="400" w:lineRule="exact"/>
        <w:rPr>
          <w:rFonts w:hint="eastAsia" w:ascii="方正仿宋_GBK" w:hAnsi="方正仿宋_GBK" w:eastAsia="方正仿宋_GBK" w:cs="方正仿宋_GBK"/>
          <w:sz w:val="28"/>
          <w:szCs w:val="28"/>
          <w:u w:val="none"/>
        </w:rPr>
      </w:pPr>
      <w:r>
        <w:rPr>
          <w:rFonts w:hint="eastAsia" w:ascii="方正仿宋_GBK" w:hAnsi="方正仿宋_GBK" w:eastAsia="方正仿宋_GBK" w:cs="方正仿宋_GBK"/>
          <w:sz w:val="28"/>
          <w:szCs w:val="28"/>
          <w:u w:val="none"/>
        </w:rPr>
        <w:t xml:space="preserve">联系人：梁皓、徐榕泽</w:t>
      </w:r>
      <w:r>
        <w:rPr>
          <w:rFonts w:hint="eastAsia" w:ascii="方正仿宋_GBK" w:hAnsi="方正仿宋_GBK" w:eastAsia="方正仿宋_GBK" w:cs="方正仿宋_GBK"/>
          <w:sz w:val="28"/>
          <w:szCs w:val="28"/>
          <w:u w:val="none"/>
        </w:rPr>
      </w:r>
      <w:r/>
    </w:p>
    <w:p>
      <w:pPr>
        <w:pStyle w:val="734"/>
        <w:ind w:firstLine="560"/>
        <w:jc w:val="left"/>
        <w:spacing w:line="400" w:lineRule="exact"/>
        <w:rPr>
          <w:rFonts w:hint="eastAsia" w:ascii="方正仿宋_GBK" w:hAnsi="方正仿宋_GBK" w:eastAsia="方正仿宋_GBK" w:cs="方正仿宋_GBK"/>
          <w:sz w:val="28"/>
          <w:szCs w:val="28"/>
          <w:u w:val="none"/>
        </w:rPr>
      </w:pPr>
      <w:r>
        <w:rPr>
          <w:rFonts w:hint="eastAsia" w:ascii="方正仿宋_GBK" w:hAnsi="方正仿宋_GBK" w:eastAsia="方正仿宋_GBK" w:cs="方正仿宋_GBK"/>
          <w:sz w:val="28"/>
          <w:szCs w:val="28"/>
          <w:u w:val="none"/>
        </w:rPr>
        <w:t xml:space="preserve">联系方式：025-83759340</w:t>
      </w:r>
      <w:bookmarkStart w:id="41" w:name="_Toc28359009"/>
      <w:r/>
      <w:bookmarkStart w:id="42" w:name="_Toc28359086"/>
      <w:r>
        <w:rPr>
          <w:rFonts w:hint="eastAsia" w:ascii="方正仿宋_GBK" w:hAnsi="方正仿宋_GBK" w:eastAsia="方正仿宋_GBK" w:cs="方正仿宋_GBK"/>
          <w:sz w:val="28"/>
          <w:szCs w:val="28"/>
          <w:u w:val="none"/>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1"/>
      <w:r/>
      <w:bookmarkEnd w:id="42"/>
      <w:r>
        <w:rPr>
          <w:rFonts w:hint="eastAsia" w:ascii="方正仿宋_GBK" w:hAnsi="方正仿宋_GBK" w:eastAsia="方正仿宋_GBK" w:cs="方正仿宋_GBK"/>
          <w:sz w:val="28"/>
          <w:szCs w:val="28"/>
        </w:rPr>
      </w:r>
      <w:r/>
    </w:p>
    <w:p>
      <w:pPr>
        <w:pStyle w:val="734"/>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址：南京市汉中门大街145号</w:t>
      </w:r>
      <w:r>
        <w:rPr>
          <w:rFonts w:hint="eastAsia" w:ascii="方正仿宋_GBK" w:hAnsi="方正仿宋_GBK" w:eastAsia="方正仿宋_GBK" w:cs="方正仿宋_GBK"/>
          <w:color w:val="000000"/>
          <w:sz w:val="28"/>
          <w:szCs w:val="28"/>
        </w:rPr>
      </w:r>
      <w:r/>
    </w:p>
    <w:p>
      <w:pPr>
        <w:pStyle w:val="734"/>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 系 人：苏俊、许滢</w:t>
      </w:r>
      <w:r>
        <w:rPr>
          <w:rFonts w:hint="eastAsia" w:ascii="方正仿宋_GBK" w:hAnsi="方正仿宋_GBK" w:eastAsia="方正仿宋_GBK" w:cs="方正仿宋_GBK"/>
          <w:color w:val="000000"/>
          <w:sz w:val="28"/>
          <w:szCs w:val="28"/>
        </w:rPr>
      </w:r>
      <w:r/>
    </w:p>
    <w:p>
      <w:pPr>
        <w:pStyle w:val="734"/>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联系方式：025-83668518</w:t>
      </w:r>
      <w:r>
        <w:rPr>
          <w:rFonts w:hint="eastAsia" w:ascii="方正仿宋_GBK" w:hAnsi="方正仿宋_GBK" w:eastAsia="方正仿宋_GBK" w:cs="方正仿宋_GBK"/>
          <w:color w:val="000000"/>
          <w:sz w:val="28"/>
          <w:szCs w:val="28"/>
        </w:rPr>
      </w:r>
      <w:r/>
    </w:p>
    <w:p>
      <w:pPr>
        <w:pStyle w:val="734"/>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734"/>
        <w:jc w:val="center"/>
        <w:keepNext/>
        <w:spacing w:line="400" w:lineRule="exact"/>
        <w:rPr>
          <w:rFonts w:hint="eastAsia" w:ascii="方正黑体_GBK" w:hAnsi="方正黑体_GBK" w:eastAsia="方正黑体_GBK" w:cs="方正黑体_GBK"/>
          <w:color w:val="000000"/>
          <w:sz w:val="28"/>
          <w:szCs w:val="28"/>
        </w:rPr>
        <w:outlineLvl w:val="0"/>
      </w:pPr>
      <w:r/>
      <w:bookmarkStart w:id="43" w:name="_Toc120614211"/>
      <w:r>
        <w:rPr>
          <w:rFonts w:hint="eastAsia"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28"/>
          <w:szCs w:val="28"/>
        </w:rPr>
        <w:t xml:space="preserve">第二章  </w:t>
      </w:r>
      <w:bookmarkEnd w:id="2"/>
      <w:r/>
      <w:bookmarkEnd w:id="3"/>
      <w:r/>
      <w:bookmarkEnd w:id="4"/>
      <w:r/>
      <w:bookmarkEnd w:id="5"/>
      <w:r/>
      <w:bookmarkEnd w:id="6"/>
      <w:r/>
      <w:bookmarkEnd w:id="43"/>
      <w:r/>
      <w:bookmarkStart w:id="44" w:name="_Toc20823274"/>
      <w:r/>
      <w:bookmarkStart w:id="45" w:name="_Toc16938518"/>
      <w:r/>
      <w:bookmarkStart w:id="46" w:name="_Toc120614213"/>
      <w:r/>
      <w:bookmarkStart w:id="47" w:name="_Toc513029202"/>
      <w:r>
        <w:rPr>
          <w:rFonts w:hint="eastAsia" w:ascii="方正黑体_GBK" w:hAnsi="方正黑体_GBK" w:eastAsia="方正黑体_GBK" w:cs="方正黑体_GBK"/>
          <w:color w:val="000000"/>
          <w:sz w:val="28"/>
          <w:szCs w:val="28"/>
        </w:rPr>
        <w:t xml:space="preserve">投标人须知</w:t>
      </w:r>
      <w:bookmarkEnd w:id="44"/>
      <w:r/>
      <w:bookmarkEnd w:id="45"/>
      <w:r/>
      <w:bookmarkEnd w:id="46"/>
      <w:r/>
      <w:bookmarkEnd w:id="47"/>
      <w:r>
        <w:rPr>
          <w:rFonts w:hint="eastAsia" w:ascii="方正黑体_GBK" w:hAnsi="方正黑体_GBK" w:eastAsia="方正黑体_GBK" w:cs="方正黑体_GBK"/>
          <w:color w:val="000000"/>
          <w:sz w:val="28"/>
          <w:szCs w:val="28"/>
        </w:rPr>
      </w:r>
      <w:r/>
    </w:p>
    <w:p>
      <w:pPr>
        <w:pStyle w:val="73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8" w:name="_Toc16938519"/>
      <w:r/>
      <w:bookmarkStart w:id="49" w:name="_Toc20823275"/>
      <w:r/>
      <w:bookmarkStart w:id="50" w:name="_Toc120614214"/>
      <w:r/>
      <w:bookmarkStart w:id="51" w:name="_Toc513029203"/>
      <w:r>
        <w:rPr>
          <w:rFonts w:hint="eastAsia" w:ascii="方正黑体_GBK" w:hAnsi="方正黑体_GBK" w:eastAsia="方正黑体_GBK" w:cs="方正黑体_GBK"/>
          <w:color w:val="000000"/>
          <w:sz w:val="28"/>
          <w:szCs w:val="28"/>
        </w:rPr>
        <w:t xml:space="preserve">一、总则</w:t>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52" w:name="_Hlt16619475"/>
      <w:r/>
      <w:bookmarkEnd w:id="52"/>
      <w:r/>
      <w:bookmarkStart w:id="53" w:name="_Toc458694821"/>
      <w:r/>
      <w:bookmarkStart w:id="54" w:name="_Toc513029204"/>
      <w:r/>
      <w:bookmarkStart w:id="55" w:name="_Toc20823276"/>
      <w:r/>
      <w:bookmarkStart w:id="56" w:name="_Toc16938520"/>
      <w:r>
        <w:rPr>
          <w:rFonts w:hint="eastAsia" w:ascii="方正仿宋_GBK" w:hAnsi="方正仿宋_GBK" w:eastAsia="方正仿宋_GBK" w:cs="方正仿宋_GBK"/>
          <w:bCs/>
          <w:sz w:val="28"/>
          <w:szCs w:val="28"/>
        </w:rPr>
        <w:t xml:space="preserve">1</w:t>
      </w:r>
      <w:bookmarkEnd w:id="53"/>
      <w:r>
        <w:rPr>
          <w:rFonts w:hint="eastAsia" w:ascii="方正仿宋_GBK" w:hAnsi="方正仿宋_GBK" w:eastAsia="方正仿宋_GBK" w:cs="方正仿宋_GBK"/>
          <w:bCs/>
          <w:sz w:val="28"/>
          <w:szCs w:val="28"/>
        </w:rPr>
        <w:t xml:space="preserve">.招标方式</w:t>
      </w:r>
      <w:bookmarkEnd w:id="54"/>
      <w:r/>
      <w:bookmarkEnd w:id="55"/>
      <w:r/>
      <w:bookmarkEnd w:id="56"/>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57" w:name="_Toc20823277"/>
      <w:r/>
      <w:bookmarkStart w:id="58" w:name="_Toc16938521"/>
      <w:r/>
      <w:bookmarkStart w:id="59" w:name="_Toc513029205"/>
      <w:r>
        <w:rPr>
          <w:rFonts w:hint="eastAsia" w:ascii="方正仿宋_GBK" w:hAnsi="方正仿宋_GBK" w:eastAsia="方正仿宋_GBK" w:cs="方正仿宋_GBK"/>
          <w:bCs/>
          <w:sz w:val="28"/>
          <w:szCs w:val="28"/>
        </w:rPr>
        <w:t xml:space="preserve">2.合格的投标人</w:t>
      </w:r>
      <w:bookmarkEnd w:id="57"/>
      <w:r/>
      <w:bookmarkEnd w:id="58"/>
      <w:r/>
      <w:bookmarkEnd w:id="59"/>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60" w:name="_Toc20823278"/>
      <w:r/>
      <w:bookmarkStart w:id="61" w:name="_Toc513029206"/>
      <w:r/>
      <w:bookmarkStart w:id="62" w:name="_Toc16938522"/>
      <w:r>
        <w:rPr>
          <w:rFonts w:hint="eastAsia" w:ascii="方正仿宋_GBK" w:hAnsi="方正仿宋_GBK" w:eastAsia="方正仿宋_GBK" w:cs="方正仿宋_GBK"/>
          <w:bCs/>
          <w:sz w:val="28"/>
          <w:szCs w:val="28"/>
        </w:rPr>
        <w:t xml:space="preserve">3.适用法律</w:t>
      </w:r>
      <w:bookmarkEnd w:id="60"/>
      <w:r/>
      <w:bookmarkEnd w:id="61"/>
      <w:r/>
      <w:bookmarkEnd w:id="62"/>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63" w:name="_Toc16938523"/>
      <w:r/>
      <w:bookmarkStart w:id="64" w:name="_Toc20823279"/>
      <w:r/>
      <w:bookmarkStart w:id="65" w:name="_Toc513029207"/>
      <w:r/>
      <w:bookmarkStart w:id="66" w:name="_Toc462564067"/>
      <w:r>
        <w:rPr>
          <w:rFonts w:hint="eastAsia" w:ascii="方正仿宋_GBK" w:hAnsi="方正仿宋_GBK" w:eastAsia="方正仿宋_GBK" w:cs="方正仿宋_GBK"/>
          <w:bCs/>
          <w:sz w:val="28"/>
          <w:szCs w:val="28"/>
        </w:rPr>
        <w:t xml:space="preserve">4.投标费用</w:t>
      </w:r>
      <w:bookmarkEnd w:id="63"/>
      <w:r/>
      <w:bookmarkEnd w:id="64"/>
      <w:r/>
      <w:bookmarkEnd w:id="65"/>
      <w:r/>
      <w:bookmarkEnd w:id="66"/>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73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7" w:name="_Toc16938525"/>
      <w:r/>
      <w:bookmarkStart w:id="68" w:name="_Toc20823281"/>
      <w:r/>
      <w:bookmarkStart w:id="69" w:name="_Toc513029209"/>
      <w:r/>
      <w:bookmarkStart w:id="70" w:name="_Toc120614215"/>
      <w:r>
        <w:rPr>
          <w:rFonts w:hint="eastAsia" w:ascii="方正黑体_GBK" w:hAnsi="方正黑体_GBK" w:eastAsia="方正黑体_GBK" w:cs="方正黑体_GBK"/>
          <w:color w:val="000000"/>
          <w:sz w:val="28"/>
          <w:szCs w:val="28"/>
        </w:rPr>
        <w:t xml:space="preserve">二、招标文件</w:t>
      </w:r>
      <w:bookmarkEnd w:id="67"/>
      <w:r/>
      <w:bookmarkEnd w:id="68"/>
      <w:r/>
      <w:bookmarkEnd w:id="69"/>
      <w:r/>
      <w:bookmarkEnd w:id="70"/>
      <w:r>
        <w:rPr>
          <w:rFonts w:hint="eastAsia" w:ascii="方正黑体_GBK" w:hAnsi="方正黑体_GBK" w:eastAsia="方正黑体_GBK" w:cs="方正黑体_GBK"/>
          <w:color w:val="000000"/>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71" w:name="_Toc20823282"/>
      <w:r/>
      <w:bookmarkStart w:id="72" w:name="_Toc16938526"/>
      <w:r/>
      <w:bookmarkStart w:id="73" w:name="_Toc513029210"/>
      <w:r>
        <w:rPr>
          <w:rFonts w:hint="eastAsia" w:ascii="方正仿宋_GBK" w:hAnsi="方正仿宋_GBK" w:eastAsia="方正仿宋_GBK" w:cs="方正仿宋_GBK"/>
          <w:bCs/>
          <w:sz w:val="28"/>
          <w:szCs w:val="28"/>
        </w:rPr>
        <w:t xml:space="preserve">6.招标文件构成</w:t>
      </w:r>
      <w:bookmarkEnd w:id="71"/>
      <w:r/>
      <w:bookmarkEnd w:id="72"/>
      <w:r/>
      <w:bookmarkEnd w:id="73"/>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74" w:name="_Toc20823284"/>
      <w:r/>
      <w:bookmarkStart w:id="75" w:name="_Toc513029212"/>
      <w:r/>
      <w:bookmarkStart w:id="76" w:name="_Toc16938528"/>
      <w:r/>
      <w:bookmarkStart w:id="77" w:name="_Toc462564071"/>
      <w:r>
        <w:rPr>
          <w:rFonts w:hint="eastAsia" w:ascii="方正仿宋_GBK" w:hAnsi="方正仿宋_GBK" w:eastAsia="方正仿宋_GBK" w:cs="方正仿宋_GBK"/>
          <w:bCs/>
          <w:sz w:val="28"/>
          <w:szCs w:val="28"/>
        </w:rPr>
        <w:t xml:space="preserve">7.招标文件的修改</w:t>
      </w:r>
      <w:bookmarkEnd w:id="74"/>
      <w:r/>
      <w:bookmarkEnd w:id="75"/>
      <w:r/>
      <w:bookmarkEnd w:id="76"/>
      <w:r/>
      <w:bookmarkEnd w:id="77"/>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73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78" w:name="_Toc513029213"/>
      <w:r/>
      <w:bookmarkStart w:id="79" w:name="_Toc20823285"/>
      <w:r/>
      <w:bookmarkStart w:id="80" w:name="_Toc16938529"/>
      <w:r/>
      <w:bookmarkStart w:id="81" w:name="_Toc120614216"/>
      <w:r/>
      <w:bookmarkStart w:id="82" w:name="_Toc462564072"/>
      <w:r>
        <w:rPr>
          <w:rFonts w:hint="eastAsia" w:ascii="方正黑体_GBK" w:hAnsi="方正黑体_GBK" w:eastAsia="方正黑体_GBK" w:cs="方正黑体_GBK"/>
          <w:color w:val="000000"/>
          <w:sz w:val="28"/>
          <w:szCs w:val="28"/>
        </w:rPr>
        <w:t xml:space="preserve">三、投标文件的编制</w:t>
      </w:r>
      <w:bookmarkEnd w:id="78"/>
      <w:r/>
      <w:bookmarkEnd w:id="79"/>
      <w:r/>
      <w:bookmarkEnd w:id="80"/>
      <w:r/>
      <w:bookmarkEnd w:id="81"/>
      <w:r/>
      <w:bookmarkEnd w:id="82"/>
      <w:r>
        <w:rPr>
          <w:rFonts w:hint="eastAsia" w:ascii="方正黑体_GBK" w:hAnsi="方正黑体_GBK" w:eastAsia="方正黑体_GBK" w:cs="方正黑体_GBK"/>
          <w:color w:val="000000"/>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83" w:name="_Toc20823286"/>
      <w:r/>
      <w:bookmarkStart w:id="84" w:name="_Toc462564073"/>
      <w:r/>
      <w:bookmarkStart w:id="85" w:name="_Toc513029214"/>
      <w:r/>
      <w:bookmarkStart w:id="86" w:name="_Toc16938530"/>
      <w:r>
        <w:rPr>
          <w:rFonts w:hint="eastAsia" w:ascii="方正仿宋_GBK" w:hAnsi="方正仿宋_GBK" w:eastAsia="方正仿宋_GBK" w:cs="方正仿宋_GBK"/>
          <w:bCs/>
          <w:sz w:val="28"/>
          <w:szCs w:val="28"/>
        </w:rPr>
        <w:t xml:space="preserve">8.投标文件的语言及度量衡单位</w:t>
      </w:r>
      <w:bookmarkEnd w:id="83"/>
      <w:r/>
      <w:bookmarkEnd w:id="84"/>
      <w:r/>
      <w:bookmarkEnd w:id="85"/>
      <w:r/>
      <w:bookmarkEnd w:id="86"/>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87" w:name="_Toc16938531"/>
      <w:r/>
      <w:bookmarkStart w:id="88" w:name="_Toc513029215"/>
      <w:r/>
      <w:bookmarkStart w:id="89" w:name="_Toc20823287"/>
      <w:r/>
      <w:bookmarkStart w:id="90" w:name="_Toc462564074"/>
      <w:r>
        <w:rPr>
          <w:rFonts w:hint="eastAsia" w:ascii="方正仿宋_GBK" w:hAnsi="方正仿宋_GBK" w:eastAsia="方正仿宋_GBK" w:cs="方正仿宋_GBK"/>
          <w:bCs/>
          <w:sz w:val="28"/>
          <w:szCs w:val="28"/>
        </w:rPr>
        <w:t xml:space="preserve">9.投标文件构成</w:t>
      </w:r>
      <w:bookmarkEnd w:id="87"/>
      <w:r/>
      <w:bookmarkEnd w:id="88"/>
      <w:r/>
      <w:bookmarkEnd w:id="89"/>
      <w:r/>
      <w:bookmarkEnd w:id="90"/>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91" w:name="_Hlt26954838"/>
      <w:r/>
      <w:bookmarkEnd w:id="91"/>
      <w:r/>
      <w:bookmarkStart w:id="92" w:name="_Hlt26670360"/>
      <w:r/>
      <w:bookmarkEnd w:id="92"/>
      <w:r/>
      <w:bookmarkStart w:id="93" w:name="_Hlt26668975"/>
      <w:r/>
      <w:bookmarkEnd w:id="93"/>
      <w:r/>
      <w:bookmarkStart w:id="94" w:name="_Toc49090509"/>
      <w:r/>
      <w:bookmarkStart w:id="95" w:name="_Toc513029219"/>
      <w:r/>
      <w:bookmarkStart w:id="96" w:name="_Toc14577357"/>
      <w:r/>
      <w:bookmarkStart w:id="97" w:name="_Toc49090507"/>
      <w:r/>
      <w:bookmarkStart w:id="98" w:name="_Toc14577354"/>
      <w:r/>
      <w:bookmarkStart w:id="99" w:name="_Toc513029216"/>
      <w:r/>
      <w:bookmarkStart w:id="100" w:name="_Toc49090508"/>
      <w:r/>
      <w:bookmarkStart w:id="101" w:name="_Toc14577355"/>
      <w:r>
        <w:rPr>
          <w:rFonts w:hint="eastAsia" w:ascii="方正仿宋_GBK" w:hAnsi="方正仿宋_GBK" w:eastAsia="方正仿宋_GBK" w:cs="方正仿宋_GBK"/>
          <w:bCs/>
          <w:sz w:val="28"/>
          <w:szCs w:val="28"/>
        </w:rPr>
        <w:t xml:space="preserve">10.证明投标人及投标标的符合招标文件规定的文件</w:t>
      </w:r>
      <w:bookmarkEnd w:id="94"/>
      <w:r/>
      <w:bookmarkEnd w:id="95"/>
      <w:r/>
      <w:bookmarkEnd w:id="96"/>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End w:id="97"/>
      <w:r/>
      <w:bookmarkEnd w:id="98"/>
      <w:r/>
      <w:bookmarkEnd w:id="99"/>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End w:id="100"/>
      <w:r/>
      <w:bookmarkEnd w:id="101"/>
      <w:r>
        <w:rPr>
          <w:rFonts w:hint="eastAsia" w:ascii="方正仿宋_GBK" w:hAnsi="方正仿宋_GBK" w:eastAsia="方正仿宋_GBK" w:cs="方正仿宋_GBK"/>
          <w:bCs/>
          <w:sz w:val="28"/>
          <w:szCs w:val="28"/>
        </w:rPr>
        <w:t xml:space="preserve">11.投标分项报价表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2" w:name="_Hlt26954840"/>
      <w:r/>
      <w:bookmarkEnd w:id="102"/>
      <w:r>
        <w:rPr>
          <w:rFonts w:hint="eastAsia" w:ascii="方正仿宋_GBK" w:hAnsi="方正仿宋_GBK" w:eastAsia="方正仿宋_GBK" w:cs="方正仿宋_GBK"/>
          <w:bCs/>
          <w:sz w:val="28"/>
          <w:szCs w:val="28"/>
        </w:rPr>
        <w:t xml:space="preserve">标人按照招标文件规定格式填报投标分项报价表</w:t>
      </w:r>
      <w:bookmarkStart w:id="103" w:name="_Hlt26670399"/>
      <w:r/>
      <w:bookmarkEnd w:id="103"/>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4" w:name="_Hlt26954731"/>
      <w:r/>
      <w:bookmarkEnd w:id="104"/>
      <w:r/>
      <w:bookmarkStart w:id="105" w:name="_Hlt26670486"/>
      <w:r/>
      <w:bookmarkEnd w:id="105"/>
      <w:r/>
      <w:bookmarkStart w:id="106" w:name="_Hlt26954848"/>
      <w:r/>
      <w:bookmarkEnd w:id="106"/>
      <w:r/>
      <w:bookmarkStart w:id="107" w:name="_Hlt26670482"/>
      <w:r/>
      <w:bookmarkEnd w:id="107"/>
      <w:r/>
      <w:bookmarkStart w:id="108" w:name="_Hlt26954846"/>
      <w:r/>
      <w:bookmarkEnd w:id="108"/>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9" w:name="_Toc14577359"/>
      <w:r/>
      <w:bookmarkStart w:id="110" w:name="_Toc49090510"/>
      <w:r>
        <w:rPr>
          <w:rFonts w:hint="eastAsia" w:ascii="方正仿宋_GBK" w:hAnsi="方正仿宋_GBK" w:eastAsia="方正仿宋_GBK" w:cs="方正仿宋_GBK"/>
          <w:bCs/>
          <w:sz w:val="28"/>
          <w:szCs w:val="28"/>
        </w:rPr>
        <w:t xml:space="preserve">14.投标函和开标一览表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End w:id="109"/>
      <w:r/>
      <w:bookmarkEnd w:id="110"/>
      <w:r/>
      <w:bookmarkStart w:id="111" w:name="_Toc14577360"/>
      <w:r/>
      <w:bookmarkStart w:id="112" w:name="_Toc49090511"/>
      <w:r>
        <w:rPr>
          <w:rFonts w:hint="eastAsia" w:ascii="方正仿宋_GBK" w:hAnsi="方正仿宋_GBK" w:eastAsia="方正仿宋_GBK" w:cs="方正仿宋_GBK"/>
          <w:bCs/>
          <w:sz w:val="28"/>
          <w:szCs w:val="28"/>
        </w:rPr>
        <w:t xml:space="preserve">15.投标有效期</w:t>
      </w:r>
      <w:bookmarkEnd w:id="111"/>
      <w:r/>
      <w:bookmarkEnd w:id="112"/>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16.投标有效期的延长</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73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3" w:name="_Hlt26954852"/>
      <w:r/>
      <w:bookmarkEnd w:id="113"/>
      <w:r/>
      <w:bookmarkStart w:id="114" w:name="_Hlt26954739"/>
      <w:r/>
      <w:bookmarkEnd w:id="114"/>
      <w:r/>
      <w:bookmarkStart w:id="115" w:name="_Toc16938540"/>
      <w:r/>
      <w:bookmarkStart w:id="116" w:name="_Toc120614217"/>
      <w:r/>
      <w:bookmarkStart w:id="117" w:name="_Toc513029224"/>
      <w:r/>
      <w:bookmarkStart w:id="118" w:name="_Toc20823296"/>
      <w:r>
        <w:rPr>
          <w:rFonts w:hint="eastAsia" w:ascii="方正黑体_GBK" w:hAnsi="方正黑体_GBK" w:eastAsia="方正黑体_GBK" w:cs="方正黑体_GBK"/>
          <w:color w:val="000000"/>
          <w:sz w:val="28"/>
          <w:szCs w:val="28"/>
        </w:rPr>
        <w:t xml:space="preserve">四、投标文件的递交</w:t>
      </w:r>
      <w:bookmarkEnd w:id="115"/>
      <w:r/>
      <w:bookmarkEnd w:id="116"/>
      <w:r/>
      <w:bookmarkEnd w:id="117"/>
      <w:r/>
      <w:bookmarkEnd w:id="118"/>
      <w:r>
        <w:rPr>
          <w:rFonts w:hint="eastAsia" w:ascii="方正黑体_GBK" w:hAnsi="方正黑体_GBK" w:eastAsia="方正黑体_GBK" w:cs="方正黑体_GBK"/>
          <w:color w:val="000000"/>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9" w:name="_Toc462564084"/>
      <w:r/>
      <w:bookmarkStart w:id="120" w:name="_Toc16938541"/>
      <w:r/>
      <w:bookmarkStart w:id="121" w:name="_Toc20823297"/>
      <w:r/>
      <w:bookmarkStart w:id="122" w:name="_Toc513029225"/>
      <w:r>
        <w:rPr>
          <w:rFonts w:hint="eastAsia" w:ascii="方正仿宋_GBK" w:hAnsi="方正仿宋_GBK" w:eastAsia="方正仿宋_GBK" w:cs="方正仿宋_GBK"/>
          <w:bCs/>
          <w:sz w:val="28"/>
          <w:szCs w:val="28"/>
        </w:rPr>
        <w:t xml:space="preserve">17.电子投标文件</w:t>
      </w:r>
      <w:bookmarkEnd w:id="119"/>
      <w:r/>
      <w:bookmarkEnd w:id="120"/>
      <w:r/>
      <w:bookmarkEnd w:id="121"/>
      <w:r/>
      <w:bookmarkEnd w:id="122"/>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3" w:name="_Toc20823298"/>
      <w:r/>
      <w:bookmarkStart w:id="124" w:name="_Toc513029226"/>
      <w:r/>
      <w:bookmarkStart w:id="125" w:name="_Toc16938542"/>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18.投标截止日期</w:t>
      </w:r>
      <w:bookmarkEnd w:id="123"/>
      <w:r/>
      <w:bookmarkEnd w:id="124"/>
      <w:r/>
      <w:bookmarkEnd w:id="125"/>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6" w:name="_Toc20823299"/>
      <w:r/>
      <w:bookmarkStart w:id="127" w:name="_Toc16938543"/>
      <w:r/>
      <w:bookmarkStart w:id="128" w:name="_Toc513029227"/>
      <w:r>
        <w:rPr>
          <w:rFonts w:hint="eastAsia" w:ascii="方正仿宋_GBK" w:hAnsi="方正仿宋_GBK" w:eastAsia="方正仿宋_GBK" w:cs="方正仿宋_GBK"/>
          <w:bCs/>
          <w:sz w:val="28"/>
          <w:szCs w:val="28"/>
        </w:rPr>
        <w:t xml:space="preserve">19.投标文件</w:t>
      </w:r>
      <w:bookmarkEnd w:id="126"/>
      <w:r/>
      <w:bookmarkEnd w:id="127"/>
      <w:r/>
      <w:bookmarkEnd w:id="128"/>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9" w:name="_Toc513029228"/>
      <w:r/>
      <w:bookmarkStart w:id="130" w:name="_Toc20823300"/>
      <w:r/>
      <w:bookmarkStart w:id="131" w:name="_Toc16938544"/>
      <w:r>
        <w:rPr>
          <w:rFonts w:hint="eastAsia" w:ascii="方正仿宋_GBK" w:hAnsi="方正仿宋_GBK" w:eastAsia="方正仿宋_GBK" w:cs="方正仿宋_GBK"/>
          <w:bCs/>
          <w:sz w:val="28"/>
          <w:szCs w:val="28"/>
        </w:rPr>
        <w:t xml:space="preserve">20.投标文件的撤回和修改</w:t>
      </w:r>
      <w:bookmarkEnd w:id="129"/>
      <w:r/>
      <w:bookmarkEnd w:id="130"/>
      <w:r/>
      <w:bookmarkEnd w:id="131"/>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73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2" w:name="_Toc20823301"/>
      <w:r/>
      <w:bookmarkStart w:id="133" w:name="_Toc120614218"/>
      <w:r/>
      <w:bookmarkStart w:id="134" w:name="_Toc513029229"/>
      <w:r/>
      <w:bookmarkStart w:id="135" w:name="_Toc16938545"/>
      <w:r>
        <w:rPr>
          <w:rFonts w:hint="eastAsia" w:ascii="方正黑体_GBK" w:hAnsi="方正黑体_GBK" w:eastAsia="方正黑体_GBK" w:cs="方正黑体_GBK"/>
          <w:color w:val="000000"/>
          <w:sz w:val="28"/>
          <w:szCs w:val="28"/>
        </w:rPr>
        <w:t xml:space="preserve">五、开标与评标</w:t>
      </w:r>
      <w:bookmarkEnd w:id="132"/>
      <w:r/>
      <w:bookmarkEnd w:id="133"/>
      <w:r/>
      <w:bookmarkEnd w:id="134"/>
      <w:r/>
      <w:bookmarkEnd w:id="135"/>
      <w:r>
        <w:rPr>
          <w:rFonts w:hint="eastAsia" w:ascii="方正黑体_GBK" w:hAnsi="方正黑体_GBK" w:eastAsia="方正黑体_GBK" w:cs="方正黑体_GBK"/>
          <w:color w:val="000000"/>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6" w:name="_Toc16938546"/>
      <w:r/>
      <w:bookmarkStart w:id="137" w:name="_Toc20823302"/>
      <w:r/>
      <w:bookmarkStart w:id="138" w:name="_Toc513029230"/>
      <w:r>
        <w:rPr>
          <w:rFonts w:hint="eastAsia" w:ascii="方正仿宋_GBK" w:hAnsi="方正仿宋_GBK" w:eastAsia="方正仿宋_GBK" w:cs="方正仿宋_GBK"/>
          <w:bCs/>
          <w:sz w:val="28"/>
          <w:szCs w:val="28"/>
        </w:rPr>
        <w:t xml:space="preserve">21.开标</w:t>
      </w:r>
      <w:bookmarkEnd w:id="136"/>
      <w:r/>
      <w:bookmarkEnd w:id="137"/>
      <w:r/>
      <w:bookmarkEnd w:id="138"/>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9" w:name="_Toc16938547"/>
      <w:r/>
      <w:bookmarkStart w:id="140" w:name="_Toc513029231"/>
      <w:r/>
      <w:bookmarkStart w:id="141" w:name="_Toc20823303"/>
      <w:r>
        <w:rPr>
          <w:rFonts w:hint="eastAsia" w:ascii="方正仿宋_GBK" w:hAnsi="方正仿宋_GBK" w:eastAsia="方正仿宋_GBK" w:cs="方正仿宋_GBK"/>
          <w:bCs/>
          <w:sz w:val="28"/>
          <w:szCs w:val="28"/>
        </w:rPr>
        <w:t xml:space="preserve">22.评标委员会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评标委员会由采购人代表和有关技术、经济等方面的专家组成，且人员构成符合政府采购有关规定。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22.3评标委员会独立工作，负责评审所有投标文件并确定中标侯选人。</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23.评标过程的保密与公正</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End w:id="139"/>
      <w:r/>
      <w:bookmarkEnd w:id="140"/>
      <w:r/>
      <w:bookmarkEnd w:id="141"/>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2" w:name="_Toc16938548"/>
      <w:r/>
      <w:bookmarkStart w:id="143" w:name="_Toc513029232"/>
      <w:r/>
      <w:bookmarkStart w:id="144" w:name="_Toc20823304"/>
      <w:r>
        <w:rPr>
          <w:rFonts w:hint="eastAsia" w:ascii="方正仿宋_GBK" w:hAnsi="方正仿宋_GBK" w:eastAsia="方正仿宋_GBK" w:cs="方正仿宋_GBK"/>
          <w:bCs/>
          <w:sz w:val="28"/>
          <w:szCs w:val="28"/>
        </w:rPr>
        <w:t xml:space="preserve">24.投标文件的澄清</w:t>
      </w:r>
      <w:bookmarkEnd w:id="142"/>
      <w:r/>
      <w:bookmarkEnd w:id="143"/>
      <w:r/>
      <w:bookmarkEnd w:id="144"/>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5" w:name="_Toc16938549"/>
      <w:r/>
      <w:bookmarkStart w:id="146" w:name="_Toc513029233"/>
      <w:r/>
      <w:bookmarkStart w:id="147" w:name="_Toc20823305"/>
      <w:r>
        <w:rPr>
          <w:rFonts w:hint="eastAsia" w:ascii="方正仿宋_GBK" w:hAnsi="方正仿宋_GBK" w:eastAsia="方正仿宋_GBK" w:cs="方正仿宋_GBK"/>
          <w:bCs/>
          <w:sz w:val="28"/>
          <w:szCs w:val="28"/>
        </w:rPr>
        <w:t xml:space="preserve">24.1评标期间，评标委员会对投标文件中含义不明确、同类问题表述不一致或者有明显文字和计算错误的内容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接到评标委员会澄清、说明和补正要求的投标人如未按规定做出澄清、说明和补正，其风险由投标人自行承担。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25.对投标文件的初审</w:t>
      </w:r>
      <w:bookmarkEnd w:id="145"/>
      <w:r/>
      <w:bookmarkEnd w:id="146"/>
      <w:r/>
      <w:bookmarkEnd w:id="147"/>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25.4评标委员会将对确定为实质性响应的投标进行进一步审核，看其是否有计算上或累加上的算术错误，修正错误的原则如下：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8" w:name="_Toc20823306"/>
      <w:r/>
      <w:bookmarkStart w:id="149" w:name="_Toc16938550"/>
      <w:r/>
      <w:bookmarkStart w:id="150" w:name="_Toc513029234"/>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（3）投标报价低于采购项目最高限价45%的，即投标报价&lt;采购项目最高限价×45%；</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rPr>
      </w:r>
      <w:r/>
    </w:p>
    <w:p>
      <w:pPr>
        <w:pStyle w:val="734"/>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8"/>
      <w:r/>
      <w:bookmarkEnd w:id="149"/>
      <w:r/>
      <w:bookmarkEnd w:id="150"/>
      <w:r>
        <w:rPr>
          <w:rFonts w:hint="eastAsia" w:ascii="方正仿宋_GBK" w:hAnsi="方正仿宋_GBK" w:eastAsia="方正仿宋_GBK" w:cs="方正仿宋_GBK"/>
          <w:sz w:val="28"/>
          <w:szCs w:val="28"/>
        </w:rPr>
        <w:t xml:space="preserve">6.无效投标条款和废标条款</w:t>
      </w:r>
      <w:bookmarkStart w:id="151" w:name="_Toc20823307"/>
      <w:r/>
      <w:bookmarkStart w:id="152" w:name="_Toc16938551"/>
      <w:r/>
      <w:bookmarkStart w:id="153" w:name="_Toc513029235"/>
      <w:r>
        <w:rPr>
          <w:rFonts w:hint="eastAsia" w:ascii="方正仿宋_GBK" w:hAnsi="方正仿宋_GBK" w:eastAsia="方正仿宋_GBK" w:cs="方正仿宋_GBK"/>
          <w:sz w:val="28"/>
          <w:szCs w:val="28"/>
        </w:rPr>
      </w:r>
      <w:r/>
    </w:p>
    <w:p>
      <w:pPr>
        <w:pStyle w:val="734"/>
        <w:ind w:firstLine="560"/>
        <w:keepLines/>
        <w:keepNext/>
        <w:spacing w:line="400" w:lineRule="exact"/>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color w:val="000000"/>
          <w:sz w:val="28"/>
          <w:szCs w:val="28"/>
          <w:u w:val="single"/>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投标人所投标产品不符合招标文件中所列国家强制性标准的。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.1.14其他法律、法规及本招标文件规定的属无效投标的情形。</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 </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  </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73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54" w:name="_Toc120614219"/>
      <w:r>
        <w:rPr>
          <w:rFonts w:hint="eastAsia" w:ascii="方正黑体_GBK" w:hAnsi="方正黑体_GBK" w:eastAsia="方正黑体_GBK" w:cs="方正黑体_GBK"/>
          <w:color w:val="000000"/>
          <w:sz w:val="28"/>
          <w:szCs w:val="28"/>
        </w:rPr>
        <w:t xml:space="preserve">六、</w:t>
      </w:r>
      <w:bookmarkEnd w:id="151"/>
      <w:r/>
      <w:bookmarkEnd w:id="152"/>
      <w:r/>
      <w:bookmarkEnd w:id="153"/>
      <w:r>
        <w:rPr>
          <w:rFonts w:hint="eastAsia" w:ascii="方正黑体_GBK" w:hAnsi="方正黑体_GBK" w:eastAsia="方正黑体_GBK" w:cs="方正黑体_GBK"/>
          <w:color w:val="000000"/>
          <w:sz w:val="28"/>
          <w:szCs w:val="28"/>
        </w:rPr>
        <w:t xml:space="preserve">定标</w:t>
      </w:r>
      <w:bookmarkEnd w:id="154"/>
      <w:r>
        <w:rPr>
          <w:rFonts w:hint="eastAsia" w:ascii="方正黑体_GBK" w:hAnsi="方正黑体_GBK" w:eastAsia="方正黑体_GBK" w:cs="方正黑体_GBK"/>
          <w:color w:val="000000"/>
          <w:sz w:val="28"/>
          <w:szCs w:val="28"/>
        </w:rPr>
      </w:r>
      <w:r/>
    </w:p>
    <w:p>
      <w:pPr>
        <w:pStyle w:val="734"/>
        <w:ind w:firstLine="560"/>
        <w:keepLines/>
        <w:keepNext/>
        <w:spacing w:line="400" w:lineRule="exact"/>
        <w:rPr>
          <w:rFonts w:hint="eastAsia" w:ascii="方正仿宋_GBK" w:hAnsi="方正仿宋_GBK" w:eastAsia="方正仿宋_GBK" w:cs="方正仿宋_GBK"/>
          <w:bCs/>
          <w:color w:val="000000"/>
          <w:sz w:val="28"/>
          <w:szCs w:val="28"/>
        </w:rPr>
        <w:outlineLvl w:val="3"/>
      </w:pPr>
      <w:r/>
      <w:bookmarkStart w:id="155" w:name="_Toc513029238"/>
      <w:r/>
      <w:bookmarkStart w:id="156" w:name="_Toc20823310"/>
      <w:r/>
      <w:bookmarkStart w:id="157" w:name="_Toc16938554"/>
      <w:r>
        <w:rPr>
          <w:rFonts w:hint="eastAsia" w:ascii="方正仿宋_GBK" w:hAnsi="方正仿宋_GBK" w:eastAsia="方正仿宋_GBK" w:cs="方正仿宋_GBK"/>
          <w:bCs/>
          <w:color w:val="000000"/>
          <w:sz w:val="28"/>
          <w:szCs w:val="28"/>
        </w:rPr>
        <w:t xml:space="preserve">27</w:t>
      </w:r>
      <w:bookmarkEnd w:id="155"/>
      <w:r>
        <w:rPr>
          <w:rFonts w:hint="eastAsia" w:ascii="方正仿宋_GBK" w:hAnsi="方正仿宋_GBK" w:eastAsia="方正仿宋_GBK" w:cs="方正仿宋_GBK"/>
          <w:bCs/>
          <w:color w:val="000000"/>
          <w:sz w:val="28"/>
          <w:szCs w:val="28"/>
        </w:rPr>
        <w:t xml:space="preserve">.确定</w:t>
      </w:r>
      <w:bookmarkEnd w:id="156"/>
      <w:r/>
      <w:bookmarkEnd w:id="157"/>
      <w:r>
        <w:rPr>
          <w:rFonts w:hint="eastAsia" w:ascii="方正仿宋_GBK" w:hAnsi="方正仿宋_GBK" w:eastAsia="方正仿宋_GBK" w:cs="方正仿宋_GBK"/>
          <w:bCs/>
          <w:color w:val="000000"/>
          <w:sz w:val="28"/>
          <w:szCs w:val="28"/>
        </w:rPr>
        <w:t xml:space="preserve">中标单位</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采购人应根据评标委员会推荐的中标候选人确定中标供应商。</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27.4.3属于本文件规定的无效条件，但在评标过程中又未被评标委员会发现的。</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bookmarkStart w:id="158"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28.质疑处理</w:t>
      </w:r>
      <w:bookmarkEnd w:id="158"/>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29.中标通知书</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73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59" w:name="_Toc120614220"/>
      <w:r/>
      <w:bookmarkStart w:id="160" w:name="_Toc513029236"/>
      <w:r/>
      <w:bookmarkStart w:id="161" w:name="_Toc16938552"/>
      <w:r/>
      <w:bookmarkStart w:id="162" w:name="_Toc20823308"/>
      <w:r>
        <w:rPr>
          <w:rFonts w:hint="eastAsia" w:ascii="方正黑体_GBK" w:hAnsi="方正黑体_GBK" w:eastAsia="方正黑体_GBK" w:cs="方正黑体_GBK"/>
          <w:color w:val="000000"/>
          <w:sz w:val="28"/>
          <w:szCs w:val="28"/>
        </w:rPr>
        <w:t xml:space="preserve">七、授予合同</w:t>
      </w:r>
      <w:bookmarkEnd w:id="159"/>
      <w:r>
        <w:rPr>
          <w:rFonts w:hint="eastAsia" w:ascii="方正黑体_GBK" w:hAnsi="方正黑体_GBK" w:eastAsia="方正黑体_GBK" w:cs="方正黑体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bookmarkEnd w:id="160"/>
      <w:r/>
      <w:bookmarkEnd w:id="161"/>
      <w:r/>
      <w:bookmarkEnd w:id="162"/>
      <w:r/>
      <w:bookmarkStart w:id="163" w:name="_Toc513029237"/>
      <w:r/>
      <w:bookmarkStart w:id="164" w:name="_Toc16938553"/>
      <w:r/>
      <w:bookmarkStart w:id="165" w:name="_Toc20823309"/>
      <w:r>
        <w:rPr>
          <w:rFonts w:hint="eastAsia" w:ascii="方正仿宋_GBK" w:hAnsi="方正仿宋_GBK" w:eastAsia="方正仿宋_GBK" w:cs="方正仿宋_GBK"/>
          <w:color w:val="000000"/>
          <w:sz w:val="28"/>
          <w:szCs w:val="28"/>
        </w:rPr>
        <w:t xml:space="preserve">30.签订合同</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31.货物（包含与货物相关的服务）的追加</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bookmarkEnd w:id="163"/>
      <w:r/>
      <w:bookmarkEnd w:id="164"/>
      <w:r/>
      <w:bookmarkEnd w:id="165"/>
      <w:r/>
      <w:bookmarkStart w:id="166" w:name="_Toc479757207"/>
      <w:r/>
      <w:bookmarkStart w:id="167" w:name="_Toc20823314"/>
      <w:r/>
      <w:bookmarkStart w:id="168" w:name="_Toc16938558"/>
      <w:r/>
      <w:bookmarkStart w:id="169" w:name="_Toc120614221"/>
      <w:r/>
      <w:bookmarkStart w:id="170" w:name="_Toc513029242"/>
      <w:r>
        <w:rPr>
          <w:rFonts w:hint="eastAsia" w:ascii="方正仿宋_GBK" w:hAnsi="方正仿宋_GBK" w:eastAsia="方正仿宋_GBK" w:cs="方正仿宋_GBK"/>
          <w:color w:val="000000"/>
          <w:sz w:val="28"/>
          <w:szCs w:val="28"/>
        </w:rPr>
        <w:t xml:space="preserve">32.政府采购履约资金扶持政策</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734"/>
        <w:ind w:firstLine="420"/>
        <w:spacing w:line="400" w:lineRule="exact"/>
        <w:rPr>
          <w:rFonts w:hint="eastAsia"/>
          <w:color w:val="000000"/>
          <w:szCs w:val="21"/>
        </w:rPr>
      </w:pPr>
      <w:r>
        <w:rPr>
          <w:rFonts w:hint="eastAsia"/>
          <w:color w:val="000000"/>
          <w:szCs w:val="21"/>
        </w:rPr>
      </w:r>
      <w:r/>
    </w:p>
    <w:p>
      <w:pPr>
        <w:pStyle w:val="734"/>
        <w:ind w:firstLine="2240"/>
        <w:keepNext/>
        <w:spacing w:line="66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br w:type="page" w:clear="all"/>
      </w:r>
      <w:r>
        <w:rPr>
          <w:rFonts w:hint="eastAsia" w:ascii="方正黑体_GBK" w:hAnsi="方正黑体_GBK" w:eastAsia="方正黑体_GBK" w:cs="方正黑体_GBK"/>
          <w:bCs/>
          <w:color w:val="000000"/>
          <w:sz w:val="28"/>
          <w:szCs w:val="28"/>
        </w:rPr>
      </w:r>
      <w:r/>
    </w:p>
    <w:p>
      <w:pPr>
        <w:pStyle w:val="734"/>
        <w:ind w:firstLine="2240"/>
        <w:keepNext/>
        <w:spacing w:line="66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6"/>
      <w:r/>
      <w:bookmarkEnd w:id="167"/>
      <w:r/>
      <w:bookmarkEnd w:id="168"/>
      <w:r/>
      <w:bookmarkEnd w:id="169"/>
      <w:r/>
      <w:bookmarkEnd w:id="170"/>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734"/>
        <w:spacing w:line="400" w:lineRule="exact"/>
        <w:rPr>
          <w:rFonts w:ascii="宋体" w:hAnsi="宋体"/>
          <w:bCs/>
          <w:color w:val="ff0000"/>
          <w:sz w:val="28"/>
          <w:szCs w:val="28"/>
          <w:highlight w:val="yellow"/>
        </w:rPr>
      </w:pPr>
      <w:r/>
      <w:bookmarkStart w:id="171" w:name="_Toc16938559"/>
      <w:r/>
      <w:bookmarkStart w:id="172" w:name="_Toc513029243"/>
      <w:r/>
      <w:bookmarkStart w:id="173" w:name="_Toc20823315"/>
      <w:r/>
      <w:bookmarkStart w:id="174" w:name="_Toc3995"/>
      <w:r/>
      <w:bookmarkStart w:id="175" w:name="_Hlt16619350"/>
      <w:r/>
      <w:bookmarkStart w:id="176" w:name="_Toc20823346"/>
      <w:r/>
      <w:bookmarkStart w:id="177" w:name="_Toc16938590"/>
      <w:r/>
      <w:bookmarkStart w:id="178" w:name="_Toc120614244"/>
      <w:r/>
      <w:bookmarkStart w:id="179" w:name="_Toc462564139"/>
      <w:r/>
      <w:bookmarkStart w:id="180" w:name="_Toc479757211"/>
      <w:r>
        <w:rPr>
          <w:rFonts w:ascii="宋体" w:hAnsi="宋体"/>
          <w:bCs/>
          <w:color w:val="ff0000"/>
          <w:sz w:val="28"/>
          <w:szCs w:val="28"/>
          <w:highlight w:val="yellow"/>
        </w:rPr>
      </w:r>
      <w:r/>
    </w:p>
    <w:p>
      <w:pPr>
        <w:pStyle w:val="734"/>
        <w:spacing w:line="500" w:lineRule="exact"/>
        <w:rPr>
          <w:rFonts w:hint="eastAsia" w:ascii="宋体" w:hAnsi="宋体"/>
          <w:bCs/>
          <w:color w:val="000000"/>
          <w:sz w:val="28"/>
          <w:szCs w:val="28"/>
        </w:rPr>
      </w:pPr>
      <w:r>
        <w:rPr>
          <w:rFonts w:hint="eastAsia" w:ascii="宋体" w:hAnsi="宋体"/>
          <w:bCs/>
          <w:color w:val="000000"/>
          <w:sz w:val="28"/>
          <w:szCs w:val="28"/>
        </w:rPr>
      </w:r>
      <w:r/>
    </w:p>
    <w:p>
      <w:pPr>
        <w:pStyle w:val="766"/>
        <w:jc w:val="center"/>
        <w:rPr>
          <w:rFonts w:ascii="宋体" w:hAnsi="宋体" w:eastAsia="宋体" w:cs="宋体"/>
          <w:b/>
          <w:bCs/>
          <w:spacing w:val="-20"/>
        </w:rPr>
      </w:pPr>
      <w:r/>
      <w:bookmarkEnd w:id="171"/>
      <w:r/>
      <w:bookmarkEnd w:id="172"/>
      <w:r/>
      <w:bookmarkEnd w:id="173"/>
      <w:r/>
      <w:bookmarkEnd w:id="174"/>
      <w:r>
        <w:rPr>
          <w:rFonts w:ascii="宋体" w:hAnsi="宋体" w:eastAsia="宋体" w:cs="宋体"/>
          <w:b/>
          <w:bCs/>
          <w:spacing w:val="-20"/>
        </w:rPr>
      </w:r>
      <w:r/>
    </w:p>
    <w:p>
      <w:pPr>
        <w:pStyle w:val="766"/>
        <w:jc w:val="center"/>
        <w:rPr>
          <w:rFonts w:ascii="宋体" w:hAnsi="宋体" w:eastAsia="宋体" w:cs="宋体"/>
          <w:spacing w:val="-20"/>
        </w:rPr>
      </w:pPr>
      <w:r>
        <w:rPr>
          <w:rFonts w:ascii="宋体" w:hAnsi="宋体" w:eastAsia="宋体" w:cs="宋体"/>
          <w:spacing w:val="-20"/>
        </w:rPr>
      </w:r>
      <w:r/>
    </w:p>
    <w:p>
      <w:pPr>
        <w:pStyle w:val="766"/>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财政部 政府采购货物买卖合同（试行）</w:t>
      </w:r>
      <w:r>
        <w:rPr>
          <w:rFonts w:hint="eastAsia" w:ascii="方正黑体_GBK" w:hAnsi="方正黑体_GBK" w:eastAsia="方正黑体_GBK" w:cs="方正黑体_GBK"/>
          <w:spacing w:val="-20"/>
        </w:rPr>
      </w:r>
      <w:r/>
    </w:p>
    <w:p>
      <w:pPr>
        <w:pStyle w:val="766"/>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rPr>
          <w:rFonts w:hint="eastAsia" w:ascii="方正黑体_GBK" w:hAnsi="方正黑体_GBK" w:eastAsia="方正黑体_GBK" w:cs="方正黑体_GBK"/>
          <w:spacing w:val="-20"/>
        </w:rPr>
      </w:r>
      <w:r/>
    </w:p>
    <w:p>
      <w:pPr>
        <w:pStyle w:val="734"/>
        <w:spacing w:line="660" w:lineRule="exact"/>
        <w:rPr>
          <w:rFonts w:ascii="宋体" w:hAnsi="宋体" w:cs="宋体"/>
          <w:b/>
          <w:bCs/>
          <w:spacing w:val="-20"/>
          <w:sz w:val="28"/>
          <w:szCs w:val="28"/>
        </w:rPr>
      </w:pPr>
      <w:r>
        <w:rPr>
          <w:rFonts w:ascii="宋体" w:hAnsi="宋体" w:cs="宋体"/>
          <w:b/>
          <w:bCs/>
          <w:spacing w:val="-20"/>
          <w:sz w:val="28"/>
          <w:szCs w:val="28"/>
        </w:rPr>
      </w:r>
      <w:r/>
    </w:p>
    <w:p>
      <w:pPr>
        <w:pStyle w:val="734"/>
        <w:spacing w:line="660" w:lineRule="exact"/>
        <w:rPr>
          <w:rFonts w:ascii="宋体" w:hAnsi="宋体" w:cs="宋体"/>
          <w:b/>
          <w:bCs/>
          <w:spacing w:val="-20"/>
          <w:sz w:val="28"/>
          <w:szCs w:val="28"/>
        </w:rPr>
      </w:pPr>
      <w:r>
        <w:rPr>
          <w:rFonts w:ascii="宋体" w:hAnsi="宋体" w:cs="宋体"/>
          <w:b/>
          <w:bCs/>
          <w:spacing w:val="-20"/>
          <w:sz w:val="28"/>
          <w:szCs w:val="28"/>
        </w:rPr>
      </w:r>
      <w:r/>
    </w:p>
    <w:p>
      <w:pPr>
        <w:pStyle w:val="734"/>
        <w:spacing w:line="660" w:lineRule="exact"/>
        <w:rPr>
          <w:rFonts w:ascii="宋体" w:hAnsi="宋体" w:cs="宋体"/>
          <w:b/>
          <w:bCs/>
          <w:spacing w:val="-20"/>
          <w:sz w:val="28"/>
          <w:szCs w:val="28"/>
        </w:rPr>
      </w:pPr>
      <w:r>
        <w:rPr>
          <w:rFonts w:ascii="宋体" w:hAnsi="宋体" w:cs="宋体"/>
          <w:b/>
          <w:bCs/>
          <w:spacing w:val="-20"/>
          <w:sz w:val="28"/>
          <w:szCs w:val="28"/>
        </w:rPr>
      </w:r>
      <w:r/>
    </w:p>
    <w:p>
      <w:pPr>
        <w:pStyle w:val="734"/>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34"/>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734"/>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34"/>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734"/>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34"/>
        <w:rPr>
          <w:sz w:val="28"/>
          <w:szCs w:val="28"/>
        </w:rPr>
      </w:pPr>
      <w:r>
        <w:rPr>
          <w:sz w:val="28"/>
          <w:szCs w:val="28"/>
        </w:rPr>
      </w:r>
      <w:r/>
    </w:p>
    <w:p>
      <w:pPr>
        <w:pStyle w:val="734"/>
        <w:rPr>
          <w:rFonts w:eastAsia="黑体"/>
          <w:sz w:val="28"/>
          <w:szCs w:val="28"/>
        </w:rPr>
      </w:pPr>
      <w:r>
        <w:rPr>
          <w:rFonts w:eastAsia="黑体"/>
          <w:sz w:val="28"/>
          <w:szCs w:val="28"/>
        </w:rPr>
      </w:r>
      <w:r/>
    </w:p>
    <w:p>
      <w:pPr>
        <w:pStyle w:val="734"/>
        <w:rPr>
          <w:rFonts w:eastAsia="黑体"/>
          <w:sz w:val="28"/>
          <w:szCs w:val="28"/>
        </w:rPr>
      </w:pPr>
      <w:r>
        <w:rPr>
          <w:rFonts w:eastAsia="黑体"/>
          <w:sz w:val="28"/>
          <w:szCs w:val="28"/>
        </w:rPr>
      </w:r>
      <w:r/>
    </w:p>
    <w:p>
      <w:pPr>
        <w:pStyle w:val="734"/>
        <w:rPr>
          <w:rFonts w:eastAsia="黑体"/>
          <w:sz w:val="28"/>
          <w:szCs w:val="28"/>
        </w:rPr>
      </w:pPr>
      <w:r>
        <w:rPr>
          <w:rFonts w:eastAsia="黑体"/>
          <w:sz w:val="28"/>
          <w:szCs w:val="28"/>
        </w:rPr>
      </w:r>
      <w:r/>
    </w:p>
    <w:p>
      <w:pPr>
        <w:pStyle w:val="734"/>
        <w:rPr>
          <w:rFonts w:eastAsia="黑体"/>
          <w:sz w:val="28"/>
          <w:szCs w:val="28"/>
        </w:rPr>
      </w:pPr>
      <w:r>
        <w:rPr>
          <w:rFonts w:eastAsia="黑体"/>
          <w:sz w:val="28"/>
          <w:szCs w:val="28"/>
        </w:rPr>
      </w:r>
      <w:r/>
    </w:p>
    <w:p>
      <w:pPr>
        <w:pStyle w:val="734"/>
        <w:rPr>
          <w:rFonts w:eastAsia="黑体"/>
          <w:sz w:val="28"/>
          <w:szCs w:val="28"/>
        </w:rPr>
      </w:pPr>
      <w:r>
        <w:rPr>
          <w:rFonts w:eastAsia="黑体"/>
          <w:sz w:val="28"/>
          <w:szCs w:val="28"/>
        </w:rPr>
      </w:r>
      <w:r/>
    </w:p>
    <w:p>
      <w:pPr>
        <w:pStyle w:val="734"/>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734"/>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734"/>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736"/>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768"/>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rPr>
          <w:rFonts w:hint="eastAsia" w:ascii="方正仿宋_GBK" w:hAnsi="方正仿宋_GBK" w:eastAsia="方正仿宋_GBK" w:cs="方正仿宋_GBK"/>
          <w:b/>
          <w:sz w:val="28"/>
          <w:szCs w:val="28"/>
        </w:rPr>
      </w:r>
      <w:r/>
    </w:p>
    <w:p>
      <w:pPr>
        <w:pStyle w:val="768"/>
        <w:numPr>
          <w:ilvl w:val="0"/>
          <w:numId w:val="4"/>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68"/>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68"/>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34"/>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34"/>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847"/>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47"/>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847"/>
        <w:ind w:firstLine="84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734"/>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734"/>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734"/>
        <w:ind w:firstLine="560"/>
        <w:spacing w:line="400" w:lineRule="exact"/>
        <w:rPr>
          <w:rFonts w:hint="eastAsia"/>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（3）付款方式（按项目实际勾选填写）：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（应明确一次性支付合同款项的条件）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rPr>
          <w:rFonts w:hint="eastAsia" w:ascii="方正仿宋_GBK" w:hAnsi="方正仿宋_GBK" w:eastAsia="方正仿宋_GBK" w:cs="方正仿宋_GBK"/>
          <w:b/>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4"/>
        <w:ind w:firstLine="56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r>
      <w:r/>
    </w:p>
    <w:p>
      <w:pPr>
        <w:pStyle w:val="734"/>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815"/>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94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734"/>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768"/>
              <w:ind w:left="0"/>
              <w:jc w:val="left"/>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736"/>
        <w:spacing w:line="400" w:lineRule="exact"/>
        <w:rPr>
          <w:rFonts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847"/>
        <w:numPr>
          <w:ilvl w:val="0"/>
          <w:numId w:val="5"/>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847"/>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847"/>
        <w:numPr>
          <w:ilvl w:val="0"/>
          <w:numId w:val="7"/>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736"/>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47"/>
              <w:ind w:firstLine="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（2）</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734"/>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采购人住所地</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6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36"/>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w:t>
      </w:r>
      <w:bookmarkEnd w:id="175"/>
      <w:r>
        <w:rPr>
          <w:rFonts w:hint="eastAsia" w:ascii="黑体" w:hAnsi="黑体" w:eastAsia="黑体"/>
          <w:b w:val="0"/>
          <w:bCs w:val="0"/>
          <w:sz w:val="28"/>
          <w:szCs w:val="28"/>
        </w:rPr>
        <w:t xml:space="preserve">四章 采购需求</w:t>
      </w:r>
      <w:bookmarkEnd w:id="176"/>
      <w:r/>
      <w:bookmarkEnd w:id="177"/>
      <w:r/>
      <w:bookmarkEnd w:id="178"/>
      <w:r>
        <w:rPr>
          <w:rFonts w:hint="eastAsia" w:ascii="黑体" w:hAnsi="黑体" w:eastAsia="黑体"/>
          <w:b w:val="0"/>
          <w:bCs w:val="0"/>
          <w:sz w:val="28"/>
          <w:szCs w:val="28"/>
        </w:rPr>
      </w:r>
      <w:r/>
    </w:p>
    <w:p>
      <w:pPr>
        <w:pStyle w:val="736"/>
        <w:jc w:val="left"/>
        <w:spacing w:line="400" w:lineRule="exact"/>
        <w:rPr>
          <w:rFonts w:hint="eastAsia" w:ascii="黑体" w:hAnsi="黑体" w:eastAsia="黑体"/>
          <w:b w:val="0"/>
          <w:bCs w:val="0"/>
          <w:sz w:val="28"/>
          <w:szCs w:val="28"/>
        </w:rPr>
      </w:pPr>
      <w:r/>
      <w:bookmarkStart w:id="181" w:name="_Toc26554093"/>
      <w:r/>
      <w:bookmarkStart w:id="182" w:name="_Toc49090575"/>
      <w:r>
        <w:rPr>
          <w:rFonts w:hint="eastAsia" w:ascii="黑体" w:hAnsi="黑体" w:eastAsia="黑体"/>
          <w:b w:val="0"/>
          <w:bCs w:val="0"/>
          <w:sz w:val="28"/>
          <w:szCs w:val="28"/>
        </w:rPr>
        <w:t xml:space="preserve">一、采购标的清单</w:t>
      </w:r>
      <w:r>
        <w:rPr>
          <w:rFonts w:hint="eastAsia" w:ascii="黑体" w:hAnsi="黑体" w:eastAsia="黑体"/>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trHeight w:val="701"/>
        </w:trPr>
        <w:tc>
          <w:tcPr>
            <w:tcW w:w="790"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32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vMerge w:val="restart"/>
            <w:textDirection w:val="lrTb"/>
            <w:noWrap w:val="false"/>
          </w:tcPr>
          <w:p>
            <w:pPr>
              <w:pStyle w:val="734"/>
              <w:jc w:val="center"/>
              <w:spacing w:line="400" w:lineRule="exact"/>
              <w:rPr>
                <w:rFonts w:ascii="方正仿宋_GBK" w:hAnsi="方正仿宋_GBK" w:eastAsia="方正仿宋_GBK" w:cs="方正仿宋_GBK"/>
                <w:sz w:val="28"/>
                <w:szCs w:val="28"/>
              </w:rPr>
            </w:pPr>
            <w:r>
              <w:rPr>
                <w:rFonts w:hint="eastAsia" w:eastAsia="方正仿宋_GBK"/>
                <w:sz w:val="28"/>
                <w:szCs w:val="28"/>
              </w:rPr>
              <w:t xml:space="preserve">01</w:t>
            </w:r>
            <w:r>
              <w:rPr>
                <w:rFonts w:ascii="方正仿宋_GBK" w:hAnsi="方正仿宋_GBK" w:eastAsia="方正仿宋_GBK" w:cs="方正仿宋_GBK"/>
                <w:sz w:val="28"/>
                <w:szCs w:val="28"/>
              </w:rPr>
            </w:r>
            <w:r/>
          </w:p>
        </w:tc>
        <w:tc>
          <w:tcPr>
            <w:tcW w:w="1321" w:type="dxa"/>
            <w:vAlign w:val="top"/>
            <w:textDirection w:val="lrTb"/>
            <w:noWrap w:val="false"/>
          </w:tcPr>
          <w:p>
            <w:pPr>
              <w:pStyle w:val="73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929" w:type="dxa"/>
            <w:vAlign w:val="top"/>
            <w:textDirection w:val="lrTb"/>
            <w:noWrap w:val="false"/>
          </w:tcPr>
          <w:p>
            <w:pPr>
              <w:pStyle w:val="734"/>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训推一体节点</w:t>
            </w:r>
            <w:r>
              <w:rPr>
                <w:rFonts w:hint="eastAsia" w:ascii="宋体" w:hAnsi="宋体"/>
                <w:sz w:val="24"/>
                <w:szCs w:val="24"/>
              </w:rPr>
            </w:r>
            <w:r/>
          </w:p>
        </w:tc>
        <w:tc>
          <w:tcPr>
            <w:tcW w:w="2677" w:type="dxa"/>
            <w:vAlign w:val="top"/>
            <w:textDirection w:val="lrTb"/>
            <w:noWrap w:val="false"/>
          </w:tcPr>
          <w:p>
            <w:pPr>
              <w:pStyle w:val="734"/>
              <w:jc w:val="center"/>
              <w:spacing w:line="0" w:lineRule="atLeast"/>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35"/>
        </w:trPr>
        <w:tc>
          <w:tcPr>
            <w:tcW w:w="790" w:type="dxa"/>
            <w:vAlign w:val="top"/>
            <w:vMerge w:val="continue"/>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21" w:type="dxa"/>
            <w:vAlign w:val="top"/>
            <w:textDirection w:val="lrTb"/>
            <w:noWrap w:val="false"/>
          </w:tcPr>
          <w:p>
            <w:pPr>
              <w:pStyle w:val="73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929" w:type="dxa"/>
            <w:vAlign w:val="top"/>
            <w:textDirection w:val="lrTb"/>
            <w:noWrap w:val="false"/>
          </w:tcPr>
          <w:p>
            <w:pPr>
              <w:pStyle w:val="734"/>
              <w:jc w:val="center"/>
              <w:spacing w:line="0" w:lineRule="atLeast"/>
              <w:tabs>
                <w:tab w:val="left" w:pos="2020" w:leader="none"/>
              </w:tabs>
              <w:rPr>
                <w:rFonts w:hint="eastAsia" w:ascii="宋体" w:hAnsi="宋体" w:cs="宋体"/>
                <w:bCs/>
                <w:color w:val="000000"/>
                <w:sz w:val="24"/>
              </w:rPr>
            </w:pPr>
            <w:r>
              <w:rPr>
                <w:rFonts w:hint="eastAsia" w:ascii="宋体" w:hAnsi="宋体" w:cs="宋体"/>
                <w:bCs/>
                <w:color w:val="000000"/>
                <w:sz w:val="24"/>
              </w:rPr>
              <w:t xml:space="preserve">参数交换机</w:t>
            </w:r>
            <w:r>
              <w:rPr>
                <w:rFonts w:hint="eastAsia" w:ascii="宋体" w:hAnsi="宋体" w:cs="宋体"/>
                <w:bCs/>
                <w:color w:val="000000"/>
                <w:sz w:val="24"/>
              </w:rPr>
            </w:r>
            <w:r/>
          </w:p>
        </w:tc>
        <w:tc>
          <w:tcPr>
            <w:tcW w:w="2677" w:type="dxa"/>
            <w:vAlign w:val="top"/>
            <w:textDirection w:val="lrTb"/>
            <w:noWrap w:val="false"/>
          </w:tcPr>
          <w:p>
            <w:pPr>
              <w:pStyle w:val="734"/>
              <w:jc w:val="center"/>
              <w:spacing w:line="0" w:lineRule="atLeast"/>
              <w:rPr>
                <w:rFonts w:hint="eastAsia"/>
                <w:sz w:val="24"/>
                <w:szCs w:val="24"/>
              </w:rPr>
            </w:pPr>
            <w:r>
              <w:rPr>
                <w:rFonts w:hint="eastAsia"/>
                <w:sz w:val="24"/>
                <w:szCs w:val="24"/>
              </w:rPr>
              <w:t xml:space="preserve">工业</w:t>
            </w:r>
            <w:r>
              <w:rPr>
                <w:rFonts w:hint="eastAsia"/>
                <w:sz w:val="24"/>
                <w:szCs w:val="24"/>
              </w:rPr>
            </w:r>
            <w:r/>
          </w:p>
        </w:tc>
      </w:tr>
      <w:tr>
        <w:trPr>
          <w:cantSplit/>
          <w:trHeight w:val="222"/>
        </w:trPr>
        <w:tc>
          <w:tcPr>
            <w:tcW w:w="790" w:type="dxa"/>
            <w:vAlign w:val="top"/>
            <w:vMerge w:val="continue"/>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21" w:type="dxa"/>
            <w:vAlign w:val="top"/>
            <w:textDirection w:val="lrTb"/>
            <w:noWrap w:val="false"/>
          </w:tcPr>
          <w:p>
            <w:pPr>
              <w:pStyle w:val="73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929" w:type="dxa"/>
            <w:vAlign w:val="top"/>
            <w:textDirection w:val="lrTb"/>
            <w:noWrap w:val="false"/>
          </w:tcPr>
          <w:p>
            <w:pPr>
              <w:pStyle w:val="734"/>
              <w:jc w:val="center"/>
              <w:spacing w:line="0" w:lineRule="atLeast"/>
              <w:tabs>
                <w:tab w:val="left" w:pos="2020" w:leader="none"/>
              </w:tabs>
              <w:rPr>
                <w:rFonts w:hint="eastAsia" w:ascii="宋体" w:hAnsi="宋体" w:cs="宋体"/>
                <w:bCs/>
                <w:color w:val="000000"/>
                <w:sz w:val="24"/>
              </w:rPr>
            </w:pPr>
            <w:r>
              <w:rPr>
                <w:rFonts w:hint="eastAsia" w:ascii="宋体" w:hAnsi="宋体" w:cs="宋体"/>
                <w:bCs/>
                <w:color w:val="000000"/>
                <w:sz w:val="24"/>
              </w:rPr>
              <w:t xml:space="preserve">AI 算力管理平台</w:t>
            </w:r>
            <w:r>
              <w:rPr>
                <w:rFonts w:hint="eastAsia" w:ascii="宋体" w:hAnsi="宋体" w:cs="宋体"/>
                <w:bCs/>
                <w:color w:val="000000"/>
                <w:sz w:val="24"/>
              </w:rPr>
            </w:r>
            <w:r/>
          </w:p>
        </w:tc>
        <w:tc>
          <w:tcPr>
            <w:tcW w:w="2677" w:type="dxa"/>
            <w:vAlign w:val="top"/>
            <w:textDirection w:val="lrTb"/>
            <w:noWrap w:val="false"/>
          </w:tcPr>
          <w:p>
            <w:pPr>
              <w:pStyle w:val="734"/>
              <w:jc w:val="center"/>
              <w:spacing w:line="0" w:lineRule="atLeast"/>
              <w:rPr>
                <w:rFonts w:hint="eastAsia"/>
                <w:sz w:val="24"/>
                <w:szCs w:val="24"/>
              </w:rPr>
            </w:pPr>
            <w:r>
              <w:rPr>
                <w:rFonts w:hint="eastAsia"/>
                <w:sz w:val="24"/>
                <w:szCs w:val="24"/>
              </w:rPr>
              <w:t xml:space="preserve">工业</w:t>
            </w:r>
            <w:r>
              <w:rPr>
                <w:rFonts w:hint="eastAsia"/>
                <w:sz w:val="24"/>
                <w:szCs w:val="24"/>
              </w:rPr>
            </w:r>
            <w:r/>
          </w:p>
        </w:tc>
      </w:tr>
    </w:tbl>
    <w:p>
      <w:pPr>
        <w:pStyle w:val="736"/>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二、政府采购中实施本国产品标准及相关政策</w:t>
      </w:r>
      <w:r>
        <w:rPr>
          <w:rFonts w:hint="eastAsia" w:ascii="黑体" w:hAnsi="黑体" w:eastAsia="黑体"/>
          <w:b w:val="0"/>
          <w:bCs w:val="0"/>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rPr>
      </w:r>
      <w:r/>
    </w:p>
    <w:p>
      <w:pPr>
        <w:pStyle w:val="736"/>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三、技术要求</w:t>
      </w:r>
      <w:r>
        <w:rPr>
          <w:rFonts w:hint="eastAsia" w:ascii="黑体" w:hAnsi="黑体" w:eastAsia="黑体"/>
          <w:b w:val="0"/>
          <w:bCs w:val="0"/>
          <w:sz w:val="28"/>
          <w:szCs w:val="28"/>
        </w:rPr>
      </w:r>
      <w:r/>
    </w:p>
    <w:p>
      <w:pPr>
        <w:pStyle w:val="73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w:t>
      </w: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734"/>
        <w:jc w:val="center"/>
        <w:spacing w:line="264" w:lineRule="auto"/>
        <w:rPr>
          <w:rFonts w:hint="eastAsia" w:ascii="黑体" w:hAnsi="黑体" w:eastAsia="黑体" w:cs="黑体"/>
          <w:color w:val="000000"/>
          <w:sz w:val="24"/>
        </w:rPr>
        <w:outlineLvl w:val="0"/>
      </w:pPr>
      <w:r>
        <w:rPr>
          <w:rFonts w:hint="eastAsia" w:ascii="黑体" w:hAnsi="黑体" w:eastAsia="黑体" w:cs="黑体"/>
          <w:color w:val="000000"/>
          <w:sz w:val="24"/>
        </w:rPr>
      </w:r>
      <w:r/>
    </w:p>
    <w:p>
      <w:pPr>
        <w:pStyle w:val="734"/>
        <w:jc w:val="center"/>
        <w:spacing w:line="264" w:lineRule="auto"/>
        <w:rPr>
          <w:rFonts w:ascii="黑体" w:hAnsi="黑体" w:eastAsia="黑体" w:cs="黑体"/>
          <w:color w:val="000000"/>
          <w:sz w:val="24"/>
        </w:rPr>
        <w:outlineLvl w:val="0"/>
      </w:pPr>
      <w:r>
        <w:rPr>
          <w:rFonts w:hint="eastAsia" w:ascii="黑体" w:hAnsi="黑体" w:eastAsia="黑体" w:cs="黑体"/>
          <w:color w:val="000000"/>
          <w:sz w:val="24"/>
        </w:rPr>
        <w:t xml:space="preserve">项目概况</w:t>
      </w:r>
      <w:r>
        <w:rPr>
          <w:rFonts w:ascii="黑体" w:hAnsi="黑体" w:eastAsia="黑体" w:cs="黑体"/>
          <w:color w:val="000000"/>
          <w:sz w:val="24"/>
        </w:rPr>
      </w:r>
      <w:r/>
    </w:p>
    <w:p>
      <w:pPr>
        <w:pStyle w:val="734"/>
        <w:ind w:firstLine="480"/>
        <w:spacing w:line="264" w:lineRule="auto"/>
        <w:rPr>
          <w:rFonts w:ascii="宋体" w:hAnsi="宋体" w:cs="宋体"/>
          <w:bCs/>
          <w:sz w:val="24"/>
        </w:rPr>
      </w:pPr>
      <w:r>
        <w:rPr>
          <w:rFonts w:hint="eastAsia" w:ascii="宋体" w:hAnsi="宋体" w:cs="宋体"/>
          <w:bCs/>
          <w:sz w:val="24"/>
        </w:rPr>
        <w:t xml:space="preserve">（一）项目背景</w:t>
      </w:r>
      <w:r>
        <w:rPr>
          <w:rFonts w:ascii="宋体" w:hAnsi="宋体" w:cs="宋体"/>
          <w:bCs/>
          <w:sz w:val="24"/>
        </w:rPr>
      </w:r>
      <w:r/>
    </w:p>
    <w:p>
      <w:pPr>
        <w:pStyle w:val="734"/>
        <w:ind w:firstLine="480"/>
        <w:spacing w:line="264" w:lineRule="auto"/>
        <w:rPr>
          <w:rFonts w:ascii="宋体" w:hAnsi="宋体" w:cs="宋体"/>
          <w:bCs/>
          <w:sz w:val="24"/>
        </w:rPr>
      </w:pPr>
      <w:r/>
      <w:bookmarkStart w:id="183" w:name="OLE_LINK19"/>
      <w:r>
        <w:rPr>
          <w:rFonts w:ascii="宋体" w:hAnsi="宋体" w:cs="宋体"/>
          <w:bCs/>
          <w:sz w:val="24"/>
        </w:rPr>
        <w:t xml:space="preserve">当前智能技术广泛应用于公共卫生领域，为支撑省统筹传染病监测预警与应急指挥平台建设，提升本中心智能科研与业务处置能力，本次二期扩容拟采购4台国产化AI训推服务器、1台配套参数面交换机及一套算力管理平台。现有通用计算设备算力不足，无法承载传染病AI研判、海量卫生数据处理等业务，制约平台建设；同时公共卫生关键基础设施需完成国产替代，消除外部技术依赖、保障数据安全。本次扩容可补齐算力短板，统一调度管理计算资源，保障疫情监测、应急指挥业务稳定高效运行，实现算力底座全栈自主可控，推动国产智能技术与公共卫生业务深度融合</w:t>
      </w:r>
      <w:r>
        <w:rPr>
          <w:rFonts w:hint="eastAsia" w:ascii="宋体" w:hAnsi="宋体" w:cs="宋体"/>
          <w:bCs/>
          <w:sz w:val="24"/>
        </w:rPr>
        <w:t xml:space="preserve">。</w:t>
      </w:r>
      <w:r>
        <w:rPr>
          <w:rFonts w:ascii="宋体" w:hAnsi="宋体" w:cs="宋体"/>
          <w:bCs/>
          <w:sz w:val="24"/>
        </w:rPr>
      </w:r>
      <w:r/>
    </w:p>
    <w:p>
      <w:pPr>
        <w:pStyle w:val="734"/>
        <w:ind w:firstLine="480"/>
        <w:spacing w:line="264" w:lineRule="auto"/>
        <w:rPr>
          <w:rFonts w:ascii="宋体" w:hAnsi="宋体" w:cs="宋体"/>
          <w:bCs/>
          <w:sz w:val="24"/>
        </w:rPr>
      </w:pPr>
      <w:r/>
      <w:bookmarkEnd w:id="183"/>
      <w:r>
        <w:rPr>
          <w:rFonts w:hint="eastAsia" w:ascii="宋体" w:hAnsi="宋体" w:cs="宋体"/>
          <w:bCs/>
          <w:sz w:val="24"/>
        </w:rPr>
        <w:t xml:space="preserve">（二）项目建设遵循标准</w:t>
      </w:r>
      <w:r>
        <w:rPr>
          <w:rFonts w:ascii="宋体" w:hAnsi="宋体" w:cs="宋体"/>
          <w:bCs/>
          <w:sz w:val="24"/>
        </w:rPr>
      </w:r>
      <w:r/>
    </w:p>
    <w:p>
      <w:pPr>
        <w:pStyle w:val="734"/>
        <w:ind w:firstLine="480"/>
        <w:spacing w:line="264" w:lineRule="auto"/>
        <w:rPr>
          <w:rFonts w:ascii="宋体" w:hAnsi="宋体" w:cs="宋体"/>
          <w:bCs/>
          <w:sz w:val="24"/>
        </w:rPr>
      </w:pPr>
      <w:r>
        <w:rPr>
          <w:rFonts w:hint="eastAsia" w:ascii="宋体" w:hAnsi="宋体" w:cs="宋体"/>
          <w:bCs/>
          <w:sz w:val="24"/>
        </w:rPr>
        <w:t xml:space="preserve">遵循国家、行业及地方现行的规范和标准。</w:t>
      </w:r>
      <w:r>
        <w:rPr>
          <w:rFonts w:ascii="宋体" w:hAnsi="宋体" w:cs="宋体"/>
          <w:bCs/>
          <w:sz w:val="24"/>
        </w:rPr>
      </w:r>
      <w:r/>
    </w:p>
    <w:p>
      <w:pPr>
        <w:pStyle w:val="734"/>
        <w:jc w:val="center"/>
        <w:spacing w:line="264" w:lineRule="auto"/>
        <w:rPr>
          <w:rFonts w:hint="eastAsia" w:ascii="黑体" w:hAnsi="黑体" w:eastAsia="黑体" w:cs="黑体"/>
          <w:color w:val="000000"/>
          <w:sz w:val="24"/>
        </w:rPr>
        <w:outlineLvl w:val="0"/>
      </w:pPr>
      <w:r>
        <w:rPr>
          <w:rFonts w:hint="eastAsia" w:ascii="黑体" w:hAnsi="黑体" w:eastAsia="黑体" w:cs="黑体"/>
          <w:color w:val="000000"/>
          <w:sz w:val="24"/>
        </w:rPr>
      </w:r>
      <w:r/>
    </w:p>
    <w:p>
      <w:pPr>
        <w:pStyle w:val="734"/>
        <w:jc w:val="center"/>
        <w:spacing w:line="264" w:lineRule="auto"/>
        <w:rPr>
          <w:rFonts w:ascii="宋体" w:hAnsi="宋体" w:cs="宋体"/>
          <w:bCs/>
          <w:sz w:val="24"/>
        </w:rPr>
        <w:outlineLvl w:val="0"/>
      </w:pPr>
      <w:r>
        <w:rPr>
          <w:rFonts w:hint="eastAsia" w:ascii="黑体" w:hAnsi="黑体" w:eastAsia="黑体" w:cs="黑体"/>
          <w:color w:val="000000"/>
          <w:sz w:val="24"/>
        </w:rPr>
        <w:t xml:space="preserve">产品清单</w:t>
      </w:r>
      <w:r>
        <w:rPr>
          <w:rFonts w:ascii="宋体" w:hAnsi="宋体" w:cs="宋体"/>
          <w:bCs/>
          <w:sz w:val="24"/>
        </w:rPr>
      </w:r>
      <w:r/>
    </w:p>
    <w:tbl>
      <w:tblPr>
        <w:tblW w:w="0" w:type="auto"/>
        <w:tblInd w:w="54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81"/>
        <w:gridCol w:w="1843"/>
        <w:gridCol w:w="567"/>
        <w:gridCol w:w="609"/>
        <w:gridCol w:w="1118"/>
      </w:tblGrid>
      <w:tr>
        <w:trPr>
          <w:trHeight w:val="470"/>
        </w:trPr>
        <w:tc>
          <w:tcPr>
            <w:tcW w:w="581" w:type="dxa"/>
            <w:vAlign w:val="center"/>
            <w:textDirection w:val="lrTb"/>
            <w:noWrap w:val="false"/>
          </w:tcPr>
          <w:p>
            <w:pPr>
              <w:pStyle w:val="734"/>
              <w:jc w:val="center"/>
              <w:spacing w:line="264" w:lineRule="auto"/>
              <w:rPr>
                <w:rFonts w:ascii="宋体" w:hAnsi="宋体" w:cs="宋体"/>
                <w:bCs/>
                <w:color w:val="000000"/>
                <w:sz w:val="24"/>
              </w:rPr>
            </w:pPr>
            <w:r>
              <w:rPr>
                <w:rFonts w:hint="eastAsia" w:ascii="宋体" w:hAnsi="宋体" w:cs="宋体"/>
                <w:bCs/>
                <w:color w:val="000000"/>
                <w:sz w:val="24"/>
              </w:rPr>
              <w:t xml:space="preserve">序号</w:t>
            </w:r>
            <w:r>
              <w:rPr>
                <w:rFonts w:ascii="宋体" w:hAnsi="宋体" w:cs="宋体"/>
                <w:bCs/>
                <w:color w:val="000000"/>
                <w:sz w:val="24"/>
              </w:rPr>
            </w:r>
            <w:r/>
          </w:p>
        </w:tc>
        <w:tc>
          <w:tcPr>
            <w:tcW w:w="1843" w:type="dxa"/>
            <w:vAlign w:val="center"/>
            <w:textDirection w:val="lrTb"/>
            <w:noWrap w:val="false"/>
          </w:tcPr>
          <w:p>
            <w:pPr>
              <w:pStyle w:val="734"/>
              <w:jc w:val="center"/>
              <w:spacing w:line="264" w:lineRule="auto"/>
              <w:rPr>
                <w:rFonts w:ascii="宋体" w:hAnsi="宋体" w:cs="宋体"/>
                <w:bCs/>
                <w:color w:val="000000"/>
                <w:sz w:val="24"/>
              </w:rPr>
            </w:pPr>
            <w:r>
              <w:rPr>
                <w:rFonts w:hint="eastAsia" w:ascii="宋体" w:hAnsi="宋体" w:cs="宋体"/>
                <w:bCs/>
                <w:color w:val="000000"/>
                <w:sz w:val="24"/>
              </w:rPr>
              <w:t xml:space="preserve">名称</w:t>
            </w:r>
            <w:r>
              <w:rPr>
                <w:rFonts w:ascii="宋体" w:hAnsi="宋体" w:cs="宋体"/>
                <w:bCs/>
                <w:color w:val="000000"/>
                <w:sz w:val="24"/>
              </w:rPr>
            </w:r>
            <w:r/>
          </w:p>
        </w:tc>
        <w:tc>
          <w:tcPr>
            <w:tcW w:w="567" w:type="dxa"/>
            <w:vAlign w:val="center"/>
            <w:textDirection w:val="lrTb"/>
            <w:noWrap w:val="false"/>
          </w:tcPr>
          <w:p>
            <w:pPr>
              <w:pStyle w:val="734"/>
              <w:jc w:val="center"/>
              <w:spacing w:line="264" w:lineRule="auto"/>
              <w:rPr>
                <w:rFonts w:ascii="宋体" w:hAnsi="宋体" w:cs="宋体"/>
                <w:bCs/>
                <w:color w:val="000000"/>
                <w:sz w:val="24"/>
              </w:rPr>
            </w:pPr>
            <w:r>
              <w:rPr>
                <w:rFonts w:hint="eastAsia" w:ascii="宋体" w:hAnsi="宋体" w:cs="宋体"/>
                <w:bCs/>
                <w:color w:val="000000"/>
                <w:sz w:val="24"/>
              </w:rPr>
              <w:t xml:space="preserve">数量</w:t>
            </w:r>
            <w:r>
              <w:rPr>
                <w:rFonts w:ascii="宋体" w:hAnsi="宋体" w:cs="宋体"/>
                <w:bCs/>
                <w:color w:val="000000"/>
                <w:sz w:val="24"/>
              </w:rPr>
            </w:r>
            <w:r/>
          </w:p>
        </w:tc>
        <w:tc>
          <w:tcPr>
            <w:tcW w:w="609" w:type="dxa"/>
            <w:vAlign w:val="center"/>
            <w:textDirection w:val="lrTb"/>
            <w:noWrap w:val="false"/>
          </w:tcPr>
          <w:p>
            <w:pPr>
              <w:pStyle w:val="734"/>
              <w:jc w:val="center"/>
              <w:spacing w:line="264" w:lineRule="auto"/>
              <w:rPr>
                <w:rFonts w:ascii="宋体" w:hAnsi="宋体" w:cs="宋体"/>
                <w:bCs/>
                <w:color w:val="000000"/>
                <w:sz w:val="24"/>
              </w:rPr>
            </w:pPr>
            <w:r>
              <w:rPr>
                <w:rFonts w:hint="eastAsia" w:ascii="宋体" w:hAnsi="宋体" w:cs="宋体"/>
                <w:bCs/>
                <w:color w:val="000000"/>
                <w:sz w:val="24"/>
              </w:rPr>
              <w:t xml:space="preserve">单位</w:t>
            </w:r>
            <w:r>
              <w:rPr>
                <w:rFonts w:ascii="宋体" w:hAnsi="宋体" w:cs="宋体"/>
                <w:bCs/>
                <w:color w:val="000000"/>
                <w:sz w:val="24"/>
              </w:rPr>
            </w:r>
            <w:r/>
          </w:p>
        </w:tc>
        <w:tc>
          <w:tcPr>
            <w:tcW w:w="1118" w:type="dxa"/>
            <w:vAlign w:val="center"/>
            <w:textDirection w:val="lrTb"/>
            <w:noWrap w:val="false"/>
          </w:tcPr>
          <w:p>
            <w:pPr>
              <w:pStyle w:val="734"/>
              <w:jc w:val="center"/>
              <w:spacing w:line="264" w:lineRule="auto"/>
              <w:rPr>
                <w:rFonts w:ascii="宋体" w:hAnsi="宋体" w:cs="宋体"/>
                <w:bCs/>
                <w:color w:val="000000"/>
                <w:sz w:val="24"/>
              </w:rPr>
            </w:pPr>
            <w:r>
              <w:rPr>
                <w:rFonts w:hint="eastAsia" w:ascii="宋体" w:hAnsi="宋体" w:cs="宋体"/>
                <w:bCs/>
                <w:color w:val="000000"/>
                <w:sz w:val="24"/>
              </w:rPr>
              <w:t xml:space="preserve">产品类型</w:t>
            </w:r>
            <w:r>
              <w:rPr>
                <w:rFonts w:ascii="宋体" w:hAnsi="宋体" w:cs="宋体"/>
                <w:bCs/>
                <w:color w:val="000000"/>
                <w:sz w:val="24"/>
              </w:rPr>
            </w:r>
            <w:r/>
          </w:p>
        </w:tc>
      </w:tr>
      <w:tr>
        <w:trPr>
          <w:trHeight w:val="588"/>
        </w:trPr>
        <w:tc>
          <w:tcPr>
            <w:tcW w:w="581" w:type="dxa"/>
            <w:vAlign w:val="center"/>
            <w:textDirection w:val="lrTb"/>
            <w:noWrap w:val="false"/>
          </w:tcPr>
          <w:p>
            <w:pPr>
              <w:pStyle w:val="734"/>
              <w:jc w:val="center"/>
              <w:spacing w:line="264" w:lineRule="auto"/>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r>
            <w:r/>
          </w:p>
        </w:tc>
        <w:tc>
          <w:tcPr>
            <w:tcW w:w="1843" w:type="dxa"/>
            <w:vAlign w:val="center"/>
            <w:textDirection w:val="lrTb"/>
            <w:noWrap w:val="false"/>
          </w:tcPr>
          <w:p>
            <w:pPr>
              <w:pStyle w:val="734"/>
              <w:jc w:val="center"/>
              <w:spacing w:line="264" w:lineRule="auto"/>
              <w:rPr>
                <w:rFonts w:ascii="宋体" w:hAnsi="宋体" w:cs="宋体"/>
                <w:bCs/>
                <w:color w:val="000000"/>
                <w:sz w:val="24"/>
              </w:rPr>
            </w:pPr>
            <w:r>
              <w:rPr>
                <w:rFonts w:hint="eastAsia" w:ascii="宋体" w:hAnsi="宋体"/>
                <w:sz w:val="24"/>
                <w:szCs w:val="24"/>
              </w:rPr>
              <w:t xml:space="preserve">训推一体节点</w:t>
            </w:r>
            <w:r>
              <w:rPr>
                <w:rFonts w:ascii="宋体" w:hAnsi="宋体" w:cs="宋体"/>
                <w:bCs/>
                <w:color w:val="000000"/>
                <w:sz w:val="24"/>
              </w:rPr>
            </w:r>
            <w:r/>
          </w:p>
        </w:tc>
        <w:tc>
          <w:tcPr>
            <w:tcW w:w="567" w:type="dxa"/>
            <w:vAlign w:val="center"/>
            <w:textDirection w:val="lrTb"/>
            <w:noWrap w:val="false"/>
          </w:tcPr>
          <w:p>
            <w:pPr>
              <w:pStyle w:val="734"/>
              <w:jc w:val="center"/>
              <w:spacing w:line="264" w:lineRule="auto"/>
              <w:rPr>
                <w:rFonts w:hint="eastAsia"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rPr>
            </w:r>
            <w:r/>
          </w:p>
        </w:tc>
        <w:tc>
          <w:tcPr>
            <w:tcW w:w="609" w:type="dxa"/>
            <w:vAlign w:val="center"/>
            <w:textDirection w:val="lrTb"/>
            <w:noWrap w:val="false"/>
          </w:tcPr>
          <w:p>
            <w:pPr>
              <w:pStyle w:val="734"/>
              <w:jc w:val="center"/>
              <w:spacing w:line="264" w:lineRule="auto"/>
              <w:rPr>
                <w:rFonts w:ascii="宋体" w:hAnsi="宋体" w:cs="宋体"/>
                <w:bCs/>
                <w:color w:val="000000"/>
                <w:sz w:val="24"/>
              </w:rPr>
            </w:pPr>
            <w:r>
              <w:rPr>
                <w:rFonts w:hint="eastAsia" w:ascii="宋体" w:hAnsi="宋体" w:cs="宋体"/>
                <w:bCs/>
                <w:color w:val="000000"/>
                <w:sz w:val="24"/>
              </w:rPr>
              <w:t xml:space="preserve">台</w:t>
            </w:r>
            <w:r>
              <w:rPr>
                <w:rFonts w:ascii="宋体" w:hAnsi="宋体" w:cs="宋体"/>
                <w:bCs/>
                <w:color w:val="000000"/>
                <w:sz w:val="24"/>
              </w:rPr>
            </w:r>
            <w:r/>
          </w:p>
        </w:tc>
        <w:tc>
          <w:tcPr>
            <w:tcW w:w="1118" w:type="dxa"/>
            <w:vAlign w:val="center"/>
            <w:textDirection w:val="lrTb"/>
            <w:noWrap w:val="false"/>
          </w:tcPr>
          <w:p>
            <w:pPr>
              <w:pStyle w:val="734"/>
              <w:jc w:val="center"/>
              <w:spacing w:line="264" w:lineRule="auto"/>
              <w:rPr>
                <w:rFonts w:ascii="宋体" w:hAnsi="宋体" w:cs="宋体"/>
                <w:bCs/>
                <w:color w:val="000000"/>
                <w:sz w:val="24"/>
              </w:rPr>
            </w:pPr>
            <w:r>
              <w:rPr>
                <w:rFonts w:hint="eastAsia" w:ascii="宋体" w:hAnsi="宋体" w:cs="宋体"/>
                <w:bCs/>
                <w:color w:val="000000"/>
                <w:sz w:val="24"/>
              </w:rPr>
              <w:t xml:space="preserve">核心产品</w:t>
            </w:r>
            <w:r>
              <w:rPr>
                <w:rFonts w:ascii="宋体" w:hAnsi="宋体" w:cs="宋体"/>
                <w:bCs/>
                <w:color w:val="000000"/>
                <w:sz w:val="24"/>
              </w:rPr>
            </w:r>
            <w:r/>
          </w:p>
        </w:tc>
      </w:tr>
      <w:tr>
        <w:trPr>
          <w:trHeight w:val="588"/>
        </w:trPr>
        <w:tc>
          <w:tcPr>
            <w:tcW w:w="581" w:type="dxa"/>
            <w:vAlign w:val="center"/>
            <w:textDirection w:val="lrTb"/>
            <w:noWrap w:val="false"/>
          </w:tcPr>
          <w:p>
            <w:pPr>
              <w:pStyle w:val="734"/>
              <w:jc w:val="center"/>
              <w:spacing w:line="264" w:lineRule="auto"/>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r>
            <w:r/>
          </w:p>
        </w:tc>
        <w:tc>
          <w:tcPr>
            <w:tcW w:w="1843" w:type="dxa"/>
            <w:vAlign w:val="center"/>
            <w:textDirection w:val="lrTb"/>
            <w:noWrap w:val="false"/>
          </w:tcPr>
          <w:p>
            <w:pPr>
              <w:pStyle w:val="734"/>
              <w:jc w:val="center"/>
              <w:spacing w:line="264" w:lineRule="auto"/>
              <w:rPr>
                <w:rFonts w:ascii="宋体" w:hAnsi="宋体" w:cs="宋体"/>
                <w:bCs/>
                <w:color w:val="000000"/>
                <w:sz w:val="24"/>
              </w:rPr>
            </w:pPr>
            <w:r>
              <w:rPr>
                <w:rFonts w:hint="eastAsia" w:ascii="宋体" w:hAnsi="宋体" w:cs="宋体"/>
                <w:bCs/>
                <w:color w:val="000000"/>
                <w:sz w:val="24"/>
              </w:rPr>
              <w:t xml:space="preserve">参数交换机</w:t>
            </w:r>
            <w:r>
              <w:rPr>
                <w:rFonts w:ascii="宋体" w:hAnsi="宋体" w:cs="宋体"/>
                <w:bCs/>
                <w:color w:val="000000"/>
                <w:sz w:val="24"/>
              </w:rPr>
            </w:r>
            <w:r/>
          </w:p>
        </w:tc>
        <w:tc>
          <w:tcPr>
            <w:tcW w:w="567" w:type="dxa"/>
            <w:vAlign w:val="center"/>
            <w:textDirection w:val="lrTb"/>
            <w:noWrap w:val="false"/>
          </w:tcPr>
          <w:p>
            <w:pPr>
              <w:pStyle w:val="734"/>
              <w:jc w:val="center"/>
              <w:spacing w:line="264" w:lineRule="auto"/>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c>
          <w:tcPr>
            <w:tcW w:w="609" w:type="dxa"/>
            <w:vAlign w:val="center"/>
            <w:textDirection w:val="lrTb"/>
            <w:noWrap w:val="false"/>
          </w:tcPr>
          <w:p>
            <w:pPr>
              <w:pStyle w:val="734"/>
              <w:jc w:val="center"/>
              <w:spacing w:line="264" w:lineRule="auto"/>
              <w:rPr>
                <w:rFonts w:ascii="宋体" w:hAnsi="宋体" w:cs="宋体"/>
                <w:bCs/>
                <w:color w:val="000000"/>
                <w:sz w:val="24"/>
              </w:rPr>
            </w:pPr>
            <w:r>
              <w:rPr>
                <w:rFonts w:hint="eastAsia" w:ascii="宋体" w:hAnsi="宋体" w:cs="宋体"/>
                <w:bCs/>
                <w:color w:val="000000"/>
                <w:sz w:val="24"/>
              </w:rPr>
              <w:t xml:space="preserve">台</w:t>
            </w:r>
            <w:r>
              <w:rPr>
                <w:rFonts w:ascii="宋体" w:hAnsi="宋体" w:cs="宋体"/>
                <w:bCs/>
                <w:color w:val="000000"/>
                <w:sz w:val="24"/>
              </w:rPr>
            </w:r>
            <w:r/>
          </w:p>
        </w:tc>
        <w:tc>
          <w:tcPr>
            <w:tcW w:w="1118" w:type="dxa"/>
            <w:vAlign w:val="center"/>
            <w:textDirection w:val="lrTb"/>
            <w:noWrap w:val="false"/>
          </w:tcPr>
          <w:p>
            <w:pPr>
              <w:pStyle w:val="734"/>
              <w:jc w:val="center"/>
              <w:spacing w:line="264" w:lineRule="auto"/>
              <w:rPr>
                <w:rFonts w:ascii="宋体" w:hAnsi="宋体" w:cs="宋体"/>
                <w:bCs/>
                <w:color w:val="000000"/>
                <w:sz w:val="24"/>
              </w:rPr>
            </w:pPr>
            <w:r>
              <w:rPr>
                <w:rFonts w:ascii="宋体" w:hAnsi="宋体" w:cs="宋体"/>
                <w:bCs/>
                <w:color w:val="000000"/>
                <w:sz w:val="24"/>
              </w:rPr>
            </w:r>
            <w:r/>
          </w:p>
        </w:tc>
      </w:tr>
      <w:tr>
        <w:trPr>
          <w:trHeight w:val="588"/>
        </w:trPr>
        <w:tc>
          <w:tcPr>
            <w:tcW w:w="581" w:type="dxa"/>
            <w:vAlign w:val="center"/>
            <w:textDirection w:val="lrTb"/>
            <w:noWrap w:val="false"/>
          </w:tcPr>
          <w:p>
            <w:pPr>
              <w:pStyle w:val="734"/>
              <w:jc w:val="center"/>
              <w:spacing w:line="264" w:lineRule="auto"/>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r>
            <w:r/>
          </w:p>
        </w:tc>
        <w:tc>
          <w:tcPr>
            <w:tcW w:w="1843" w:type="dxa"/>
            <w:vAlign w:val="center"/>
            <w:textDirection w:val="lrTb"/>
            <w:noWrap w:val="false"/>
          </w:tcPr>
          <w:p>
            <w:pPr>
              <w:pStyle w:val="734"/>
              <w:jc w:val="center"/>
              <w:spacing w:line="264" w:lineRule="auto"/>
              <w:rPr>
                <w:rFonts w:ascii="宋体" w:hAnsi="宋体" w:cs="宋体"/>
                <w:bCs/>
                <w:color w:val="000000"/>
                <w:sz w:val="24"/>
              </w:rPr>
            </w:pPr>
            <w:r>
              <w:rPr>
                <w:rFonts w:hint="eastAsia" w:ascii="宋体" w:hAnsi="宋体" w:cs="宋体"/>
                <w:bCs/>
                <w:color w:val="000000"/>
                <w:sz w:val="24"/>
              </w:rPr>
              <w:t xml:space="preserve">AI 算力管理平台</w:t>
            </w:r>
            <w:r>
              <w:rPr>
                <w:rFonts w:ascii="宋体" w:hAnsi="宋体" w:cs="宋体"/>
                <w:bCs/>
                <w:color w:val="000000"/>
                <w:sz w:val="24"/>
              </w:rPr>
            </w:r>
            <w:r/>
          </w:p>
        </w:tc>
        <w:tc>
          <w:tcPr>
            <w:tcW w:w="567" w:type="dxa"/>
            <w:vAlign w:val="center"/>
            <w:textDirection w:val="lrTb"/>
            <w:noWrap w:val="false"/>
          </w:tcPr>
          <w:p>
            <w:pPr>
              <w:pStyle w:val="734"/>
              <w:jc w:val="center"/>
              <w:spacing w:line="264" w:lineRule="auto"/>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c>
          <w:tcPr>
            <w:tcW w:w="609" w:type="dxa"/>
            <w:vAlign w:val="center"/>
            <w:textDirection w:val="lrTb"/>
            <w:noWrap w:val="false"/>
          </w:tcPr>
          <w:p>
            <w:pPr>
              <w:pStyle w:val="734"/>
              <w:jc w:val="center"/>
              <w:spacing w:line="264" w:lineRule="auto"/>
              <w:rPr>
                <w:rFonts w:ascii="宋体" w:hAnsi="宋体" w:cs="宋体"/>
                <w:bCs/>
                <w:color w:val="000000"/>
                <w:sz w:val="24"/>
              </w:rPr>
            </w:pPr>
            <w:r>
              <w:rPr>
                <w:rFonts w:hint="eastAsia" w:ascii="宋体" w:hAnsi="宋体" w:cs="宋体"/>
                <w:bCs/>
                <w:color w:val="000000"/>
                <w:sz w:val="24"/>
              </w:rPr>
              <w:t xml:space="preserve">套</w:t>
            </w:r>
            <w:r>
              <w:rPr>
                <w:rFonts w:ascii="宋体" w:hAnsi="宋体" w:cs="宋体"/>
                <w:bCs/>
                <w:color w:val="000000"/>
                <w:sz w:val="24"/>
              </w:rPr>
            </w:r>
            <w:r/>
          </w:p>
        </w:tc>
        <w:tc>
          <w:tcPr>
            <w:tcW w:w="1118" w:type="dxa"/>
            <w:vAlign w:val="center"/>
            <w:textDirection w:val="lrTb"/>
            <w:noWrap w:val="false"/>
          </w:tcPr>
          <w:p>
            <w:pPr>
              <w:pStyle w:val="734"/>
              <w:jc w:val="center"/>
              <w:spacing w:line="264" w:lineRule="auto"/>
              <w:rPr>
                <w:rFonts w:ascii="宋体" w:hAnsi="宋体" w:cs="宋体"/>
                <w:bCs/>
                <w:color w:val="000000"/>
                <w:sz w:val="24"/>
              </w:rPr>
            </w:pPr>
            <w:r>
              <w:rPr>
                <w:rFonts w:ascii="宋体" w:hAnsi="宋体" w:cs="宋体"/>
                <w:bCs/>
                <w:color w:val="000000"/>
                <w:sz w:val="24"/>
              </w:rPr>
            </w:r>
            <w:r/>
          </w:p>
        </w:tc>
      </w:tr>
    </w:tbl>
    <w:p>
      <w:pPr>
        <w:pStyle w:val="734"/>
        <w:jc w:val="center"/>
        <w:spacing w:line="264" w:lineRule="auto"/>
        <w:rPr>
          <w:rFonts w:hint="eastAsia" w:ascii="黑体" w:hAnsi="黑体" w:eastAsia="黑体" w:cs="黑体"/>
          <w:sz w:val="24"/>
        </w:rPr>
        <w:outlineLvl w:val="0"/>
      </w:pPr>
      <w:r>
        <w:rPr>
          <w:rFonts w:hint="eastAsia" w:ascii="黑体" w:hAnsi="黑体" w:eastAsia="黑体" w:cs="黑体"/>
          <w:sz w:val="24"/>
        </w:rPr>
      </w:r>
      <w:r/>
    </w:p>
    <w:p>
      <w:pPr>
        <w:pStyle w:val="734"/>
        <w:jc w:val="center"/>
        <w:spacing w:line="264" w:lineRule="auto"/>
        <w:rPr>
          <w:rFonts w:ascii="宋体" w:hAnsi="宋体" w:cs="宋体"/>
          <w:b/>
          <w:sz w:val="24"/>
        </w:rPr>
        <w:outlineLvl w:val="0"/>
      </w:pPr>
      <w:r>
        <w:rPr>
          <w:rFonts w:hint="eastAsia" w:ascii="黑体" w:hAnsi="黑体" w:eastAsia="黑体" w:cs="黑体"/>
          <w:sz w:val="24"/>
        </w:rPr>
        <w:t xml:space="preserve">拟采购标的需要满足的技术、项目及商务要求</w:t>
      </w:r>
      <w:r>
        <w:rPr>
          <w:rFonts w:ascii="宋体" w:hAnsi="宋体" w:cs="宋体"/>
          <w:b/>
          <w:sz w:val="24"/>
        </w:rPr>
      </w:r>
      <w:r/>
    </w:p>
    <w:p>
      <w:pPr>
        <w:pStyle w:val="734"/>
        <w:spacing w:line="264" w:lineRule="auto"/>
        <w:rPr>
          <w:rFonts w:ascii="宋体" w:hAnsi="宋体" w:cs="宋体"/>
          <w:b/>
          <w:sz w:val="24"/>
        </w:rPr>
      </w:pPr>
      <w:r>
        <w:rPr>
          <w:rFonts w:hint="eastAsia" w:ascii="宋体" w:hAnsi="宋体" w:cs="宋体"/>
          <w:b/>
          <w:sz w:val="24"/>
        </w:rPr>
        <w:t xml:space="preserve">（一）技术要求</w:t>
      </w:r>
      <w:r>
        <w:rPr>
          <w:rFonts w:ascii="宋体" w:hAnsi="宋体" w:cs="宋体"/>
          <w:b/>
          <w:sz w:val="24"/>
        </w:rPr>
      </w:r>
      <w:r/>
    </w:p>
    <w:p>
      <w:pPr>
        <w:pStyle w:val="734"/>
        <w:keepLines/>
        <w:keepNext/>
        <w:spacing w:before="160" w:after="80"/>
        <w:rPr>
          <w:rFonts w:ascii="宋体" w:hAnsi="宋体"/>
          <w:sz w:val="24"/>
          <w:szCs w:val="24"/>
        </w:rPr>
        <w:outlineLvl w:val="1"/>
      </w:pPr>
      <w:r>
        <w:rPr>
          <w:rFonts w:hint="eastAsia" w:ascii="宋体" w:hAnsi="宋体"/>
          <w:sz w:val="24"/>
          <w:szCs w:val="24"/>
        </w:rPr>
        <w:t xml:space="preserve">1、</w:t>
      </w:r>
      <w:r>
        <w:rPr>
          <w:rFonts w:ascii="宋体" w:hAnsi="宋体"/>
          <w:sz w:val="24"/>
          <w:szCs w:val="24"/>
        </w:rPr>
        <w:t xml:space="preserve">训推一体节点</w:t>
      </w:r>
      <w:r>
        <w:rPr>
          <w:rFonts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47"/>
        <w:gridCol w:w="6237"/>
      </w:tblGrid>
      <w:tr>
        <w:trPr/>
        <w:tc>
          <w:tcPr>
            <w:tcW w:w="2547" w:type="dxa"/>
            <w:vAlign w:val="center"/>
            <w:textDirection w:val="lrTb"/>
            <w:noWrap w:val="false"/>
          </w:tcPr>
          <w:p>
            <w:pPr>
              <w:pStyle w:val="734"/>
              <w:jc w:val="center"/>
              <w:rPr>
                <w:rFonts w:ascii="宋体" w:hAnsi="宋体"/>
                <w:sz w:val="24"/>
                <w:szCs w:val="24"/>
                <w:lang w:eastAsia="en-US"/>
              </w:rPr>
            </w:pPr>
            <w:r>
              <w:rPr>
                <w:rFonts w:hint="eastAsia" w:ascii="宋体" w:hAnsi="宋体"/>
                <w:b/>
                <w:sz w:val="24"/>
                <w:szCs w:val="24"/>
              </w:rPr>
              <w:t xml:space="preserve">指标项</w:t>
            </w:r>
            <w:r>
              <w:rPr>
                <w:rFonts w:ascii="宋体" w:hAnsi="宋体"/>
                <w:sz w:val="24"/>
                <w:szCs w:val="24"/>
                <w:lang w:eastAsia="en-US"/>
              </w:rPr>
            </w:r>
            <w:r/>
          </w:p>
        </w:tc>
        <w:tc>
          <w:tcPr>
            <w:tcW w:w="6237" w:type="dxa"/>
            <w:vAlign w:val="center"/>
            <w:textDirection w:val="lrTb"/>
            <w:noWrap w:val="false"/>
          </w:tcPr>
          <w:p>
            <w:pPr>
              <w:pStyle w:val="734"/>
              <w:jc w:val="center"/>
              <w:rPr>
                <w:rFonts w:ascii="宋体" w:hAnsi="宋体"/>
                <w:sz w:val="24"/>
                <w:szCs w:val="24"/>
                <w:lang w:eastAsia="en-US"/>
              </w:rPr>
            </w:pPr>
            <w:r>
              <w:rPr>
                <w:rFonts w:hint="eastAsia" w:ascii="宋体" w:hAnsi="宋体"/>
                <w:b/>
                <w:sz w:val="24"/>
                <w:szCs w:val="24"/>
              </w:rPr>
              <w:t xml:space="preserve">指标要求</w:t>
            </w:r>
            <w:r>
              <w:rPr>
                <w:rFonts w:ascii="宋体" w:hAnsi="宋体"/>
                <w:sz w:val="24"/>
                <w:szCs w:val="24"/>
                <w:lang w:eastAsia="en-US"/>
              </w:rPr>
            </w:r>
            <w:r/>
          </w:p>
        </w:tc>
      </w:tr>
      <w:tr>
        <w:trPr>
          <w:trHeight w:val="448"/>
        </w:trPr>
        <w:tc>
          <w:tcPr>
            <w:tcW w:w="2547" w:type="dxa"/>
            <w:vAlign w:val="center"/>
            <w:textDirection w:val="lrTb"/>
            <w:noWrap w:val="false"/>
          </w:tcPr>
          <w:p>
            <w:pPr>
              <w:pStyle w:val="734"/>
              <w:jc w:val="center"/>
              <w:rPr>
                <w:rFonts w:ascii="宋体" w:hAnsi="宋体"/>
                <w:i/>
                <w:iCs/>
                <w:szCs w:val="21"/>
                <w:u w:val="single"/>
                <w:lang w:eastAsia="en-US"/>
              </w:rPr>
            </w:pPr>
            <w:r/>
            <w:bookmarkStart w:id="184" w:name="_Hlk173490928"/>
            <w:r>
              <w:rPr>
                <w:rFonts w:hint="eastAsia" w:ascii="宋体" w:hAnsi="宋体"/>
                <w:i/>
                <w:iCs/>
                <w:szCs w:val="21"/>
                <w:u w:val="single"/>
              </w:rPr>
              <w:t xml:space="preserve">CPU</w:t>
            </w:r>
            <w:r>
              <w:rPr>
                <w:rFonts w:hint="eastAsia" w:ascii="宋体" w:hAnsi="宋体"/>
                <w:i/>
                <w:iCs/>
                <w:szCs w:val="21"/>
                <w:u w:val="single"/>
                <w:lang w:eastAsia="en-US"/>
              </w:rPr>
              <w:t xml:space="preserve">信息</w:t>
            </w:r>
            <w:r>
              <w:rPr>
                <w:rFonts w:ascii="宋体" w:hAnsi="宋体"/>
                <w:i/>
                <w:iCs/>
                <w:szCs w:val="21"/>
                <w:u w:val="single"/>
                <w:lang w:eastAsia="en-US"/>
              </w:rPr>
            </w:r>
            <w:r/>
          </w:p>
        </w:tc>
        <w:tc>
          <w:tcPr>
            <w:tcW w:w="6237" w:type="dxa"/>
            <w:vAlign w:val="center"/>
            <w:textDirection w:val="lrTb"/>
            <w:noWrap w:val="false"/>
          </w:tcPr>
          <w:p>
            <w:pPr>
              <w:pStyle w:val="734"/>
              <w:rPr>
                <w:rFonts w:ascii="宋体" w:hAnsi="宋体"/>
                <w:i/>
                <w:iCs/>
                <w:szCs w:val="21"/>
                <w:u w:val="single"/>
              </w:rPr>
            </w:pPr>
            <w:r>
              <w:rPr>
                <w:rFonts w:hint="eastAsia" w:ascii="宋体" w:hAnsi="宋体"/>
                <w:i/>
                <w:iCs/>
                <w:szCs w:val="21"/>
                <w:u w:val="single"/>
              </w:rPr>
              <w:t xml:space="preserve">配置≥</w:t>
            </w:r>
            <w:r>
              <w:rPr>
                <w:rFonts w:ascii="宋体" w:hAnsi="宋体"/>
                <w:i/>
                <w:iCs/>
                <w:szCs w:val="21"/>
                <w:u w:val="single"/>
              </w:rPr>
              <w:t xml:space="preserve">4颗</w:t>
            </w:r>
            <w:r>
              <w:rPr>
                <w:rFonts w:hint="eastAsia" w:ascii="宋体" w:hAnsi="宋体"/>
                <w:i/>
                <w:iCs/>
                <w:szCs w:val="21"/>
                <w:u w:val="single"/>
              </w:rPr>
              <w:t xml:space="preserve">A</w:t>
            </w:r>
            <w:r>
              <w:rPr>
                <w:rFonts w:ascii="宋体" w:hAnsi="宋体"/>
                <w:i/>
                <w:iCs/>
                <w:szCs w:val="21"/>
                <w:u w:val="single"/>
              </w:rPr>
              <w:t xml:space="preserve">RM</w:t>
            </w:r>
            <w:r>
              <w:rPr>
                <w:rFonts w:hint="eastAsia" w:ascii="宋体" w:hAnsi="宋体"/>
                <w:i/>
                <w:iCs/>
                <w:szCs w:val="21"/>
                <w:u w:val="single"/>
              </w:rPr>
              <w:t xml:space="preserve">架构</w:t>
            </w:r>
            <w:r>
              <w:rPr>
                <w:rFonts w:ascii="宋体" w:hAnsi="宋体"/>
                <w:i/>
                <w:iCs/>
                <w:szCs w:val="21"/>
                <w:u w:val="single"/>
              </w:rPr>
              <w:t xml:space="preserve"> </w:t>
            </w:r>
            <w:r>
              <w:rPr>
                <w:rFonts w:hint="eastAsia" w:ascii="宋体" w:hAnsi="宋体"/>
                <w:i/>
                <w:iCs/>
                <w:szCs w:val="21"/>
                <w:u w:val="single"/>
                <w:lang w:val="en-US" w:eastAsia="zh-CN"/>
              </w:rPr>
              <w:t xml:space="preserve">国产</w:t>
            </w:r>
            <w:r>
              <w:rPr>
                <w:rFonts w:ascii="宋体" w:hAnsi="宋体"/>
                <w:i/>
                <w:iCs/>
                <w:szCs w:val="21"/>
                <w:u w:val="single"/>
              </w:rPr>
              <w:t xml:space="preserve">CPU，基频≥2.6GHz；每CPU核心≥48核</w:t>
            </w:r>
            <w:r>
              <w:rPr>
                <w:rFonts w:hint="eastAsia" w:ascii="宋体" w:hAnsi="宋体"/>
                <w:i/>
                <w:iCs/>
                <w:szCs w:val="21"/>
                <w:u w:val="single"/>
              </w:rPr>
              <w:t xml:space="preserve">，投标时提供彩页、技术白皮书等官方证明材料并加盖投标人公章</w:t>
            </w:r>
            <w:r>
              <w:rPr>
                <w:rFonts w:ascii="宋体" w:hAnsi="宋体"/>
                <w:i/>
                <w:iCs/>
                <w:szCs w:val="21"/>
                <w:u w:val="single"/>
              </w:rPr>
            </w:r>
            <w:r/>
          </w:p>
        </w:tc>
      </w:tr>
      <w:tr>
        <w:trPr/>
        <w:tc>
          <w:tcPr>
            <w:tcW w:w="2547" w:type="dxa"/>
            <w:vAlign w:val="center"/>
            <w:textDirection w:val="lrTb"/>
            <w:noWrap w:val="false"/>
          </w:tcPr>
          <w:p>
            <w:pPr>
              <w:pStyle w:val="734"/>
              <w:jc w:val="center"/>
              <w:rPr>
                <w:rFonts w:ascii="宋体" w:hAnsi="宋体"/>
                <w:szCs w:val="21"/>
              </w:rPr>
            </w:pPr>
            <w:r/>
            <w:bookmarkEnd w:id="184"/>
            <w:r>
              <w:rPr>
                <w:rFonts w:hint="eastAsia" w:ascii="宋体" w:hAnsi="宋体"/>
                <w:szCs w:val="21"/>
              </w:rPr>
              <w:t xml:space="preserve">●主板支持的 CPU 和内存情况</w:t>
            </w:r>
            <w:r>
              <w:rPr>
                <w:rFonts w:ascii="宋体" w:hAnsi="宋体"/>
                <w:szCs w:val="21"/>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至少支持4颗处理器，内存配置容量不低于</w:t>
            </w:r>
            <w:r>
              <w:rPr>
                <w:rFonts w:ascii="宋体" w:hAnsi="宋体"/>
                <w:szCs w:val="21"/>
              </w:rPr>
              <w:t xml:space="preserve">1024</w:t>
            </w:r>
            <w:r>
              <w:rPr>
                <w:rFonts w:hint="eastAsia" w:ascii="宋体" w:hAnsi="宋体"/>
                <w:szCs w:val="21"/>
              </w:rPr>
              <w:t xml:space="preserve">GB</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主板内存槽数量</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非板载内存的可扩展插槽数量应不少于</w:t>
            </w:r>
            <w:r>
              <w:rPr>
                <w:rFonts w:ascii="宋体" w:hAnsi="宋体"/>
                <w:szCs w:val="21"/>
              </w:rPr>
              <w:t xml:space="preserve">32</w:t>
            </w:r>
            <w:r>
              <w:rPr>
                <w:rFonts w:hint="eastAsia" w:ascii="宋体" w:hAnsi="宋体"/>
                <w:szCs w:val="21"/>
              </w:rPr>
              <w:t xml:space="preserve">个</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主板存储接口</w:t>
            </w:r>
            <w:r>
              <w:rPr>
                <w:rFonts w:ascii="宋体" w:hAnsi="宋体"/>
                <w:szCs w:val="21"/>
                <w:lang w:eastAsia="en-US"/>
              </w:rPr>
            </w:r>
            <w:r/>
          </w:p>
        </w:tc>
        <w:tc>
          <w:tcPr>
            <w:tcW w:w="6237" w:type="dxa"/>
            <w:vAlign w:val="center"/>
            <w:textDirection w:val="lrTb"/>
            <w:noWrap w:val="false"/>
          </w:tcPr>
          <w:p>
            <w:pPr>
              <w:pStyle w:val="734"/>
              <w:rPr>
                <w:rFonts w:ascii="宋体" w:hAnsi="宋体"/>
                <w:szCs w:val="21"/>
                <w:lang w:eastAsia="en-US"/>
              </w:rPr>
            </w:pPr>
            <w:r>
              <w:rPr>
                <w:rFonts w:hint="eastAsia" w:ascii="宋体" w:hAnsi="宋体"/>
                <w:szCs w:val="21"/>
                <w:lang w:eastAsia="en-US"/>
              </w:rPr>
              <w:t xml:space="preserve">至少支持SATA、SAS、M.2、U.2等存储接口中的1种</w:t>
            </w:r>
            <w:r>
              <w:rPr>
                <w:rFonts w:ascii="宋体" w:hAnsi="宋体"/>
                <w:szCs w:val="21"/>
                <w:lang w:eastAsia="en-US"/>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PC</w:t>
            </w:r>
            <w:r>
              <w:rPr>
                <w:rFonts w:hint="eastAsia" w:ascii="宋体" w:hAnsi="宋体"/>
                <w:szCs w:val="21"/>
              </w:rPr>
              <w:t xml:space="preserve">le</w:t>
            </w:r>
            <w:r>
              <w:rPr>
                <w:rFonts w:hint="eastAsia" w:ascii="宋体" w:hAnsi="宋体"/>
                <w:szCs w:val="21"/>
                <w:lang w:eastAsia="en-US"/>
              </w:rPr>
              <w:t xml:space="preserve">插槽接口</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符合PCle</w:t>
            </w:r>
            <w:r>
              <w:rPr>
                <w:rFonts w:ascii="宋体" w:hAnsi="宋体"/>
                <w:szCs w:val="21"/>
              </w:rPr>
              <w:t xml:space="preserve">4</w:t>
            </w:r>
            <w:r>
              <w:rPr>
                <w:rFonts w:hint="eastAsia" w:ascii="宋体" w:hAnsi="宋体"/>
                <w:szCs w:val="21"/>
              </w:rPr>
              <w:t xml:space="preserve">.0或以上的高速串行计算机扩展总线标准，PCle的接口速率与位宽需保证向下兼容</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rPr>
            </w:pPr>
            <w:r>
              <w:rPr>
                <w:rFonts w:hint="eastAsia" w:ascii="宋体" w:hAnsi="宋体"/>
                <w:szCs w:val="21"/>
              </w:rPr>
              <w:t xml:space="preserve">●主板 PCle插槽数量及规格</w:t>
            </w:r>
            <w:r>
              <w:rPr>
                <w:rFonts w:ascii="宋体" w:hAnsi="宋体"/>
                <w:szCs w:val="21"/>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最多支持3个PCIe 4.0扩展插槽</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内存数量</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lang w:eastAsia="en-US"/>
              </w:rPr>
              <w:t xml:space="preserve">≥</w:t>
            </w:r>
            <w:r>
              <w:rPr>
                <w:rFonts w:hint="eastAsia" w:ascii="宋体" w:hAnsi="宋体"/>
                <w:szCs w:val="21"/>
              </w:rPr>
              <w:t xml:space="preserve">32</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内存规格</w:t>
            </w:r>
            <w:r>
              <w:rPr>
                <w:rFonts w:ascii="宋体" w:hAnsi="宋体"/>
                <w:szCs w:val="21"/>
                <w:lang w:eastAsia="en-US"/>
              </w:rPr>
            </w:r>
            <w:r/>
          </w:p>
        </w:tc>
        <w:tc>
          <w:tcPr>
            <w:tcW w:w="6237" w:type="dxa"/>
            <w:vAlign w:val="center"/>
            <w:textDirection w:val="lrTb"/>
            <w:noWrap w:val="false"/>
          </w:tcPr>
          <w:p>
            <w:pPr>
              <w:pStyle w:val="734"/>
              <w:rPr>
                <w:rFonts w:ascii="宋体" w:hAnsi="宋体"/>
                <w:szCs w:val="21"/>
                <w:lang w:eastAsia="en-US"/>
              </w:rPr>
            </w:pPr>
            <w:r>
              <w:rPr>
                <w:rFonts w:hint="eastAsia" w:ascii="宋体" w:hAnsi="宋体"/>
                <w:szCs w:val="21"/>
                <w:lang w:eastAsia="en-US"/>
              </w:rPr>
              <w:t xml:space="preserve">≥DDR4</w:t>
            </w:r>
            <w:r>
              <w:rPr>
                <w:rFonts w:ascii="宋体" w:hAnsi="宋体"/>
                <w:szCs w:val="21"/>
                <w:lang w:eastAsia="en-US"/>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内存通道</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支持多个内存接口通道，每个通道可支持1DPC或2DPC，当支持2DPC时，印制电路板上应具备插槽的序号标识，具体通道数应在随机文件中明确</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硬磁盘实配容量</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实配固态盘单盘容量不小于480GB，NVMe SSD单盘容量不小于</w:t>
            </w:r>
            <w:r>
              <w:rPr>
                <w:rFonts w:ascii="宋体" w:hAnsi="宋体"/>
                <w:szCs w:val="21"/>
              </w:rPr>
              <w:t xml:space="preserve">3.84</w:t>
            </w:r>
            <w:r>
              <w:rPr>
                <w:rFonts w:hint="eastAsia" w:ascii="宋体" w:hAnsi="宋体"/>
                <w:szCs w:val="21"/>
              </w:rPr>
              <w:t xml:space="preserve">TB</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硬盘实配数量</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实配固态盘数应不小于</w:t>
            </w:r>
            <w:r>
              <w:rPr>
                <w:rFonts w:ascii="宋体" w:hAnsi="宋体"/>
                <w:szCs w:val="21"/>
              </w:rPr>
              <w:t xml:space="preserve">2</w:t>
            </w:r>
            <w:r>
              <w:rPr>
                <w:rFonts w:hint="eastAsia" w:ascii="宋体" w:hAnsi="宋体"/>
                <w:szCs w:val="21"/>
              </w:rPr>
              <w:t xml:space="preserve">块</w:t>
            </w:r>
            <w:r>
              <w:rPr>
                <w:rFonts w:ascii="宋体" w:hAnsi="宋体"/>
                <w:szCs w:val="21"/>
              </w:rPr>
            </w:r>
            <w:r/>
          </w:p>
          <w:p>
            <w:pPr>
              <w:pStyle w:val="734"/>
              <w:rPr>
                <w:rFonts w:ascii="宋体" w:hAnsi="宋体"/>
                <w:szCs w:val="21"/>
              </w:rPr>
            </w:pPr>
            <w:r>
              <w:rPr>
                <w:rFonts w:hint="eastAsia" w:ascii="宋体" w:hAnsi="宋体"/>
                <w:szCs w:val="21"/>
              </w:rPr>
              <w:t xml:space="preserve">实配NVMe SSD盘数应不小于</w:t>
            </w:r>
            <w:r>
              <w:rPr>
                <w:rFonts w:ascii="宋体" w:hAnsi="宋体"/>
                <w:szCs w:val="21"/>
              </w:rPr>
              <w:t xml:space="preserve">2</w:t>
            </w:r>
            <w:r>
              <w:rPr>
                <w:rFonts w:hint="eastAsia" w:ascii="宋体" w:hAnsi="宋体"/>
                <w:szCs w:val="21"/>
              </w:rPr>
              <w:t xml:space="preserve">块</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rPr>
            </w:pPr>
            <w:r>
              <w:rPr>
                <w:rFonts w:hint="eastAsia" w:ascii="宋体" w:hAnsi="宋体"/>
                <w:szCs w:val="21"/>
              </w:rPr>
              <w:t xml:space="preserve">●硬盘插槽数量及规格</w:t>
            </w:r>
            <w:r>
              <w:rPr>
                <w:rFonts w:ascii="宋体" w:hAnsi="宋体"/>
                <w:szCs w:val="21"/>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支持的硬盘数量应不少于10块。</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网口速率和数量</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配备≥4*GE电口，≥4*25GE光口（向下兼容10GE，满配光模块），≥8*</w:t>
            </w:r>
            <w:r>
              <w:rPr>
                <w:rFonts w:ascii="宋体" w:hAnsi="宋体"/>
                <w:szCs w:val="21"/>
              </w:rPr>
              <w:t xml:space="preserve">2</w:t>
            </w:r>
            <w:r>
              <w:rPr>
                <w:rFonts w:hint="eastAsia" w:ascii="宋体" w:hAnsi="宋体"/>
                <w:szCs w:val="21"/>
              </w:rPr>
              <w:t xml:space="preserve">00GE光口（满配光模块）</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显示接口</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显示接口类型应不少于1种，如：VGA、DP、HDMI 等</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USB 接口</w:t>
            </w:r>
            <w:r>
              <w:rPr>
                <w:rFonts w:ascii="宋体" w:hAnsi="宋体"/>
                <w:szCs w:val="21"/>
                <w:lang w:eastAsia="en-US"/>
              </w:rPr>
            </w:r>
            <w:r/>
          </w:p>
        </w:tc>
        <w:tc>
          <w:tcPr>
            <w:tcW w:w="6237" w:type="dxa"/>
            <w:vAlign w:val="center"/>
            <w:textDirection w:val="lrTb"/>
            <w:noWrap w:val="false"/>
          </w:tcPr>
          <w:p>
            <w:pPr>
              <w:pStyle w:val="734"/>
              <w:rPr>
                <w:rFonts w:ascii="宋体" w:hAnsi="宋体"/>
                <w:szCs w:val="21"/>
                <w:lang w:eastAsia="en-US"/>
              </w:rPr>
            </w:pPr>
            <w:r>
              <w:rPr>
                <w:rFonts w:hint="eastAsia" w:ascii="宋体" w:hAnsi="宋体"/>
                <w:szCs w:val="21"/>
                <w:lang w:eastAsia="en-US"/>
              </w:rPr>
              <w:t xml:space="preserve">配备 USB 接口，如USB2.0、USB3.0等</w:t>
            </w:r>
            <w:r>
              <w:rPr>
                <w:rFonts w:ascii="宋体" w:hAnsi="宋体"/>
                <w:szCs w:val="21"/>
                <w:lang w:eastAsia="en-US"/>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电源模块数量</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lang w:eastAsia="en-US"/>
              </w:rPr>
              <w:t xml:space="preserve">≥</w:t>
            </w:r>
            <w:r>
              <w:rPr>
                <w:rFonts w:ascii="宋体" w:hAnsi="宋体"/>
                <w:szCs w:val="21"/>
                <w:lang w:eastAsia="en-US"/>
              </w:rPr>
              <w:t xml:space="preserve">4</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电源功率</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ascii="宋体" w:hAnsi="宋体"/>
                <w:szCs w:val="21"/>
              </w:rPr>
              <w:t xml:space="preserve">支持4个热插拔2600W电源模块，支持2+2冗余备份</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外观和结构</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a)服务器的零部件应紧固无松动，可插拔部件应可靠连接，开关、按钮和其它控制部件应灵活可靠，布局应方便使用；</w:t>
            </w:r>
            <w:r>
              <w:rPr>
                <w:rFonts w:ascii="宋体" w:hAnsi="宋体"/>
                <w:szCs w:val="21"/>
              </w:rPr>
            </w:r>
            <w:r/>
          </w:p>
          <w:p>
            <w:pPr>
              <w:pStyle w:val="734"/>
              <w:rPr>
                <w:rFonts w:ascii="宋体" w:hAnsi="宋体"/>
                <w:szCs w:val="21"/>
              </w:rPr>
            </w:pPr>
            <w:r>
              <w:rPr>
                <w:rFonts w:hint="eastAsia" w:ascii="宋体" w:hAnsi="宋体"/>
                <w:szCs w:val="21"/>
              </w:rPr>
              <w:t xml:space="preserve">b) 产品表面不应有明显的凹痕、划伤、裂缝、变形和污染等。表面涂层均匀，不应起泡、龟裂、脱落和磨损，金属零部件无锈蚀及其它机械损伤；</w:t>
            </w:r>
            <w:r>
              <w:rPr>
                <w:rFonts w:ascii="宋体" w:hAnsi="宋体"/>
                <w:szCs w:val="21"/>
              </w:rPr>
            </w:r>
            <w:r/>
          </w:p>
          <w:p>
            <w:pPr>
              <w:pStyle w:val="734"/>
              <w:rPr>
                <w:rFonts w:ascii="宋体" w:hAnsi="宋体"/>
                <w:szCs w:val="21"/>
              </w:rPr>
            </w:pPr>
            <w:r>
              <w:rPr>
                <w:rFonts w:hint="eastAsia" w:ascii="宋体" w:hAnsi="宋体"/>
                <w:szCs w:val="21"/>
              </w:rPr>
              <w:t xml:space="preserve">c) 产品表面说明功能的文字、符号和标志应清晰、端正且牢固；</w:t>
            </w:r>
            <w:r>
              <w:rPr>
                <w:rFonts w:ascii="宋体" w:hAnsi="宋体"/>
                <w:szCs w:val="21"/>
              </w:rPr>
            </w:r>
            <w:r/>
          </w:p>
          <w:p>
            <w:pPr>
              <w:pStyle w:val="734"/>
              <w:rPr>
                <w:rFonts w:ascii="宋体" w:hAnsi="宋体"/>
                <w:szCs w:val="21"/>
              </w:rPr>
            </w:pPr>
            <w:r>
              <w:rPr>
                <w:rFonts w:hint="eastAsia" w:ascii="宋体" w:hAnsi="宋体"/>
                <w:szCs w:val="21"/>
              </w:rPr>
              <w:t xml:space="preserve">d) 应在服务器的显著位置提供运行状态的指示功能，并在随机文件中明确具体含义；</w:t>
            </w:r>
            <w:r>
              <w:rPr>
                <w:rFonts w:ascii="宋体" w:hAnsi="宋体"/>
                <w:szCs w:val="21"/>
              </w:rPr>
            </w:r>
            <w:r/>
          </w:p>
          <w:p>
            <w:pPr>
              <w:pStyle w:val="734"/>
              <w:rPr>
                <w:rFonts w:ascii="宋体" w:hAnsi="宋体"/>
                <w:szCs w:val="21"/>
              </w:rPr>
            </w:pPr>
            <w:r>
              <w:rPr>
                <w:rFonts w:hint="eastAsia" w:ascii="宋体" w:hAnsi="宋体"/>
                <w:szCs w:val="21"/>
              </w:rPr>
              <w:t xml:space="preserve">e) 机架、机箱的尺寸应符合足IEC 297标准通用机柜中宽19英寸，深1000mm及以上的安装要求，插入总线插座的电路板接口外形尺寸应符合有关总线标准的规定，将机箱固定在机柜上，机箱底面最大下垂变形不得干涉相邻机体；</w:t>
            </w:r>
            <w:r>
              <w:rPr>
                <w:rFonts w:ascii="宋体" w:hAnsi="宋体"/>
                <w:szCs w:val="21"/>
              </w:rPr>
            </w:r>
            <w:r/>
          </w:p>
          <w:p>
            <w:pPr>
              <w:pStyle w:val="734"/>
              <w:rPr>
                <w:rFonts w:ascii="宋体" w:hAnsi="宋体"/>
                <w:szCs w:val="21"/>
              </w:rPr>
            </w:pPr>
            <w:r>
              <w:rPr>
                <w:rFonts w:hint="eastAsia" w:ascii="宋体" w:hAnsi="宋体"/>
                <w:szCs w:val="21"/>
              </w:rPr>
              <w:t xml:space="preserve">f) 高密度服务器应给出 CPU 个数与机柜高度；</w:t>
            </w:r>
            <w:r>
              <w:rPr>
                <w:rFonts w:ascii="宋体" w:hAnsi="宋体"/>
                <w:szCs w:val="21"/>
              </w:rPr>
            </w:r>
            <w:r/>
          </w:p>
          <w:p>
            <w:pPr>
              <w:pStyle w:val="734"/>
              <w:rPr>
                <w:rFonts w:ascii="宋体" w:hAnsi="宋体"/>
                <w:szCs w:val="21"/>
              </w:rPr>
            </w:pPr>
            <w:r>
              <w:rPr>
                <w:rFonts w:hint="eastAsia" w:ascii="宋体" w:hAnsi="宋体"/>
                <w:szCs w:val="21"/>
              </w:rPr>
              <w:t xml:space="preserve">g) 服务器尺寸具体要求在随机文件中明确</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rPr>
            </w:pPr>
            <w:r>
              <w:rPr>
                <w:rFonts w:hint="eastAsia" w:ascii="宋体" w:hAnsi="宋体"/>
                <w:szCs w:val="21"/>
              </w:rPr>
              <w:t xml:space="preserve">●尺寸（高×宽×深）</w:t>
            </w:r>
            <w:r>
              <w:rPr>
                <w:rFonts w:ascii="宋体" w:hAnsi="宋体"/>
                <w:szCs w:val="21"/>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不高于</w:t>
            </w:r>
            <w:r>
              <w:rPr>
                <w:rFonts w:ascii="宋体" w:hAnsi="宋体"/>
                <w:szCs w:val="21"/>
              </w:rPr>
              <w:t xml:space="preserve">4</w:t>
            </w:r>
            <w:r>
              <w:rPr>
                <w:rFonts w:hint="eastAsia" w:ascii="宋体" w:hAnsi="宋体"/>
                <w:szCs w:val="21"/>
              </w:rPr>
              <w:t xml:space="preserve">U；≤</w:t>
            </w:r>
            <w:r>
              <w:rPr>
                <w:rFonts w:ascii="宋体" w:hAnsi="宋体"/>
                <w:szCs w:val="21"/>
              </w:rPr>
              <w:t xml:space="preserve">175mm(</w:t>
            </w:r>
            <w:r>
              <w:rPr>
                <w:rFonts w:hint="eastAsia" w:ascii="宋体" w:hAnsi="宋体"/>
                <w:szCs w:val="21"/>
              </w:rPr>
              <w:t xml:space="preserve">高</w:t>
            </w:r>
            <w:r>
              <w:rPr>
                <w:rFonts w:ascii="宋体" w:hAnsi="宋体"/>
                <w:szCs w:val="21"/>
              </w:rPr>
              <w:t xml:space="preserve">)    </w:t>
            </w:r>
            <w:r>
              <w:rPr>
                <w:rFonts w:hint="eastAsia" w:ascii="宋体" w:hAnsi="宋体"/>
                <w:szCs w:val="21"/>
              </w:rPr>
              <w:t xml:space="preserve">≤</w:t>
            </w:r>
            <w:r>
              <w:rPr>
                <w:rFonts w:ascii="宋体" w:hAnsi="宋体"/>
                <w:szCs w:val="21"/>
              </w:rPr>
              <w:t xml:space="preserve"> 447mm(</w:t>
            </w:r>
            <w:r>
              <w:rPr>
                <w:rFonts w:hint="eastAsia" w:ascii="宋体" w:hAnsi="宋体"/>
                <w:szCs w:val="21"/>
              </w:rPr>
              <w:t xml:space="preserve">宽</w:t>
            </w:r>
            <w:r>
              <w:rPr>
                <w:rFonts w:ascii="宋体" w:hAnsi="宋体"/>
                <w:szCs w:val="21"/>
              </w:rPr>
              <w:t xml:space="preserve">)   </w:t>
            </w:r>
            <w:r>
              <w:rPr>
                <w:rFonts w:hint="eastAsia" w:ascii="宋体" w:hAnsi="宋体"/>
                <w:szCs w:val="21"/>
              </w:rPr>
              <w:t xml:space="preserve">≤</w:t>
            </w:r>
            <w:r>
              <w:rPr>
                <w:rFonts w:ascii="宋体" w:hAnsi="宋体"/>
                <w:szCs w:val="21"/>
              </w:rPr>
              <w:t xml:space="preserve"> 790mm(</w:t>
            </w:r>
            <w:r>
              <w:rPr>
                <w:rFonts w:hint="eastAsia" w:ascii="宋体" w:hAnsi="宋体"/>
                <w:szCs w:val="21"/>
              </w:rPr>
              <w:t xml:space="preserve">深</w:t>
            </w:r>
            <w:r>
              <w:rPr>
                <w:rFonts w:ascii="宋体" w:hAnsi="宋体"/>
                <w:szCs w:val="21"/>
              </w:rPr>
              <w:t xml:space="preserve">)</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环境适应性</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气候环境适应性应符合GB/T9813.3 的有关规定，工作温度</w:t>
            </w:r>
            <w:r>
              <w:rPr>
                <w:rFonts w:ascii="宋体" w:hAnsi="宋体"/>
                <w:szCs w:val="21"/>
              </w:rPr>
              <w:t xml:space="preserve">5</w:t>
            </w:r>
            <w:r>
              <w:rPr>
                <w:rFonts w:hint="eastAsia" w:ascii="宋体" w:hAnsi="宋体"/>
                <w:szCs w:val="21"/>
              </w:rPr>
              <w:t xml:space="preserve">～35℃；工作湿度</w:t>
            </w:r>
            <w:r>
              <w:rPr>
                <w:rFonts w:ascii="宋体" w:hAnsi="宋体"/>
                <w:szCs w:val="21"/>
              </w:rPr>
              <w:t xml:space="preserve">8</w:t>
            </w:r>
            <w:r>
              <w:rPr>
                <w:rFonts w:hint="eastAsia" w:ascii="宋体" w:hAnsi="宋体"/>
                <w:szCs w:val="21"/>
              </w:rPr>
              <w:t xml:space="preserve">%～90%</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机械环境适应性</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机械环境适应性应符合 GB/T9813.3 的有关规定</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噪声</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符合GB/T 9813.3的有关规定，在产品说明中给出具体测试</w:t>
            </w:r>
            <w:r>
              <w:rPr>
                <w:rFonts w:ascii="宋体" w:hAnsi="宋体"/>
                <w:szCs w:val="21"/>
              </w:rPr>
            </w:r>
            <w:r/>
          </w:p>
        </w:tc>
      </w:tr>
      <w:tr>
        <w:trPr/>
        <w:tc>
          <w:tcPr>
            <w:tcW w:w="2547" w:type="dxa"/>
            <w:vAlign w:val="center"/>
            <w:textDirection w:val="lrTb"/>
            <w:noWrap w:val="false"/>
          </w:tcPr>
          <w:p>
            <w:pPr>
              <w:pStyle w:val="734"/>
              <w:jc w:val="center"/>
              <w:rPr>
                <w:rFonts w:ascii="宋体" w:hAnsi="宋体"/>
                <w:i/>
                <w:iCs/>
                <w:szCs w:val="21"/>
                <w:u w:val="single"/>
                <w:lang w:eastAsia="en-US"/>
              </w:rPr>
            </w:pPr>
            <w:r>
              <w:rPr>
                <w:rFonts w:hint="eastAsia" w:ascii="宋体" w:hAnsi="宋体"/>
                <w:i/>
                <w:iCs/>
                <w:szCs w:val="21"/>
                <w:u w:val="single"/>
                <w:lang w:eastAsia="en-US"/>
              </w:rPr>
              <w:t xml:space="preserve">AI 计算单元</w:t>
            </w:r>
            <w:r>
              <w:rPr>
                <w:rFonts w:ascii="宋体" w:hAnsi="宋体"/>
                <w:i/>
                <w:iCs/>
                <w:szCs w:val="21"/>
                <w:u w:val="single"/>
                <w:lang w:eastAsia="en-US"/>
              </w:rPr>
            </w:r>
            <w:r/>
          </w:p>
        </w:tc>
        <w:tc>
          <w:tcPr>
            <w:tcW w:w="6237" w:type="dxa"/>
            <w:vAlign w:val="center"/>
            <w:textDirection w:val="lrTb"/>
            <w:noWrap w:val="false"/>
          </w:tcPr>
          <w:p>
            <w:pPr>
              <w:pStyle w:val="734"/>
              <w:rPr>
                <w:rFonts w:ascii="宋体" w:hAnsi="宋体"/>
                <w:i/>
                <w:iCs/>
                <w:szCs w:val="21"/>
                <w:u w:val="single"/>
              </w:rPr>
            </w:pPr>
            <w:r>
              <w:rPr>
                <w:rFonts w:hint="eastAsia" w:ascii="宋体" w:hAnsi="宋体"/>
                <w:i/>
                <w:iCs/>
                <w:szCs w:val="21"/>
                <w:u w:val="single"/>
              </w:rPr>
              <w:t xml:space="preserve">配备≥8 个 AI 计算单元，提供 ≥2.24P FLOPS FP16 AI算力，支持≥</w:t>
            </w:r>
            <w:r>
              <w:rPr>
                <w:rFonts w:ascii="宋体" w:hAnsi="宋体"/>
                <w:i/>
                <w:iCs/>
                <w:szCs w:val="21"/>
                <w:u w:val="single"/>
              </w:rPr>
              <w:t xml:space="preserve">512</w:t>
            </w:r>
            <w:r>
              <w:rPr>
                <w:rFonts w:hint="eastAsia" w:ascii="宋体" w:hAnsi="宋体"/>
                <w:i/>
                <w:iCs/>
                <w:szCs w:val="21"/>
                <w:u w:val="single"/>
              </w:rPr>
              <w:t xml:space="preserve">GB HBM 高带宽内存，内存带宽≥1600GBps，支持 AI 处理器直出 200G RoCE 网络接口保证节点间互联带宽，8路 AI 计算单元支持Full mesh互联，双向互联带宽≥390GB/s。投标时提供彩页、技术白皮书等官方证明材料并加盖投标人公章</w:t>
            </w:r>
            <w:r>
              <w:rPr>
                <w:rFonts w:ascii="宋体" w:hAnsi="宋体"/>
                <w:i/>
                <w:iCs/>
                <w:szCs w:val="21"/>
                <w:u w:val="single"/>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主板外部接口种类</w:t>
            </w:r>
            <w:r>
              <w:rPr>
                <w:rFonts w:ascii="宋体" w:hAnsi="宋体"/>
                <w:szCs w:val="21"/>
                <w:lang w:eastAsia="en-US"/>
              </w:rPr>
            </w:r>
            <w:r/>
          </w:p>
        </w:tc>
        <w:tc>
          <w:tcPr>
            <w:tcW w:w="6237" w:type="dxa"/>
            <w:vAlign w:val="center"/>
            <w:textDirection w:val="lrTb"/>
            <w:noWrap w:val="false"/>
          </w:tcPr>
          <w:p>
            <w:pPr>
              <w:pStyle w:val="734"/>
              <w:rPr>
                <w:rFonts w:ascii="宋体" w:hAnsi="宋体"/>
                <w:szCs w:val="21"/>
                <w:lang w:eastAsia="en-US"/>
              </w:rPr>
            </w:pPr>
            <w:r>
              <w:rPr>
                <w:rFonts w:hint="eastAsia" w:ascii="宋体" w:hAnsi="宋体"/>
                <w:szCs w:val="21"/>
                <w:lang w:eastAsia="en-US"/>
              </w:rPr>
              <w:t xml:space="preserve">支持 USB、显示、管理等接口，如：VGA、BMC 管理端口</w:t>
            </w:r>
            <w:r>
              <w:rPr>
                <w:rFonts w:ascii="宋体" w:hAnsi="宋体"/>
                <w:szCs w:val="21"/>
                <w:lang w:eastAsia="en-US"/>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网络功能</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支持网络连接、网络访问、数据交换和网络管控功能</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计算处理</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支持通用计算及虚拟化功能。处理器需集成整型计算单元、浮点计算单元、内存控制器、I/O 模块等，处理器与存储部件、网络部件、I/O部件等组成计算系统，提供数据处理、网络接入等计算相关功能</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密码算法实现</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CPU 芯片应符合 GM/T 0008 的相关规定，或芯片密码模块应符合 GB/T37092 或 GM/T 0028 的相关规定</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电源热插拔</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整机电源模块应具备热插拔功能</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电源过流保护</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支持过流及短路保护的功能</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散热方式</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支持风冷或液冷等散热方式</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BMC 固件基础功能</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 BMC 管理软件应能够按报警的严重程度进行区分；7)支持 IPMI2.0、SNMP 或 Redfish等接口功能；8)支持键盘、鼠标和视</w:t>
            </w:r>
            <w:r>
              <w:rPr>
                <w:rFonts w:hint="eastAsia" w:ascii="宋体" w:hAnsi="宋体"/>
                <w:szCs w:val="21"/>
              </w:rPr>
              <w:t xml:space="preserve">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功能；15)支持设置口令策略功能；16)支持访问权限设置功能，</w:t>
            </w:r>
            <w:r>
              <w:rPr>
                <w:rFonts w:hint="eastAsia" w:ascii="宋体" w:hAnsi="宋体"/>
                <w:szCs w:val="21"/>
              </w:rPr>
              <w:t xml:space="preserve">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BMC参数设置的功能，并可基于网络通过外部管理工具对 BMC 进行管理；21)应支持固件版本查询、固件升级22)支持基于网络实现开关机和复位控制的功能；23)BMC 启动时间应不超过 180s，实现功能包括网络、IPMI、散热、传感器服务可用；24)支持 BMC 固件设置的恢复出厂功能</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BIOS 固件基础功能</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a）支持查看固件版本、内存信息、主板信息、处理器信息和系统时间信息功能；b）支持上电初始化界面显示 CPU 信息、内存信息</w:t>
            </w:r>
            <w:r>
              <w:rPr>
                <w:rFonts w:hint="eastAsia" w:ascii="宋体" w:hAnsi="宋体"/>
                <w:szCs w:val="21"/>
              </w:rPr>
              <w:t xml:space="preserve">、固件版本和部分快捷键信息功能；c）支持设置界面中英文显示切换功能；d）支持查看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或独立显卡的显示控制功能；j）支持 RAID 识别和启动功能；k）支持串口重定向功能；l）支持固件更新功能；m）支持 BIOS 固件设置的恢复出厂功能；n）支持网络引导启用和关闭功能</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远程控制</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支持远程关机和重新启动功能</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中文信息处理</w:t>
            </w:r>
            <w:r>
              <w:rPr>
                <w:rFonts w:ascii="宋体" w:hAnsi="宋体"/>
                <w:szCs w:val="21"/>
                <w:lang w:eastAsia="en-US"/>
              </w:rPr>
            </w:r>
            <w:r/>
          </w:p>
        </w:tc>
        <w:tc>
          <w:tcPr>
            <w:tcW w:w="6237" w:type="dxa"/>
            <w:vAlign w:val="center"/>
            <w:textDirection w:val="lrTb"/>
            <w:noWrap w:val="false"/>
          </w:tcPr>
          <w:p>
            <w:pPr>
              <w:pStyle w:val="734"/>
              <w:rPr>
                <w:rFonts w:ascii="宋体" w:hAnsi="宋体"/>
                <w:szCs w:val="21"/>
                <w:lang w:eastAsia="en-US"/>
              </w:rPr>
            </w:pPr>
            <w:r>
              <w:rPr>
                <w:rFonts w:hint="eastAsia" w:ascii="宋体" w:hAnsi="宋体"/>
                <w:szCs w:val="21"/>
                <w:lang w:eastAsia="en-US"/>
              </w:rPr>
              <w:t xml:space="preserve">符合 GB 18030 的有关规定</w:t>
            </w:r>
            <w:r>
              <w:rPr>
                <w:rFonts w:ascii="宋体" w:hAnsi="宋体"/>
                <w:szCs w:val="21"/>
                <w:lang w:eastAsia="en-US"/>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关</w:t>
            </w:r>
            <w:r>
              <w:rPr>
                <w:rFonts w:hint="eastAsia" w:ascii="宋体" w:hAnsi="宋体"/>
                <w:szCs w:val="21"/>
                <w:lang w:eastAsia="en-US"/>
              </w:rPr>
              <w:t xml:space="preserve">键部件安全要求</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CPU 关键部件应当符合安全可靠测评要求</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故障检测</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支持故障检测功能，可以检测到具体的 FRU（内存、硬盘等）的故障并发出告警</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弱口令字典检查</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支持弱口令字典检查功能，出现在弱口令字典中的字符串不能被设置为用户口令</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白名单访问控制</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支持基于时间、IP 或 MAC 白名单访问控制</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二次鉴别</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支持二次鉴别功能。对于用户配置、权限配置、公钥导入等重要的管理操作，已登录用户应通过二次鉴别后，才能执行操作</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rPr>
            </w:pPr>
            <w:r>
              <w:rPr>
                <w:rFonts w:hint="eastAsia" w:ascii="宋体" w:hAnsi="宋体"/>
                <w:szCs w:val="21"/>
              </w:rPr>
              <w:t xml:space="preserve">密码证书安全加密存储</w:t>
            </w:r>
            <w:r>
              <w:rPr>
                <w:rFonts w:ascii="宋体" w:hAnsi="宋体"/>
                <w:szCs w:val="21"/>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支持对带外管理系统中的用户口令和证书等敏感信息进行加密存储，禁止使用私有的和业界已知不安全的密码算法</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rPr>
            </w:pPr>
            <w:r>
              <w:rPr>
                <w:rFonts w:hint="eastAsia" w:ascii="宋体" w:hAnsi="宋体"/>
                <w:szCs w:val="21"/>
              </w:rPr>
              <w:t xml:space="preserve">敏感信息安全加密传输</w:t>
            </w:r>
            <w:r>
              <w:rPr>
                <w:rFonts w:ascii="宋体" w:hAnsi="宋体"/>
                <w:szCs w:val="21"/>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支持使用安全的传输加密协议（如SSH 或 HTTPS 等）传输用户的敏感信息</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研发过程安全</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物理安全</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安全要求应符合 GB 4943.1 的规定</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限用物质的限量要求</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限用物质的限量应符合 GB/T 26572的要求</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CPU 主频</w:t>
            </w:r>
            <w:r>
              <w:rPr>
                <w:rFonts w:ascii="宋体" w:hAnsi="宋体"/>
                <w:szCs w:val="21"/>
                <w:lang w:eastAsia="en-US"/>
              </w:rPr>
            </w:r>
            <w:r/>
          </w:p>
        </w:tc>
        <w:tc>
          <w:tcPr>
            <w:tcW w:w="6237" w:type="dxa"/>
            <w:vAlign w:val="center"/>
            <w:textDirection w:val="lrTb"/>
            <w:noWrap w:val="false"/>
          </w:tcPr>
          <w:p>
            <w:pPr>
              <w:pStyle w:val="734"/>
              <w:rPr>
                <w:rFonts w:ascii="宋体" w:hAnsi="宋体"/>
                <w:szCs w:val="21"/>
                <w:lang w:eastAsia="en-US"/>
              </w:rPr>
            </w:pPr>
            <w:r>
              <w:rPr>
                <w:rFonts w:hint="eastAsia" w:ascii="宋体" w:hAnsi="宋体"/>
                <w:szCs w:val="21"/>
                <w:lang w:eastAsia="en-US"/>
              </w:rPr>
              <w:t xml:space="preserve">≥</w:t>
            </w:r>
            <w:r>
              <w:rPr>
                <w:rFonts w:ascii="宋体" w:hAnsi="宋体"/>
                <w:szCs w:val="21"/>
                <w:lang w:eastAsia="en-US"/>
              </w:rPr>
              <w:t xml:space="preserve">2</w:t>
            </w:r>
            <w:r>
              <w:rPr>
                <w:rFonts w:hint="eastAsia" w:ascii="宋体" w:hAnsi="宋体"/>
                <w:szCs w:val="21"/>
                <w:lang w:eastAsia="en-US"/>
              </w:rPr>
              <w:t xml:space="preserve">.</w:t>
            </w:r>
            <w:r>
              <w:rPr>
                <w:rFonts w:ascii="宋体" w:hAnsi="宋体"/>
                <w:szCs w:val="21"/>
                <w:lang w:eastAsia="en-US"/>
              </w:rPr>
              <w:t xml:space="preserve">6</w:t>
            </w:r>
            <w:r>
              <w:rPr>
                <w:rFonts w:hint="eastAsia" w:ascii="宋体" w:hAnsi="宋体"/>
                <w:szCs w:val="21"/>
                <w:lang w:eastAsia="en-US"/>
              </w:rPr>
              <w:t xml:space="preserve">GHz</w:t>
            </w:r>
            <w:r>
              <w:rPr>
                <w:rFonts w:ascii="宋体" w:hAnsi="宋体"/>
                <w:szCs w:val="21"/>
                <w:lang w:eastAsia="en-US"/>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单 CPU 核数</w:t>
            </w:r>
            <w:r>
              <w:rPr>
                <w:rFonts w:ascii="宋体" w:hAnsi="宋体"/>
                <w:szCs w:val="21"/>
                <w:lang w:eastAsia="en-US"/>
              </w:rPr>
            </w:r>
            <w:r/>
          </w:p>
        </w:tc>
        <w:tc>
          <w:tcPr>
            <w:tcW w:w="6237" w:type="dxa"/>
            <w:vAlign w:val="center"/>
            <w:textDirection w:val="lrTb"/>
            <w:noWrap w:val="false"/>
          </w:tcPr>
          <w:p>
            <w:pPr>
              <w:pStyle w:val="734"/>
              <w:rPr>
                <w:rFonts w:ascii="宋体" w:hAnsi="宋体"/>
                <w:szCs w:val="21"/>
                <w:lang w:eastAsia="en-US"/>
              </w:rPr>
            </w:pPr>
            <w:r>
              <w:rPr>
                <w:rFonts w:hint="eastAsia" w:ascii="宋体" w:hAnsi="宋体"/>
                <w:szCs w:val="21"/>
                <w:lang w:eastAsia="en-US"/>
              </w:rPr>
              <w:t xml:space="preserve">≥</w:t>
            </w:r>
            <w:r>
              <w:rPr>
                <w:rFonts w:ascii="宋体" w:hAnsi="宋体"/>
                <w:szCs w:val="21"/>
              </w:rPr>
              <w:t xml:space="preserve">48</w:t>
            </w:r>
            <w:r>
              <w:rPr>
                <w:rFonts w:ascii="宋体" w:hAnsi="宋体"/>
                <w:szCs w:val="21"/>
                <w:lang w:eastAsia="en-US"/>
              </w:rPr>
            </w:r>
            <w:r/>
          </w:p>
        </w:tc>
      </w:tr>
      <w:tr>
        <w:trPr/>
        <w:tc>
          <w:tcPr>
            <w:tcW w:w="2547" w:type="dxa"/>
            <w:vAlign w:val="center"/>
            <w:textDirection w:val="lrTb"/>
            <w:noWrap w:val="false"/>
          </w:tcPr>
          <w:p>
            <w:pPr>
              <w:pStyle w:val="734"/>
              <w:jc w:val="center"/>
              <w:rPr>
                <w:rFonts w:ascii="宋体" w:hAnsi="宋体"/>
                <w:szCs w:val="21"/>
              </w:rPr>
            </w:pPr>
            <w:r>
              <w:rPr>
                <w:rFonts w:hint="eastAsia" w:ascii="宋体" w:hAnsi="宋体"/>
                <w:szCs w:val="21"/>
              </w:rPr>
              <w:t xml:space="preserve">●单 CPU 末级缓存容量</w:t>
            </w:r>
            <w:r>
              <w:rPr>
                <w:rFonts w:ascii="宋体" w:hAnsi="宋体"/>
                <w:szCs w:val="21"/>
              </w:rPr>
            </w:r>
            <w:r/>
          </w:p>
        </w:tc>
        <w:tc>
          <w:tcPr>
            <w:tcW w:w="6237" w:type="dxa"/>
            <w:vAlign w:val="center"/>
            <w:textDirection w:val="lrTb"/>
            <w:noWrap w:val="false"/>
          </w:tcPr>
          <w:p>
            <w:pPr>
              <w:pStyle w:val="734"/>
              <w:rPr>
                <w:rFonts w:ascii="宋体" w:hAnsi="宋体"/>
                <w:szCs w:val="21"/>
                <w:lang w:eastAsia="en-US"/>
              </w:rPr>
            </w:pPr>
            <w:r>
              <w:rPr>
                <w:rFonts w:hint="eastAsia" w:ascii="宋体" w:hAnsi="宋体"/>
                <w:szCs w:val="21"/>
                <w:lang w:eastAsia="en-US"/>
              </w:rPr>
              <w:t xml:space="preserve">≥</w:t>
            </w:r>
            <w:r>
              <w:rPr>
                <w:rFonts w:hint="eastAsia" w:ascii="宋体" w:hAnsi="宋体"/>
                <w:szCs w:val="21"/>
              </w:rPr>
              <w:t xml:space="preserve">48</w:t>
            </w:r>
            <w:r>
              <w:rPr>
                <w:rFonts w:hint="eastAsia" w:ascii="宋体" w:hAnsi="宋体"/>
                <w:szCs w:val="21"/>
                <w:lang w:eastAsia="en-US"/>
              </w:rPr>
              <w:t xml:space="preserve">MB</w:t>
            </w:r>
            <w:r>
              <w:rPr>
                <w:rFonts w:ascii="宋体" w:hAnsi="宋体"/>
                <w:szCs w:val="21"/>
                <w:lang w:eastAsia="en-US"/>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内存速率</w:t>
            </w:r>
            <w:r>
              <w:rPr>
                <w:rFonts w:ascii="宋体" w:hAnsi="宋体"/>
                <w:szCs w:val="21"/>
                <w:lang w:eastAsia="en-US"/>
              </w:rPr>
            </w:r>
            <w:r/>
          </w:p>
        </w:tc>
        <w:tc>
          <w:tcPr>
            <w:tcW w:w="6237" w:type="dxa"/>
            <w:vAlign w:val="center"/>
            <w:textDirection w:val="lrTb"/>
            <w:noWrap w:val="false"/>
          </w:tcPr>
          <w:p>
            <w:pPr>
              <w:pStyle w:val="734"/>
              <w:rPr>
                <w:rFonts w:ascii="宋体" w:hAnsi="宋体"/>
                <w:szCs w:val="21"/>
                <w:lang w:eastAsia="en-US"/>
              </w:rPr>
            </w:pPr>
            <w:r>
              <w:rPr>
                <w:rFonts w:hint="eastAsia" w:ascii="宋体" w:hAnsi="宋体"/>
                <w:szCs w:val="21"/>
                <w:lang w:eastAsia="en-US"/>
              </w:rPr>
              <w:t xml:space="preserve">≥</w:t>
            </w:r>
            <w:r>
              <w:rPr>
                <w:rFonts w:ascii="宋体" w:hAnsi="宋体"/>
                <w:szCs w:val="21"/>
                <w:lang w:eastAsia="en-US"/>
              </w:rPr>
              <w:t xml:space="preserve">3200</w:t>
            </w:r>
            <w:r>
              <w:rPr>
                <w:rFonts w:hint="eastAsia" w:ascii="宋体" w:hAnsi="宋体"/>
                <w:szCs w:val="21"/>
                <w:lang w:eastAsia="en-US"/>
              </w:rPr>
              <w:t xml:space="preserve">MT/</w:t>
            </w:r>
            <w:r>
              <w:rPr>
                <w:rFonts w:hint="eastAsia" w:ascii="宋体" w:hAnsi="宋体"/>
                <w:szCs w:val="21"/>
              </w:rPr>
              <w:t xml:space="preserve">s</w:t>
            </w:r>
            <w:r>
              <w:rPr>
                <w:rFonts w:ascii="宋体" w:hAnsi="宋体"/>
                <w:szCs w:val="21"/>
                <w:lang w:eastAsia="en-US"/>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电源能耗</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符合 GB/T 9813.3 的有关规定</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内存兼容性</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适配 3 种及以上厂商的内存产品，且均不低于产品支持的内存规格</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固态存储兼容性</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适配 3 种或以上厂商的固态存储产品，且均不低于产品支持的固态存储设备规格</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rPr>
            </w:pPr>
            <w:r>
              <w:rPr>
                <w:rFonts w:hint="eastAsia" w:ascii="宋体" w:hAnsi="宋体"/>
                <w:szCs w:val="21"/>
                <w:lang w:eastAsia="en-US"/>
              </w:rPr>
              <w:t xml:space="preserve">网卡兼容性</w:t>
            </w:r>
            <w:r>
              <w:rPr>
                <w:rFonts w:ascii="宋体" w:hAnsi="宋体"/>
                <w:szCs w:val="21"/>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网卡应适配两种或以上厂商产品</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功能卡兼容性</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内置或适配符合 PCIe 的功能卡，如：网络功能卡、存储功能卡及图形显示功能卡</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外设兼容性</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兼容多种主流生产商的外部设备，包括显示器、键盘、鼠标、闪存盘、移动硬盘、USB 光驱及 KVM 等，要求使用不同厂商的外部设备时，系统均能正常识别和安装驱动</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数据库兼容</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兼容 3 个及以上厂商的数据库产品</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中间件兼容</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兼容 3 个及以上厂商的中间件产品</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平台软件兼容</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兼容 3 个及以上厂商的大数据平台</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整机可靠性</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m1 值（MTBF 的不可接受值）不得低于 300000h</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风扇可靠性</w:t>
            </w:r>
            <w:r>
              <w:rPr>
                <w:rFonts w:ascii="宋体" w:hAnsi="宋体"/>
                <w:szCs w:val="21"/>
                <w:lang w:eastAsia="en-US"/>
              </w:rPr>
            </w:r>
            <w:r/>
          </w:p>
        </w:tc>
        <w:tc>
          <w:tcPr>
            <w:tcW w:w="6237" w:type="dxa"/>
            <w:vAlign w:val="center"/>
            <w:textDirection w:val="lrTb"/>
            <w:noWrap w:val="false"/>
          </w:tcPr>
          <w:p>
            <w:pPr>
              <w:pStyle w:val="734"/>
              <w:rPr>
                <w:rFonts w:ascii="宋体" w:hAnsi="宋体"/>
                <w:szCs w:val="21"/>
                <w:lang w:eastAsia="en-US"/>
              </w:rPr>
            </w:pPr>
            <w:r>
              <w:rPr>
                <w:rFonts w:hint="eastAsia" w:ascii="宋体" w:hAnsi="宋体"/>
                <w:szCs w:val="21"/>
                <w:lang w:eastAsia="en-US"/>
              </w:rPr>
              <w:t xml:space="preserve">风扇寿命应不低于 40000h</w:t>
            </w:r>
            <w:r>
              <w:rPr>
                <w:rFonts w:ascii="宋体" w:hAnsi="宋体"/>
                <w:szCs w:val="21"/>
                <w:lang w:eastAsia="en-US"/>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部件可靠性</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支持硬盘、电源、风扇热插拔(内置风扇除外)</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rPr>
            </w:pPr>
            <w:r>
              <w:rPr>
                <w:rFonts w:hint="eastAsia" w:ascii="宋体" w:hAnsi="宋体"/>
                <w:szCs w:val="21"/>
              </w:rPr>
              <w:t xml:space="preserve">标志、包装、运输和贮存</w:t>
            </w:r>
            <w:r>
              <w:rPr>
                <w:rFonts w:ascii="宋体" w:hAnsi="宋体"/>
                <w:szCs w:val="21"/>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符合 GB/T 9813.3 和商品包装政府采购需求标准的相关规定</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服务响应</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a) 提供电话、电子邮件、远程连接等多种形式服务；b) 提供同城 4h、异地 12h 技术响应服务，2 个工作日解决问题，对于未能解决的问题和故障应提供可行的升级方案，并提供周转设备；c) 建立全国技术服务体系和服务团体，符合专业服务体系标准要求，提供原厂中文服务；d) 服务周期内提供产品的维修、换件和升级服务</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培训服务</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供应商提供培训材料、产品手册、培训视频等培训相关内容</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rPr>
              <w:t xml:space="preserve">●</w:t>
            </w:r>
            <w:r>
              <w:rPr>
                <w:rFonts w:hint="eastAsia" w:ascii="宋体" w:hAnsi="宋体"/>
                <w:szCs w:val="21"/>
                <w:lang w:eastAsia="en-US"/>
              </w:rPr>
              <w:t xml:space="preserve">服务周期</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a) 产品免费服务周期（含换件和维修）应不小于 3 年；b) 设备停产后继续提供质量保障服务（含备品备件），服务终止时间与最后一批设备交付时间间隔不低于 6 年；c) 产品停止服务时间应提前 1 年告知客户；d) 产品发布日期需在随机文件中明确</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工具要求</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供应商提供设置服务器硬件、辅助操作系统安装等功能的辅助工具和管理软件。且随附软件应具有合法授权或版权</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驱动安装升级指引</w:t>
            </w:r>
            <w:r>
              <w:rPr>
                <w:rFonts w:ascii="宋体" w:hAnsi="宋体"/>
                <w:szCs w:val="21"/>
                <w:lang w:eastAsia="en-US"/>
              </w:rPr>
            </w:r>
            <w:r/>
          </w:p>
        </w:tc>
        <w:tc>
          <w:tcPr>
            <w:tcW w:w="6237" w:type="dxa"/>
            <w:vAlign w:val="center"/>
            <w:textDirection w:val="lrTb"/>
            <w:noWrap w:val="false"/>
          </w:tcPr>
          <w:p>
            <w:pPr>
              <w:pStyle w:val="734"/>
              <w:rPr>
                <w:rFonts w:ascii="宋体" w:hAnsi="宋体"/>
                <w:szCs w:val="21"/>
                <w:lang w:eastAsia="en-US"/>
              </w:rPr>
            </w:pPr>
            <w:r>
              <w:rPr>
                <w:rFonts w:hint="eastAsia" w:ascii="宋体" w:hAnsi="宋体"/>
                <w:szCs w:val="21"/>
              </w:rPr>
              <w:t xml:space="preserve">供应商提供出厂安装的配件所需的驱动程序，形式包括但不限于驱动光盘、驱动下载链接等。</w:t>
            </w:r>
            <w:r>
              <w:rPr>
                <w:rFonts w:hint="eastAsia" w:ascii="宋体" w:hAnsi="宋体"/>
                <w:szCs w:val="21"/>
                <w:lang w:eastAsia="en-US"/>
              </w:rPr>
              <w:t xml:space="preserve">其他配件应提供指引</w:t>
            </w:r>
            <w:r>
              <w:rPr>
                <w:rFonts w:ascii="宋体" w:hAnsi="宋体"/>
                <w:szCs w:val="21"/>
                <w:lang w:eastAsia="en-US"/>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管理软件</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具备资源管理、系统管理、性能监控、健康监控、基于网络控制、报警设置功能</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rPr>
            </w:pPr>
            <w:r>
              <w:rPr>
                <w:rFonts w:hint="eastAsia" w:ascii="宋体" w:hAnsi="宋体"/>
                <w:szCs w:val="21"/>
              </w:rPr>
              <w:t xml:space="preserve">厂家升级产品软件与扩容服务</w:t>
            </w:r>
            <w:r>
              <w:rPr>
                <w:rFonts w:ascii="宋体" w:hAnsi="宋体"/>
                <w:szCs w:val="21"/>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供应商提供原厂级的部件/软件产品升级和扩容能力</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提供上门服务</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供应商具备提供上门服务的能力</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抗干扰性</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当产品部件出现供应风险时，应通知客户并提供风险应对方案确保产品的服务保障，必要时应停止相关受影响产品的销售</w:t>
            </w:r>
            <w:r>
              <w:rPr>
                <w:rFonts w:ascii="宋体" w:hAnsi="宋体"/>
                <w:szCs w:val="21"/>
              </w:rPr>
            </w:r>
            <w:r/>
          </w:p>
        </w:tc>
      </w:tr>
      <w:tr>
        <w:trPr/>
        <w:tc>
          <w:tcPr>
            <w:tcW w:w="2547"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供应能力证明</w:t>
            </w:r>
            <w:r>
              <w:rPr>
                <w:rFonts w:ascii="宋体" w:hAnsi="宋体"/>
                <w:szCs w:val="21"/>
                <w:lang w:eastAsia="en-US"/>
              </w:rPr>
            </w:r>
            <w:r/>
          </w:p>
        </w:tc>
        <w:tc>
          <w:tcPr>
            <w:tcW w:w="6237" w:type="dxa"/>
            <w:vAlign w:val="center"/>
            <w:textDirection w:val="lrTb"/>
            <w:noWrap w:val="false"/>
          </w:tcPr>
          <w:p>
            <w:pPr>
              <w:pStyle w:val="734"/>
              <w:rPr>
                <w:rFonts w:ascii="宋体" w:hAnsi="宋体"/>
                <w:szCs w:val="21"/>
              </w:rPr>
            </w:pPr>
            <w:r>
              <w:rPr>
                <w:rFonts w:hint="eastAsia" w:ascii="宋体" w:hAnsi="宋体"/>
                <w:szCs w:val="21"/>
              </w:rPr>
              <w:t xml:space="preserve">产品的部件在产品服务周期内稳定供货</w:t>
            </w:r>
            <w:r>
              <w:rPr>
                <w:rFonts w:ascii="宋体" w:hAnsi="宋体"/>
                <w:szCs w:val="21"/>
              </w:rPr>
            </w:r>
            <w:r/>
          </w:p>
        </w:tc>
      </w:tr>
    </w:tbl>
    <w:p>
      <w:pPr>
        <w:pStyle w:val="734"/>
        <w:rPr>
          <w:rFonts w:hint="eastAsia" w:ascii="宋体" w:hAnsi="宋体"/>
          <w:sz w:val="24"/>
          <w:szCs w:val="24"/>
        </w:rPr>
      </w:pPr>
      <w:r>
        <w:rPr>
          <w:rFonts w:hint="eastAsia" w:ascii="宋体" w:hAnsi="宋体"/>
          <w:sz w:val="24"/>
          <w:szCs w:val="24"/>
        </w:rPr>
      </w:r>
      <w:r/>
    </w:p>
    <w:p>
      <w:pPr>
        <w:pStyle w:val="734"/>
        <w:keepLines/>
        <w:keepNext/>
        <w:spacing w:before="160" w:after="80"/>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参数交换机</w:t>
      </w:r>
      <w:r>
        <w:rPr>
          <w:rFonts w:ascii="宋体" w:hAnsi="宋体"/>
          <w:sz w:val="24"/>
          <w:szCs w:val="24"/>
        </w:rPr>
      </w:r>
      <w:r/>
    </w:p>
    <w:tbl>
      <w:tblPr>
        <w:tblW w:w="8359" w:type="dxa"/>
        <w:tblInd w:w="-108" w:type="dxa"/>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04"/>
        <w:gridCol w:w="2098"/>
        <w:gridCol w:w="5557"/>
      </w:tblGrid>
      <w:tr>
        <w:trPr>
          <w:trHeight w:val="319"/>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734"/>
              <w:jc w:val="center"/>
              <w:rPr>
                <w:rFonts w:ascii="宋体" w:hAnsi="宋体"/>
                <w:sz w:val="24"/>
                <w:szCs w:val="24"/>
              </w:rPr>
            </w:pPr>
            <w:r>
              <w:rPr>
                <w:rFonts w:hint="eastAsia" w:ascii="宋体" w:hAnsi="宋体"/>
                <w:b/>
                <w:bCs/>
                <w:sz w:val="24"/>
                <w:szCs w:val="24"/>
              </w:rPr>
              <w:t xml:space="preserve">序号</w:t>
            </w:r>
            <w:r>
              <w:rPr>
                <w:rFonts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2098" w:type="dxa"/>
            <w:vAlign w:val="top"/>
            <w:textDirection w:val="lrTb"/>
            <w:noWrap/>
          </w:tcPr>
          <w:p>
            <w:pPr>
              <w:pStyle w:val="734"/>
              <w:jc w:val="center"/>
              <w:rPr>
                <w:rFonts w:ascii="宋体" w:hAnsi="宋体"/>
                <w:sz w:val="24"/>
                <w:szCs w:val="24"/>
              </w:rPr>
            </w:pPr>
            <w:r>
              <w:rPr>
                <w:rFonts w:hint="eastAsia" w:ascii="宋体" w:hAnsi="宋体"/>
                <w:b/>
                <w:bCs/>
                <w:sz w:val="24"/>
                <w:szCs w:val="24"/>
              </w:rPr>
              <w:t xml:space="preserve">名称</w:t>
            </w:r>
            <w:r>
              <w:rPr>
                <w:rFonts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5557" w:type="dxa"/>
            <w:vAlign w:val="top"/>
            <w:textDirection w:val="lrTb"/>
            <w:noWrap/>
          </w:tcPr>
          <w:p>
            <w:pPr>
              <w:pStyle w:val="734"/>
              <w:jc w:val="center"/>
              <w:rPr>
                <w:rFonts w:ascii="宋体" w:hAnsi="宋体"/>
                <w:sz w:val="24"/>
                <w:szCs w:val="24"/>
              </w:rPr>
            </w:pPr>
            <w:r>
              <w:rPr>
                <w:rFonts w:hint="eastAsia" w:ascii="宋体" w:hAnsi="宋体"/>
                <w:b/>
                <w:bCs/>
                <w:sz w:val="24"/>
                <w:szCs w:val="24"/>
              </w:rPr>
              <w:t xml:space="preserve">功能、性能、配置要求</w:t>
            </w:r>
            <w:r>
              <w:rPr>
                <w:rFonts w:ascii="宋体" w:hAnsi="宋体"/>
                <w:sz w:val="24"/>
                <w:szCs w:val="24"/>
              </w:rPr>
            </w:r>
            <w:r/>
          </w:p>
        </w:tc>
      </w:tr>
      <w:tr>
        <w:trPr>
          <w:trHeight w:val="1800"/>
        </w:trPr>
        <w:tc>
          <w:tcPr>
            <w:shd w:val="clear" w:color="auto" w:fill="ffffff"/>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734"/>
              <w:jc w:val="center"/>
              <w:rPr>
                <w:rFonts w:ascii="宋体" w:hAnsi="宋体"/>
                <w:szCs w:val="21"/>
                <w:lang w:eastAsia="en-US"/>
              </w:rPr>
            </w:pPr>
            <w:r>
              <w:rPr>
                <w:rFonts w:hint="eastAsia" w:ascii="宋体" w:hAnsi="宋体"/>
                <w:i/>
                <w:iCs/>
                <w:szCs w:val="21"/>
                <w:u w:val="single"/>
                <w:lang w:eastAsia="en-US"/>
              </w:rPr>
              <w:t xml:space="preserve">1</w:t>
            </w:r>
            <w:r>
              <w:rPr>
                <w:rFonts w:ascii="宋体" w:hAnsi="宋体"/>
                <w:szCs w:val="21"/>
                <w:lang w:eastAsia="en-US"/>
              </w:rPr>
            </w:r>
            <w:r/>
          </w:p>
        </w:tc>
        <w:tc>
          <w:tcPr>
            <w:shd w:val="clear" w:color="auto" w:fill="ffffff"/>
            <w:tcBorders>
              <w:top w:val="none" w:color="000000" w:sz="4" w:space="0"/>
              <w:left w:val="none" w:color="000000" w:sz="4" w:space="0"/>
              <w:bottom w:val="single" w:color="000000" w:sz="4" w:space="0"/>
              <w:right w:val="single" w:color="000000" w:sz="4" w:space="0"/>
            </w:tcBorders>
            <w:tcW w:w="2098" w:type="dxa"/>
            <w:vAlign w:val="center"/>
            <w:textDirection w:val="lrTb"/>
            <w:noWrap/>
          </w:tcPr>
          <w:p>
            <w:pPr>
              <w:pStyle w:val="734"/>
              <w:jc w:val="center"/>
              <w:rPr>
                <w:rFonts w:ascii="宋体" w:hAnsi="宋体"/>
                <w:i/>
                <w:iCs/>
                <w:szCs w:val="21"/>
                <w:u w:val="single"/>
                <w:lang w:eastAsia="en-US"/>
              </w:rPr>
            </w:pPr>
            <w:r>
              <w:rPr>
                <w:rFonts w:hint="eastAsia" w:ascii="宋体" w:hAnsi="宋体"/>
                <w:i/>
                <w:iCs/>
                <w:szCs w:val="21"/>
                <w:u w:val="single"/>
                <w:lang w:eastAsia="en-US"/>
              </w:rPr>
              <w:t xml:space="preserve">实质性要求</w:t>
            </w:r>
            <w:r>
              <w:rPr>
                <w:rFonts w:ascii="宋体" w:hAnsi="宋体"/>
                <w:i/>
                <w:iCs/>
                <w:szCs w:val="21"/>
                <w:u w:val="single"/>
                <w:lang w:eastAsia="en-US"/>
              </w:rPr>
            </w:r>
            <w:r/>
          </w:p>
        </w:tc>
        <w:tc>
          <w:tcPr>
            <w:shd w:val="clear" w:color="auto" w:fill="ffffff"/>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734"/>
              <w:rPr>
                <w:rFonts w:ascii="宋体" w:hAnsi="宋体"/>
                <w:i/>
                <w:iCs/>
                <w:szCs w:val="21"/>
                <w:u w:val="single"/>
              </w:rPr>
            </w:pPr>
            <w:r>
              <w:rPr>
                <w:rFonts w:hint="eastAsia" w:ascii="宋体" w:hAnsi="宋体"/>
                <w:i/>
                <w:iCs/>
                <w:szCs w:val="21"/>
                <w:u w:val="single"/>
              </w:rPr>
              <w:t xml:space="preserve">1、国产非O</w:t>
            </w:r>
            <w:r>
              <w:rPr>
                <w:rFonts w:ascii="宋体" w:hAnsi="宋体"/>
                <w:i/>
                <w:iCs/>
                <w:szCs w:val="21"/>
                <w:u w:val="single"/>
              </w:rPr>
              <w:t xml:space="preserve">EM</w:t>
            </w:r>
            <w:r>
              <w:rPr>
                <w:rFonts w:hint="eastAsia" w:ascii="宋体" w:hAnsi="宋体"/>
                <w:i/>
                <w:iCs/>
                <w:szCs w:val="21"/>
                <w:u w:val="single"/>
              </w:rPr>
              <w:t xml:space="preserve">产品，设备CPU（处理器）、LSW（转发芯片）均为国产芯片；</w:t>
            </w:r>
            <w:r>
              <w:rPr>
                <w:rFonts w:ascii="宋体" w:hAnsi="宋体"/>
                <w:i/>
                <w:iCs/>
                <w:szCs w:val="21"/>
                <w:u w:val="single"/>
              </w:rPr>
            </w:r>
            <w:r/>
          </w:p>
          <w:p>
            <w:pPr>
              <w:pStyle w:val="734"/>
              <w:rPr>
                <w:rFonts w:ascii="宋体" w:hAnsi="宋体"/>
                <w:i/>
                <w:iCs/>
                <w:szCs w:val="21"/>
                <w:u w:val="single"/>
              </w:rPr>
            </w:pPr>
            <w:r>
              <w:rPr>
                <w:rFonts w:hint="eastAsia" w:ascii="宋体" w:hAnsi="宋体"/>
                <w:i/>
                <w:iCs/>
                <w:szCs w:val="21"/>
                <w:u w:val="single"/>
              </w:rPr>
              <w:t xml:space="preserve">2、交换容量≥25Tbps，包转发率≥1</w:t>
            </w:r>
            <w:r>
              <w:rPr>
                <w:rFonts w:ascii="宋体" w:hAnsi="宋体"/>
                <w:i/>
                <w:iCs/>
                <w:szCs w:val="21"/>
                <w:u w:val="single"/>
              </w:rPr>
              <w:t xml:space="preserve">9000</w:t>
            </w:r>
            <w:r>
              <w:rPr>
                <w:rFonts w:hint="eastAsia" w:ascii="宋体" w:hAnsi="宋体"/>
                <w:i/>
                <w:iCs/>
                <w:szCs w:val="21"/>
                <w:u w:val="single"/>
              </w:rPr>
              <w:t xml:space="preserve">Mpps，400GE光接口≥32个；</w:t>
            </w:r>
            <w:r>
              <w:rPr>
                <w:rFonts w:ascii="宋体" w:hAnsi="宋体"/>
                <w:i/>
                <w:iCs/>
                <w:szCs w:val="21"/>
                <w:u w:val="single"/>
              </w:rPr>
            </w:r>
            <w:r/>
          </w:p>
          <w:p>
            <w:pPr>
              <w:pStyle w:val="734"/>
              <w:rPr>
                <w:rFonts w:ascii="宋体" w:hAnsi="宋体"/>
                <w:i/>
                <w:iCs/>
                <w:szCs w:val="21"/>
                <w:u w:val="single"/>
              </w:rPr>
            </w:pPr>
            <w:r>
              <w:rPr>
                <w:rFonts w:ascii="宋体" w:hAnsi="宋体"/>
                <w:i/>
                <w:iCs/>
                <w:szCs w:val="21"/>
                <w:u w:val="single"/>
              </w:rPr>
              <w:t xml:space="preserve">3</w:t>
            </w:r>
            <w:r>
              <w:rPr>
                <w:rFonts w:hint="eastAsia" w:ascii="宋体" w:hAnsi="宋体"/>
                <w:i/>
                <w:iCs/>
                <w:szCs w:val="21"/>
                <w:u w:val="single"/>
              </w:rPr>
              <w:t xml:space="preserve">、实配冗余电源，冗余风扇，2</w:t>
            </w:r>
            <w:r>
              <w:rPr>
                <w:rFonts w:ascii="宋体" w:hAnsi="宋体"/>
                <w:i/>
                <w:iCs/>
                <w:szCs w:val="21"/>
                <w:u w:val="single"/>
              </w:rPr>
              <w:t xml:space="preserve">4</w:t>
            </w:r>
            <w:r>
              <w:rPr>
                <w:rFonts w:hint="eastAsia" w:ascii="宋体" w:hAnsi="宋体"/>
                <w:i/>
                <w:iCs/>
                <w:szCs w:val="21"/>
                <w:u w:val="single"/>
              </w:rPr>
              <w:t xml:space="preserve">个4</w:t>
            </w:r>
            <w:r>
              <w:rPr>
                <w:rFonts w:ascii="宋体" w:hAnsi="宋体"/>
                <w:i/>
                <w:iCs/>
                <w:szCs w:val="21"/>
                <w:u w:val="single"/>
              </w:rPr>
              <w:t xml:space="preserve">00G</w:t>
            </w:r>
            <w:r>
              <w:rPr>
                <w:rFonts w:hint="eastAsia" w:ascii="宋体" w:hAnsi="宋体"/>
                <w:i/>
                <w:iCs/>
                <w:szCs w:val="21"/>
                <w:u w:val="single"/>
              </w:rPr>
              <w:t xml:space="preserve">多模模块，2</w:t>
            </w:r>
            <w:r>
              <w:rPr>
                <w:rFonts w:ascii="宋体" w:hAnsi="宋体"/>
                <w:i/>
                <w:iCs/>
                <w:szCs w:val="21"/>
                <w:u w:val="single"/>
              </w:rPr>
              <w:t xml:space="preserve">4</w:t>
            </w:r>
            <w:r>
              <w:rPr>
                <w:rFonts w:hint="eastAsia" w:ascii="宋体" w:hAnsi="宋体"/>
                <w:i/>
                <w:iCs/>
                <w:szCs w:val="21"/>
                <w:u w:val="single"/>
              </w:rPr>
              <w:t xml:space="preserve">根1分2光纤跳线，3年原厂质保</w:t>
            </w:r>
            <w:r>
              <w:rPr>
                <w:rFonts w:ascii="宋体" w:hAnsi="宋体"/>
                <w:i/>
                <w:iCs/>
                <w:szCs w:val="21"/>
                <w:u w:val="single"/>
              </w:rPr>
            </w:r>
            <w:r/>
          </w:p>
        </w:tc>
      </w:tr>
      <w:tr>
        <w:trPr>
          <w:trHeight w:val="983"/>
        </w:trPr>
        <w:tc>
          <w:tcPr>
            <w:shd w:val="clear" w:color="auto" w:fill="ffffff"/>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734"/>
              <w:jc w:val="center"/>
              <w:rPr>
                <w:rFonts w:ascii="宋体" w:hAnsi="宋体"/>
                <w:szCs w:val="21"/>
                <w:lang w:eastAsia="en-US"/>
              </w:rPr>
            </w:pPr>
            <w:r>
              <w:rPr>
                <w:rFonts w:hint="eastAsia" w:ascii="宋体" w:hAnsi="宋体"/>
                <w:szCs w:val="21"/>
                <w:lang w:eastAsia="en-US"/>
              </w:rPr>
              <w:t xml:space="preserve">2</w:t>
            </w:r>
            <w:r>
              <w:rPr>
                <w:rFonts w:ascii="宋体" w:hAnsi="宋体"/>
                <w:szCs w:val="21"/>
                <w:lang w:eastAsia="en-US"/>
              </w:rPr>
            </w:r>
            <w:r/>
          </w:p>
        </w:tc>
        <w:tc>
          <w:tcPr>
            <w:shd w:val="clear" w:color="auto" w:fill="ffffff"/>
            <w:tcBorders>
              <w:top w:val="none" w:color="000000" w:sz="4" w:space="0"/>
              <w:left w:val="none" w:color="000000" w:sz="4" w:space="0"/>
              <w:bottom w:val="single" w:color="000000" w:sz="4" w:space="0"/>
              <w:right w:val="single" w:color="000000" w:sz="4" w:space="0"/>
            </w:tcBorders>
            <w:tcW w:w="2098" w:type="dxa"/>
            <w:vAlign w:val="center"/>
            <w:textDirection w:val="lrTb"/>
            <w:noWrap/>
          </w:tcPr>
          <w:p>
            <w:pPr>
              <w:pStyle w:val="734"/>
              <w:jc w:val="center"/>
              <w:rPr>
                <w:rFonts w:ascii="宋体" w:hAnsi="宋体"/>
                <w:szCs w:val="21"/>
                <w:lang w:eastAsia="en-US"/>
              </w:rPr>
            </w:pPr>
            <w:r>
              <w:rPr>
                <w:rFonts w:hint="eastAsia" w:ascii="宋体" w:hAnsi="宋体"/>
                <w:szCs w:val="21"/>
                <w:lang w:eastAsia="en-US"/>
              </w:rPr>
              <w:t xml:space="preserve">非实质性要求</w:t>
            </w:r>
            <w:r>
              <w:rPr>
                <w:rFonts w:ascii="宋体" w:hAnsi="宋体"/>
                <w:szCs w:val="21"/>
                <w:lang w:eastAsia="en-US"/>
              </w:rPr>
            </w:r>
            <w:r/>
          </w:p>
        </w:tc>
        <w:tc>
          <w:tcPr>
            <w:shd w:val="clear" w:color="auto" w:fill="ffffff"/>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734"/>
              <w:rPr>
                <w:rFonts w:ascii="宋体" w:hAnsi="宋体"/>
                <w:szCs w:val="21"/>
              </w:rPr>
            </w:pPr>
            <w:r>
              <w:rPr>
                <w:rFonts w:hint="eastAsia" w:ascii="宋体" w:hAnsi="宋体"/>
                <w:szCs w:val="21"/>
              </w:rPr>
              <w:t xml:space="preserve">▲1、设备整机缓存≥128M，提供含C</w:t>
            </w:r>
            <w:r>
              <w:rPr>
                <w:rFonts w:ascii="宋体" w:hAnsi="宋体"/>
                <w:szCs w:val="21"/>
              </w:rPr>
              <w:t xml:space="preserve">MA</w:t>
            </w:r>
            <w:r>
              <w:rPr>
                <w:rFonts w:hint="eastAsia" w:ascii="宋体" w:hAnsi="宋体"/>
                <w:szCs w:val="21"/>
              </w:rPr>
              <w:t xml:space="preserve">标识的第三方检测报告</w:t>
            </w:r>
            <w:r>
              <w:rPr>
                <w:rFonts w:ascii="宋体" w:hAnsi="宋体"/>
                <w:szCs w:val="21"/>
              </w:rPr>
            </w:r>
            <w:r/>
          </w:p>
          <w:p>
            <w:pPr>
              <w:pStyle w:val="734"/>
              <w:rPr>
                <w:rFonts w:ascii="宋体" w:hAnsi="宋体"/>
                <w:szCs w:val="21"/>
                <w:lang w:eastAsia="en-US"/>
              </w:rPr>
            </w:pPr>
            <w:r>
              <w:rPr>
                <w:rFonts w:hint="eastAsia" w:ascii="宋体" w:hAnsi="宋体"/>
                <w:szCs w:val="21"/>
                <w:lang w:eastAsia="en-US"/>
              </w:rPr>
              <w:t xml:space="preserve">2、支持M-LAG或vPC或DRNI等跨机箱链路捆绑技术；</w:t>
            </w:r>
            <w:r>
              <w:rPr>
                <w:rFonts w:hint="eastAsia" w:ascii="宋体" w:hAnsi="宋体"/>
                <w:szCs w:val="21"/>
                <w:lang w:eastAsia="en-US"/>
              </w:rPr>
              <w:br w:type="textWrapping" w:clear="all"/>
            </w:r>
            <w:r>
              <w:rPr>
                <w:rFonts w:hint="eastAsia" w:ascii="宋体" w:hAnsi="宋体"/>
                <w:szCs w:val="21"/>
                <w:lang w:eastAsia="en-US"/>
              </w:rPr>
              <w:t xml:space="preserve">3、支持RIP、OSPF、ISIS、BGP等IPv4动态路由协议；</w:t>
            </w:r>
            <w:r>
              <w:rPr>
                <w:rFonts w:hint="eastAsia" w:ascii="宋体" w:hAnsi="宋体"/>
                <w:szCs w:val="21"/>
                <w:lang w:eastAsia="en-US"/>
              </w:rPr>
              <w:br w:type="textWrapping" w:clear="all"/>
            </w:r>
            <w:r>
              <w:rPr>
                <w:rFonts w:hint="eastAsia" w:ascii="宋体" w:hAnsi="宋体"/>
                <w:szCs w:val="21"/>
                <w:lang w:eastAsia="en-US"/>
              </w:rPr>
              <w:t xml:space="preserve">4、支持Vxlan，且支持 EVPN VxLAN，支持VxLAN网络与VLAN网络互通；</w:t>
            </w:r>
            <w:r>
              <w:rPr>
                <w:rFonts w:hint="eastAsia" w:ascii="宋体" w:hAnsi="宋体"/>
                <w:szCs w:val="21"/>
                <w:lang w:eastAsia="en-US"/>
              </w:rPr>
              <w:br w:type="textWrapping" w:clear="all"/>
            </w:r>
            <w:r>
              <w:rPr>
                <w:rFonts w:hint="eastAsia" w:ascii="宋体" w:hAnsi="宋体"/>
                <w:szCs w:val="21"/>
                <w:lang w:eastAsia="en-US"/>
              </w:rPr>
              <w:t xml:space="preserve">5、</w:t>
            </w:r>
            <w:r>
              <w:rPr>
                <w:rFonts w:ascii="宋体" w:hAnsi="宋体"/>
                <w:szCs w:val="21"/>
                <w:lang w:eastAsia="en-US"/>
              </w:rPr>
              <w:t xml:space="preserve">支持 RDMA 和 RoCE(RoCE v1 和 RoCE v2)</w:t>
            </w:r>
            <w:r>
              <w:rPr>
                <w:rFonts w:hint="eastAsia" w:ascii="宋体" w:hAnsi="宋体"/>
                <w:szCs w:val="21"/>
                <w:lang w:eastAsia="en-US"/>
              </w:rPr>
              <w:t xml:space="preserve">；</w:t>
            </w:r>
            <w:r>
              <w:rPr>
                <w:rFonts w:ascii="宋体" w:hAnsi="宋体"/>
                <w:szCs w:val="21"/>
                <w:lang w:eastAsia="en-US"/>
              </w:rPr>
            </w:r>
            <w:r/>
          </w:p>
          <w:p>
            <w:pPr>
              <w:pStyle w:val="734"/>
              <w:rPr>
                <w:rFonts w:ascii="宋体" w:hAnsi="宋体"/>
                <w:szCs w:val="21"/>
              </w:rPr>
            </w:pPr>
            <w:r>
              <w:rPr>
                <w:rFonts w:hint="eastAsia" w:ascii="宋体" w:hAnsi="宋体"/>
                <w:szCs w:val="21"/>
              </w:rPr>
              <w:t xml:space="preserve">6、支持PFC，支持PFC死锁预防，AI ECN</w:t>
            </w:r>
            <w:r>
              <w:rPr>
                <w:rFonts w:hint="eastAsia" w:ascii="宋体" w:hAnsi="宋体"/>
                <w:szCs w:val="21"/>
              </w:rPr>
              <w:br w:type="textWrapping" w:clear="all"/>
            </w:r>
            <w:r>
              <w:rPr>
                <w:rFonts w:hint="eastAsia" w:ascii="宋体" w:hAnsi="宋体"/>
                <w:szCs w:val="21"/>
              </w:rPr>
              <w:t xml:space="preserve">▲7、支持MAC 漂移联动端口 error-down，提供含C</w:t>
            </w:r>
            <w:r>
              <w:rPr>
                <w:rFonts w:ascii="宋体" w:hAnsi="宋体"/>
                <w:szCs w:val="21"/>
              </w:rPr>
              <w:t xml:space="preserve">MA</w:t>
            </w:r>
            <w:r>
              <w:rPr>
                <w:rFonts w:hint="eastAsia" w:ascii="宋体" w:hAnsi="宋体"/>
                <w:szCs w:val="21"/>
              </w:rPr>
              <w:t xml:space="preserve">标识的第三方检测报告</w:t>
            </w:r>
            <w:r>
              <w:rPr>
                <w:rFonts w:hint="eastAsia" w:ascii="宋体" w:hAnsi="宋体"/>
                <w:szCs w:val="21"/>
              </w:rPr>
              <w:br w:type="textWrapping" w:clear="all"/>
            </w:r>
            <w:r>
              <w:rPr>
                <w:rFonts w:hint="eastAsia" w:ascii="宋体" w:hAnsi="宋体"/>
                <w:szCs w:val="21"/>
              </w:rPr>
              <w:t xml:space="preserve">▲8、支持MacSec国密加密，提供含C</w:t>
            </w:r>
            <w:r>
              <w:rPr>
                <w:rFonts w:ascii="宋体" w:hAnsi="宋体"/>
                <w:szCs w:val="21"/>
              </w:rPr>
              <w:t xml:space="preserve">MA</w:t>
            </w:r>
            <w:r>
              <w:rPr>
                <w:rFonts w:hint="eastAsia" w:ascii="宋体" w:hAnsi="宋体"/>
                <w:szCs w:val="21"/>
              </w:rPr>
              <w:t xml:space="preserve">标识的第三方检测报告</w:t>
            </w:r>
            <w:r>
              <w:rPr>
                <w:rFonts w:ascii="宋体" w:hAnsi="宋体"/>
                <w:szCs w:val="21"/>
              </w:rPr>
            </w:r>
            <w:r/>
          </w:p>
          <w:p>
            <w:pPr>
              <w:pStyle w:val="734"/>
              <w:rPr>
                <w:rFonts w:ascii="宋体" w:hAnsi="宋体"/>
                <w:szCs w:val="21"/>
                <w:lang w:eastAsia="en-US"/>
              </w:rPr>
            </w:pPr>
            <w:r>
              <w:rPr>
                <w:rFonts w:hint="eastAsia" w:ascii="宋体" w:hAnsi="宋体"/>
                <w:szCs w:val="21"/>
                <w:lang w:eastAsia="en-US"/>
              </w:rPr>
              <w:t xml:space="preserve">9、支持SNMP V1/V2/V3、Telnet、RMON、SSH；</w:t>
            </w:r>
            <w:r>
              <w:rPr>
                <w:rFonts w:ascii="宋体" w:hAnsi="宋体"/>
                <w:szCs w:val="21"/>
                <w:lang w:eastAsia="en-US"/>
              </w:rPr>
            </w:r>
            <w:r/>
          </w:p>
          <w:p>
            <w:pPr>
              <w:pStyle w:val="734"/>
              <w:rPr>
                <w:rFonts w:ascii="宋体" w:hAnsi="宋体"/>
                <w:szCs w:val="21"/>
                <w:lang w:eastAsia="en-US"/>
              </w:rPr>
            </w:pPr>
            <w:r>
              <w:rPr>
                <w:rFonts w:hint="eastAsia" w:ascii="宋体" w:hAnsi="宋体"/>
                <w:szCs w:val="21"/>
                <w:lang w:eastAsia="en-US"/>
              </w:rPr>
              <w:t xml:space="preserve">1</w:t>
            </w:r>
            <w:r>
              <w:rPr>
                <w:rFonts w:ascii="宋体" w:hAnsi="宋体"/>
                <w:szCs w:val="21"/>
                <w:lang w:eastAsia="en-US"/>
              </w:rPr>
              <w:t xml:space="preserve">0</w:t>
            </w:r>
            <w:r>
              <w:rPr>
                <w:rFonts w:hint="eastAsia" w:ascii="宋体" w:hAnsi="宋体"/>
                <w:szCs w:val="21"/>
                <w:lang w:eastAsia="en-US"/>
              </w:rPr>
              <w:t xml:space="preserve">、支持VxLAN over IPv6、IPv6 VXLAN over IPv4</w:t>
            </w:r>
            <w:r>
              <w:rPr>
                <w:rFonts w:ascii="宋体" w:hAnsi="宋体"/>
                <w:szCs w:val="21"/>
                <w:lang w:eastAsia="en-US"/>
              </w:rPr>
            </w:r>
            <w:r/>
          </w:p>
          <w:p>
            <w:pPr>
              <w:pStyle w:val="734"/>
              <w:rPr>
                <w:rFonts w:ascii="宋体" w:hAnsi="宋体"/>
                <w:szCs w:val="21"/>
              </w:rPr>
            </w:pPr>
            <w:r>
              <w:rPr>
                <w:rFonts w:hint="eastAsia" w:ascii="宋体" w:hAnsi="宋体"/>
                <w:szCs w:val="21"/>
              </w:rPr>
              <w:t xml:space="preserve">▲</w:t>
            </w:r>
            <w:r>
              <w:rPr>
                <w:rFonts w:ascii="宋体" w:hAnsi="宋体"/>
                <w:szCs w:val="21"/>
              </w:rPr>
              <w:t xml:space="preserve">11</w:t>
            </w:r>
            <w:r>
              <w:rPr>
                <w:rFonts w:hint="eastAsia" w:ascii="宋体" w:hAnsi="宋体"/>
                <w:szCs w:val="21"/>
              </w:rPr>
              <w:t xml:space="preserve">、支持数据面故障快速自愈功能，提供含C</w:t>
            </w:r>
            <w:r>
              <w:rPr>
                <w:rFonts w:ascii="宋体" w:hAnsi="宋体"/>
                <w:szCs w:val="21"/>
              </w:rPr>
              <w:t xml:space="preserve">MA</w:t>
            </w:r>
            <w:r>
              <w:rPr>
                <w:rFonts w:hint="eastAsia" w:ascii="宋体" w:hAnsi="宋体"/>
                <w:szCs w:val="21"/>
              </w:rPr>
              <w:t xml:space="preserve">标识的第三方检测报告</w:t>
            </w:r>
            <w:r>
              <w:rPr>
                <w:rFonts w:ascii="宋体" w:hAnsi="宋体"/>
                <w:szCs w:val="21"/>
              </w:rPr>
            </w:r>
            <w:r/>
          </w:p>
          <w:p>
            <w:pPr>
              <w:pStyle w:val="734"/>
              <w:rPr>
                <w:rFonts w:ascii="宋体" w:hAnsi="宋体"/>
                <w:szCs w:val="21"/>
              </w:rPr>
            </w:pP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、支持数据面动态网络级负载均衡技术，提供含C</w:t>
            </w:r>
            <w:r>
              <w:rPr>
                <w:rFonts w:ascii="宋体" w:hAnsi="宋体"/>
                <w:szCs w:val="21"/>
              </w:rPr>
              <w:t xml:space="preserve">MA</w:t>
            </w:r>
            <w:r>
              <w:rPr>
                <w:rFonts w:hint="eastAsia" w:ascii="宋体" w:hAnsi="宋体"/>
                <w:szCs w:val="21"/>
              </w:rPr>
              <w:t xml:space="preserve">标识的第三方检测报告</w:t>
            </w:r>
            <w:r>
              <w:rPr>
                <w:rFonts w:ascii="宋体" w:hAnsi="宋体"/>
                <w:szCs w:val="21"/>
              </w:rPr>
            </w:r>
            <w:r/>
          </w:p>
        </w:tc>
      </w:tr>
    </w:tbl>
    <w:p>
      <w:pPr>
        <w:pStyle w:val="734"/>
        <w:rPr>
          <w:rFonts w:hint="eastAsia" w:ascii="宋体" w:hAnsi="宋体"/>
          <w:sz w:val="24"/>
          <w:szCs w:val="24"/>
        </w:rPr>
      </w:pPr>
      <w:r>
        <w:rPr>
          <w:rFonts w:hint="eastAsia" w:ascii="宋体" w:hAnsi="宋体"/>
          <w:sz w:val="24"/>
          <w:szCs w:val="24"/>
        </w:rPr>
      </w:r>
      <w:r/>
    </w:p>
    <w:p>
      <w:pPr>
        <w:pStyle w:val="734"/>
        <w:keepLines/>
        <w:keepNext/>
        <w:spacing w:before="160" w:after="80"/>
        <w:rPr>
          <w:rFonts w:hint="eastAsia" w:ascii="宋体" w:hAnsi="宋体"/>
          <w:sz w:val="24"/>
          <w:szCs w:val="24"/>
        </w:rPr>
        <w:outlineLvl w:val="1"/>
      </w:pPr>
      <w:r>
        <w:rPr>
          <w:rFonts w:hint="eastAsia" w:ascii="宋体" w:hAnsi="宋体"/>
          <w:sz w:val="24"/>
          <w:szCs w:val="24"/>
        </w:rPr>
        <w:t xml:space="preserve">3、</w:t>
      </w:r>
      <w:r>
        <w:rPr>
          <w:rFonts w:ascii="宋体" w:hAnsi="宋体"/>
          <w:sz w:val="24"/>
          <w:szCs w:val="24"/>
        </w:rPr>
        <w:t xml:space="preserve">AI 算力管理平台</w:t>
      </w:r>
      <w:r>
        <w:rPr>
          <w:rFonts w:hint="eastAsia" w:ascii="宋体" w:hAnsi="宋体"/>
          <w:sz w:val="24"/>
          <w:szCs w:val="24"/>
        </w:rPr>
      </w:r>
      <w:r/>
    </w:p>
    <w:tbl>
      <w:tblPr>
        <w:tblW w:w="83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898"/>
        <w:gridCol w:w="5626"/>
      </w:tblGrid>
      <w:tr>
        <w:trPr>
          <w:tblHeader/>
        </w:trPr>
        <w:tc>
          <w:tcPr>
            <w:tcW w:w="835" w:type="dxa"/>
            <w:vAlign w:val="center"/>
            <w:textDirection w:val="lrTb"/>
            <w:noWrap w:val="false"/>
          </w:tcPr>
          <w:p>
            <w:pPr>
              <w:pStyle w:val="734"/>
              <w:jc w:val="center"/>
              <w:rPr>
                <w:rFonts w:ascii="宋体" w:hAnsi="宋体" w:cs="宋体"/>
                <w:b/>
                <w:sz w:val="24"/>
                <w:szCs w:val="24"/>
              </w:rPr>
            </w:pPr>
            <w:r>
              <w:rPr>
                <w:rFonts w:hint="eastAsia" w:ascii="宋体" w:hAnsi="宋体" w:cs="宋体"/>
                <w:b/>
                <w:bCs/>
                <w:sz w:val="24"/>
                <w:szCs w:val="24"/>
              </w:rPr>
              <w:t xml:space="preserve">序号</w:t>
            </w:r>
            <w:r>
              <w:rPr>
                <w:rFonts w:ascii="宋体" w:hAnsi="宋体" w:cs="宋体"/>
                <w:b/>
                <w:sz w:val="24"/>
                <w:szCs w:val="24"/>
              </w:rPr>
            </w:r>
            <w:r/>
          </w:p>
        </w:tc>
        <w:tc>
          <w:tcPr>
            <w:tcW w:w="1898" w:type="dxa"/>
            <w:vAlign w:val="center"/>
            <w:textDirection w:val="lrTb"/>
            <w:noWrap w:val="false"/>
          </w:tcPr>
          <w:p>
            <w:pPr>
              <w:pStyle w:val="734"/>
              <w:jc w:val="center"/>
              <w:rPr>
                <w:rFonts w:ascii="宋体" w:hAnsi="宋体" w:cs="宋体"/>
                <w:b/>
                <w:sz w:val="24"/>
                <w:szCs w:val="24"/>
                <w:lang w:eastAsia="en-US"/>
              </w:rPr>
            </w:pPr>
            <w:r>
              <w:rPr>
                <w:rFonts w:hint="eastAsia" w:ascii="宋体" w:hAnsi="宋体" w:cs="宋体"/>
                <w:b/>
                <w:bCs/>
                <w:sz w:val="24"/>
                <w:szCs w:val="24"/>
              </w:rPr>
              <w:t xml:space="preserve">名称</w:t>
            </w:r>
            <w:r>
              <w:rPr>
                <w:rFonts w:ascii="宋体" w:hAnsi="宋体" w:cs="宋体"/>
                <w:b/>
                <w:sz w:val="24"/>
                <w:szCs w:val="24"/>
                <w:lang w:eastAsia="en-US"/>
              </w:rPr>
            </w:r>
            <w:r/>
          </w:p>
        </w:tc>
        <w:tc>
          <w:tcPr>
            <w:tcW w:w="5626" w:type="dxa"/>
            <w:vAlign w:val="center"/>
            <w:textDirection w:val="lrTb"/>
            <w:noWrap w:val="false"/>
          </w:tcPr>
          <w:p>
            <w:pPr>
              <w:pStyle w:val="734"/>
              <w:jc w:val="center"/>
              <w:rPr>
                <w:rFonts w:ascii="宋体" w:hAnsi="宋体" w:cs="宋体"/>
                <w:b/>
                <w:sz w:val="24"/>
                <w:szCs w:val="24"/>
                <w:lang w:eastAsia="en-US"/>
              </w:rPr>
            </w:pPr>
            <w:r>
              <w:rPr>
                <w:rFonts w:hint="eastAsia" w:ascii="宋体" w:hAnsi="宋体" w:cs="宋体"/>
                <w:b/>
                <w:bCs/>
                <w:sz w:val="24"/>
                <w:szCs w:val="24"/>
              </w:rPr>
              <w:t xml:space="preserve">功能、性能、配置要求</w:t>
            </w:r>
            <w:r>
              <w:rPr>
                <w:rFonts w:ascii="宋体" w:hAnsi="宋体" w:cs="宋体"/>
                <w:b/>
                <w:sz w:val="24"/>
                <w:szCs w:val="24"/>
                <w:lang w:eastAsia="en-US"/>
              </w:rPr>
            </w:r>
            <w:r/>
          </w:p>
        </w:tc>
      </w:tr>
      <w:tr>
        <w:trPr/>
        <w:tc>
          <w:tcPr>
            <w:tcW w:w="835" w:type="dxa"/>
            <w:vAlign w:val="center"/>
            <w:textDirection w:val="lrTb"/>
            <w:noWrap w:val="false"/>
          </w:tcPr>
          <w:p>
            <w:pPr>
              <w:pStyle w:val="734"/>
              <w:jc w:val="center"/>
              <w:rPr>
                <w:rFonts w:ascii="宋体" w:hAnsi="宋体" w:cs="宋体"/>
                <w:i/>
                <w:iCs/>
                <w:szCs w:val="21"/>
                <w:u w:val="single"/>
              </w:rPr>
            </w:pPr>
            <w:r>
              <w:rPr>
                <w:rFonts w:hint="eastAsia" w:ascii="宋体" w:hAnsi="宋体" w:cs="宋体"/>
                <w:i/>
                <w:iCs/>
                <w:szCs w:val="21"/>
                <w:u w:val="single"/>
              </w:rPr>
              <w:t xml:space="preserve">1</w:t>
            </w:r>
            <w:r>
              <w:rPr>
                <w:rFonts w:ascii="宋体" w:hAnsi="宋体" w:cs="宋体"/>
                <w:i/>
                <w:iCs/>
                <w:szCs w:val="21"/>
                <w:u w:val="single"/>
              </w:rPr>
            </w:r>
            <w:r/>
          </w:p>
        </w:tc>
        <w:tc>
          <w:tcPr>
            <w:tcW w:w="1898" w:type="dxa"/>
            <w:vAlign w:val="center"/>
            <w:textDirection w:val="lrTb"/>
            <w:noWrap w:val="false"/>
          </w:tcPr>
          <w:p>
            <w:pPr>
              <w:pStyle w:val="734"/>
              <w:jc w:val="center"/>
              <w:rPr>
                <w:rFonts w:ascii="宋体" w:hAnsi="宋体" w:cs="宋体"/>
                <w:i/>
                <w:iCs/>
                <w:szCs w:val="21"/>
                <w:u w:val="single"/>
              </w:rPr>
            </w:pPr>
            <w:r>
              <w:rPr>
                <w:rFonts w:hint="eastAsia" w:ascii="宋体" w:hAnsi="宋体" w:cs="宋体"/>
                <w:i/>
                <w:iCs/>
                <w:szCs w:val="21"/>
                <w:u w:val="single"/>
              </w:rPr>
              <w:t xml:space="preserve">实质性要求</w:t>
            </w:r>
            <w:r>
              <w:rPr>
                <w:rFonts w:ascii="宋体" w:hAnsi="宋体" w:cs="宋体"/>
                <w:i/>
                <w:iCs/>
                <w:szCs w:val="21"/>
                <w:u w:val="single"/>
              </w:rPr>
            </w:r>
            <w:r/>
          </w:p>
        </w:tc>
        <w:tc>
          <w:tcPr>
            <w:tcW w:w="5626" w:type="dxa"/>
            <w:vAlign w:val="center"/>
            <w:textDirection w:val="lrTb"/>
            <w:noWrap w:val="false"/>
          </w:tcPr>
          <w:p>
            <w:pPr>
              <w:pStyle w:val="734"/>
              <w:rPr>
                <w:rFonts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rPr>
              <w:t xml:space="preserve">提供≥4</w:t>
            </w:r>
            <w:r>
              <w:rPr>
                <w:rFonts w:hint="eastAsia" w:ascii="宋体" w:hAnsi="宋体"/>
                <w:i/>
                <w:iCs/>
                <w:szCs w:val="21"/>
                <w:u w:val="single"/>
              </w:rPr>
              <w:t xml:space="preserve">节点软件License</w:t>
            </w:r>
            <w:r>
              <w:rPr>
                <w:rFonts w:ascii="宋体" w:hAnsi="宋体" w:cs="宋体"/>
                <w:i/>
                <w:iCs/>
                <w:szCs w:val="21"/>
                <w:u w:val="single"/>
              </w:rPr>
            </w:r>
            <w:r/>
          </w:p>
          <w:p>
            <w:pPr>
              <w:pStyle w:val="734"/>
              <w:rPr>
                <w:rFonts w:ascii="宋体" w:hAnsi="宋体" w:cs="宋体"/>
                <w:i/>
                <w:iCs/>
                <w:szCs w:val="21"/>
                <w:u w:val="single"/>
              </w:rPr>
            </w:pPr>
            <w:r>
              <w:rPr>
                <w:rFonts w:hint="eastAsia" w:ascii="宋体" w:hAnsi="宋体" w:cs="宋体"/>
                <w:i/>
                <w:iCs/>
                <w:szCs w:val="21"/>
                <w:u w:val="single"/>
              </w:rPr>
              <w:t xml:space="preserve">2、</w:t>
            </w:r>
            <w:r>
              <w:rPr>
                <w:rFonts w:hint="eastAsia" w:ascii="宋体" w:hAnsi="宋体" w:cs="宋体"/>
                <w:i/>
                <w:iCs/>
                <w:szCs w:val="21"/>
                <w:u w:val="single"/>
              </w:rPr>
              <w:t xml:space="preserve">资源管理：支持为不同用户分配独立的GPU资源配额，保障资源按需分配与隔离，避免资源争用与干扰；</w:t>
            </w:r>
            <w:r>
              <w:rPr>
                <w:rFonts w:ascii="宋体" w:hAnsi="宋体" w:cs="宋体"/>
                <w:i/>
                <w:iCs/>
                <w:szCs w:val="21"/>
                <w:u w:val="single"/>
              </w:rPr>
            </w:r>
            <w:r/>
          </w:p>
          <w:p>
            <w:pPr>
              <w:pStyle w:val="734"/>
              <w:rPr>
                <w:rFonts w:hint="eastAsia" w:ascii="宋体" w:hAnsi="宋体" w:cs="宋体"/>
                <w:b/>
                <w:bCs/>
                <w:i/>
                <w:iCs/>
                <w:szCs w:val="21"/>
                <w:u w:val="single"/>
              </w:rPr>
            </w:pPr>
            <w:r>
              <w:rPr>
                <w:rFonts w:hint="eastAsia" w:ascii="宋体" w:hAnsi="宋体" w:cs="宋体"/>
                <w:i/>
                <w:iCs/>
                <w:szCs w:val="21"/>
                <w:u w:val="single"/>
              </w:rPr>
              <w:t xml:space="preserve">3、算力资源调度：用户可根据具体的AI工作负载特性，精细化调整所需的计算资源。例如，在运行不同参数量级（如7B、13B、70B等）的大语言模型推理任务时，可自由地分配匹配的GPU卡数，确保计算资源与模型复杂度和推理负载相匹配，提升资源利用效率。</w:t>
            </w:r>
            <w:r>
              <w:rPr>
                <w:rFonts w:hint="eastAsia" w:ascii="宋体" w:hAnsi="宋体" w:cs="宋体"/>
                <w:b/>
                <w:bCs/>
                <w:i/>
                <w:iCs/>
                <w:szCs w:val="21"/>
                <w:u w:val="single"/>
              </w:rPr>
              <w:t xml:space="preserve">（提供使用界面截图或技术白皮书等官方证明材料并加盖投标人公章）</w:t>
            </w:r>
            <w:r>
              <w:rPr>
                <w:rFonts w:hint="eastAsia" w:ascii="宋体" w:hAnsi="宋体" w:cs="宋体"/>
                <w:b/>
                <w:bCs/>
                <w:i/>
                <w:iCs/>
                <w:szCs w:val="21"/>
                <w:u w:val="single"/>
              </w:rPr>
            </w:r>
            <w:r/>
          </w:p>
          <w:p>
            <w:pPr>
              <w:pStyle w:val="734"/>
              <w:rPr>
                <w:rFonts w:hint="eastAsia" w:ascii="宋体" w:hAnsi="宋体"/>
                <w:szCs w:val="24"/>
              </w:rPr>
            </w:pPr>
            <w:r>
              <w:rPr>
                <w:rFonts w:hint="eastAsia" w:ascii="宋体" w:hAnsi="宋体" w:cs="宋体"/>
                <w:i/>
                <w:iCs/>
                <w:szCs w:val="21"/>
                <w:u w:val="single"/>
              </w:rPr>
              <w:t xml:space="preserve">4、提供3年原厂维保服务。</w:t>
            </w:r>
            <w:r>
              <w:rPr>
                <w:rFonts w:hint="eastAsia" w:ascii="宋体" w:hAnsi="宋体"/>
                <w:szCs w:val="24"/>
              </w:rPr>
            </w:r>
            <w:r/>
          </w:p>
        </w:tc>
      </w:tr>
      <w:tr>
        <w:trPr/>
        <w:tc>
          <w:tcPr>
            <w:tcW w:w="835" w:type="dxa"/>
            <w:vAlign w:val="center"/>
            <w:textDirection w:val="lrTb"/>
            <w:noWrap w:val="false"/>
          </w:tcPr>
          <w:p>
            <w:pPr>
              <w:pStyle w:val="734"/>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898" w:type="dxa"/>
            <w:vAlign w:val="center"/>
            <w:textDirection w:val="lrTb"/>
            <w:noWrap w:val="false"/>
          </w:tcPr>
          <w:p>
            <w:pPr>
              <w:pStyle w:val="734"/>
              <w:jc w:val="center"/>
              <w:rPr>
                <w:rFonts w:ascii="宋体" w:hAnsi="宋体" w:cs="宋体"/>
                <w:szCs w:val="21"/>
                <w:lang w:eastAsia="en-US"/>
              </w:rPr>
            </w:pPr>
            <w:r>
              <w:rPr>
                <w:rFonts w:hint="eastAsia" w:ascii="宋体" w:hAnsi="宋体" w:cs="宋体"/>
                <w:szCs w:val="21"/>
              </w:rPr>
              <w:t xml:space="preserve">非实质性要求</w:t>
            </w:r>
            <w:r>
              <w:rPr>
                <w:rFonts w:ascii="宋体" w:hAnsi="宋体" w:cs="宋体"/>
                <w:szCs w:val="21"/>
                <w:lang w:eastAsia="en-US"/>
              </w:rPr>
            </w:r>
            <w:r/>
          </w:p>
        </w:tc>
        <w:tc>
          <w:tcPr>
            <w:tcW w:w="5626" w:type="dxa"/>
            <w:vAlign w:val="center"/>
            <w:textDirection w:val="lrTb"/>
            <w:noWrap w:val="false"/>
          </w:tcPr>
          <w:p>
            <w:pPr>
              <w:pStyle w:val="734"/>
              <w:rPr>
                <w:rFonts w:ascii="宋体" w:hAnsi="宋体" w:cs="宋体"/>
                <w:szCs w:val="21"/>
              </w:rPr>
            </w:pPr>
            <w:r>
              <w:rPr>
                <w:rFonts w:hint="eastAsia" w:ascii="宋体" w:hAnsi="宋体" w:cs="宋体"/>
                <w:szCs w:val="21"/>
              </w:rPr>
              <w:t xml:space="preserve">1、支持覆盖多个主流开源模型；模型类型至少覆盖LLM、Embedding、Rerank等；支持模糊与精确搜索，支持按模型类型、上下文长度、语言、支持芯片、模型供应商等多维筛选；支持查看并切换不同权重参数版本；</w:t>
            </w:r>
            <w:r>
              <w:rPr>
                <w:rFonts w:ascii="宋体" w:hAnsi="宋体" w:cs="宋体"/>
                <w:szCs w:val="21"/>
              </w:rPr>
            </w:r>
            <w:r/>
          </w:p>
          <w:p>
            <w:pPr>
              <w:pStyle w:val="734"/>
              <w:rPr>
                <w:rFonts w:ascii="宋体" w:hAnsi="宋体" w:cs="宋体"/>
                <w:szCs w:val="21"/>
              </w:rPr>
            </w:pPr>
            <w:r>
              <w:rPr>
                <w:rFonts w:hint="eastAsia" w:ascii="宋体" w:hAnsi="宋体" w:cs="宋体"/>
                <w:szCs w:val="21"/>
              </w:rPr>
              <w:t xml:space="preserve">2、支持用户在部署模型时按需选择推理引擎（如MindIE、vLLM、Transformers等）、模型版本、部署卡资源（如GPU/NPU序号）、模型权重地址等参数；支持灵活切换与重部署；</w:t>
            </w:r>
            <w:r>
              <w:rPr>
                <w:rFonts w:ascii="宋体" w:hAnsi="宋体" w:cs="宋体"/>
                <w:szCs w:val="21"/>
              </w:rPr>
            </w:r>
            <w:r/>
          </w:p>
          <w:p>
            <w:pPr>
              <w:pStyle w:val="734"/>
              <w:rPr>
                <w:rFonts w:ascii="宋体" w:hAnsi="宋体" w:cs="宋体"/>
                <w:szCs w:val="21"/>
              </w:rPr>
            </w:pPr>
            <w:r>
              <w:rPr>
                <w:rFonts w:hint="eastAsia" w:ascii="宋体" w:hAnsi="宋体" w:cs="宋体"/>
                <w:szCs w:val="21"/>
              </w:rPr>
              <w:t xml:space="preserve">3、支持用户根据实际情况输入模型名称、描述、上下文长度、语言、属性（如LLM/Embedding/Rerank）、Family、路径、参数量等字段，完成模型注册与平台接入；</w:t>
            </w:r>
            <w:r>
              <w:rPr>
                <w:rFonts w:ascii="宋体" w:hAnsi="宋体" w:cs="宋体"/>
                <w:szCs w:val="21"/>
              </w:rPr>
            </w:r>
            <w:r/>
          </w:p>
          <w:p>
            <w:pPr>
              <w:pStyle w:val="734"/>
              <w:rPr>
                <w:rFonts w:ascii="宋体" w:hAnsi="宋体" w:cs="宋体"/>
                <w:szCs w:val="21"/>
              </w:rPr>
            </w:pPr>
            <w:r>
              <w:rPr>
                <w:rFonts w:hint="eastAsia" w:ascii="宋体" w:hAnsi="宋体"/>
                <w:szCs w:val="21"/>
              </w:rPr>
              <w:t xml:space="preserve">●</w:t>
            </w:r>
            <w:r>
              <w:rPr>
                <w:rFonts w:hint="eastAsia" w:ascii="宋体" w:hAnsi="宋体" w:cs="宋体"/>
                <w:szCs w:val="21"/>
              </w:rPr>
              <w:t xml:space="preserve">4、支持对已部署模型服务实例进行多副本的弹性扩缩容操作，保障推理服务的性能稳定和资源负载均衡；多副本对外统一暴露同一API地址；具备高可用和灾备能力。</w:t>
            </w:r>
            <w:r>
              <w:rPr>
                <w:rFonts w:hint="eastAsia" w:ascii="宋体" w:hAnsi="宋体" w:cs="宋体"/>
                <w:b/>
                <w:bCs/>
                <w:szCs w:val="21"/>
              </w:rPr>
              <w:t xml:space="preserve">（提供使用界面截图或技术白皮书等官方证明材料并加盖投标人公章）</w:t>
            </w:r>
            <w:r>
              <w:rPr>
                <w:rFonts w:ascii="宋体" w:hAnsi="宋体" w:cs="宋体"/>
                <w:szCs w:val="21"/>
              </w:rPr>
            </w:r>
            <w:r/>
          </w:p>
          <w:p>
            <w:pPr>
              <w:pStyle w:val="734"/>
              <w:rPr>
                <w:rFonts w:ascii="宋体" w:hAnsi="宋体" w:cs="宋体"/>
                <w:szCs w:val="21"/>
              </w:rPr>
            </w:pPr>
            <w:r>
              <w:rPr>
                <w:rFonts w:hint="eastAsia" w:ascii="宋体" w:hAnsi="宋体" w:cs="宋体"/>
                <w:szCs w:val="21"/>
              </w:rPr>
              <w:t xml:space="preserve">5、支持用户便捷获取已部署模型实例的调用信息，包括 base_url、model_id、api_key 等字段；信息可用于外部应用系统集成；</w:t>
            </w:r>
            <w:r>
              <w:rPr>
                <w:rFonts w:ascii="宋体" w:hAnsi="宋体" w:cs="宋体"/>
                <w:szCs w:val="21"/>
              </w:rPr>
            </w:r>
            <w:r/>
          </w:p>
          <w:p>
            <w:pPr>
              <w:pStyle w:val="734"/>
              <w:rPr>
                <w:rFonts w:ascii="宋体" w:hAnsi="宋体" w:cs="宋体"/>
                <w:szCs w:val="21"/>
              </w:rPr>
            </w:pPr>
            <w:r>
              <w:rPr>
                <w:rFonts w:hint="eastAsia" w:ascii="宋体" w:hAnsi="宋体" w:cs="宋体"/>
                <w:szCs w:val="21"/>
              </w:rPr>
              <w:t xml:space="preserve">6、支持用户在平台上对多个已部署模型进行同时体验与结果对比；支持统一输入、多模型输出并列展示；</w:t>
            </w:r>
            <w:r>
              <w:rPr>
                <w:rFonts w:ascii="宋体" w:hAnsi="宋体" w:cs="宋体"/>
                <w:szCs w:val="21"/>
              </w:rPr>
            </w:r>
            <w:r/>
          </w:p>
          <w:p>
            <w:pPr>
              <w:pStyle w:val="734"/>
              <w:rPr>
                <w:rFonts w:ascii="宋体" w:hAnsi="宋体" w:cs="宋体"/>
                <w:szCs w:val="21"/>
              </w:rPr>
            </w:pPr>
            <w:r>
              <w:rPr>
                <w:rFonts w:hint="eastAsia" w:ascii="宋体" w:hAnsi="宋体" w:cs="宋体"/>
                <w:szCs w:val="21"/>
              </w:rPr>
              <w:t xml:space="preserve">7、支持实时展示运行中模型实例的GPU数量、实时处理tokens数、GPU使用率、输入输出tokens数及其趋势图；支持图形化界面展示与资源使用情况；</w:t>
            </w:r>
            <w:r>
              <w:rPr>
                <w:rFonts w:ascii="宋体" w:hAnsi="宋体" w:cs="宋体"/>
                <w:szCs w:val="21"/>
              </w:rPr>
            </w:r>
            <w:r/>
          </w:p>
          <w:p>
            <w:pPr>
              <w:pStyle w:val="734"/>
              <w:rPr>
                <w:rFonts w:ascii="宋体" w:hAnsi="宋体" w:cs="宋体"/>
                <w:szCs w:val="21"/>
              </w:rPr>
            </w:pPr>
            <w:r>
              <w:rPr>
                <w:rFonts w:hint="eastAsia" w:ascii="宋体" w:hAnsi="宋体"/>
                <w:szCs w:val="21"/>
              </w:rPr>
              <w:t xml:space="preserve">●</w:t>
            </w:r>
            <w:r>
              <w:rPr>
                <w:rFonts w:hint="eastAsia" w:ascii="宋体" w:hAnsi="宋体" w:cs="宋体"/>
                <w:szCs w:val="21"/>
              </w:rPr>
              <w:t xml:space="preserve">8、支持全量网关API调用追踪与Token消耗统计。通过可视化指标矩阵（分布饼图、趋势折线等），提供覆盖用户、模型及网关实例的多用户用量画像与流量分析；</w:t>
            </w:r>
            <w:r>
              <w:rPr>
                <w:rFonts w:hint="eastAsia" w:ascii="宋体" w:hAnsi="宋体" w:cs="宋体"/>
                <w:b/>
                <w:bCs/>
                <w:szCs w:val="21"/>
              </w:rPr>
              <w:t xml:space="preserve">（提供使用界面截图或技术白皮书等官方证明材料并加盖投标人公章）</w:t>
            </w:r>
            <w:r>
              <w:rPr>
                <w:rFonts w:ascii="宋体" w:hAnsi="宋体" w:cs="宋体"/>
                <w:szCs w:val="21"/>
              </w:rPr>
            </w:r>
            <w:r/>
          </w:p>
          <w:p>
            <w:pPr>
              <w:pStyle w:val="734"/>
              <w:rPr>
                <w:rFonts w:ascii="宋体" w:hAnsi="宋体" w:cs="宋体"/>
                <w:b/>
                <w:bCs/>
                <w:szCs w:val="21"/>
              </w:rPr>
            </w:pPr>
            <w:r>
              <w:rPr>
                <w:rFonts w:hint="eastAsia" w:ascii="宋体" w:hAnsi="宋体"/>
                <w:szCs w:val="21"/>
              </w:rPr>
              <w:t xml:space="preserve">●</w:t>
            </w:r>
            <w:r>
              <w:rPr>
                <w:rFonts w:hint="eastAsia" w:ascii="宋体" w:hAnsi="宋体" w:cs="宋体"/>
                <w:szCs w:val="21"/>
              </w:rPr>
              <w:t xml:space="preserve">9、内置智能模型画像引擎，可自动识别模型结构与规模，结合不同硬件兼容性矩阵映射，实现推理资源（卡数、显存、内存、CPU）的精准量化评估与部署方案资源推荐。</w:t>
            </w:r>
            <w:r>
              <w:rPr>
                <w:rFonts w:hint="eastAsia" w:ascii="宋体" w:hAnsi="宋体" w:cs="宋体"/>
                <w:b/>
                <w:bCs/>
                <w:szCs w:val="21"/>
              </w:rPr>
              <w:t xml:space="preserve">（提供使用界面截图或技术白皮书等官方证明材料并加盖投标人公章）</w:t>
            </w:r>
            <w:r>
              <w:rPr>
                <w:rFonts w:ascii="宋体" w:hAnsi="宋体" w:cs="宋体"/>
                <w:b/>
                <w:bCs/>
                <w:szCs w:val="21"/>
              </w:rPr>
            </w:r>
            <w:r/>
          </w:p>
          <w:p>
            <w:pPr>
              <w:pStyle w:val="734"/>
              <w:rPr>
                <w:rFonts w:ascii="宋体" w:hAnsi="宋体" w:cs="宋体"/>
                <w:szCs w:val="21"/>
              </w:rPr>
            </w:pPr>
            <w:r>
              <w:rPr>
                <w:rFonts w:hint="eastAsia" w:ascii="宋体" w:hAnsi="宋体"/>
                <w:szCs w:val="21"/>
              </w:rPr>
              <w:t xml:space="preserve">●</w:t>
            </w:r>
            <w:r>
              <w:rPr>
                <w:rFonts w:hint="eastAsia" w:ascii="宋体" w:hAnsi="宋体" w:cs="宋体"/>
                <w:szCs w:val="21"/>
              </w:rPr>
              <w:t xml:space="preserve">10、支持从源服务器到目标服务器快速无缝同步，确保模型服务的配置、接口、参数与源服务器完全一致，无差异。</w:t>
            </w:r>
            <w:r>
              <w:rPr>
                <w:rFonts w:hint="eastAsia" w:ascii="宋体" w:hAnsi="宋体" w:cs="宋体"/>
                <w:b/>
                <w:bCs/>
                <w:szCs w:val="21"/>
              </w:rPr>
              <w:t xml:space="preserve">（提供使用界面截图或技术白皮书等官方证明材料并加盖投标人公章</w:t>
            </w:r>
            <w:r>
              <w:rPr>
                <w:rFonts w:hint="eastAsia" w:ascii="宋体" w:hAnsi="宋体" w:cs="宋体"/>
                <w:szCs w:val="21"/>
              </w:rPr>
              <w:t xml:space="preserve">）</w:t>
            </w:r>
            <w:r>
              <w:rPr>
                <w:rFonts w:ascii="宋体" w:hAnsi="宋体" w:cs="宋体"/>
                <w:szCs w:val="21"/>
              </w:rPr>
            </w:r>
            <w:r/>
          </w:p>
          <w:p>
            <w:pPr>
              <w:pStyle w:val="734"/>
              <w:rPr>
                <w:rFonts w:hint="eastAsia" w:ascii="宋体" w:hAnsi="宋体"/>
                <w:szCs w:val="21"/>
              </w:rPr>
            </w:pPr>
            <w:r>
              <w:rPr>
                <w:rFonts w:hint="eastAsia" w:ascii="宋体" w:hAnsi="宋体" w:cs="宋体"/>
                <w:szCs w:val="21"/>
              </w:rPr>
              <w:t xml:space="preserve">▲11、投标人所投产品须完全兼容一期现有训推一体节点设备和算力管理平台 ，涵盖硬件设备及驱动程序、管理接口等，确保现有设备可无缝接入、稳定运行，不影响原有业务正常开展；</w:t>
            </w:r>
            <w:r>
              <w:rPr>
                <w:rFonts w:hint="eastAsia" w:ascii="宋体" w:hAnsi="宋体" w:cs="宋体"/>
                <w:b/>
                <w:bCs/>
                <w:szCs w:val="21"/>
              </w:rPr>
              <w:t xml:space="preserve">投标人须针对上述兼容性要求提供正式的软件兼容性承诺，承诺内容真实有效，加盖投标人公章，格式自拟，作为投标文件的组成部分；</w:t>
            </w:r>
            <w:r>
              <w:rPr>
                <w:rFonts w:hint="eastAsia" w:ascii="宋体" w:hAnsi="宋体"/>
                <w:szCs w:val="21"/>
              </w:rPr>
            </w:r>
            <w:r/>
          </w:p>
        </w:tc>
      </w:tr>
    </w:tbl>
    <w:p>
      <w:pPr>
        <w:pStyle w:val="734"/>
        <w:rPr>
          <w:rFonts w:hint="eastAsia" w:ascii="宋体" w:hAnsi="宋体"/>
          <w:sz w:val="24"/>
          <w:szCs w:val="24"/>
        </w:rPr>
      </w:pPr>
      <w:r>
        <w:rPr>
          <w:rFonts w:hint="eastAsia" w:ascii="宋体" w:hAnsi="宋体"/>
          <w:sz w:val="24"/>
          <w:szCs w:val="24"/>
        </w:rPr>
      </w:r>
      <w:r/>
    </w:p>
    <w:p>
      <w:pPr>
        <w:pStyle w:val="734"/>
        <w:spacing w:line="264" w:lineRule="auto"/>
        <w:rPr>
          <w:rFonts w:ascii="宋体" w:hAnsi="宋体" w:cs="宋体"/>
          <w:b/>
          <w:sz w:val="24"/>
        </w:rPr>
      </w:pPr>
      <w:r>
        <w:rPr>
          <w:rFonts w:hint="eastAsia" w:ascii="宋体" w:hAnsi="宋体" w:cs="宋体"/>
          <w:b/>
          <w:sz w:val="24"/>
        </w:rPr>
        <w:t xml:space="preserve">（二）项目要求</w:t>
      </w:r>
      <w:r>
        <w:rPr>
          <w:rFonts w:ascii="宋体" w:hAnsi="宋体" w:cs="宋体"/>
          <w:b/>
          <w:sz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1、项目总体要求</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投标人根据招标文件对本次采购需求，提供整体技术解决方案，提供完善的技术方案确保项目顺利实施运行，方案应科学、合理、切实可行、符合服务目标。</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2、项目系统集成方案</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根据项目需求和特点，提供项目系统集成方案，项目系统集成方案包含需求调研、设计、安装调试、数据迁移、测试、试运行等内容的工作程序和步骤、关键步骤思路和要点、进度计划安排等，尤其要确保按期进行系统试运行</w:t>
      </w:r>
      <w:r>
        <w:rPr>
          <w:rFonts w:hint="eastAsia" w:ascii="宋体" w:hAnsi="宋体" w:cs="宋体"/>
          <w:color w:val="000000"/>
          <w:sz w:val="24"/>
          <w:szCs w:val="24"/>
        </w:rPr>
        <w:t xml:space="preserve">，重点要求如下：</w:t>
      </w:r>
      <w:r>
        <w:rPr>
          <w:rFonts w:ascii="宋体" w:hAnsi="宋体" w:cs="宋体"/>
          <w:color w:val="000000"/>
          <w:sz w:val="24"/>
          <w:szCs w:val="24"/>
        </w:rPr>
      </w:r>
      <w:r/>
    </w:p>
    <w:p>
      <w:pPr>
        <w:pStyle w:val="734"/>
        <w:ind w:firstLine="48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设计合理性、安装调试：项目系统集成方案应针对采购人的实际需求进行定制化设计，并提供详细的系统架构设计和网络拓扑结构图。不同的业务需求、IT基础设施现状和发展规划存在差异，因此项目系统集成方案应充分考虑这些因素，确保项目的实施能够真正解决面临的问题和挑战；安装调试阶段实施严谨的流程控制，从硬件兼容性测试、网络架构设计到操作系统与软件的部署，每一步均遵循既定规范与最佳实践。采用分阶段部署策略，确保各组件间无缝集成与协同工作。</w:t>
      </w:r>
      <w:r>
        <w:rPr>
          <w:rFonts w:hint="eastAsia" w:ascii="宋体" w:hAnsi="宋体" w:cs="宋体"/>
          <w:color w:val="000000"/>
          <w:sz w:val="24"/>
          <w:szCs w:val="24"/>
        </w:rPr>
      </w:r>
      <w:r/>
    </w:p>
    <w:p>
      <w:pPr>
        <w:pStyle w:val="734"/>
        <w:ind w:firstLine="48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（2）数据迁移：数据迁移是 AI 服务器项目顺畅上线的核心保障。通过高效传输工具与规范流程，制定涵盖训练数据与模型权重的详尽迁移计划，明确时间节点与回滚预案。迁移中执行严格的数据校验与增量同步，确保海量数据一致性。配合断点续传与应急响应机制，全面化解传输异常与故障风险，保障 AI 业务平稳接轨。</w:t>
      </w:r>
      <w:r>
        <w:rPr>
          <w:rFonts w:hint="eastAsia" w:ascii="宋体" w:hAnsi="宋体" w:cs="宋体"/>
          <w:color w:val="000000"/>
          <w:sz w:val="24"/>
          <w:szCs w:val="24"/>
        </w:rPr>
      </w:r>
      <w:r/>
    </w:p>
    <w:p>
      <w:pPr>
        <w:pStyle w:val="734"/>
        <w:ind w:firstLine="48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测试及试运行：测试阶段采用全面覆盖、多维度评估的方法，包括功能测试、性能测试及兼容性测试等。根据业务需求与系统设计，制定详细的测试计划与测试用例，确保测试有序进行。利用自动化测试工具与手动测试相结合，提高测试效率与准确性；试运行阶段作为系统正式上线前的关键步骤，旨在全面验证系统在实际环境中的表现与稳定性。通过模拟真实业务场景进行运行监控与性能评估，收集系统日志、性能指标与用户反馈等关键信息。根据监控结果与用户反馈进行问题排查与系统调优，确保系统性能达到设计要求并满足业务需求。</w:t>
      </w:r>
      <w:r>
        <w:rPr>
          <w:rFonts w:hint="eastAsia"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（4）科学</w:t>
      </w:r>
      <w:r>
        <w:rPr>
          <w:rFonts w:hint="eastAsia" w:ascii="宋体" w:hAnsi="宋体" w:cs="宋体"/>
          <w:color w:val="000000"/>
          <w:sz w:val="24"/>
          <w:szCs w:val="24"/>
        </w:rPr>
        <w:t xml:space="preserve">先进性、可扩充性、安全性：投标方案应在上述基础上，针对本项目GPU算力平台的技术特性，详细阐述系统集成方案的科学先进性（例如采用GPU虚拟化与资源池化技术实现算力精细切分与动态分配），可扩充性（例如支持GPU计算节点平滑扩容与算力资源池在线扩展，集群性能实现近线性增长；预留异构计算接口，兼容后续不同代际GPU或混合算力扩展），以及安全性（实施多租户强隔离策略，保障算力资源在空间和时间维度上的独立安全）。投标人需提供优于常规方案的具体措施和实施方案，确保系统在技术领先性、未来扩展能力和安全保障方面具有明显优势</w:t>
      </w:r>
      <w:r>
        <w:rPr>
          <w:rFonts w:ascii="宋体" w:hAnsi="宋体" w:cs="宋体"/>
          <w:color w:val="000000"/>
          <w:sz w:val="24"/>
          <w:szCs w:val="24"/>
        </w:rPr>
        <w:t xml:space="preserve">。</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3、项目实施方案</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投标人应成立专业的项目组，提供项目实施方案，包括提供服务各项目和环节的时间进度、人员配置安排、质量控制等，方案应科学、合理、切实可行、针对性强，能确保自合同签订之日起 1 个月内完成所有合同标的交货，并安排人员完成 AI 服务器的上架与安装部署、AI 开发环境/算力平台搭建、相关历史数据迁移、甲方相关人员的培训工作，并确保项目整体质量控制达到项目及各参数要求</w:t>
      </w:r>
      <w:r>
        <w:rPr>
          <w:rFonts w:hint="eastAsia" w:ascii="宋体" w:hAnsi="宋体" w:cs="宋体"/>
          <w:color w:val="000000"/>
          <w:sz w:val="24"/>
          <w:szCs w:val="24"/>
        </w:rPr>
        <w:t xml:space="preserve">。</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4、项目验收方案</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（1）验收工作由采购人组织实施，由采购人、中标人及原厂商共同完成。</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（2）中标人保质保量、按整体解决方案如期完成全部工作，满足项目的全部建设要求。</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（3）中标人应按照采购人要求，移交本包实施过程中的各类文档，并经过采购人验收签字。</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（4）中标人应就安装、调试、集成工作，采取文档讲解、会议研讨、培训、在日常工作中进行传帮带等方式，完成对采购人的知识转移工作。</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5、履约能力</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（1）投标人须出具质量保障承诺函，确保提供的数据准确，</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（2）投标人提供近三年（2023年 8月1日至投标截止日）系统集成或软件开发类项目案例，提供合同复印件并加盖公章。</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（3）投标人服务及时，确保本项目质量，若与响应参数不符，将按照政府采购有关规定承担法律责任。</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服务团队：项目经理具备信息系统项目管理师（高级）证书；项目团队成员至少五人且具有注册信息安全证书（CISP）、中级职称证书、中级信息安全工程师、中级软件设计、数据库系统工程师等软考中级以上证书的优先。</w:t>
      </w:r>
      <w:r>
        <w:rPr>
          <w:rFonts w:ascii="宋体" w:hAnsi="宋体" w:cs="宋体"/>
          <w:color w:val="000000"/>
          <w:sz w:val="24"/>
          <w:szCs w:val="24"/>
        </w:rPr>
      </w:r>
      <w:r/>
    </w:p>
    <w:p>
      <w:pPr>
        <w:pStyle w:val="734"/>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6、培训方案</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针对本项目相关人员培训的具体时间和地点将在采购人认为方便合适的时间和地点举行，中标供应商应对采购人技术人员和维护人员进行全面的培训，采购人经过培训后，应能熟练掌握使用设备的方法，独立完成软硬件的维护工作，掌握网络运行情况并能及时排除大部分的设备故障。</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7、售后服务要求</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（1）服务内容</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设备调试由投标方负责，并提交设备调试的内容、项目、指标和方法，设备测试的内容应单独作为合同的附件。系统测试的条款应与技术规范一致。在调试过程中投标方应提供相应的仪器和工具，招标方提供工程技术人员参与安装与调测，投标方有责任对招标方的技术人员提出的问题作出解答。</w:t>
      </w:r>
      <w:r>
        <w:rPr>
          <w:rFonts w:ascii="宋体" w:hAnsi="宋体" w:cs="宋体"/>
          <w:color w:val="000000"/>
          <w:sz w:val="24"/>
          <w:szCs w:val="24"/>
        </w:rPr>
      </w:r>
      <w:r/>
    </w:p>
    <w:p>
      <w:pPr>
        <w:pStyle w:val="734"/>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所有硬件调试应进行详细记录, 系统调试结束后, 由投标方技术人员签字后交给招标方验货。投标方应按照招标方的要求提供设备安装调试时所需的工程施工资料， 在安装调测前必须将施工资料发到安装现场，投标方有责任在保证安全和质量的前提下提供技术服务, 包括技术咨询等。</w:t>
      </w:r>
      <w:r>
        <w:rPr>
          <w:rFonts w:ascii="宋体" w:hAnsi="宋体" w:cs="宋体"/>
          <w:color w:val="000000"/>
          <w:sz w:val="24"/>
          <w:szCs w:val="24"/>
        </w:rPr>
      </w:r>
      <w:r/>
    </w:p>
    <w:p>
      <w:pPr>
        <w:pStyle w:val="734"/>
        <w:ind w:firstLine="480"/>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投标方在设备的安装调测过程中，应结合招标方的安全需要和网络环境，最大限度的对现有安全产品和网络产品进行整体优化，以保证所购买的设备发挥最大功效。在设备安装调测期间，若技术方案发生更改，投标方有责任根据招标方的要求保证工程顺利实施。</w:t>
      </w:r>
      <w:r/>
      <w:r/>
    </w:p>
    <w:p>
      <w:pPr>
        <w:pStyle w:val="734"/>
        <w:numPr>
          <w:ilvl w:val="0"/>
          <w:numId w:val="8"/>
        </w:num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服务品质要求</w:t>
      </w:r>
      <w:r>
        <w:rPr>
          <w:rFonts w:ascii="宋体" w:hAnsi="宋体" w:cs="宋体"/>
          <w:sz w:val="24"/>
        </w:rPr>
      </w:r>
      <w:r/>
    </w:p>
    <w:tbl>
      <w:tblPr>
        <w:tblW w:w="851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7"/>
        <w:gridCol w:w="2465"/>
        <w:gridCol w:w="2863"/>
        <w:gridCol w:w="2444"/>
      </w:tblGrid>
      <w:tr>
        <w:trPr>
          <w:trHeight w:val="553"/>
        </w:trPr>
        <w:tc>
          <w:tcPr>
            <w:shd w:val="clear" w:color="auto" w:fill="d9d9d9"/>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序号</w:t>
            </w:r>
            <w:r>
              <w:rPr>
                <w:rFonts w:ascii="宋体" w:hAnsi="宋体" w:cs="宋体"/>
              </w:rPr>
            </w:r>
            <w:r/>
          </w:p>
        </w:tc>
        <w:tc>
          <w:tcPr>
            <w:shd w:val="clear" w:color="auto" w:fill="d9d9d9"/>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服务方式</w:t>
            </w:r>
            <w:r>
              <w:rPr>
                <w:rFonts w:ascii="宋体" w:hAnsi="宋体" w:cs="宋体"/>
              </w:rPr>
            </w:r>
            <w:r/>
          </w:p>
        </w:tc>
        <w:tc>
          <w:tcPr>
            <w:shd w:val="clear" w:color="auto" w:fill="d9d9d9"/>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服务方式描述</w:t>
            </w:r>
            <w:r>
              <w:rPr>
                <w:rFonts w:ascii="宋体" w:hAnsi="宋体" w:cs="宋体"/>
              </w:rPr>
            </w:r>
            <w:r/>
          </w:p>
        </w:tc>
        <w:tc>
          <w:tcPr>
            <w:shd w:val="clear" w:color="auto" w:fill="d9d9d9"/>
            <w:tcBorders>
              <w:top w:val="single" w:color="000000" w:sz="4" w:space="0"/>
              <w:left w:val="none" w:color="000000" w:sz="4" w:space="0"/>
              <w:bottom w:val="single" w:color="000000" w:sz="4" w:space="0"/>
              <w:right w:val="single" w:color="000000" w:sz="4" w:space="0"/>
            </w:tcBorders>
            <w:tcW w:w="2444"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服务响应</w:t>
            </w:r>
            <w:r>
              <w:rPr>
                <w:rFonts w:ascii="宋体" w:hAnsi="宋体" w:cs="宋体"/>
              </w:rPr>
            </w:r>
            <w:r/>
          </w:p>
          <w:p>
            <w:pPr>
              <w:pStyle w:val="734"/>
              <w:jc w:val="center"/>
              <w:spacing w:line="360" w:lineRule="exact"/>
              <w:rPr>
                <w:rFonts w:ascii="宋体" w:hAnsi="宋体" w:cs="宋体"/>
              </w:rPr>
            </w:pPr>
            <w:r>
              <w:rPr>
                <w:rFonts w:hint="eastAsia" w:ascii="宋体" w:hAnsi="宋体" w:cs="宋体"/>
                <w:lang w:bidi="ar"/>
              </w:rPr>
              <w:t xml:space="preserve">时间</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747"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1</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2465"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服务热线支持</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863"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7×24覆盖，实时响应</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7×24</w:t>
            </w:r>
            <w:r>
              <w:rPr>
                <w:rFonts w:ascii="宋体" w:hAnsi="宋体" w:cs="宋体"/>
              </w:rPr>
            </w:r>
            <w:r/>
          </w:p>
        </w:tc>
      </w:tr>
      <w:tr>
        <w:trPr>
          <w:trHeight w:val="454"/>
        </w:trPr>
        <w:tc>
          <w:tcPr>
            <w:tcBorders>
              <w:top w:val="none" w:color="000000" w:sz="4" w:space="0"/>
              <w:left w:val="single" w:color="000000" w:sz="4" w:space="0"/>
              <w:bottom w:val="none" w:color="000000" w:sz="4" w:space="0"/>
              <w:right w:val="single" w:color="000000" w:sz="4" w:space="0"/>
            </w:tcBorders>
            <w:tcW w:w="747"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2</w:t>
            </w:r>
            <w:r>
              <w:rPr>
                <w:rFonts w:ascii="宋体" w:hAnsi="宋体" w:cs="宋体"/>
              </w:rPr>
            </w:r>
            <w:r/>
          </w:p>
        </w:tc>
        <w:tc>
          <w:tcPr>
            <w:tcBorders>
              <w:top w:val="none" w:color="000000" w:sz="4" w:space="0"/>
              <w:left w:val="single" w:color="000000" w:sz="4" w:space="0"/>
              <w:bottom w:val="none" w:color="000000" w:sz="4" w:space="0"/>
              <w:right w:val="single" w:color="000000" w:sz="4" w:space="0"/>
            </w:tcBorders>
            <w:tcW w:w="2465"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远程问题处理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863"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7×24覆盖，电话+远程接入</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7×24</w:t>
            </w:r>
            <w:r>
              <w:rPr>
                <w:rFonts w:ascii="宋体" w:hAnsi="宋体" w:cs="宋体"/>
              </w:rPr>
            </w:r>
            <w:r/>
          </w:p>
        </w:tc>
      </w:tr>
      <w:tr>
        <w:trPr>
          <w:trHeight w:val="454"/>
        </w:trPr>
        <w:tc>
          <w:tcPr>
            <w:tcBorders>
              <w:top w:val="single" w:color="000000" w:sz="4" w:space="0"/>
              <w:left w:val="single" w:color="000000" w:sz="4" w:space="0"/>
              <w:bottom w:val="none" w:color="000000" w:sz="4" w:space="0"/>
              <w:right w:val="single" w:color="000000" w:sz="4" w:space="0"/>
            </w:tcBorders>
            <w:tcW w:w="747"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3</w:t>
            </w:r>
            <w:r>
              <w:rPr>
                <w:rFonts w:ascii="宋体" w:hAnsi="宋体" w:cs="宋体"/>
              </w:rPr>
            </w:r>
            <w:r/>
          </w:p>
        </w:tc>
        <w:tc>
          <w:tcPr>
            <w:tcBorders>
              <w:top w:val="single" w:color="000000" w:sz="4" w:space="0"/>
              <w:left w:val="single" w:color="000000" w:sz="4" w:space="0"/>
              <w:bottom w:val="none" w:color="000000" w:sz="4" w:space="0"/>
              <w:right w:val="single" w:color="000000" w:sz="4" w:space="0"/>
            </w:tcBorders>
            <w:tcW w:w="2465"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在线技术支持</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863"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技术信息共享和补丁下载</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7×24</w:t>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软件更新服务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863"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提供设备版本软件更新服务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pStyle w:val="734"/>
              <w:jc w:val="center"/>
              <w:spacing w:line="360" w:lineRule="exact"/>
              <w:rPr>
                <w:rFonts w:ascii="宋体" w:hAnsi="宋体" w:cs="宋体"/>
              </w:rPr>
            </w:pPr>
            <w:r>
              <w:rPr>
                <w:rFonts w:hint="eastAsia" w:ascii="宋体" w:hAnsi="宋体" w:cs="宋体"/>
                <w:lang w:bidi="ar"/>
              </w:rPr>
              <w:t xml:space="preserve">7×24</w:t>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734"/>
              <w:jc w:val="center"/>
              <w:spacing w:line="360" w:lineRule="exact"/>
              <w:rPr>
                <w:rFonts w:ascii="宋体" w:hAnsi="宋体" w:cs="宋体"/>
                <w:lang w:bidi="ar"/>
              </w:rPr>
            </w:pPr>
            <w:r>
              <w:rPr>
                <w:rFonts w:hint="eastAsia" w:ascii="宋体" w:hAnsi="宋体" w:cs="宋体"/>
                <w:lang w:bidi="ar"/>
              </w:rPr>
              <w:t xml:space="preserve">5</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pStyle w:val="734"/>
              <w:jc w:val="center"/>
              <w:spacing w:line="360" w:lineRule="exact"/>
              <w:rPr>
                <w:rFonts w:ascii="宋体" w:hAnsi="宋体" w:cs="宋体"/>
                <w:lang w:bidi="ar"/>
              </w:rPr>
            </w:pPr>
            <w:r>
              <w:rPr>
                <w:rFonts w:hint="eastAsia" w:ascii="宋体" w:hAnsi="宋体" w:cs="宋体"/>
                <w:lang w:bidi="ar"/>
              </w:rPr>
              <w:t xml:space="preserve">备件服务</w:t>
            </w:r>
            <w:r>
              <w:rPr>
                <w:rFonts w:ascii="宋体" w:hAnsi="宋体" w:cs="宋体"/>
                <w:lang w:bidi="ar"/>
              </w:rPr>
            </w:r>
            <w:r/>
          </w:p>
        </w:tc>
        <w:tc>
          <w:tcPr>
            <w:tcBorders>
              <w:top w:val="single" w:color="000000" w:sz="4" w:space="0"/>
              <w:left w:val="none" w:color="000000" w:sz="4" w:space="0"/>
              <w:bottom w:val="single" w:color="000000" w:sz="4" w:space="0"/>
              <w:right w:val="single" w:color="000000" w:sz="4" w:space="0"/>
            </w:tcBorders>
            <w:tcW w:w="2863" w:type="dxa"/>
            <w:vAlign w:val="center"/>
            <w:vMerge w:val="restart"/>
            <w:textDirection w:val="lrTb"/>
            <w:noWrap w:val="false"/>
          </w:tcPr>
          <w:p>
            <w:pPr>
              <w:pStyle w:val="734"/>
              <w:jc w:val="center"/>
              <w:spacing w:line="360" w:lineRule="exact"/>
              <w:rPr>
                <w:rFonts w:ascii="宋体" w:hAnsi="宋体" w:cs="宋体"/>
                <w:lang w:bidi="ar"/>
              </w:rPr>
            </w:pPr>
            <w:r>
              <w:rPr>
                <w:rFonts w:hint="eastAsia" w:ascii="宋体" w:hAnsi="宋体" w:cs="宋体"/>
                <w:lang w:bidi="ar"/>
              </w:rPr>
              <w:t xml:space="preserve">7×24覆盖，实时响应，24小时内到现场。</w:t>
            </w:r>
            <w:r>
              <w:rPr>
                <w:rFonts w:ascii="宋体" w:hAnsi="宋体" w:cs="宋体"/>
                <w:lang w:bidi="ar"/>
              </w:rPr>
            </w:r>
            <w:r/>
          </w:p>
        </w:tc>
        <w:tc>
          <w:tcPr>
            <w:tcBorders>
              <w:top w:val="single" w:color="000000" w:sz="4" w:space="0"/>
              <w:left w:val="none" w:color="000000" w:sz="4" w:space="0"/>
              <w:bottom w:val="single" w:color="000000" w:sz="4" w:space="0"/>
              <w:right w:val="single" w:color="000000" w:sz="4" w:space="0"/>
            </w:tcBorders>
            <w:tcW w:w="2444" w:type="dxa"/>
            <w:vAlign w:val="center"/>
            <w:vMerge w:val="restart"/>
            <w:textDirection w:val="lrTb"/>
            <w:noWrap w:val="false"/>
          </w:tcPr>
          <w:p>
            <w:pPr>
              <w:pStyle w:val="734"/>
              <w:jc w:val="center"/>
              <w:spacing w:line="360" w:lineRule="exact"/>
              <w:rPr>
                <w:rFonts w:ascii="宋体" w:hAnsi="宋体" w:cs="宋体"/>
                <w:lang w:bidi="ar"/>
              </w:rPr>
            </w:pPr>
            <w:r>
              <w:rPr>
                <w:rFonts w:hint="eastAsia" w:ascii="宋体" w:hAnsi="宋体" w:cs="宋体"/>
                <w:lang w:bidi="ar"/>
              </w:rPr>
              <w:t xml:space="preserve">7×24</w:t>
            </w:r>
            <w:r>
              <w:rPr>
                <w:rFonts w:ascii="宋体" w:hAnsi="宋体" w:cs="宋体"/>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734"/>
              <w:jc w:val="center"/>
              <w:spacing w:line="360" w:lineRule="exact"/>
              <w:rPr>
                <w:rFonts w:ascii="宋体" w:hAnsi="宋体" w:cs="宋体"/>
                <w:lang w:bidi="ar"/>
              </w:rPr>
            </w:pPr>
            <w:r>
              <w:rPr>
                <w:rFonts w:hint="eastAsia" w:ascii="宋体" w:hAnsi="宋体" w:cs="宋体"/>
                <w:lang w:bidi="ar"/>
              </w:rPr>
              <w:t xml:space="preserve">6</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pStyle w:val="734"/>
              <w:jc w:val="center"/>
              <w:spacing w:line="360" w:lineRule="exact"/>
              <w:rPr>
                <w:rFonts w:ascii="宋体" w:hAnsi="宋体" w:cs="宋体"/>
                <w:lang w:bidi="ar"/>
              </w:rPr>
            </w:pPr>
            <w:r>
              <w:rPr>
                <w:rFonts w:hint="eastAsia" w:ascii="宋体" w:hAnsi="宋体" w:cs="宋体"/>
                <w:lang w:bidi="ar"/>
              </w:rPr>
              <w:t xml:space="preserve">现场工程师硬件更换</w:t>
            </w:r>
            <w:r>
              <w:rPr>
                <w:rFonts w:ascii="宋体" w:hAnsi="宋体" w:cs="宋体"/>
                <w:lang w:bidi="ar"/>
              </w:rPr>
            </w:r>
            <w:r/>
          </w:p>
        </w:tc>
        <w:tc>
          <w:tcPr>
            <w:tcBorders>
              <w:top w:val="single" w:color="000000" w:sz="4" w:space="0"/>
              <w:left w:val="none" w:color="000000" w:sz="4" w:space="0"/>
              <w:bottom w:val="single" w:color="000000" w:sz="4" w:space="0"/>
              <w:right w:val="single" w:color="000000" w:sz="4" w:space="0"/>
            </w:tcBorders>
            <w:tcW w:w="2863" w:type="dxa"/>
            <w:vAlign w:val="center"/>
            <w:vMerge w:val="continue"/>
            <w:textDirection w:val="lrTb"/>
            <w:noWrap w:val="false"/>
          </w:tcPr>
          <w:p>
            <w:pPr>
              <w:pStyle w:val="734"/>
              <w:jc w:val="left"/>
              <w:widowControl/>
              <w:rPr>
                <w:rFonts w:ascii="宋体" w:hAnsi="宋体" w:cs="宋体"/>
                <w:lang w:bidi="ar"/>
              </w:rPr>
            </w:pPr>
            <w:r>
              <w:rPr>
                <w:rFonts w:ascii="宋体" w:hAnsi="宋体" w:cs="宋体"/>
                <w:lang w:bidi="ar"/>
              </w:rPr>
            </w:r>
            <w:r/>
          </w:p>
        </w:tc>
        <w:tc>
          <w:tcPr>
            <w:tcBorders>
              <w:top w:val="single" w:color="000000" w:sz="4" w:space="0"/>
              <w:left w:val="none" w:color="000000" w:sz="4" w:space="0"/>
              <w:bottom w:val="single" w:color="000000" w:sz="4" w:space="0"/>
              <w:right w:val="single" w:color="000000" w:sz="4" w:space="0"/>
            </w:tcBorders>
            <w:tcW w:w="2444" w:type="dxa"/>
            <w:vAlign w:val="center"/>
            <w:vMerge w:val="continue"/>
            <w:textDirection w:val="lrTb"/>
            <w:noWrap w:val="false"/>
          </w:tcPr>
          <w:p>
            <w:pPr>
              <w:pStyle w:val="734"/>
              <w:jc w:val="left"/>
              <w:widowControl/>
              <w:rPr>
                <w:rFonts w:ascii="宋体" w:hAnsi="宋体" w:cs="宋体"/>
                <w:lang w:bidi="ar"/>
              </w:rPr>
            </w:pPr>
            <w:r>
              <w:rPr>
                <w:rFonts w:ascii="宋体" w:hAnsi="宋体" w:cs="宋体"/>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734"/>
              <w:jc w:val="center"/>
              <w:spacing w:line="360" w:lineRule="exact"/>
              <w:rPr>
                <w:rFonts w:ascii="宋体" w:hAnsi="宋体" w:cs="宋体"/>
                <w:lang w:bidi="ar"/>
              </w:rPr>
            </w:pPr>
            <w:r>
              <w:rPr>
                <w:rFonts w:hint="eastAsia" w:ascii="宋体" w:hAnsi="宋体" w:cs="宋体"/>
                <w:lang w:bidi="ar"/>
              </w:rPr>
              <w:t xml:space="preserve">7</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pStyle w:val="734"/>
              <w:jc w:val="center"/>
              <w:spacing w:line="360" w:lineRule="exact"/>
              <w:rPr>
                <w:rFonts w:ascii="宋体" w:hAnsi="宋体" w:cs="宋体"/>
                <w:lang w:bidi="ar"/>
              </w:rPr>
            </w:pPr>
            <w:r>
              <w:rPr>
                <w:rFonts w:hint="eastAsia" w:ascii="宋体" w:hAnsi="宋体" w:cs="宋体"/>
                <w:lang w:bidi="ar"/>
              </w:rPr>
              <w:t xml:space="preserve">现场问题处理</w:t>
            </w:r>
            <w:r>
              <w:rPr>
                <w:rFonts w:ascii="宋体" w:hAnsi="宋体" w:cs="宋体"/>
                <w:lang w:bidi="ar"/>
              </w:rPr>
            </w:r>
            <w:r/>
          </w:p>
        </w:tc>
        <w:tc>
          <w:tcPr>
            <w:tcBorders>
              <w:top w:val="single" w:color="000000" w:sz="4" w:space="0"/>
              <w:left w:val="none" w:color="000000" w:sz="4" w:space="0"/>
              <w:bottom w:val="single" w:color="000000" w:sz="4" w:space="0"/>
              <w:right w:val="single" w:color="000000" w:sz="4" w:space="0"/>
            </w:tcBorders>
            <w:tcW w:w="2863" w:type="dxa"/>
            <w:vAlign w:val="center"/>
            <w:vMerge w:val="continue"/>
            <w:textDirection w:val="lrTb"/>
            <w:noWrap w:val="false"/>
          </w:tcPr>
          <w:p>
            <w:pPr>
              <w:pStyle w:val="734"/>
              <w:jc w:val="left"/>
              <w:widowControl/>
              <w:rPr>
                <w:rFonts w:ascii="宋体" w:hAnsi="宋体" w:cs="宋体"/>
                <w:lang w:bidi="ar"/>
              </w:rPr>
            </w:pPr>
            <w:r>
              <w:rPr>
                <w:rFonts w:ascii="宋体" w:hAnsi="宋体" w:cs="宋体"/>
                <w:lang w:bidi="ar"/>
              </w:rPr>
            </w:r>
            <w:r/>
          </w:p>
        </w:tc>
        <w:tc>
          <w:tcPr>
            <w:tcBorders>
              <w:top w:val="single" w:color="000000" w:sz="4" w:space="0"/>
              <w:left w:val="none" w:color="000000" w:sz="4" w:space="0"/>
              <w:bottom w:val="single" w:color="000000" w:sz="4" w:space="0"/>
              <w:right w:val="single" w:color="000000" w:sz="4" w:space="0"/>
            </w:tcBorders>
            <w:tcW w:w="2444" w:type="dxa"/>
            <w:vAlign w:val="center"/>
            <w:vMerge w:val="continue"/>
            <w:textDirection w:val="lrTb"/>
            <w:noWrap w:val="false"/>
          </w:tcPr>
          <w:p>
            <w:pPr>
              <w:pStyle w:val="734"/>
              <w:jc w:val="left"/>
              <w:widowControl/>
              <w:rPr>
                <w:rFonts w:ascii="宋体" w:hAnsi="宋体" w:cs="宋体"/>
                <w:lang w:bidi="ar"/>
              </w:rPr>
            </w:pPr>
            <w:r>
              <w:rPr>
                <w:rFonts w:ascii="宋体" w:hAnsi="宋体" w:cs="宋体"/>
                <w:lang w:bidi="ar"/>
              </w:rPr>
            </w:r>
            <w:r/>
          </w:p>
        </w:tc>
      </w:tr>
    </w:tbl>
    <w:p>
      <w:pPr>
        <w:pStyle w:val="736"/>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四、商务要求</w:t>
      </w:r>
      <w:r>
        <w:rPr>
          <w:rFonts w:hint="eastAsia" w:ascii="黑体" w:hAnsi="黑体" w:eastAsia="黑体"/>
          <w:b w:val="0"/>
          <w:bCs w:val="0"/>
          <w:sz w:val="28"/>
          <w:szCs w:val="28"/>
        </w:rPr>
      </w:r>
      <w:r/>
    </w:p>
    <w:p>
      <w:pPr>
        <w:pStyle w:val="73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734"/>
        <w:ind w:firstLine="480"/>
        <w:pBdr>
          <w:top w:val="none" w:color="000000" w:sz="0" w:space="0"/>
          <w:left w:val="none" w:color="000000" w:sz="0" w:space="0"/>
          <w:bottom w:val="none" w:color="000000" w:sz="0" w:space="0"/>
          <w:right w:val="none" w:color="000000" w:sz="0" w:space="0"/>
        </w:pBdr>
      </w:pPr>
      <w:r/>
      <w:bookmarkStart w:id="185" w:name="OLE_LINK28"/>
      <w:r>
        <w:rPr>
          <w:rFonts w:hint="eastAsia" w:ascii="宋体" w:hAnsi="宋体" w:cs="宋体"/>
          <w:color w:val="000000"/>
          <w:sz w:val="24"/>
        </w:rPr>
        <w:t xml:space="preserve">1.质保</w:t>
      </w:r>
      <w:r>
        <w:rPr>
          <w:rFonts w:ascii="宋体" w:hAnsi="宋体" w:cs="宋体"/>
          <w:color w:val="000000"/>
          <w:sz w:val="24"/>
        </w:rPr>
        <w:t xml:space="preserve">期。</w:t>
      </w:r>
      <w:r/>
      <w:r/>
    </w:p>
    <w:p>
      <w:pPr>
        <w:pStyle w:val="734"/>
        <w:ind w:firstLine="48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质保期为</w:t>
      </w:r>
      <w:r>
        <w:rPr>
          <w:rFonts w:hint="eastAsia" w:ascii="宋体" w:hAnsi="宋体" w:cs="宋体"/>
          <w:sz w:val="24"/>
          <w:szCs w:val="24"/>
        </w:rPr>
        <w:t xml:space="preserve">验收合格之日起</w:t>
      </w:r>
      <w:r>
        <w:rPr>
          <w:rFonts w:hint="eastAsia" w:ascii="宋体" w:hAnsi="宋体" w:cs="宋体"/>
          <w:color w:val="000000"/>
          <w:sz w:val="24"/>
        </w:rPr>
        <w:t xml:space="preserve">三年，质保期内免费维保。</w:t>
      </w:r>
      <w:r>
        <w:t xml:space="preserve"> </w:t>
      </w:r>
      <w:r/>
      <w:r/>
    </w:p>
    <w:p>
      <w:pPr>
        <w:pStyle w:val="734"/>
        <w:ind w:firstLine="480"/>
        <w:pBdr>
          <w:top w:val="none" w:color="000000" w:sz="0" w:space="0"/>
          <w:left w:val="none" w:color="000000" w:sz="0" w:space="0"/>
          <w:bottom w:val="none" w:color="000000" w:sz="0" w:space="0"/>
          <w:right w:val="none" w:color="000000" w:sz="0" w:space="0"/>
        </w:pBdr>
      </w:pPr>
      <w:r/>
      <w:bookmarkEnd w:id="185"/>
      <w:r>
        <w:rPr>
          <w:rFonts w:hint="eastAsia" w:ascii="宋体" w:hAnsi="宋体" w:cs="宋体"/>
          <w:color w:val="000000"/>
          <w:sz w:val="24"/>
        </w:rPr>
        <w:t xml:space="preserve">2.</w:t>
      </w:r>
      <w:r>
        <w:rPr>
          <w:rFonts w:ascii="宋体" w:hAnsi="宋体" w:cs="宋体"/>
          <w:color w:val="000000"/>
          <w:sz w:val="24"/>
        </w:rPr>
        <w:t xml:space="preserve">交付期、交付方式及交付地点</w:t>
      </w:r>
      <w:r/>
      <w:r/>
    </w:p>
    <w:p>
      <w:pPr>
        <w:pStyle w:val="734"/>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（1）交货期：</w:t>
      </w:r>
      <w:r>
        <w:rPr>
          <w:rFonts w:hint="eastAsia" w:ascii="宋体" w:hAnsi="宋体" w:cs="宋体"/>
          <w:sz w:val="24"/>
          <w:szCs w:val="24"/>
        </w:rPr>
        <w:t xml:space="preserve">1个月内交付至采购人指定地点</w:t>
      </w:r>
      <w:r>
        <w:rPr>
          <w:rFonts w:ascii="宋体" w:hAnsi="宋体" w:cs="宋体"/>
          <w:sz w:val="24"/>
          <w:szCs w:val="24"/>
        </w:rPr>
      </w:r>
      <w:r/>
    </w:p>
    <w:p>
      <w:pPr>
        <w:pStyle w:val="734"/>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（2）交货方式：</w:t>
      </w:r>
      <w:r>
        <w:rPr>
          <w:rFonts w:hint="eastAsia" w:ascii="宋体" w:hAnsi="宋体" w:cs="宋体"/>
          <w:color w:val="000000"/>
          <w:sz w:val="24"/>
        </w:rPr>
        <w:t xml:space="preserve">现场交货</w:t>
      </w:r>
      <w:r>
        <w:rPr>
          <w:rFonts w:ascii="宋体" w:hAnsi="宋体" w:cs="宋体"/>
          <w:color w:val="000000"/>
          <w:sz w:val="24"/>
        </w:rPr>
        <w:t xml:space="preserve">。</w:t>
      </w:r>
      <w:r/>
      <w:r/>
    </w:p>
    <w:p>
      <w:pPr>
        <w:pStyle w:val="734"/>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（3）交货地点：采购人指定地点。</w:t>
      </w:r>
      <w:r/>
      <w:r/>
    </w:p>
    <w:p>
      <w:pPr>
        <w:pStyle w:val="734"/>
        <w:ind w:firstLine="48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付款支付</w:t>
      </w:r>
      <w:r/>
      <w:r/>
    </w:p>
    <w:p>
      <w:pPr>
        <w:pStyle w:val="734"/>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验收合格</w:t>
      </w:r>
      <w:r>
        <w:rPr>
          <w:rFonts w:ascii="宋体" w:hAnsi="宋体" w:cs="宋体"/>
          <w:color w:val="000000"/>
          <w:sz w:val="24"/>
        </w:rPr>
        <w:t xml:space="preserve">后，甲方支付</w:t>
      </w:r>
      <w:r>
        <w:rPr>
          <w:rFonts w:hint="eastAsia" w:ascii="宋体" w:hAnsi="宋体" w:cs="宋体"/>
          <w:color w:val="000000"/>
          <w:sz w:val="24"/>
        </w:rPr>
        <w:t xml:space="preserve">全部合同款项</w:t>
      </w:r>
      <w:r>
        <w:rPr>
          <w:rFonts w:ascii="宋体" w:hAnsi="宋体" w:cs="宋体"/>
          <w:color w:val="000000"/>
          <w:sz w:val="24"/>
        </w:rPr>
        <w:t xml:space="preserve">；</w:t>
      </w:r>
      <w:r>
        <w:rPr>
          <w:rFonts w:ascii="宋体" w:hAnsi="宋体" w:cs="宋体"/>
          <w:color w:val="000000"/>
          <w:sz w:val="24"/>
        </w:rPr>
      </w:r>
      <w:r/>
    </w:p>
    <w:p>
      <w:pPr>
        <w:pStyle w:val="734"/>
        <w:ind w:firstLine="48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4.验收要求</w:t>
      </w:r>
      <w:r/>
      <w:r/>
    </w:p>
    <w:p>
      <w:pPr>
        <w:pStyle w:val="734"/>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对乙方所供货物进行现场清点与初步验收，合格后签收，不合格则拒收，乙方须在货到后10个工作日内配合完成并提交完整技术资料；若发现缺漏、损坏或不符合要求，乙方应免费整改或更换，费用自理，整改后仍不合格的，甲方有权单方解除合同并没收履约保证金。乙方负责安装调试并免费培训操作人员，协助调试至满足要求后方进行最终验收，且甲方有权聘请第三方专业机构检测，相关费用由乙方承担，检测不合格时乙方须接受退货并赔偿甲方损失。</w:t>
      </w:r>
      <w:r>
        <w:rPr>
          <w:rFonts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算力项目验收遵循三阶段递进模式：到货验收核查设备数量、外观及通电自检；预验收在安装调试后开展系统全功能与性能压力测试；竣工验收在试运行稳定后进行，全面审查系统功能、性能及文档资料。验收依据包括合</w:t>
      </w:r>
      <w:r>
        <w:rPr>
          <w:rFonts w:ascii="宋体" w:hAnsi="宋体" w:cs="宋体"/>
          <w:color w:val="000000"/>
          <w:sz w:val="24"/>
        </w:rPr>
        <w:t xml:space="preserve">同文件、招标投标技术承诺及国家标准，重点验证硬件配置、算力性能、7×24小时稳定运行及120小时满负荷长稳测试，同时审查供配电、制冷等基础设施及监控管理平台。验收由建设方组织工作组，含监理、设计、供应商及专家，通过现场查验、系统演示、实测评审形成结论。验收合格签署证书正式交付；不合格则限期5个工作日整改，二次不合格可解除合同并追究违约责任。全部验收文档须归档，质保期自验收合格日起算，硬件保修不少于3年，并提供7×24小时售后服务。验收过程中可引入第三方测评机构，确保结果客观公正，为项目长期稳定运行奠定基础。</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734"/>
        <w:rPr>
          <w:rFonts w:hint="eastAsia"/>
        </w:rPr>
      </w:pPr>
      <w:r>
        <w:rPr>
          <w:rFonts w:hint="eastAsia"/>
        </w:rPr>
      </w:r>
      <w:r/>
    </w:p>
    <w:p>
      <w:pPr>
        <w:pStyle w:val="736"/>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五、其他要求</w:t>
      </w:r>
      <w:r>
        <w:rPr>
          <w:rFonts w:hint="eastAsia" w:ascii="黑体" w:hAnsi="黑体" w:eastAsia="黑体"/>
          <w:b w:val="0"/>
          <w:bCs w:val="0"/>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rPr>
                <w:rFonts w:hint="eastAsia" w:ascii="方正仿宋_GBK" w:hAnsi="方正仿宋_GBK" w:eastAsia="方正仿宋_GBK" w:cs="方正仿宋_GBK"/>
                <w:sz w:val="28"/>
                <w:szCs w:val="28"/>
              </w:rPr>
            </w:r>
            <w:r/>
          </w:p>
        </w:tc>
      </w:tr>
      <w:tr>
        <w:trPr/>
        <w:tc>
          <w:tcPr>
            <w:tcW w:w="168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宋体" w:hAnsi="宋体"/>
                <w:szCs w:val="21"/>
              </w:rPr>
              <w:t xml:space="preserve">训推一体节点</w:t>
            </w:r>
            <w:r>
              <w:rPr>
                <w:rFonts w:hint="eastAsia" w:ascii="方正仿宋_GBK" w:hAnsi="方正仿宋_GBK" w:eastAsia="方正仿宋_GBK" w:cs="方正仿宋_GBK"/>
                <w:sz w:val="28"/>
                <w:szCs w:val="28"/>
              </w:rPr>
            </w:r>
            <w:r/>
          </w:p>
        </w:tc>
      </w:tr>
    </w:tbl>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734"/>
        <w:spacing w:line="400" w:lineRule="exact"/>
        <w:rPr>
          <w:rFonts w:hint="eastAsia" w:ascii="宋体" w:hAnsi="宋体"/>
          <w:color w:val="ff0000"/>
          <w:sz w:val="24"/>
          <w:szCs w:val="24"/>
        </w:rPr>
      </w:pPr>
      <w:r/>
      <w:bookmarkStart w:id="186" w:name="_Toc120614281"/>
      <w:r>
        <w:rPr>
          <w:rFonts w:hint="eastAsia" w:ascii="宋体" w:hAnsi="宋体"/>
          <w:color w:val="ff0000"/>
          <w:sz w:val="24"/>
          <w:szCs w:val="24"/>
        </w:rPr>
      </w:r>
      <w:r/>
    </w:p>
    <w:p>
      <w:pPr>
        <w:pStyle w:val="734"/>
        <w:spacing w:line="400" w:lineRule="exact"/>
      </w:pPr>
      <w:r/>
      <w:r/>
    </w:p>
    <w:p>
      <w:pPr>
        <w:pStyle w:val="736"/>
        <w:spacing w:line="400" w:lineRule="exact"/>
        <w:rPr>
          <w:rFonts w:hint="eastAsia" w:ascii="黑体" w:hAnsi="黑体" w:eastAsia="黑体"/>
          <w:b w:val="0"/>
          <w:bCs w:val="0"/>
          <w:sz w:val="28"/>
          <w:szCs w:val="28"/>
        </w:rPr>
      </w:pPr>
      <w:r>
        <w:rPr>
          <w:rFonts w:hint="eastAsia" w:ascii="黑体" w:hAnsi="黑体" w:eastAsia="黑体"/>
          <w:b w:val="0"/>
          <w:bCs w:val="0"/>
          <w:sz w:val="28"/>
          <w:szCs w:val="28"/>
        </w:rPr>
        <w:br w:type="page" w:clear="all"/>
      </w:r>
      <w:r>
        <w:rPr>
          <w:rFonts w:hint="eastAsia" w:ascii="黑体" w:hAnsi="黑体" w:eastAsia="黑体"/>
          <w:b w:val="0"/>
          <w:bCs w:val="0"/>
          <w:sz w:val="28"/>
          <w:szCs w:val="28"/>
        </w:rPr>
        <w:t xml:space="preserve">第五章  评标方法与评标标准</w:t>
      </w:r>
      <w:r>
        <w:rPr>
          <w:rFonts w:hint="eastAsia" w:ascii="黑体" w:hAnsi="黑体" w:eastAsia="黑体"/>
          <w:b w:val="0"/>
          <w:bCs w:val="0"/>
          <w:sz w:val="28"/>
          <w:szCs w:val="28"/>
        </w:rPr>
      </w:r>
      <w:r/>
    </w:p>
    <w:p>
      <w:pPr>
        <w:pStyle w:val="734"/>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734"/>
        <w:ind w:firstLine="560"/>
        <w:jc w:val="left"/>
        <w:spacing w:before="120" w:after="120"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highlight w:val="yellow"/>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734"/>
        <w:ind w:firstLine="420"/>
        <w:jc w:val="left"/>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734"/>
        <w:ind w:firstLine="560"/>
        <w:jc w:val="left"/>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7.采购本国产品的支持政策</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 ”的地方无需填写），三项信息中任意一项未填写的视为该项产品不符合本国产品标准，不享受本国产品价格评审优惠。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color w:val="000000"/>
          <w:sz w:val="28"/>
          <w:szCs w:val="28"/>
        </w:rPr>
      </w:r>
      <w:r/>
    </w:p>
    <w:p>
      <w:pPr>
        <w:pStyle w:val="734"/>
        <w:ind w:firstLine="560"/>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734"/>
        <w:ind w:firstLine="560"/>
        <w:jc w:val="left"/>
        <w:spacing w:before="120" w:after="120"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highlight w:val="yellow"/>
        </w:rPr>
      </w:r>
      <w:r/>
    </w:p>
    <w:tbl>
      <w:tblPr>
        <w:tblW w:w="88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1181"/>
        <w:gridCol w:w="5366"/>
        <w:gridCol w:w="1104"/>
      </w:tblGrid>
      <w:tr>
        <w:trPr>
          <w:trHeight w:val="578"/>
        </w:trPr>
        <w:tc>
          <w:tcPr>
            <w:tcW w:w="1174" w:type="dxa"/>
            <w:vAlign w:val="center"/>
            <w:textDirection w:val="lrTb"/>
            <w:noWrap w:val="false"/>
          </w:tcPr>
          <w:p>
            <w:pPr>
              <w:pStyle w:val="734"/>
              <w:rPr>
                <w:rFonts w:ascii="宋体" w:hAnsi="宋体"/>
                <w:b/>
                <w:sz w:val="22"/>
              </w:rPr>
            </w:pPr>
            <w:r>
              <w:rPr>
                <w:rFonts w:hint="eastAsia" w:ascii="宋体" w:hAnsi="宋体"/>
                <w:b/>
                <w:sz w:val="22"/>
              </w:rPr>
              <w:t xml:space="preserve">序号</w:t>
            </w:r>
            <w:r>
              <w:rPr>
                <w:rFonts w:ascii="宋体" w:hAnsi="宋体"/>
                <w:b/>
                <w:sz w:val="22"/>
              </w:rPr>
            </w:r>
            <w:r/>
          </w:p>
        </w:tc>
        <w:tc>
          <w:tcPr>
            <w:tcW w:w="1181" w:type="dxa"/>
            <w:vAlign w:val="center"/>
            <w:textDirection w:val="lrTb"/>
            <w:noWrap w:val="false"/>
          </w:tcPr>
          <w:p>
            <w:pPr>
              <w:pStyle w:val="734"/>
              <w:rPr>
                <w:rFonts w:ascii="宋体" w:hAnsi="宋体"/>
                <w:b/>
                <w:sz w:val="22"/>
              </w:rPr>
            </w:pPr>
            <w:r>
              <w:rPr>
                <w:rFonts w:hint="eastAsia" w:ascii="宋体" w:hAnsi="宋体"/>
                <w:b/>
                <w:sz w:val="22"/>
              </w:rPr>
              <w:t xml:space="preserve">评分因素</w:t>
            </w:r>
            <w:r>
              <w:rPr>
                <w:rFonts w:ascii="宋体" w:hAnsi="宋体"/>
                <w:b/>
                <w:sz w:val="22"/>
              </w:rPr>
            </w:r>
            <w:r/>
          </w:p>
        </w:tc>
        <w:tc>
          <w:tcPr>
            <w:tcW w:w="5366" w:type="dxa"/>
            <w:vAlign w:val="center"/>
            <w:textDirection w:val="lrTb"/>
            <w:noWrap w:val="false"/>
          </w:tcPr>
          <w:p>
            <w:pPr>
              <w:pStyle w:val="734"/>
              <w:rPr>
                <w:rFonts w:ascii="宋体" w:hAnsi="宋体"/>
                <w:b/>
                <w:sz w:val="22"/>
              </w:rPr>
            </w:pPr>
            <w:r>
              <w:rPr>
                <w:rFonts w:hint="eastAsia" w:ascii="宋体" w:hAnsi="宋体"/>
                <w:b/>
                <w:sz w:val="22"/>
              </w:rPr>
              <w:t xml:space="preserve">评审标准</w:t>
            </w:r>
            <w:r>
              <w:rPr>
                <w:rFonts w:ascii="宋体" w:hAnsi="宋体"/>
                <w:b/>
                <w:sz w:val="22"/>
              </w:rPr>
            </w:r>
            <w:r/>
          </w:p>
        </w:tc>
        <w:tc>
          <w:tcPr>
            <w:tcW w:w="1104" w:type="dxa"/>
            <w:vAlign w:val="center"/>
            <w:textDirection w:val="lrTb"/>
            <w:noWrap w:val="false"/>
          </w:tcPr>
          <w:p>
            <w:pPr>
              <w:pStyle w:val="734"/>
              <w:rPr>
                <w:rFonts w:ascii="宋体" w:hAnsi="宋体"/>
                <w:b/>
                <w:sz w:val="22"/>
              </w:rPr>
            </w:pPr>
            <w:r>
              <w:rPr>
                <w:rFonts w:hint="eastAsia" w:ascii="宋体" w:hAnsi="宋体"/>
                <w:b/>
                <w:sz w:val="22"/>
              </w:rPr>
              <w:t xml:space="preserve">分值</w:t>
            </w:r>
            <w:r>
              <w:rPr>
                <w:rFonts w:ascii="宋体" w:hAnsi="宋体"/>
                <w:b/>
                <w:sz w:val="22"/>
              </w:rPr>
            </w:r>
            <w:r/>
          </w:p>
        </w:tc>
      </w:tr>
      <w:tr>
        <w:trPr>
          <w:trHeight w:val="699"/>
        </w:trPr>
        <w:tc>
          <w:tcPr>
            <w:tcW w:w="1174" w:type="dxa"/>
            <w:vAlign w:val="center"/>
            <w:textDirection w:val="lrTb"/>
            <w:noWrap w:val="false"/>
          </w:tcPr>
          <w:p>
            <w:pPr>
              <w:pStyle w:val="734"/>
              <w:rPr>
                <w:rFonts w:ascii="宋体" w:hAnsi="宋体"/>
                <w:bCs/>
                <w:sz w:val="22"/>
              </w:rPr>
            </w:pPr>
            <w:r>
              <w:rPr>
                <w:rFonts w:hint="eastAsia" w:ascii="宋体" w:hAnsi="宋体"/>
                <w:bCs/>
                <w:sz w:val="22"/>
              </w:rPr>
              <w:t xml:space="preserve">1</w:t>
            </w:r>
            <w:r>
              <w:rPr>
                <w:rFonts w:ascii="宋体" w:hAnsi="宋体"/>
                <w:bCs/>
                <w:sz w:val="22"/>
              </w:rPr>
            </w:r>
            <w:r/>
          </w:p>
        </w:tc>
        <w:tc>
          <w:tcPr>
            <w:tcW w:w="1181" w:type="dxa"/>
            <w:vAlign w:val="center"/>
            <w:textDirection w:val="lrTb"/>
            <w:noWrap w:val="false"/>
          </w:tcPr>
          <w:p>
            <w:pPr>
              <w:pStyle w:val="734"/>
              <w:rPr>
                <w:rFonts w:ascii="宋体" w:hAnsi="宋体"/>
                <w:bCs/>
                <w:sz w:val="22"/>
              </w:rPr>
            </w:pPr>
            <w:r>
              <w:rPr>
                <w:rFonts w:hint="eastAsia" w:ascii="宋体" w:hAnsi="宋体"/>
                <w:bCs/>
                <w:sz w:val="22"/>
              </w:rPr>
              <w:t xml:space="preserve">价格</w:t>
            </w:r>
            <w:r>
              <w:rPr>
                <w:rFonts w:ascii="宋体" w:hAnsi="宋体"/>
                <w:bCs/>
                <w:sz w:val="22"/>
              </w:rPr>
            </w:r>
            <w:r/>
          </w:p>
        </w:tc>
        <w:tc>
          <w:tcPr>
            <w:tcW w:w="5366" w:type="dxa"/>
            <w:vAlign w:val="center"/>
            <w:textDirection w:val="lrTb"/>
            <w:noWrap w:val="false"/>
          </w:tcPr>
          <w:p>
            <w:pPr>
              <w:pStyle w:val="734"/>
              <w:rPr>
                <w:rFonts w:ascii="宋体" w:hAnsi="宋体"/>
                <w:bCs/>
                <w:sz w:val="22"/>
              </w:rPr>
            </w:pPr>
            <w:r>
              <w:rPr>
                <w:rFonts w:hint="eastAsia" w:ascii="宋体" w:hAnsi="宋体"/>
                <w:bCs/>
                <w:sz w:val="22"/>
              </w:rPr>
              <w:t xml:space="preserve">价格分采用低价优先法计算，即满足招标文件要求且投标价格最低的投标报价为评标基准价，其价格分为满分30分。其他投标人的价格分按照下列公式计算，保留小数点后2位：投标报价得分=（评标基准价／投标报价）×30</w:t>
            </w:r>
            <w:r>
              <w:rPr>
                <w:rFonts w:ascii="宋体" w:hAnsi="宋体"/>
                <w:bCs/>
                <w:sz w:val="22"/>
              </w:rPr>
            </w:r>
            <w:r/>
          </w:p>
        </w:tc>
        <w:tc>
          <w:tcPr>
            <w:tcW w:w="1104" w:type="dxa"/>
            <w:vAlign w:val="center"/>
            <w:textDirection w:val="lrTb"/>
            <w:noWrap w:val="false"/>
          </w:tcPr>
          <w:p>
            <w:pPr>
              <w:pStyle w:val="734"/>
              <w:rPr>
                <w:rFonts w:ascii="宋体" w:hAnsi="宋体"/>
                <w:bCs/>
                <w:sz w:val="22"/>
              </w:rPr>
            </w:pPr>
            <w:r>
              <w:rPr>
                <w:rFonts w:hint="eastAsia" w:ascii="宋体" w:hAnsi="宋体"/>
                <w:bCs/>
                <w:sz w:val="22"/>
              </w:rPr>
              <w:t xml:space="preserve">3</w:t>
            </w:r>
            <w:r>
              <w:rPr>
                <w:rFonts w:ascii="宋体" w:hAnsi="宋体"/>
                <w:bCs/>
                <w:sz w:val="22"/>
              </w:rPr>
              <w:t xml:space="preserve">0</w:t>
            </w:r>
            <w:r>
              <w:rPr>
                <w:rFonts w:ascii="宋体" w:hAnsi="宋体"/>
                <w:bCs/>
                <w:sz w:val="22"/>
              </w:rPr>
            </w:r>
            <w:r/>
          </w:p>
        </w:tc>
      </w:tr>
      <w:tr>
        <w:trPr>
          <w:trHeight w:val="1209"/>
        </w:trPr>
        <w:tc>
          <w:tcPr>
            <w:tcW w:w="1174" w:type="dxa"/>
            <w:vAlign w:val="center"/>
            <w:textDirection w:val="lrTb"/>
            <w:noWrap w:val="false"/>
          </w:tcPr>
          <w:p>
            <w:pPr>
              <w:pStyle w:val="734"/>
              <w:rPr>
                <w:rFonts w:ascii="宋体" w:hAnsi="宋体"/>
                <w:bCs/>
                <w:sz w:val="22"/>
              </w:rPr>
            </w:pPr>
            <w:r>
              <w:rPr>
                <w:rFonts w:hint="eastAsia" w:ascii="宋体" w:hAnsi="宋体"/>
                <w:bCs/>
                <w:sz w:val="22"/>
              </w:rPr>
              <w:t xml:space="preserve">2.1</w:t>
            </w:r>
            <w:r>
              <w:rPr>
                <w:rFonts w:ascii="宋体" w:hAnsi="宋体"/>
                <w:bCs/>
                <w:sz w:val="22"/>
              </w:rPr>
            </w:r>
            <w:r/>
          </w:p>
        </w:tc>
        <w:tc>
          <w:tcPr>
            <w:tcW w:w="1181" w:type="dxa"/>
            <w:vAlign w:val="center"/>
            <w:vMerge w:val="restart"/>
            <w:textDirection w:val="lrTb"/>
            <w:noWrap w:val="false"/>
          </w:tcPr>
          <w:p>
            <w:pPr>
              <w:pStyle w:val="734"/>
              <w:rPr>
                <w:rFonts w:ascii="宋体" w:hAnsi="宋体"/>
                <w:bCs/>
                <w:sz w:val="22"/>
              </w:rPr>
            </w:pPr>
            <w:r>
              <w:rPr>
                <w:rFonts w:hint="eastAsia" w:ascii="宋体" w:hAnsi="宋体"/>
                <w:bCs/>
                <w:sz w:val="22"/>
              </w:rPr>
              <w:t xml:space="preserve">技术</w:t>
            </w:r>
            <w:r>
              <w:rPr>
                <w:rFonts w:ascii="宋体" w:hAnsi="宋体"/>
                <w:bCs/>
                <w:sz w:val="22"/>
              </w:rPr>
            </w:r>
            <w:r/>
          </w:p>
        </w:tc>
        <w:tc>
          <w:tcPr>
            <w:tcW w:w="5366" w:type="dxa"/>
            <w:vAlign w:val="center"/>
            <w:textDirection w:val="lrTb"/>
            <w:noWrap w:val="false"/>
          </w:tcPr>
          <w:p>
            <w:pPr>
              <w:pStyle w:val="734"/>
              <w:rPr>
                <w:rFonts w:hint="eastAsia" w:ascii="宋体" w:hAnsi="宋体"/>
                <w:bCs/>
                <w:sz w:val="22"/>
              </w:rPr>
            </w:pPr>
            <w:r>
              <w:rPr>
                <w:rFonts w:hint="eastAsia" w:ascii="宋体" w:hAnsi="宋体"/>
                <w:bCs/>
                <w:sz w:val="22"/>
              </w:rPr>
              <w:t xml:space="preserve">投标人所投产品全部满足</w:t>
            </w:r>
            <w:r>
              <w:rPr>
                <w:rFonts w:hint="eastAsia" w:ascii="宋体" w:hAnsi="宋体"/>
                <w:bCs/>
                <w:sz w:val="22"/>
                <w:highlight w:val="none"/>
              </w:rPr>
              <w:t xml:space="preserve">招标文件“技术要求”的得满分38分；打▲号为重要指标，共6项，一共12分，有一项负偏离扣2分；其余</w:t>
            </w:r>
            <w:r>
              <w:rPr>
                <w:rFonts w:hint="eastAsia" w:ascii="宋体" w:hAnsi="宋体"/>
                <w:szCs w:val="21"/>
                <w:highlight w:val="none"/>
              </w:rPr>
              <w:t xml:space="preserve">●</w:t>
            </w:r>
            <w:r>
              <w:rPr>
                <w:rFonts w:hint="eastAsia" w:ascii="宋体" w:hAnsi="宋体"/>
                <w:bCs/>
                <w:sz w:val="22"/>
                <w:highlight w:val="none"/>
              </w:rPr>
              <w:t xml:space="preserve">指标一共 26 条，有一项偏离扣1分；扣完为止。（投标人需按</w:t>
            </w:r>
            <w:r>
              <w:rPr>
                <w:rFonts w:hint="eastAsia" w:ascii="宋体" w:hAnsi="宋体"/>
                <w:bCs/>
                <w:sz w:val="22"/>
              </w:rPr>
              <w:t xml:space="preserve">照本招标文件的项目需求，在“技术参数响应及偏离表”中按照招标要求提供对应的证明材料，并在偏离表中标明所在页码或位置，否则评委会有权作负偏离处理）</w:t>
            </w:r>
            <w:r>
              <w:rPr>
                <w:rFonts w:hint="eastAsia" w:ascii="宋体" w:hAnsi="宋体"/>
                <w:bCs/>
                <w:sz w:val="22"/>
              </w:rPr>
            </w:r>
            <w:r/>
          </w:p>
        </w:tc>
        <w:tc>
          <w:tcPr>
            <w:tcW w:w="1104" w:type="dxa"/>
            <w:vAlign w:val="center"/>
            <w:textDirection w:val="lrTb"/>
            <w:noWrap w:val="false"/>
          </w:tcPr>
          <w:p>
            <w:pPr>
              <w:pStyle w:val="734"/>
              <w:rPr>
                <w:rFonts w:ascii="宋体" w:hAnsi="宋体"/>
                <w:bCs/>
                <w:sz w:val="22"/>
              </w:rPr>
            </w:pPr>
            <w:r>
              <w:rPr>
                <w:rFonts w:hint="eastAsia" w:ascii="宋体" w:hAnsi="宋体"/>
                <w:bCs/>
                <w:sz w:val="22"/>
              </w:rPr>
              <w:t xml:space="preserve">38</w:t>
            </w:r>
            <w:r>
              <w:rPr>
                <w:rFonts w:ascii="宋体" w:hAnsi="宋体"/>
                <w:bCs/>
                <w:sz w:val="22"/>
              </w:rPr>
            </w:r>
            <w:r/>
          </w:p>
        </w:tc>
      </w:tr>
      <w:tr>
        <w:trPr>
          <w:trHeight w:val="60"/>
        </w:trPr>
        <w:tc>
          <w:tcPr>
            <w:tcW w:w="1174" w:type="dxa"/>
            <w:vAlign w:val="center"/>
            <w:textDirection w:val="lrTb"/>
            <w:noWrap w:val="false"/>
          </w:tcPr>
          <w:p>
            <w:pPr>
              <w:pStyle w:val="734"/>
              <w:rPr>
                <w:rFonts w:ascii="宋体" w:hAnsi="宋体"/>
                <w:bCs/>
                <w:sz w:val="22"/>
              </w:rPr>
            </w:pPr>
            <w:r>
              <w:rPr>
                <w:rFonts w:hint="eastAsia" w:ascii="宋体" w:hAnsi="宋体"/>
                <w:bCs/>
                <w:sz w:val="22"/>
              </w:rPr>
              <w:t xml:space="preserve">2</w:t>
            </w:r>
            <w:r>
              <w:rPr>
                <w:rFonts w:ascii="宋体" w:hAnsi="宋体"/>
                <w:bCs/>
                <w:sz w:val="22"/>
              </w:rPr>
              <w:t xml:space="preserve">.2</w:t>
            </w:r>
            <w:r>
              <w:rPr>
                <w:rFonts w:ascii="宋体" w:hAnsi="宋体"/>
                <w:bCs/>
                <w:sz w:val="22"/>
              </w:rPr>
            </w:r>
            <w:r/>
          </w:p>
        </w:tc>
        <w:tc>
          <w:tcPr>
            <w:tcW w:w="1181" w:type="dxa"/>
            <w:vAlign w:val="center"/>
            <w:vMerge w:val="continue"/>
            <w:textDirection w:val="lrTb"/>
            <w:noWrap w:val="false"/>
          </w:tcPr>
          <w:p>
            <w:pPr>
              <w:pStyle w:val="734"/>
              <w:rPr>
                <w:rFonts w:ascii="宋体" w:hAnsi="宋体"/>
                <w:bCs/>
                <w:sz w:val="22"/>
              </w:rPr>
            </w:pPr>
            <w:r>
              <w:rPr>
                <w:rFonts w:ascii="宋体" w:hAnsi="宋体"/>
                <w:bCs/>
                <w:sz w:val="22"/>
              </w:rPr>
            </w:r>
            <w:r/>
          </w:p>
        </w:tc>
        <w:tc>
          <w:tcPr>
            <w:tcW w:w="5366" w:type="dxa"/>
            <w:vAlign w:val="top"/>
            <w:textDirection w:val="lrTb"/>
            <w:noWrap w:val="false"/>
          </w:tcPr>
          <w:p>
            <w:pPr>
              <w:pStyle w:val="734"/>
              <w:rPr>
                <w:rFonts w:hint="eastAsia" w:ascii="宋体" w:hAnsi="宋体"/>
                <w:bCs/>
                <w:sz w:val="22"/>
              </w:rPr>
            </w:pPr>
            <w:r>
              <w:rPr>
                <w:rFonts w:hint="eastAsia" w:ascii="宋体" w:hAnsi="宋体"/>
                <w:bCs/>
                <w:sz w:val="22"/>
                <w:lang w:val="zh-CN"/>
              </w:rPr>
              <w:t xml:space="preserve">根据投标人提供的项目</w:t>
            </w:r>
            <w:bookmarkStart w:id="187" w:name="OLE_LINK2"/>
            <w:r>
              <w:rPr>
                <w:rFonts w:hint="eastAsia" w:ascii="宋体" w:hAnsi="宋体"/>
                <w:bCs/>
                <w:sz w:val="22"/>
                <w:lang w:val="zh-CN"/>
              </w:rPr>
              <w:t xml:space="preserve">系统集成方案</w:t>
            </w:r>
            <w:bookmarkEnd w:id="187"/>
            <w:r>
              <w:rPr>
                <w:rFonts w:hint="eastAsia" w:ascii="宋体" w:hAnsi="宋体"/>
                <w:bCs/>
                <w:sz w:val="22"/>
                <w:lang w:val="zh-CN"/>
              </w:rPr>
              <w:t xml:space="preserve">（包括不限于：项目的需求理解，架构设计，拓扑结构等内容），</w:t>
            </w:r>
            <w:bookmarkStart w:id="188" w:name="OLE_LINK326"/>
            <w:r>
              <w:rPr>
                <w:rFonts w:hint="eastAsia" w:ascii="宋体" w:hAnsi="宋体"/>
                <w:bCs/>
                <w:sz w:val="22"/>
              </w:rPr>
              <w:t xml:space="preserve">评委根据投标文件对招标文件第四章“采购需求”中“</w:t>
            </w:r>
            <w:r>
              <w:rPr>
                <w:rFonts w:hint="eastAsia" w:ascii="宋体" w:hAnsi="宋体"/>
                <w:bCs/>
                <w:sz w:val="22"/>
                <w:lang w:val="zh-CN"/>
              </w:rPr>
              <w:t xml:space="preserve">系统集成方案</w:t>
            </w:r>
            <w:r>
              <w:rPr>
                <w:rFonts w:hint="eastAsia" w:ascii="宋体" w:hAnsi="宋体"/>
                <w:bCs/>
                <w:sz w:val="22"/>
              </w:rPr>
              <w:t xml:space="preserve">”要求的响应情况进行评审</w:t>
            </w:r>
            <w:r>
              <w:rPr>
                <w:rFonts w:hint="eastAsia" w:ascii="宋体" w:hAnsi="宋体"/>
                <w:bCs/>
                <w:sz w:val="22"/>
              </w:rPr>
            </w:r>
            <w:r/>
          </w:p>
          <w:p>
            <w:pPr>
              <w:pStyle w:val="734"/>
              <w:rPr>
                <w:rFonts w:hint="eastAsia" w:ascii="宋体" w:hAnsi="宋体"/>
                <w:bCs/>
                <w:sz w:val="22"/>
              </w:rPr>
            </w:pPr>
            <w:r>
              <w:rPr>
                <w:rFonts w:hint="eastAsia" w:ascii="宋体" w:hAnsi="宋体"/>
                <w:bCs/>
                <w:sz w:val="22"/>
              </w:rPr>
              <w:t xml:space="preserve">（1）投标文件未符合“</w:t>
            </w:r>
            <w:r>
              <w:rPr>
                <w:rFonts w:hint="eastAsia" w:ascii="宋体" w:hAnsi="宋体"/>
                <w:bCs/>
                <w:sz w:val="22"/>
                <w:lang w:val="zh-CN"/>
              </w:rPr>
              <w:t xml:space="preserve">系统集成方案</w:t>
            </w:r>
            <w:r>
              <w:rPr>
                <w:rFonts w:hint="eastAsia" w:ascii="宋体" w:hAnsi="宋体"/>
                <w:bCs/>
                <w:sz w:val="22"/>
              </w:rPr>
              <w:t xml:space="preserve">”中全部条款要求的，视为不符合招标文件，本项得0分。</w:t>
            </w:r>
            <w:r>
              <w:rPr>
                <w:rFonts w:hint="eastAsia" w:ascii="宋体" w:hAnsi="宋体"/>
                <w:bCs/>
                <w:sz w:val="22"/>
              </w:rPr>
            </w:r>
            <w:r/>
          </w:p>
          <w:p>
            <w:pPr>
              <w:pStyle w:val="734"/>
              <w:rPr>
                <w:rFonts w:hint="eastAsia" w:ascii="宋体" w:hAnsi="宋体"/>
                <w:bCs/>
                <w:sz w:val="22"/>
              </w:rPr>
            </w:pPr>
            <w:r>
              <w:rPr>
                <w:rFonts w:hint="eastAsia" w:ascii="宋体" w:hAnsi="宋体"/>
                <w:bCs/>
                <w:sz w:val="22"/>
              </w:rPr>
              <w:t xml:space="preserve">（2）投标文件符合“</w:t>
            </w:r>
            <w:r>
              <w:rPr>
                <w:rFonts w:hint="eastAsia" w:ascii="宋体" w:hAnsi="宋体"/>
                <w:bCs/>
                <w:sz w:val="22"/>
                <w:lang w:val="zh-CN"/>
              </w:rPr>
              <w:t xml:space="preserve">系统集成方案</w:t>
            </w:r>
            <w:r>
              <w:rPr>
                <w:rFonts w:hint="eastAsia" w:ascii="宋体" w:hAnsi="宋体"/>
                <w:bCs/>
                <w:sz w:val="22"/>
              </w:rPr>
              <w:t xml:space="preserve">”中全部条款要求的，视为符合招标文件，本项得3分。</w:t>
            </w:r>
            <w:r>
              <w:rPr>
                <w:rFonts w:hint="eastAsia" w:ascii="宋体" w:hAnsi="宋体"/>
                <w:bCs/>
                <w:sz w:val="22"/>
              </w:rPr>
            </w:r>
            <w:r/>
          </w:p>
          <w:p>
            <w:pPr>
              <w:pStyle w:val="734"/>
            </w:pPr>
            <w:r>
              <w:rPr>
                <w:rFonts w:hint="eastAsia" w:ascii="宋体" w:hAnsi="宋体"/>
                <w:bCs/>
                <w:sz w:val="22"/>
              </w:rPr>
              <w:t xml:space="preserve">（3）经评</w:t>
            </w:r>
            <w:r>
              <w:rPr>
                <w:rFonts w:hint="eastAsia" w:ascii="宋体" w:hAnsi="宋体"/>
                <w:bCs/>
                <w:sz w:val="22"/>
                <w:highlight w:val="none"/>
              </w:rPr>
              <w:t xml:space="preserve">委认定，投标文件对“</w:t>
            </w:r>
            <w:r>
              <w:rPr>
                <w:rFonts w:hint="eastAsia" w:ascii="宋体" w:hAnsi="宋体"/>
                <w:bCs/>
                <w:sz w:val="22"/>
                <w:highlight w:val="none"/>
                <w:lang w:val="zh-CN"/>
              </w:rPr>
              <w:t xml:space="preserve">系统集成方案</w:t>
            </w:r>
            <w:r>
              <w:rPr>
                <w:rFonts w:hint="eastAsia" w:ascii="宋体" w:hAnsi="宋体"/>
                <w:bCs/>
                <w:sz w:val="22"/>
                <w:highlight w:val="none"/>
              </w:rPr>
              <w:t xml:space="preserve">”中</w:t>
            </w:r>
            <w:r>
              <w:rPr>
                <w:rFonts w:hint="eastAsia" w:ascii="宋体" w:hAnsi="宋体"/>
                <w:bCs/>
                <w:sz w:val="22"/>
                <w:highlight w:val="none"/>
                <w:lang w:eastAsia="zh-CN"/>
              </w:rPr>
              <w:t xml:space="preserve">“</w:t>
            </w:r>
            <w:r>
              <w:rPr>
                <w:rFonts w:hint="eastAsia" w:ascii="宋体" w:hAnsi="宋体"/>
                <w:bCs/>
                <w:sz w:val="22"/>
                <w:highlight w:val="none"/>
                <w:lang w:val="zh-CN"/>
              </w:rPr>
              <w:t xml:space="preserve">科学先进性、可扩充性、安全性</w:t>
            </w:r>
            <w:r>
              <w:rPr>
                <w:rFonts w:hint="eastAsia" w:ascii="宋体" w:hAnsi="宋体"/>
                <w:bCs/>
                <w:sz w:val="22"/>
                <w:highlight w:val="none"/>
                <w:lang w:eastAsia="zh-CN"/>
              </w:rPr>
              <w:t xml:space="preserve">”</w:t>
            </w:r>
            <w:r>
              <w:rPr>
                <w:rFonts w:hint="eastAsia" w:ascii="宋体" w:hAnsi="宋体"/>
                <w:bCs/>
                <w:sz w:val="22"/>
                <w:highlight w:val="none"/>
              </w:rPr>
              <w:t xml:space="preserve">三项要求的响应内容全部优于招标文件要求的（前提是投标文件对“</w:t>
            </w:r>
            <w:r>
              <w:rPr>
                <w:rFonts w:hint="eastAsia" w:ascii="宋体" w:hAnsi="宋体"/>
                <w:bCs/>
                <w:sz w:val="22"/>
                <w:highlight w:val="none"/>
                <w:lang w:val="zh-CN"/>
              </w:rPr>
              <w:t xml:space="preserve">系统集成方案</w:t>
            </w:r>
            <w:r>
              <w:rPr>
                <w:rFonts w:hint="eastAsia" w:ascii="宋体" w:hAnsi="宋体"/>
                <w:bCs/>
                <w:sz w:val="22"/>
                <w:highlight w:val="none"/>
              </w:rPr>
              <w:t xml:space="preserve">”中除</w:t>
            </w:r>
            <w:r>
              <w:rPr>
                <w:rFonts w:hint="eastAsia" w:ascii="宋体" w:hAnsi="宋体"/>
                <w:bCs/>
                <w:sz w:val="22"/>
                <w:highlight w:val="none"/>
                <w:lang w:eastAsia="zh-CN"/>
              </w:rPr>
              <w:t xml:space="preserve">“</w:t>
            </w:r>
            <w:r>
              <w:rPr>
                <w:rFonts w:hint="eastAsia" w:ascii="宋体" w:hAnsi="宋体"/>
                <w:bCs/>
                <w:sz w:val="22"/>
                <w:highlight w:val="none"/>
                <w:lang w:val="zh-CN"/>
              </w:rPr>
              <w:t xml:space="preserve">科学先进性、可扩充性、安全性</w:t>
            </w:r>
            <w:r>
              <w:rPr>
                <w:rFonts w:hint="eastAsia" w:ascii="宋体" w:hAnsi="宋体"/>
                <w:bCs/>
                <w:sz w:val="22"/>
                <w:highlight w:val="none"/>
                <w:lang w:eastAsia="zh-CN"/>
              </w:rPr>
              <w:t xml:space="preserve">”</w:t>
            </w:r>
            <w:r>
              <w:rPr>
                <w:rFonts w:hint="eastAsia" w:ascii="宋体" w:hAnsi="宋体"/>
                <w:bCs/>
                <w:sz w:val="22"/>
                <w:highlight w:val="none"/>
              </w:rPr>
              <w:t xml:space="preserve">外其他要求响应内容符合招标文件要求），本项得5</w:t>
            </w:r>
            <w:r>
              <w:rPr>
                <w:rFonts w:hint="eastAsia" w:ascii="宋体" w:hAnsi="宋体"/>
                <w:bCs/>
                <w:sz w:val="22"/>
              </w:rPr>
              <w:t xml:space="preserve">分。</w:t>
            </w:r>
            <w:bookmarkEnd w:id="188"/>
            <w:r/>
            <w:r/>
          </w:p>
        </w:tc>
        <w:tc>
          <w:tcPr>
            <w:tcW w:w="1104" w:type="dxa"/>
            <w:vAlign w:val="center"/>
            <w:textDirection w:val="lrTb"/>
            <w:noWrap w:val="false"/>
          </w:tcPr>
          <w:p>
            <w:pPr>
              <w:pStyle w:val="734"/>
              <w:rPr>
                <w:rFonts w:ascii="宋体" w:hAnsi="宋体"/>
                <w:sz w:val="22"/>
              </w:rPr>
            </w:pPr>
            <w:r>
              <w:rPr>
                <w:rFonts w:ascii="宋体" w:hAnsi="宋体"/>
                <w:sz w:val="22"/>
              </w:rPr>
              <w:t xml:space="preserve">5</w:t>
            </w:r>
            <w:r>
              <w:rPr>
                <w:rFonts w:ascii="宋体" w:hAnsi="宋体"/>
                <w:sz w:val="22"/>
              </w:rPr>
            </w:r>
            <w:r/>
          </w:p>
        </w:tc>
      </w:tr>
      <w:tr>
        <w:trPr>
          <w:trHeight w:val="60"/>
        </w:trPr>
        <w:tc>
          <w:tcPr>
            <w:tcW w:w="1174" w:type="dxa"/>
            <w:vAlign w:val="center"/>
            <w:textDirection w:val="lrTb"/>
            <w:noWrap w:val="false"/>
          </w:tcPr>
          <w:p>
            <w:pPr>
              <w:pStyle w:val="734"/>
              <w:rPr>
                <w:rFonts w:ascii="宋体" w:hAnsi="宋体"/>
                <w:bCs/>
                <w:sz w:val="22"/>
              </w:rPr>
            </w:pPr>
            <w:r>
              <w:rPr>
                <w:rFonts w:hint="eastAsia" w:ascii="宋体" w:hAnsi="宋体"/>
                <w:bCs/>
                <w:sz w:val="22"/>
              </w:rPr>
              <w:t xml:space="preserve">2.</w:t>
            </w:r>
            <w:r>
              <w:rPr>
                <w:rFonts w:ascii="宋体" w:hAnsi="宋体"/>
                <w:bCs/>
                <w:sz w:val="22"/>
              </w:rPr>
              <w:t xml:space="preserve">3</w:t>
            </w:r>
            <w:r>
              <w:rPr>
                <w:rFonts w:ascii="宋体" w:hAnsi="宋体"/>
                <w:bCs/>
                <w:sz w:val="22"/>
              </w:rPr>
            </w:r>
            <w:r/>
          </w:p>
        </w:tc>
        <w:tc>
          <w:tcPr>
            <w:tcW w:w="1181" w:type="dxa"/>
            <w:vAlign w:val="center"/>
            <w:vMerge w:val="continue"/>
            <w:textDirection w:val="lrTb"/>
            <w:noWrap w:val="false"/>
          </w:tcPr>
          <w:p>
            <w:pPr>
              <w:pStyle w:val="734"/>
              <w:rPr>
                <w:rFonts w:ascii="宋体" w:hAnsi="宋体"/>
                <w:bCs/>
                <w:sz w:val="22"/>
              </w:rPr>
            </w:pPr>
            <w:r>
              <w:rPr>
                <w:rFonts w:ascii="宋体" w:hAnsi="宋体"/>
                <w:bCs/>
                <w:sz w:val="22"/>
              </w:rPr>
            </w:r>
            <w:r/>
          </w:p>
        </w:tc>
        <w:tc>
          <w:tcPr>
            <w:tcW w:w="5366" w:type="dxa"/>
            <w:vAlign w:val="center"/>
            <w:textDirection w:val="lrTb"/>
            <w:noWrap w:val="false"/>
          </w:tcPr>
          <w:p>
            <w:pPr>
              <w:pStyle w:val="734"/>
              <w:rPr>
                <w:rFonts w:hint="eastAsia" w:ascii="宋体" w:hAnsi="宋体"/>
                <w:bCs/>
                <w:sz w:val="22"/>
              </w:rPr>
            </w:pPr>
            <w:r>
              <w:rPr>
                <w:rFonts w:hint="eastAsia" w:ascii="宋体" w:hAnsi="宋体"/>
                <w:bCs/>
                <w:sz w:val="22"/>
              </w:rPr>
              <w:t xml:space="preserve">根据投标人提供的项目整体实施方案（包括但不限于：包括不限于项目功能描述、实施计划安排、人员分工安排等内容）评委根据投标文件对招标文件第四章“采购需求”中“整体实施方案”要求的响应情况进行评审</w:t>
            </w:r>
            <w:r>
              <w:rPr>
                <w:rFonts w:hint="eastAsia" w:ascii="宋体" w:hAnsi="宋体"/>
                <w:bCs/>
                <w:sz w:val="22"/>
              </w:rPr>
            </w:r>
            <w:r/>
          </w:p>
          <w:p>
            <w:pPr>
              <w:pStyle w:val="734"/>
              <w:rPr>
                <w:rFonts w:hint="eastAsia" w:ascii="宋体" w:hAnsi="宋体"/>
                <w:bCs/>
                <w:sz w:val="22"/>
              </w:rPr>
            </w:pPr>
            <w:r>
              <w:rPr>
                <w:rFonts w:hint="eastAsia" w:ascii="宋体" w:hAnsi="宋体"/>
                <w:bCs/>
                <w:sz w:val="22"/>
              </w:rPr>
              <w:t xml:space="preserve">（1）投标文件未符合“整体实施方案”中全部条款要求的，视为不符合招标文件，本项得0分。</w:t>
            </w:r>
            <w:r>
              <w:rPr>
                <w:rFonts w:hint="eastAsia" w:ascii="宋体" w:hAnsi="宋体"/>
                <w:bCs/>
                <w:sz w:val="22"/>
              </w:rPr>
            </w:r>
            <w:r/>
          </w:p>
          <w:p>
            <w:pPr>
              <w:pStyle w:val="734"/>
              <w:rPr>
                <w:rFonts w:hint="eastAsia" w:ascii="宋体" w:hAnsi="宋体"/>
                <w:bCs/>
                <w:sz w:val="22"/>
              </w:rPr>
            </w:pPr>
            <w:r>
              <w:rPr>
                <w:rFonts w:hint="eastAsia" w:ascii="宋体" w:hAnsi="宋体"/>
                <w:bCs/>
                <w:sz w:val="22"/>
              </w:rPr>
              <w:t xml:space="preserve">（2）投标文件符合“整体实施方案”中全部条款要求的，视为符合招标文件，本项得3分。</w:t>
            </w:r>
            <w:r>
              <w:rPr>
                <w:rFonts w:hint="eastAsia" w:ascii="宋体" w:hAnsi="宋体"/>
                <w:bCs/>
                <w:sz w:val="22"/>
              </w:rPr>
            </w:r>
            <w:r/>
          </w:p>
          <w:p>
            <w:pPr>
              <w:pStyle w:val="734"/>
              <w:rPr>
                <w:rFonts w:ascii="宋体" w:hAnsi="宋体"/>
                <w:bCs/>
                <w:sz w:val="22"/>
              </w:rPr>
            </w:pPr>
            <w:r>
              <w:rPr>
                <w:rFonts w:hint="eastAsia" w:ascii="宋体" w:hAnsi="宋体"/>
                <w:bCs/>
                <w:sz w:val="22"/>
              </w:rPr>
              <w:t xml:space="preserve">（3）经评委认定，投标文件对“整体实施方案”中要求的响应内容全部优于招标文件要求的，本项得5分。</w:t>
            </w:r>
            <w:r>
              <w:rPr>
                <w:rFonts w:ascii="宋体" w:hAnsi="宋体"/>
                <w:bCs/>
                <w:sz w:val="22"/>
              </w:rPr>
            </w:r>
            <w:r/>
          </w:p>
        </w:tc>
        <w:tc>
          <w:tcPr>
            <w:tcW w:w="1104" w:type="dxa"/>
            <w:vAlign w:val="center"/>
            <w:textDirection w:val="lrTb"/>
            <w:noWrap w:val="false"/>
          </w:tcPr>
          <w:p>
            <w:pPr>
              <w:pStyle w:val="734"/>
              <w:rPr>
                <w:rFonts w:ascii="宋体" w:hAnsi="宋体"/>
                <w:sz w:val="22"/>
              </w:rPr>
            </w:pPr>
            <w:r>
              <w:rPr>
                <w:rFonts w:ascii="宋体" w:hAnsi="宋体"/>
                <w:sz w:val="22"/>
              </w:rPr>
              <w:t xml:space="preserve">5</w:t>
            </w:r>
            <w:r>
              <w:rPr>
                <w:rFonts w:ascii="宋体" w:hAnsi="宋体"/>
                <w:sz w:val="22"/>
              </w:rPr>
            </w:r>
            <w:r/>
          </w:p>
        </w:tc>
      </w:tr>
      <w:tr>
        <w:trPr>
          <w:trHeight w:val="274"/>
        </w:trPr>
        <w:tc>
          <w:tcPr>
            <w:tcW w:w="1174" w:type="dxa"/>
            <w:vAlign w:val="center"/>
            <w:textDirection w:val="lrTb"/>
            <w:noWrap w:val="false"/>
          </w:tcPr>
          <w:p>
            <w:pPr>
              <w:pStyle w:val="734"/>
              <w:rPr>
                <w:rFonts w:ascii="宋体" w:hAnsi="宋体"/>
                <w:bCs/>
                <w:sz w:val="22"/>
              </w:rPr>
            </w:pPr>
            <w:r>
              <w:rPr>
                <w:rFonts w:hint="eastAsia" w:ascii="宋体" w:hAnsi="宋体"/>
                <w:bCs/>
                <w:sz w:val="22"/>
              </w:rPr>
              <w:t xml:space="preserve">3</w:t>
            </w:r>
            <w:r>
              <w:rPr>
                <w:rFonts w:ascii="宋体" w:hAnsi="宋体"/>
                <w:bCs/>
                <w:sz w:val="22"/>
              </w:rPr>
              <w:t xml:space="preserve">.1</w:t>
            </w:r>
            <w:r>
              <w:rPr>
                <w:rFonts w:ascii="宋体" w:hAnsi="宋体"/>
                <w:bCs/>
                <w:sz w:val="22"/>
              </w:rPr>
            </w:r>
            <w:r/>
          </w:p>
        </w:tc>
        <w:tc>
          <w:tcPr>
            <w:tcW w:w="1181" w:type="dxa"/>
            <w:vAlign w:val="center"/>
            <w:vMerge w:val="restart"/>
            <w:textDirection w:val="lrTb"/>
            <w:noWrap w:val="false"/>
          </w:tcPr>
          <w:p>
            <w:pPr>
              <w:pStyle w:val="734"/>
              <w:rPr>
                <w:rFonts w:ascii="宋体" w:hAnsi="宋体"/>
                <w:bCs/>
                <w:sz w:val="22"/>
              </w:rPr>
            </w:pPr>
            <w:r>
              <w:rPr>
                <w:rFonts w:hint="eastAsia" w:ascii="宋体" w:hAnsi="宋体"/>
                <w:bCs/>
                <w:sz w:val="22"/>
              </w:rPr>
              <w:t xml:space="preserve">服务</w:t>
            </w:r>
            <w:r>
              <w:rPr>
                <w:rFonts w:ascii="宋体" w:hAnsi="宋体"/>
                <w:bCs/>
                <w:sz w:val="22"/>
              </w:rPr>
            </w:r>
            <w:r/>
          </w:p>
        </w:tc>
        <w:tc>
          <w:tcPr>
            <w:tcW w:w="5366" w:type="dxa"/>
            <w:vAlign w:val="center"/>
            <w:textDirection w:val="lrTb"/>
            <w:noWrap w:val="false"/>
          </w:tcPr>
          <w:p>
            <w:pPr>
              <w:pStyle w:val="734"/>
              <w:rPr>
                <w:rFonts w:hint="eastAsia" w:ascii="宋体" w:hAnsi="宋体"/>
                <w:bCs/>
                <w:sz w:val="22"/>
              </w:rPr>
            </w:pPr>
            <w:r>
              <w:rPr>
                <w:rFonts w:hint="eastAsia" w:ascii="宋体" w:hAnsi="宋体"/>
                <w:bCs/>
                <w:sz w:val="22"/>
              </w:rPr>
              <w:t xml:space="preserve">根据投标人提供的售后服务方案（包括但不限于：服务响应需求的分类；各类情况响应时间、解决问题时间；预防防性维护的计划及频率；服务点数量、地点等）评委根据投标文件对招标文件第四章“采购需求”中“售后服务方案”要求的响应情况进行评审</w:t>
            </w:r>
            <w:r>
              <w:rPr>
                <w:rFonts w:hint="eastAsia" w:ascii="宋体" w:hAnsi="宋体"/>
                <w:bCs/>
                <w:sz w:val="22"/>
              </w:rPr>
            </w:r>
            <w:r/>
          </w:p>
          <w:p>
            <w:pPr>
              <w:pStyle w:val="734"/>
              <w:rPr>
                <w:rFonts w:hint="eastAsia" w:ascii="宋体" w:hAnsi="宋体"/>
                <w:bCs/>
                <w:sz w:val="22"/>
              </w:rPr>
            </w:pPr>
            <w:r>
              <w:rPr>
                <w:rFonts w:hint="eastAsia" w:ascii="宋体" w:hAnsi="宋体"/>
                <w:bCs/>
                <w:sz w:val="22"/>
              </w:rPr>
              <w:t xml:space="preserve">（1）投标文件未符合“售后服务方案”中全部条款要求的，视为不符合招标文件，本项得0分。</w:t>
            </w:r>
            <w:r>
              <w:rPr>
                <w:rFonts w:hint="eastAsia" w:ascii="宋体" w:hAnsi="宋体"/>
                <w:bCs/>
                <w:sz w:val="22"/>
              </w:rPr>
            </w:r>
            <w:r/>
          </w:p>
          <w:p>
            <w:pPr>
              <w:pStyle w:val="734"/>
              <w:rPr>
                <w:rFonts w:hint="eastAsia" w:ascii="宋体" w:hAnsi="宋体"/>
                <w:bCs/>
                <w:sz w:val="22"/>
              </w:rPr>
            </w:pPr>
            <w:r>
              <w:rPr>
                <w:rFonts w:hint="eastAsia" w:ascii="宋体" w:hAnsi="宋体"/>
                <w:bCs/>
                <w:sz w:val="22"/>
              </w:rPr>
              <w:t xml:space="preserve">（2）投标文件符合“售后服务方案”中全部条款要求的，视为符合招标文件，本项得3分。</w:t>
            </w:r>
            <w:r>
              <w:rPr>
                <w:rFonts w:hint="eastAsia" w:ascii="宋体" w:hAnsi="宋体"/>
                <w:bCs/>
                <w:sz w:val="22"/>
              </w:rPr>
            </w:r>
            <w:r/>
          </w:p>
          <w:p>
            <w:pPr>
              <w:pStyle w:val="734"/>
              <w:rPr>
                <w:rFonts w:ascii="宋体" w:hAnsi="宋体"/>
                <w:bCs/>
                <w:sz w:val="22"/>
              </w:rPr>
            </w:pPr>
            <w:r>
              <w:rPr>
                <w:rFonts w:hint="eastAsia" w:ascii="宋体" w:hAnsi="宋体"/>
                <w:bCs/>
                <w:sz w:val="22"/>
              </w:rPr>
              <w:t xml:space="preserve">（3）经评委认定，投标文件对“售后服务方案”中要求的响应内容全部优于招标文件要求的，本项得5分。</w:t>
            </w:r>
            <w:r>
              <w:rPr>
                <w:rFonts w:ascii="宋体" w:hAnsi="宋体"/>
                <w:bCs/>
                <w:sz w:val="22"/>
              </w:rPr>
            </w:r>
            <w:r/>
          </w:p>
        </w:tc>
        <w:tc>
          <w:tcPr>
            <w:tcW w:w="1104" w:type="dxa"/>
            <w:vAlign w:val="center"/>
            <w:textDirection w:val="lrTb"/>
            <w:noWrap w:val="false"/>
          </w:tcPr>
          <w:p>
            <w:pPr>
              <w:pStyle w:val="734"/>
              <w:rPr>
                <w:rFonts w:ascii="宋体" w:hAnsi="宋体"/>
                <w:bCs/>
                <w:sz w:val="22"/>
              </w:rPr>
            </w:pPr>
            <w:r>
              <w:rPr>
                <w:rFonts w:hint="eastAsia" w:ascii="宋体" w:hAnsi="宋体"/>
                <w:bCs/>
                <w:sz w:val="22"/>
              </w:rPr>
              <w:t xml:space="preserve">5</w:t>
            </w:r>
            <w:r>
              <w:rPr>
                <w:rFonts w:ascii="宋体" w:hAnsi="宋体"/>
                <w:bCs/>
                <w:sz w:val="22"/>
              </w:rPr>
            </w:r>
            <w:r/>
          </w:p>
        </w:tc>
      </w:tr>
      <w:tr>
        <w:trPr>
          <w:trHeight w:val="274"/>
        </w:trPr>
        <w:tc>
          <w:tcPr>
            <w:tcW w:w="1174" w:type="dxa"/>
            <w:vAlign w:val="center"/>
            <w:textDirection w:val="lrTb"/>
            <w:noWrap w:val="false"/>
          </w:tcPr>
          <w:p>
            <w:pPr>
              <w:pStyle w:val="734"/>
              <w:rPr>
                <w:rFonts w:ascii="宋体" w:hAnsi="宋体"/>
                <w:bCs/>
                <w:sz w:val="22"/>
              </w:rPr>
            </w:pPr>
            <w:r>
              <w:rPr>
                <w:rFonts w:ascii="宋体" w:hAnsi="宋体"/>
                <w:bCs/>
                <w:sz w:val="22"/>
              </w:rPr>
              <w:t xml:space="preserve">3.2</w:t>
            </w:r>
            <w:r>
              <w:rPr>
                <w:rFonts w:ascii="宋体" w:hAnsi="宋体"/>
                <w:bCs/>
                <w:sz w:val="22"/>
              </w:rPr>
            </w:r>
            <w:r/>
          </w:p>
        </w:tc>
        <w:tc>
          <w:tcPr>
            <w:tcW w:w="1181" w:type="dxa"/>
            <w:vAlign w:val="center"/>
            <w:vMerge w:val="continue"/>
            <w:textDirection w:val="lrTb"/>
            <w:noWrap w:val="false"/>
          </w:tcPr>
          <w:p>
            <w:pPr>
              <w:pStyle w:val="734"/>
              <w:rPr>
                <w:rFonts w:ascii="宋体" w:hAnsi="宋体"/>
                <w:bCs/>
                <w:sz w:val="22"/>
              </w:rPr>
            </w:pPr>
            <w:r>
              <w:rPr>
                <w:rFonts w:ascii="宋体" w:hAnsi="宋体"/>
                <w:bCs/>
                <w:sz w:val="22"/>
              </w:rPr>
            </w:r>
            <w:r/>
          </w:p>
        </w:tc>
        <w:tc>
          <w:tcPr>
            <w:tcW w:w="5366" w:type="dxa"/>
            <w:vAlign w:val="center"/>
            <w:textDirection w:val="lrTb"/>
            <w:noWrap w:val="false"/>
          </w:tcPr>
          <w:p>
            <w:pPr>
              <w:pStyle w:val="734"/>
              <w:rPr>
                <w:rFonts w:hint="eastAsia" w:ascii="宋体" w:hAnsi="宋体"/>
                <w:bCs/>
                <w:sz w:val="22"/>
              </w:rPr>
            </w:pPr>
            <w:r>
              <w:rPr>
                <w:rFonts w:hint="eastAsia" w:ascii="宋体" w:hAnsi="宋体"/>
                <w:bCs/>
                <w:sz w:val="22"/>
              </w:rPr>
              <w:t xml:space="preserve">根据投标人提供的本项目培训方案（包括但不限于：培训计划、师资力量，培训内容等）评委根据投标文件对招标文件第四章“采购需求”中“项目培训方案”要求的响应情况进行评审</w:t>
            </w:r>
            <w:r>
              <w:rPr>
                <w:rFonts w:hint="eastAsia" w:ascii="宋体" w:hAnsi="宋体"/>
                <w:bCs/>
                <w:sz w:val="22"/>
              </w:rPr>
            </w:r>
            <w:r/>
          </w:p>
          <w:p>
            <w:pPr>
              <w:pStyle w:val="734"/>
              <w:rPr>
                <w:rFonts w:hint="eastAsia" w:ascii="宋体" w:hAnsi="宋体"/>
                <w:bCs/>
                <w:sz w:val="22"/>
              </w:rPr>
            </w:pPr>
            <w:r>
              <w:rPr>
                <w:rFonts w:hint="eastAsia" w:ascii="宋体" w:hAnsi="宋体"/>
                <w:bCs/>
                <w:sz w:val="22"/>
              </w:rPr>
              <w:t xml:space="preserve">（1）投标文件未符合“项目培训方案”中全部条款要求的，视为不符合招标文件，本项得0分。</w:t>
            </w:r>
            <w:r>
              <w:rPr>
                <w:rFonts w:hint="eastAsia" w:ascii="宋体" w:hAnsi="宋体"/>
                <w:bCs/>
                <w:sz w:val="22"/>
              </w:rPr>
            </w:r>
            <w:r/>
          </w:p>
          <w:p>
            <w:pPr>
              <w:pStyle w:val="734"/>
              <w:rPr>
                <w:rFonts w:hint="eastAsia" w:ascii="宋体" w:hAnsi="宋体"/>
                <w:bCs/>
                <w:sz w:val="22"/>
              </w:rPr>
            </w:pPr>
            <w:r>
              <w:rPr>
                <w:rFonts w:hint="eastAsia" w:ascii="宋体" w:hAnsi="宋体"/>
                <w:bCs/>
                <w:sz w:val="22"/>
              </w:rPr>
              <w:t xml:space="preserve">（2）投标文件符合“项目培训方案”中全部条款要求的，视为符合招标文件，本项得3分。</w:t>
            </w:r>
            <w:r>
              <w:rPr>
                <w:rFonts w:hint="eastAsia" w:ascii="宋体" w:hAnsi="宋体"/>
                <w:bCs/>
                <w:sz w:val="22"/>
              </w:rPr>
            </w:r>
            <w:r/>
          </w:p>
          <w:p>
            <w:pPr>
              <w:pStyle w:val="734"/>
              <w:rPr>
                <w:rFonts w:ascii="宋体" w:hAnsi="宋体"/>
                <w:bCs/>
                <w:sz w:val="22"/>
              </w:rPr>
            </w:pPr>
            <w:r>
              <w:rPr>
                <w:rFonts w:hint="eastAsia" w:ascii="宋体" w:hAnsi="宋体"/>
                <w:bCs/>
                <w:sz w:val="22"/>
              </w:rPr>
              <w:t xml:space="preserve">（3）经评委认定，投标文件对“项目培训方案”中要求的响应内容全部优于招标文件要求的，本项得5分。</w:t>
            </w:r>
            <w:r>
              <w:rPr>
                <w:rFonts w:ascii="宋体" w:hAnsi="宋体"/>
                <w:bCs/>
                <w:sz w:val="22"/>
              </w:rPr>
            </w:r>
            <w:r/>
          </w:p>
        </w:tc>
        <w:tc>
          <w:tcPr>
            <w:tcW w:w="1104" w:type="dxa"/>
            <w:vAlign w:val="center"/>
            <w:textDirection w:val="lrTb"/>
            <w:noWrap w:val="false"/>
          </w:tcPr>
          <w:p>
            <w:pPr>
              <w:pStyle w:val="734"/>
              <w:rPr>
                <w:rFonts w:ascii="宋体" w:hAnsi="宋体"/>
                <w:bCs/>
                <w:sz w:val="22"/>
              </w:rPr>
            </w:pPr>
            <w:r>
              <w:rPr>
                <w:rFonts w:hint="eastAsia" w:ascii="宋体" w:hAnsi="宋体"/>
                <w:bCs/>
                <w:sz w:val="22"/>
              </w:rPr>
              <w:t xml:space="preserve">5</w:t>
            </w:r>
            <w:r>
              <w:rPr>
                <w:rFonts w:ascii="宋体" w:hAnsi="宋体"/>
                <w:bCs/>
                <w:sz w:val="22"/>
              </w:rPr>
            </w:r>
            <w:r/>
          </w:p>
        </w:tc>
      </w:tr>
      <w:tr>
        <w:trPr>
          <w:trHeight w:val="46"/>
        </w:trPr>
        <w:tc>
          <w:tcPr>
            <w:tcW w:w="1174" w:type="dxa"/>
            <w:vAlign w:val="center"/>
            <w:textDirection w:val="lrTb"/>
            <w:noWrap w:val="false"/>
          </w:tcPr>
          <w:p>
            <w:pPr>
              <w:pStyle w:val="734"/>
              <w:rPr>
                <w:rFonts w:ascii="宋体" w:hAnsi="宋体"/>
                <w:bCs/>
                <w:sz w:val="22"/>
              </w:rPr>
            </w:pPr>
            <w:r>
              <w:rPr>
                <w:rFonts w:hint="eastAsia" w:ascii="宋体" w:hAnsi="宋体"/>
                <w:bCs/>
                <w:sz w:val="22"/>
              </w:rPr>
              <w:t xml:space="preserve">4</w:t>
            </w:r>
            <w:r>
              <w:rPr>
                <w:rFonts w:ascii="宋体" w:hAnsi="宋体"/>
                <w:bCs/>
                <w:sz w:val="22"/>
              </w:rPr>
              <w:t xml:space="preserve">.1</w:t>
            </w:r>
            <w:r>
              <w:rPr>
                <w:rFonts w:ascii="宋体" w:hAnsi="宋体"/>
                <w:bCs/>
                <w:sz w:val="22"/>
              </w:rPr>
            </w:r>
            <w:r/>
          </w:p>
        </w:tc>
        <w:tc>
          <w:tcPr>
            <w:tcW w:w="1181" w:type="dxa"/>
            <w:vAlign w:val="center"/>
            <w:textDirection w:val="lrTb"/>
            <w:noWrap w:val="false"/>
          </w:tcPr>
          <w:p>
            <w:pPr>
              <w:pStyle w:val="734"/>
              <w:rPr>
                <w:rFonts w:ascii="宋体" w:hAnsi="宋体"/>
                <w:bCs/>
                <w:sz w:val="22"/>
              </w:rPr>
            </w:pPr>
            <w:r>
              <w:rPr>
                <w:rFonts w:hint="eastAsia" w:ascii="宋体" w:hAnsi="宋体"/>
                <w:bCs/>
                <w:sz w:val="22"/>
              </w:rPr>
              <w:t xml:space="preserve">业绩</w:t>
            </w:r>
            <w:r>
              <w:rPr>
                <w:rFonts w:ascii="宋体" w:hAnsi="宋体"/>
                <w:bCs/>
                <w:sz w:val="22"/>
              </w:rPr>
            </w:r>
            <w:r/>
          </w:p>
        </w:tc>
        <w:tc>
          <w:tcPr>
            <w:tcW w:w="5366" w:type="dxa"/>
            <w:vAlign w:val="center"/>
            <w:textDirection w:val="lrTb"/>
            <w:noWrap w:val="false"/>
          </w:tcPr>
          <w:p>
            <w:pPr>
              <w:pStyle w:val="734"/>
              <w:rPr>
                <w:rFonts w:ascii="宋体" w:hAnsi="宋体"/>
                <w:bCs/>
                <w:sz w:val="22"/>
              </w:rPr>
            </w:pPr>
            <w:r>
              <w:rPr>
                <w:rFonts w:hint="eastAsia" w:ascii="宋体" w:hAnsi="宋体"/>
                <w:bCs/>
                <w:sz w:val="22"/>
              </w:rPr>
              <w:t xml:space="preserve">投标人提供近三年（2022年8月1日至投标截止日，以合同签订之日为准）系统集成或软件开发类项目案例，每提供1个得1分，最高得5分（提供合同复印件并加盖公章）</w:t>
            </w:r>
            <w:r>
              <w:rPr>
                <w:rFonts w:ascii="宋体" w:hAnsi="宋体"/>
                <w:bCs/>
                <w:sz w:val="22"/>
              </w:rPr>
            </w:r>
            <w:r/>
          </w:p>
        </w:tc>
        <w:tc>
          <w:tcPr>
            <w:tcW w:w="1104" w:type="dxa"/>
            <w:vAlign w:val="center"/>
            <w:textDirection w:val="lrTb"/>
            <w:noWrap w:val="false"/>
          </w:tcPr>
          <w:p>
            <w:pPr>
              <w:pStyle w:val="734"/>
              <w:rPr>
                <w:rFonts w:ascii="宋体" w:hAnsi="宋体"/>
                <w:bCs/>
                <w:sz w:val="22"/>
              </w:rPr>
            </w:pPr>
            <w:r>
              <w:rPr>
                <w:rFonts w:ascii="宋体" w:hAnsi="宋体"/>
                <w:bCs/>
                <w:sz w:val="22"/>
              </w:rPr>
              <w:t xml:space="preserve">5</w:t>
            </w:r>
            <w:r>
              <w:rPr>
                <w:rFonts w:ascii="宋体" w:hAnsi="宋体"/>
                <w:bCs/>
                <w:sz w:val="22"/>
              </w:rPr>
            </w:r>
            <w:r/>
          </w:p>
        </w:tc>
      </w:tr>
      <w:tr>
        <w:trPr>
          <w:trHeight w:val="284"/>
        </w:trPr>
        <w:tc>
          <w:tcPr>
            <w:tcW w:w="1174" w:type="dxa"/>
            <w:vAlign w:val="center"/>
            <w:textDirection w:val="lrTb"/>
            <w:noWrap w:val="false"/>
          </w:tcPr>
          <w:p>
            <w:pPr>
              <w:pStyle w:val="734"/>
              <w:rPr>
                <w:rFonts w:ascii="宋体" w:hAnsi="宋体"/>
                <w:bCs/>
                <w:sz w:val="22"/>
              </w:rPr>
            </w:pPr>
            <w:r>
              <w:rPr>
                <w:rFonts w:hint="eastAsia" w:ascii="宋体" w:hAnsi="宋体"/>
                <w:bCs/>
                <w:sz w:val="22"/>
              </w:rPr>
              <w:t xml:space="preserve">5</w:t>
            </w:r>
            <w:r>
              <w:rPr>
                <w:rFonts w:ascii="宋体" w:hAnsi="宋体"/>
                <w:bCs/>
                <w:sz w:val="22"/>
              </w:rPr>
            </w:r>
            <w:r/>
          </w:p>
        </w:tc>
        <w:tc>
          <w:tcPr>
            <w:tcW w:w="1181" w:type="dxa"/>
            <w:vAlign w:val="center"/>
            <w:textDirection w:val="lrTb"/>
            <w:noWrap w:val="false"/>
          </w:tcPr>
          <w:p>
            <w:pPr>
              <w:pStyle w:val="734"/>
              <w:rPr>
                <w:rFonts w:hint="eastAsia" w:ascii="宋体" w:hAnsi="宋体" w:eastAsia="宋体"/>
                <w:bCs/>
                <w:sz w:val="22"/>
                <w:lang w:eastAsia="zh-CN"/>
              </w:rPr>
            </w:pPr>
            <w:r>
              <w:rPr>
                <w:rFonts w:hint="eastAsia" w:ascii="宋体" w:hAnsi="宋体"/>
                <w:bCs/>
                <w:sz w:val="22"/>
                <w:lang w:eastAsia="zh-CN"/>
              </w:rPr>
              <w:t xml:space="preserve">项目团队</w:t>
            </w:r>
            <w:r>
              <w:rPr>
                <w:rFonts w:hint="eastAsia" w:ascii="宋体" w:hAnsi="宋体" w:eastAsia="宋体"/>
                <w:bCs/>
                <w:sz w:val="22"/>
                <w:lang w:eastAsia="zh-CN"/>
              </w:rPr>
            </w:r>
            <w:r/>
          </w:p>
        </w:tc>
        <w:tc>
          <w:tcPr>
            <w:tcW w:w="5366" w:type="dxa"/>
            <w:vAlign w:val="top"/>
            <w:textDirection w:val="lrTb"/>
            <w:noWrap w:val="false"/>
          </w:tcPr>
          <w:p>
            <w:pPr>
              <w:pStyle w:val="734"/>
              <w:rPr>
                <w:rFonts w:ascii="宋体" w:hAnsi="宋体"/>
                <w:bCs/>
                <w:sz w:val="22"/>
              </w:rPr>
            </w:pPr>
            <w:r>
              <w:rPr>
                <w:rFonts w:hint="eastAsia" w:ascii="宋体" w:hAnsi="宋体"/>
                <w:bCs/>
                <w:sz w:val="22"/>
              </w:rPr>
              <w:t xml:space="preserve">5.1、项目经理具备信息系统项目管理师（高级）证书，得2分，未提供不得分（提供证书复印件）</w:t>
            </w:r>
            <w:r>
              <w:rPr>
                <w:rFonts w:ascii="宋体" w:hAnsi="宋体"/>
                <w:bCs/>
                <w:sz w:val="22"/>
              </w:rPr>
            </w:r>
            <w:r/>
          </w:p>
          <w:p>
            <w:pPr>
              <w:pStyle w:val="734"/>
              <w:rPr>
                <w:rFonts w:ascii="宋体" w:hAnsi="宋体"/>
                <w:bCs/>
                <w:sz w:val="22"/>
              </w:rPr>
            </w:pPr>
            <w:r>
              <w:rPr>
                <w:rFonts w:hint="eastAsia" w:ascii="宋体" w:hAnsi="宋体"/>
                <w:bCs/>
                <w:sz w:val="22"/>
              </w:rPr>
              <w:t xml:space="preserve">5.2、</w:t>
            </w:r>
            <w:bookmarkStart w:id="189" w:name="OLE_LINK20"/>
            <w:r>
              <w:rPr>
                <w:rFonts w:hint="eastAsia" w:ascii="宋体" w:hAnsi="宋体"/>
                <w:bCs/>
                <w:sz w:val="22"/>
              </w:rPr>
              <w:t xml:space="preserve">项目团队成员具有注册信息安全证书（CISP），具有中级职称证书、中级信息安全工程师、中级软件设计、数据库系统工程师等软考中级以上证书的，每有1人得1分，1人多证不重复得分，最多得5分</w:t>
            </w:r>
            <w:bookmarkEnd w:id="189"/>
            <w:r>
              <w:rPr>
                <w:rFonts w:hint="eastAsia" w:ascii="宋体" w:hAnsi="宋体"/>
                <w:bCs/>
                <w:sz w:val="22"/>
              </w:rPr>
              <w:t xml:space="preserve">（提供证书复印件）</w:t>
            </w:r>
            <w:r>
              <w:rPr>
                <w:rFonts w:ascii="宋体" w:hAnsi="宋体"/>
                <w:bCs/>
                <w:sz w:val="22"/>
              </w:rPr>
            </w:r>
            <w:r/>
          </w:p>
        </w:tc>
        <w:tc>
          <w:tcPr>
            <w:tcW w:w="1104" w:type="dxa"/>
            <w:vAlign w:val="center"/>
            <w:textDirection w:val="lrTb"/>
            <w:noWrap w:val="false"/>
          </w:tcPr>
          <w:p>
            <w:pPr>
              <w:pStyle w:val="734"/>
              <w:rPr>
                <w:rFonts w:ascii="宋体" w:hAnsi="宋体"/>
                <w:bCs/>
                <w:sz w:val="22"/>
              </w:rPr>
            </w:pPr>
            <w:r>
              <w:rPr>
                <w:rFonts w:hint="eastAsia" w:ascii="宋体" w:hAnsi="宋体"/>
                <w:bCs/>
                <w:sz w:val="22"/>
              </w:rPr>
              <w:t xml:space="preserve">7</w:t>
            </w:r>
            <w:r>
              <w:rPr>
                <w:rFonts w:ascii="宋体" w:hAnsi="宋体"/>
                <w:bCs/>
                <w:sz w:val="22"/>
              </w:rPr>
            </w:r>
            <w:r/>
          </w:p>
        </w:tc>
      </w:tr>
    </w:tbl>
    <w:p>
      <w:pPr>
        <w:pStyle w:val="734"/>
      </w:pPr>
      <w:r/>
      <w:r/>
    </w:p>
    <w:p>
      <w:pPr>
        <w:pStyle w:val="734"/>
        <w:rPr>
          <w:rFonts w:hint="eastAsia"/>
        </w:rPr>
      </w:pPr>
      <w:r>
        <w:rPr>
          <w:rFonts w:hint="eastAsia"/>
        </w:rPr>
      </w:r>
      <w:r/>
    </w:p>
    <w:p>
      <w:pPr>
        <w:pStyle w:val="736"/>
        <w:spacing w:line="400" w:lineRule="exact"/>
        <w:rPr>
          <w:rFonts w:hint="eastAsia" w:ascii="黑体" w:hAnsi="黑体" w:eastAsia="黑体"/>
          <w:b w:val="0"/>
          <w:bCs w:val="0"/>
          <w:sz w:val="28"/>
          <w:szCs w:val="28"/>
        </w:rPr>
      </w:pPr>
      <w:r>
        <w:rPr>
          <w:rFonts w:hint="eastAsia" w:ascii="黑体" w:hAnsi="黑体" w:eastAsia="黑体"/>
          <w:b w:val="0"/>
          <w:bCs w:val="0"/>
          <w:sz w:val="28"/>
          <w:szCs w:val="28"/>
        </w:rPr>
        <w:br w:type="page" w:clear="all"/>
      </w:r>
      <w:r>
        <w:rPr>
          <w:rFonts w:hint="eastAsia" w:ascii="黑体" w:hAnsi="黑体" w:eastAsia="黑体"/>
          <w:b w:val="0"/>
          <w:bCs w:val="0"/>
          <w:sz w:val="28"/>
          <w:szCs w:val="28"/>
        </w:rPr>
        <w:t xml:space="preserve">第六章  投标</w:t>
      </w:r>
      <w:bookmarkEnd w:id="181"/>
      <w:r/>
      <w:bookmarkEnd w:id="182"/>
      <w:r/>
      <w:bookmarkEnd w:id="186"/>
      <w:r>
        <w:rPr>
          <w:rFonts w:hint="eastAsia" w:ascii="黑体" w:hAnsi="黑体" w:eastAsia="黑体"/>
          <w:b w:val="0"/>
          <w:bCs w:val="0"/>
          <w:sz w:val="28"/>
          <w:szCs w:val="28"/>
        </w:rPr>
        <w:t xml:space="preserve">文件格式</w:t>
      </w:r>
      <w:r>
        <w:rPr>
          <w:rFonts w:hint="eastAsia" w:ascii="黑体" w:hAnsi="黑体" w:eastAsia="黑体"/>
          <w:b w:val="0"/>
          <w:bCs w:val="0"/>
          <w:sz w:val="28"/>
          <w:szCs w:val="28"/>
        </w:rPr>
      </w:r>
      <w:r/>
    </w:p>
    <w:p>
      <w:pPr>
        <w:pStyle w:val="734"/>
        <w:jc w:val="center"/>
        <w:spacing w:line="400" w:lineRule="exact"/>
        <w:rPr>
          <w:rFonts w:hint="eastAsia" w:ascii="宋体" w:hAnsi="宋体"/>
          <w:b/>
          <w:color w:val="000000"/>
          <w:sz w:val="28"/>
          <w:szCs w:val="28"/>
        </w:rPr>
      </w:pPr>
      <w:r/>
      <w:bookmarkStart w:id="190" w:name="_Hlt26955039"/>
      <w:r/>
      <w:bookmarkEnd w:id="190"/>
      <w:r/>
      <w:bookmarkStart w:id="191" w:name="_Hlt26671244"/>
      <w:r/>
      <w:bookmarkEnd w:id="191"/>
      <w:r/>
      <w:bookmarkStart w:id="192" w:name="_Toc49090576"/>
      <w:r/>
      <w:bookmarkStart w:id="193" w:name="_Toc120614282"/>
      <w:r/>
      <w:bookmarkStart w:id="194" w:name="_Toc26554094"/>
      <w:r>
        <w:rPr>
          <w:rFonts w:hint="eastAsia" w:ascii="宋体" w:hAnsi="宋体"/>
          <w:b/>
          <w:color w:val="000000"/>
          <w:sz w:val="28"/>
          <w:szCs w:val="28"/>
        </w:rPr>
      </w:r>
      <w:r/>
    </w:p>
    <w:p>
      <w:pPr>
        <w:pStyle w:val="734"/>
        <w:jc w:val="center"/>
        <w:spacing w:line="40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投  标  文  件</w:t>
      </w:r>
      <w:r>
        <w:rPr>
          <w:rFonts w:hint="eastAsia" w:ascii="方正小标宋_GBK" w:hAnsi="方正小标宋_GBK" w:eastAsia="方正小标宋_GBK" w:cs="方正小标宋_GBK"/>
          <w:bCs/>
          <w:color w:val="000000"/>
          <w:sz w:val="32"/>
          <w:szCs w:val="32"/>
        </w:rPr>
      </w:r>
      <w:r/>
    </w:p>
    <w:p>
      <w:pPr>
        <w:pStyle w:val="734"/>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734"/>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734"/>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 目 名 称：</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rPr>
      </w:r>
      <w:r/>
    </w:p>
    <w:p>
      <w:pPr>
        <w:pStyle w:val="734"/>
        <w:ind w:firstLine="840"/>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 购 编 号：</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734"/>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投标人名称 ：</w:t>
      </w:r>
      <w:r>
        <w:rPr>
          <w:rFonts w:hint="eastAsia" w:ascii="方正黑体_GBK" w:hAnsi="方正黑体_GBK" w:eastAsia="方正黑体_GBK" w:cs="方正黑体_GBK"/>
          <w:bCs/>
          <w:color w:val="000000"/>
          <w:sz w:val="28"/>
          <w:szCs w:val="28"/>
          <w:u w:val="single"/>
        </w:rPr>
        <w:t xml:space="preserve">（加盖CA电子公章）</w:t>
      </w:r>
      <w:r>
        <w:rPr>
          <w:rFonts w:hint="eastAsia" w:ascii="方正黑体_GBK" w:hAnsi="方正黑体_GBK" w:eastAsia="方正黑体_GBK" w:cs="方正黑体_GBK"/>
          <w:bCs/>
          <w:color w:val="000000"/>
          <w:sz w:val="28"/>
          <w:szCs w:val="28"/>
          <w:u w:val="single"/>
        </w:rPr>
      </w:r>
      <w:r/>
    </w:p>
    <w:p>
      <w:pPr>
        <w:pStyle w:val="734"/>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日      期 ：</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734"/>
        <w:jc w:val="center"/>
        <w:spacing w:line="400" w:lineRule="exact"/>
        <w:rPr>
          <w:rFonts w:hint="eastAsia" w:ascii="宋体" w:hAnsi="宋体"/>
          <w:b/>
          <w:bCs/>
          <w:sz w:val="28"/>
          <w:szCs w:val="28"/>
        </w:rPr>
      </w:pPr>
      <w:r>
        <w:rPr>
          <w:rFonts w:hint="eastAsia" w:ascii="宋体" w:hAnsi="宋体"/>
          <w:b/>
          <w:bCs/>
          <w:sz w:val="28"/>
          <w:szCs w:val="28"/>
        </w:rPr>
      </w:r>
      <w:r/>
    </w:p>
    <w:p>
      <w:pPr>
        <w:pStyle w:val="73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sz w:val="28"/>
          <w:szCs w:val="28"/>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eastAsia="方正仿宋_GBK"/>
          <w:color w:val="000000"/>
          <w:sz w:val="28"/>
          <w:szCs w:val="28"/>
        </w:rPr>
        <w:t xml:space="preserve">（</w:t>
      </w:r>
      <w:r>
        <w:rPr>
          <w:rFonts w:eastAsia="方正仿宋_GBK"/>
          <w:sz w:val="28"/>
          <w:szCs w:val="28"/>
        </w:rPr>
        <w:t xml:space="preserve">www.creditchina.gov.cn</w:t>
      </w:r>
      <w:r>
        <w:rPr>
          <w:rFonts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rPr>
          <w:rFonts w:hint="eastAsia" w:ascii="宋体" w:hAnsi="宋体"/>
          <w:sz w:val="28"/>
          <w:szCs w:val="28"/>
        </w:rPr>
      </w:r>
      <w:r/>
    </w:p>
    <w:p>
      <w:pPr>
        <w:pStyle w:val="734"/>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宋体" w:hAnsi="宋体"/>
          <w:sz w:val="28"/>
          <w:szCs w:val="28"/>
        </w:rPr>
      </w:r>
      <w:r/>
    </w:p>
    <w:p>
      <w:pPr>
        <w:pStyle w:val="734"/>
        <w:ind w:firstLine="560"/>
        <w:spacing w:line="400" w:lineRule="exact"/>
        <w:rPr>
          <w:rFonts w:hint="eastAsia" w:ascii="宋体" w:hAnsi="宋体"/>
          <w:sz w:val="28"/>
          <w:szCs w:val="28"/>
          <w:highlight w:val="yellow"/>
        </w:rPr>
      </w:pPr>
      <w:r>
        <w:rPr>
          <w:rFonts w:hint="eastAsia" w:ascii="方正仿宋_GBK" w:hAnsi="方正仿宋_GBK" w:eastAsia="方正仿宋_GBK" w:cs="方正仿宋_GBK"/>
          <w:color w:val="000000"/>
          <w:sz w:val="28"/>
          <w:szCs w:val="28"/>
        </w:rPr>
        <w:t xml:space="preserve">12.联合体协议（如果本项目接受联合体参加投标，投标人是联合体的，则必须提供。格式见附件11）</w:t>
      </w:r>
      <w:r>
        <w:rPr>
          <w:rFonts w:hint="eastAsia" w:ascii="宋体" w:hAnsi="宋体"/>
          <w:sz w:val="28"/>
          <w:szCs w:val="28"/>
          <w:highlight w:val="yellow"/>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734"/>
        <w:ind w:firstLine="480"/>
        <w:spacing w:line="400" w:lineRule="exact"/>
        <w:rPr>
          <w:rFonts w:hint="eastAsia" w:ascii="宋体" w:hAnsi="宋体"/>
          <w:sz w:val="24"/>
          <w:szCs w:val="21"/>
        </w:rPr>
      </w:pPr>
      <w:r>
        <w:rPr>
          <w:rFonts w:hint="eastAsia" w:ascii="宋体" w:hAnsi="宋体"/>
          <w:sz w:val="24"/>
          <w:szCs w:val="21"/>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bCs/>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4"/>
        <w:spacing w:line="400" w:lineRule="exact"/>
        <w:rPr>
          <w:rFonts w:hint="eastAsia" w:ascii="宋体" w:hAnsi="宋体"/>
          <w:sz w:val="28"/>
          <w:szCs w:val="28"/>
        </w:rPr>
      </w:pPr>
      <w:r>
        <w:rPr>
          <w:rFonts w:hint="eastAsia" w:ascii="宋体" w:hAnsi="宋体"/>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投标分项报价表（采购包号：XX）</w:t>
      </w:r>
      <w:r>
        <w:rPr>
          <w:rFonts w:hint="eastAsia" w:ascii="方正黑体_GBK" w:hAnsi="方正黑体_GBK" w:eastAsia="方正黑体_GBK" w:cs="方正黑体_GBK"/>
          <w:bCs/>
          <w:sz w:val="28"/>
          <w:szCs w:val="28"/>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73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514" w:type="dxa"/>
            <w:vAlign w:val="top"/>
            <w:textDirection w:val="lrTb"/>
            <w:noWrap w:val="false"/>
          </w:tcPr>
          <w:p>
            <w:pPr>
              <w:pStyle w:val="796"/>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rPr>
          <w:rFonts w:hint="eastAsia" w:ascii="方正仿宋_GBK" w:hAnsi="方正仿宋_GBK" w:eastAsia="方正仿宋_GBK" w:cs="方正仿宋_GBK"/>
          <w:sz w:val="28"/>
          <w:szCs w:val="28"/>
        </w:rPr>
      </w:r>
      <w:r/>
    </w:p>
    <w:p>
      <w:pPr>
        <w:pStyle w:val="734"/>
        <w:jc w:val="center"/>
        <w:spacing w:line="400" w:lineRule="exact"/>
        <w:rPr>
          <w:rFonts w:hint="eastAsia" w:ascii="宋体" w:hAnsi="宋体"/>
          <w:b/>
          <w:sz w:val="28"/>
          <w:szCs w:val="28"/>
        </w:rPr>
      </w:pPr>
      <w:r>
        <w:rPr>
          <w:rFonts w:hint="eastAsia" w:ascii="宋体" w:hAnsi="宋体"/>
          <w:b/>
          <w:sz w:val="28"/>
          <w:szCs w:val="28"/>
        </w:rPr>
      </w:r>
      <w:r/>
    </w:p>
    <w:p>
      <w:pPr>
        <w:pStyle w:val="734"/>
        <w:jc w:val="center"/>
        <w:spacing w:line="400" w:lineRule="exact"/>
        <w:rPr>
          <w:rFonts w:hint="eastAsia" w:ascii="宋体" w:hAnsi="宋体"/>
          <w:b/>
          <w:sz w:val="28"/>
          <w:szCs w:val="28"/>
        </w:rPr>
      </w:pPr>
      <w:r>
        <w:rPr>
          <w:rFonts w:hint="eastAsia" w:ascii="宋体" w:hAnsi="宋体"/>
          <w:b/>
          <w:sz w:val="28"/>
          <w:szCs w:val="28"/>
        </w:rPr>
      </w:r>
      <w:r/>
    </w:p>
    <w:p>
      <w:pPr>
        <w:pStyle w:val="734"/>
        <w:jc w:val="center"/>
        <w:spacing w:line="400" w:lineRule="exact"/>
        <w:rPr>
          <w:rFonts w:hint="eastAsia" w:ascii="宋体" w:hAnsi="宋体"/>
          <w:b/>
          <w:sz w:val="28"/>
          <w:szCs w:val="28"/>
        </w:rPr>
      </w:pPr>
      <w:r>
        <w:rPr>
          <w:rFonts w:hint="eastAsia" w:ascii="宋体" w:hAnsi="宋体"/>
          <w:b/>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4"/>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4"/>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34"/>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734"/>
        <w:ind w:left="480"/>
        <w:spacing w:line="400" w:lineRule="exact"/>
        <w:rPr>
          <w:rFonts w:ascii="宋体" w:hAnsi="宋体"/>
          <w:b/>
          <w:color w:val="000000"/>
          <w:sz w:val="28"/>
          <w:szCs w:val="28"/>
        </w:rPr>
      </w:pPr>
      <w:r>
        <w:rPr>
          <w:rFonts w:ascii="宋体" w:hAnsi="宋体"/>
          <w:b/>
          <w:color w:val="000000"/>
          <w:sz w:val="28"/>
          <w:szCs w:val="28"/>
        </w:rPr>
      </w:r>
      <w:r/>
    </w:p>
    <w:p>
      <w:pPr>
        <w:pStyle w:val="734"/>
        <w:spacing w:line="400" w:lineRule="exact"/>
        <w:rPr>
          <w:rFonts w:ascii="宋体" w:hAnsi="宋体"/>
          <w:b/>
          <w:color w:val="000000"/>
          <w:sz w:val="28"/>
          <w:szCs w:val="28"/>
        </w:rPr>
      </w:pPr>
      <w:r>
        <w:rPr>
          <w:rFonts w:ascii="宋体" w:hAnsi="宋体"/>
          <w:b/>
          <w:color w:val="000000"/>
          <w:sz w:val="28"/>
          <w:szCs w:val="28"/>
        </w:rPr>
      </w:r>
      <w:r/>
    </w:p>
    <w:p>
      <w:pPr>
        <w:pStyle w:val="734"/>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92"/>
      <w:r/>
      <w:bookmarkEnd w:id="193"/>
      <w:r/>
      <w:bookmarkEnd w:id="194"/>
      <w:r/>
      <w:bookmarkStart w:id="195" w:name="_Toc120614284"/>
      <w:r>
        <w:rPr>
          <w:rFonts w:hint="eastAsia" w:ascii="方正仿宋_GBK" w:hAnsi="方正仿宋_GBK" w:eastAsia="方正仿宋_GBK" w:cs="方正仿宋_GBK"/>
          <w:sz w:val="28"/>
          <w:szCs w:val="28"/>
        </w:rPr>
      </w:r>
      <w:r/>
    </w:p>
    <w:p>
      <w:pPr>
        <w:pStyle w:val="734"/>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ind w:firstLine="480"/>
        <w:spacing w:line="400" w:lineRule="exact"/>
        <w:rPr>
          <w:rFonts w:ascii="宋体" w:hAnsi="宋体"/>
          <w:b/>
          <w:color w:val="000000"/>
          <w:sz w:val="28"/>
          <w:szCs w:val="28"/>
        </w:rPr>
      </w:pPr>
      <w:r>
        <w:rPr>
          <w:rFonts w:ascii="宋体" w:hAnsi="宋体"/>
          <w:b/>
          <w:color w:val="000000"/>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96" w:name="_格式3__银行出具的资信证明"/>
      <w:r/>
      <w:bookmarkEnd w:id="196"/>
      <w:r/>
      <w:bookmarkStart w:id="197" w:name="_Hlt26671380"/>
      <w:r/>
      <w:bookmarkEnd w:id="197"/>
      <w:r/>
      <w:bookmarkStart w:id="198" w:name="_Hlt26955070"/>
      <w:r/>
      <w:bookmarkEnd w:id="198"/>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34"/>
        <w:ind w:firstLine="420"/>
        <w:spacing w:line="400" w:lineRule="exact"/>
        <w:rPr>
          <w:color w:val="000000"/>
          <w:sz w:val="28"/>
          <w:szCs w:val="28"/>
          <w:highlight w:val="yellow"/>
        </w:rPr>
      </w:pPr>
      <w:r>
        <w:rPr>
          <w:color w:val="000000"/>
          <w:sz w:val="28"/>
          <w:szCs w:val="28"/>
          <w:highlight w:val="yellow"/>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spacing w:line="400" w:lineRule="exact"/>
        <w:rPr>
          <w:rFonts w:ascii="黑体" w:hAnsi="黑体" w:eastAsia="黑体"/>
          <w:b/>
          <w:i/>
          <w:color w:val="000000"/>
          <w:sz w:val="28"/>
          <w:szCs w:val="28"/>
          <w:u w:val="single"/>
        </w:rPr>
      </w:pP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w:t>
      </w:r>
      <w:r>
        <w:rPr>
          <w:rFonts w:hint="eastAsia" w:ascii="方正仿宋_GBK" w:hAnsi="方正仿宋_GBK" w:eastAsia="方正仿宋_GBK" w:cs="方正仿宋_GBK"/>
          <w:color w:val="000000"/>
          <w:sz w:val="28"/>
          <w:szCs w:val="28"/>
        </w:rPr>
        <w:t xml:space="preserve">的招标文件，正式授权下述签字人</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(姓名)代表我方</w:t>
      </w:r>
      <w:r>
        <w:rPr>
          <w:rFonts w:eastAsia="方正仿宋_GBK"/>
          <w:sz w:val="28"/>
          <w:szCs w:val="28"/>
          <w:u w:val="single"/>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734"/>
        <w:ind w:left="420" w:firstLine="560"/>
        <w:jc w:val="left"/>
        <w:spacing w:line="400" w:lineRule="exact"/>
        <w:rPr>
          <w:rFonts w:hint="eastAsia" w:ascii="宋体" w:hAnsi="宋体"/>
          <w:sz w:val="28"/>
          <w:szCs w:val="28"/>
        </w:rPr>
      </w:pPr>
      <w:r>
        <w:rPr>
          <w:rFonts w:hint="eastAsia" w:ascii="宋体" w:hAnsi="宋体"/>
          <w:sz w:val="28"/>
          <w:szCs w:val="28"/>
        </w:rPr>
      </w:r>
      <w:r/>
    </w:p>
    <w:p>
      <w:pPr>
        <w:pStyle w:val="734"/>
        <w:ind w:left="383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734"/>
        <w:ind w:left="3830"/>
        <w:jc w:val="lef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734"/>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4"/>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4"/>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4"/>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4"/>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4"/>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4"/>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4"/>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734"/>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734"/>
        <w:ind w:right="480" w:firstLine="364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4"/>
        <w:ind w:firstLine="560"/>
        <w:jc w:val="left"/>
        <w:spacing w:line="400" w:lineRule="exact"/>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rPr>
          <w:rFonts w:ascii="宋体" w:hAnsi="宋体"/>
          <w:color w:val="ff0000"/>
          <w:sz w:val="28"/>
          <w:szCs w:val="28"/>
        </w:rPr>
      </w:r>
      <w:r/>
    </w:p>
    <w:p>
      <w:pPr>
        <w:pStyle w:val="734"/>
        <w:ind w:firstLine="560"/>
        <w:jc w:val="left"/>
        <w:spacing w:line="400" w:lineRule="exact"/>
        <w:rPr>
          <w:rFonts w:ascii="宋体" w:hAnsi="宋体"/>
          <w:color w:val="ff0000"/>
          <w:sz w:val="28"/>
          <w:szCs w:val="28"/>
        </w:rPr>
      </w:pPr>
      <w:r>
        <w:rPr>
          <w:rFonts w:ascii="宋体" w:hAnsi="宋体"/>
          <w:color w:val="ff0000"/>
          <w:sz w:val="28"/>
          <w:szCs w:val="28"/>
        </w:rPr>
      </w:r>
      <w:r/>
    </w:p>
    <w:p>
      <w:pPr>
        <w:pStyle w:val="734"/>
        <w:ind w:firstLine="560"/>
        <w:jc w:val="left"/>
        <w:spacing w:line="400" w:lineRule="exact"/>
        <w:rPr>
          <w:rFonts w:ascii="宋体" w:hAnsi="宋体"/>
          <w:color w:val="ff0000"/>
          <w:sz w:val="28"/>
          <w:szCs w:val="28"/>
        </w:rPr>
      </w:pPr>
      <w:r>
        <w:rPr>
          <w:rFonts w:ascii="宋体" w:hAnsi="宋体"/>
          <w:color w:val="ff0000"/>
          <w:sz w:val="28"/>
          <w:szCs w:val="28"/>
        </w:rPr>
      </w:r>
      <w:r/>
    </w:p>
    <w:p>
      <w:pPr>
        <w:pStyle w:val="734"/>
        <w:ind w:firstLine="560"/>
        <w:jc w:val="left"/>
        <w:spacing w:line="400" w:lineRule="exact"/>
        <w:rPr>
          <w:rFonts w:hint="eastAsia" w:ascii="宋体" w:hAnsi="宋体"/>
          <w:color w:val="ff0000"/>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color w:val="000000"/>
          <w:sz w:val="28"/>
          <w:szCs w:val="28"/>
        </w:rPr>
        <w:t xml:space="preserve">JSZC-320000-SCZX-G20XX-XXXX</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734"/>
        <w:ind w:firstLine="584"/>
        <w:spacing w:line="400" w:lineRule="exact"/>
        <w:rPr>
          <w:rFonts w:ascii="仿宋_GB2312" w:eastAsia="仿宋_GB2312"/>
          <w:spacing w:val="6"/>
          <w:sz w:val="28"/>
          <w:szCs w:val="28"/>
        </w:rPr>
      </w:pPr>
      <w:r>
        <w:rPr>
          <w:rFonts w:ascii="仿宋_GB2312" w:eastAsia="仿宋_GB2312"/>
          <w:spacing w:val="6"/>
          <w:sz w:val="28"/>
          <w:szCs w:val="28"/>
        </w:rPr>
      </w:r>
      <w:r/>
    </w:p>
    <w:p>
      <w:pPr>
        <w:pStyle w:val="734"/>
        <w:ind w:right="180" w:firstLine="584"/>
        <w:jc w:val="right"/>
        <w:spacing w:line="400" w:lineRule="exact"/>
        <w:rPr>
          <w:rFonts w:hint="eastAsia"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34"/>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期：___年____月____日 </w:t>
      </w:r>
      <w:r>
        <w:rPr>
          <w:rFonts w:hint="eastAsia" w:ascii="方正仿宋_GBK" w:hAnsi="方正仿宋_GBK" w:eastAsia="方正仿宋_GBK" w:cs="方正仿宋_GBK"/>
          <w:sz w:val="28"/>
          <w:szCs w:val="28"/>
        </w:rPr>
      </w:r>
      <w:r/>
    </w:p>
    <w:p>
      <w:pPr>
        <w:pStyle w:val="73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4"/>
        <w:ind w:firstLine="56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734"/>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734"/>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734"/>
        <w:ind w:firstLine="645"/>
        <w:spacing w:line="400" w:lineRule="exact"/>
        <w:rPr>
          <w:rFonts w:ascii="宋体" w:hAnsi="宋体"/>
          <w:sz w:val="28"/>
          <w:szCs w:val="28"/>
        </w:rPr>
      </w:pPr>
      <w:r>
        <w:rPr>
          <w:rFonts w:ascii="宋体" w:hAnsi="宋体"/>
          <w:sz w:val="28"/>
          <w:szCs w:val="28"/>
        </w:rPr>
      </w:r>
      <w:r/>
    </w:p>
    <w:p>
      <w:pPr>
        <w:pStyle w:val="734"/>
        <w:ind w:firstLine="645"/>
        <w:spacing w:line="400" w:lineRule="exact"/>
        <w:rPr>
          <w:rFonts w:ascii="宋体" w:hAnsi="宋体"/>
          <w:sz w:val="28"/>
          <w:szCs w:val="28"/>
        </w:rPr>
      </w:pPr>
      <w:r>
        <w:rPr>
          <w:rFonts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734"/>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4"/>
        <w:ind w:firstLine="560"/>
        <w:jc w:val="left"/>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附件12实质性要求响应及偏离表（采购包号：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734"/>
        <w:spacing w:line="400" w:lineRule="exact"/>
        <w:rPr>
          <w:rFonts w:ascii="宋体" w:hAnsi="宋体"/>
          <w:sz w:val="28"/>
          <w:szCs w:val="28"/>
        </w:rPr>
      </w:pPr>
      <w:r>
        <w:rPr>
          <w:rFonts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734"/>
        <w:spacing w:line="400" w:lineRule="exact"/>
        <w:rPr>
          <w:rFonts w:hint="eastAsia" w:ascii="宋体" w:hAnsi="宋体"/>
          <w:sz w:val="28"/>
          <w:szCs w:val="28"/>
        </w:rPr>
      </w:pPr>
      <w:r>
        <w:rPr>
          <w:rFonts w:hint="eastAsia" w:ascii="宋体" w:hAnsi="宋体"/>
          <w:sz w:val="28"/>
          <w:szCs w:val="28"/>
        </w:rPr>
      </w:r>
      <w:r/>
    </w:p>
    <w:p>
      <w:pPr>
        <w:pStyle w:val="734"/>
        <w:ind w:firstLine="28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796"/>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79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08"/>
          <w:rFonts w:hint="eastAsia" w:ascii="方正仿宋_GBK" w:hAnsi="方正仿宋_GBK" w:eastAsia="方正仿宋_GBK" w:cs="方正仿宋_GBK"/>
          <w:i w:val="0"/>
          <w:sz w:val="28"/>
          <w:szCs w:val="28"/>
          <w:u w:val="single"/>
          <w:shd w:val="clear" w:color="auto" w:fill="ffffff"/>
        </w:rPr>
        <w:t xml:space="preserve">（产品名称1）</w:t>
      </w:r>
      <w:r>
        <w:rPr>
          <w:rStyle w:val="808"/>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08"/>
          <w:rFonts w:hint="eastAsia" w:ascii="方正仿宋_GBK" w:hAnsi="方正仿宋_GBK" w:eastAsia="方正仿宋_GBK" w:cs="方正仿宋_GBK"/>
          <w:i w:val="0"/>
          <w:sz w:val="28"/>
          <w:szCs w:val="28"/>
          <w:u w:val="single"/>
          <w:shd w:val="clear" w:color="auto" w:fill="ffffff"/>
        </w:rPr>
        <w:t xml:space="preserve">（厂名）</w:t>
      </w:r>
      <w:r>
        <w:rPr>
          <w:rStyle w:val="808"/>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08"/>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9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08"/>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08"/>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08"/>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9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9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96"/>
        <w:spacing w:before="30" w:beforeAutospacing="0" w:after="30" w:afterAutospacing="0" w:line="400" w:lineRule="exact"/>
        <w:rPr>
          <w:rFonts w:hint="eastAsia"/>
          <w:sz w:val="28"/>
          <w:szCs w:val="28"/>
        </w:rPr>
      </w:pPr>
      <w:r>
        <w:rPr>
          <w:rFonts w:hint="eastAsia"/>
          <w:sz w:val="28"/>
          <w:szCs w:val="28"/>
        </w:rPr>
      </w:r>
      <w:r/>
    </w:p>
    <w:p>
      <w:pPr>
        <w:pStyle w:val="796"/>
        <w:ind w:firstLine="560"/>
        <w:jc w:val="right"/>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rPr>
          <w:rFonts w:hint="eastAsia"/>
          <w:sz w:val="28"/>
          <w:szCs w:val="28"/>
        </w:rPr>
      </w:r>
      <w:r/>
    </w:p>
    <w:p>
      <w:pPr>
        <w:pStyle w:val="796"/>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796"/>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96"/>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96"/>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96"/>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96"/>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796"/>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734"/>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4"/>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4"/>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4"/>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4"/>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4"/>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4"/>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4"/>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4"/>
        <w:ind w:firstLine="280"/>
        <w:jc w:val="center"/>
        <w:spacing w:line="400" w:lineRule="exact"/>
        <w:rPr>
          <w:rFonts w:hint="eastAsia" w:ascii="方正黑体_GBK" w:hAnsi="方正黑体_GBK" w:eastAsia="方正黑体_GBK" w:cs="方正黑体_GBK"/>
          <w:bCs/>
          <w:sz w:val="28"/>
          <w:szCs w:val="28"/>
        </w:rPr>
      </w:pPr>
      <w:r/>
      <w:bookmarkEnd w:id="179"/>
      <w:r/>
      <w:bookmarkEnd w:id="180"/>
      <w:r/>
      <w:bookmarkEnd w:id="195"/>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734"/>
        <w:spacing w:before="312"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73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73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73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73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73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73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734"/>
        <w:ind w:firstLine="560"/>
        <w:jc w:val="left"/>
        <w:spacing w:line="400" w:lineRule="exact"/>
        <w:widowControl/>
        <w:rPr>
          <w:rFonts w:ascii="宋体" w:hAnsi="宋体"/>
          <w:color w:val="000000"/>
          <w:sz w:val="28"/>
          <w:szCs w:val="28"/>
        </w:rPr>
      </w:pPr>
      <w:r>
        <w:rPr>
          <w:rFonts w:ascii="宋体" w:hAnsi="宋体"/>
          <w:color w:val="000000"/>
          <w:sz w:val="28"/>
          <w:szCs w:val="28"/>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38835" cy="23050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835" cy="230505"/>
                      </a:xfrm>
                      <a:prstGeom prst="rect">
                        <a:avLst/>
                      </a:prstGeom>
                      <a:noFill/>
                      <a:ln>
                        <a:noFill/>
                      </a:ln>
                    </wps:spPr>
                    <wps:txbx>
                      <w:txbxContent>
                        <w:p>
                          <w:pPr>
                            <w:pStyle w:val="78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66.0pt;height:18.1pt;mso-wrap-distance-left:9.0pt;mso-wrap-distance-top:0.0pt;mso-wrap-distance-right:9.0pt;mso-wrap-distance-bottom:0.0pt;visibility:visible;" filled="f" stroked="f">
              <v:textbox inset="0,0,0,0">
                <w:txbxContent>
                  <w:p>
                    <w:pPr>
                      <w:pStyle w:val="78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4"/>
                    </w:pPr>
                    <w:r/>
                    <w:r/>
                  </w:p>
                </w:txbxContent>
              </v:textbox>
            </v:shape>
          </w:pict>
        </mc:Fallback>
      </mc:AlternateContent>
    </w:r>
    <w:r/>
  </w:p>
  <w:p>
    <w:pPr>
      <w:pStyle w:val="78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838835" cy="2305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838835" cy="230505"/>
                      </a:xfrm>
                      <a:prstGeom prst="rect">
                        <a:avLst/>
                      </a:prstGeom>
                      <a:noFill/>
                      <a:ln>
                        <a:noFill/>
                      </a:ln>
                    </wps:spPr>
                    <wps:txbx>
                      <w:txbxContent>
                        <w:p>
                          <w:pPr>
                            <w:pStyle w:val="78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66.0pt;height:18.1pt;mso-wrap-distance-left:9.0pt;mso-wrap-distance-top:0.0pt;mso-wrap-distance-right:9.0pt;mso-wrap-distance-bottom:0.0pt;visibility:visible;" filled="f" stroked="f">
              <v:textbox inset="0,0,0,0">
                <w:txbxContent>
                  <w:p>
                    <w:pPr>
                      <w:pStyle w:val="78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4"/>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rPr>
        <w:rStyle w:val="806"/>
      </w:rPr>
      <w:framePr w:wrap="around" w:vAnchor="text" w:hAnchor="margin" w:xAlign="center" w:y="1"/>
    </w:pPr>
    <w:r>
      <w:fldChar w:fldCharType="begin"/>
    </w:r>
    <w:r>
      <w:rPr>
        <w:rStyle w:val="806"/>
      </w:rPr>
      <w:instrText xml:space="preserve">PAGE  </w:instrText>
    </w:r>
    <w:r>
      <w:fldChar w:fldCharType="separate"/>
    </w:r>
    <w:r>
      <w:rPr>
        <w:rStyle w:val="806"/>
      </w:rPr>
      <w:t xml:space="preserve">1</w:t>
    </w:r>
    <w:r>
      <w:fldChar w:fldCharType="end"/>
    </w:r>
    <w:r>
      <w:rPr>
        <w:rStyle w:val="806"/>
      </w:rPr>
    </w:r>
    <w:r/>
  </w:p>
  <w:p>
    <w:pPr>
      <w:pStyle w:val="7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5">
    <w:multiLevelType w:val="hybridMultilevel"/>
    <w:lvl w:ilvl="0">
      <w:start w:val="1"/>
      <w:numFmt w:val="upperLetter"/>
      <w:pStyle w:val="813"/>
      <w:isLgl w:val="false"/>
      <w:suff w:val="tab"/>
      <w:lvlText w:val="附录%1."/>
      <w:lvlJc w:val="left"/>
      <w:pPr>
        <w:pStyle w:val="7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30"/>
      <w:isLgl w:val="false"/>
      <w:suff w:val="tab"/>
      <w:lvlText w:val="%1."/>
      <w:lvlJc w:val="left"/>
      <w:pPr>
        <w:pStyle w:val="734"/>
        <w:ind w:left="709" w:hanging="709"/>
        <w:tabs>
          <w:tab w:val="num" w:pos="709" w:leader="none"/>
        </w:tabs>
      </w:pPr>
      <w:rPr>
        <w:rFonts w:hint="eastAsia"/>
      </w:rPr>
    </w:lvl>
    <w:lvl w:ilvl="1">
      <w:start w:val="1"/>
      <w:numFmt w:val="decimal"/>
      <w:isLgl w:val="false"/>
      <w:suff w:val="tab"/>
      <w:lvlText w:val="%1.%2"/>
      <w:lvlJc w:val="left"/>
      <w:pPr>
        <w:pStyle w:val="734"/>
        <w:ind w:left="709" w:hanging="709"/>
        <w:tabs>
          <w:tab w:val="num" w:pos="709" w:leader="none"/>
        </w:tabs>
      </w:pPr>
      <w:rPr>
        <w:rFonts w:hint="eastAsia"/>
      </w:rPr>
    </w:lvl>
    <w:lvl w:ilvl="2">
      <w:start w:val="1"/>
      <w:numFmt w:val="decimal"/>
      <w:isLgl w:val="false"/>
      <w:suff w:val="tab"/>
      <w:lvlText w:val="%1.%2.%3."/>
      <w:lvlJc w:val="left"/>
      <w:pPr>
        <w:pStyle w:val="734"/>
        <w:ind w:left="425" w:hanging="425"/>
        <w:tabs>
          <w:tab w:val="num" w:pos="425" w:leader="none"/>
        </w:tabs>
      </w:pPr>
      <w:rPr>
        <w:rFonts w:hint="eastAsia"/>
      </w:rPr>
    </w:lvl>
    <w:lvl w:ilvl="3">
      <w:start w:val="1"/>
      <w:numFmt w:val="decimal"/>
      <w:isLgl w:val="false"/>
      <w:suff w:val="tab"/>
      <w:lvlText w:val="%1.%2.%3.%4."/>
      <w:lvlJc w:val="left"/>
      <w:pPr>
        <w:pStyle w:val="734"/>
        <w:ind w:left="851" w:hanging="851"/>
        <w:tabs>
          <w:tab w:val="num" w:pos="851" w:leader="none"/>
        </w:tabs>
      </w:pPr>
      <w:rPr>
        <w:rFonts w:hint="eastAsia"/>
      </w:rPr>
    </w:lvl>
    <w:lvl w:ilvl="4">
      <w:start w:val="1"/>
      <w:numFmt w:val="decimal"/>
      <w:isLgl w:val="false"/>
      <w:suff w:val="tab"/>
      <w:lvlText w:val="%1.%2.%3.%4.%5."/>
      <w:lvlJc w:val="left"/>
      <w:pPr>
        <w:pStyle w:val="734"/>
        <w:ind w:left="992" w:hanging="992"/>
        <w:tabs>
          <w:tab w:val="num" w:pos="992" w:leader="none"/>
        </w:tabs>
      </w:pPr>
      <w:rPr>
        <w:rFonts w:hint="eastAsia"/>
      </w:rPr>
    </w:lvl>
    <w:lvl w:ilvl="5">
      <w:start w:val="1"/>
      <w:numFmt w:val="decimal"/>
      <w:isLgl w:val="false"/>
      <w:suff w:val="tab"/>
      <w:lvlText w:val="%1.%2.%3.%4.%5.%6."/>
      <w:lvlJc w:val="left"/>
      <w:pPr>
        <w:pStyle w:val="734"/>
        <w:ind w:left="1134" w:hanging="1134"/>
        <w:tabs>
          <w:tab w:val="num" w:pos="1134" w:leader="none"/>
        </w:tabs>
      </w:pPr>
      <w:rPr>
        <w:rFonts w:hint="eastAsia"/>
      </w:rPr>
    </w:lvl>
    <w:lvl w:ilvl="6">
      <w:start w:val="1"/>
      <w:numFmt w:val="decimal"/>
      <w:isLgl w:val="false"/>
      <w:suff w:val="tab"/>
      <w:lvlText w:val="%1.%2.%3.%4.%5.%6.%7."/>
      <w:lvlJc w:val="left"/>
      <w:pPr>
        <w:pStyle w:val="734"/>
        <w:ind w:left="1276" w:hanging="1276"/>
        <w:tabs>
          <w:tab w:val="num" w:pos="1276" w:leader="none"/>
        </w:tabs>
      </w:pPr>
      <w:rPr>
        <w:rFonts w:hint="eastAsia"/>
      </w:rPr>
    </w:lvl>
    <w:lvl w:ilvl="7">
      <w:start w:val="1"/>
      <w:numFmt w:val="decimal"/>
      <w:isLgl w:val="false"/>
      <w:suff w:val="tab"/>
      <w:lvlText w:val="%1.%2.%3.%4.%5.%6.%7.%8."/>
      <w:lvlJc w:val="left"/>
      <w:pPr>
        <w:pStyle w:val="734"/>
        <w:ind w:left="1418" w:hanging="1418"/>
        <w:tabs>
          <w:tab w:val="num" w:pos="1418" w:leader="none"/>
        </w:tabs>
      </w:pPr>
      <w:rPr>
        <w:rFonts w:hint="eastAsia"/>
      </w:rPr>
    </w:lvl>
    <w:lvl w:ilvl="8">
      <w:start w:val="1"/>
      <w:numFmt w:val="decimal"/>
      <w:isLgl w:val="false"/>
      <w:suff w:val="tab"/>
      <w:lvlText w:val="%1.%2.%3.%4.%5.%6.%7.%8.%9."/>
      <w:lvlJc w:val="left"/>
      <w:pPr>
        <w:pStyle w:val="734"/>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734"/>
        <w:ind w:left="0" w:firstLine="0"/>
      </w:pPr>
      <w:rPr>
        <w:rFonts w:hint="eastAsia"/>
      </w:rPr>
    </w:lvl>
    <w:lvl w:ilvl="1">
      <w:start w:val="1"/>
      <w:numFmt w:val="decimal"/>
      <w:isLgl w:val="false"/>
      <w:suff w:val="nothing"/>
      <w:lvlText w:val="%2、"/>
      <w:lvlJc w:val="left"/>
      <w:pPr>
        <w:pStyle w:val="734"/>
        <w:ind w:left="0" w:firstLine="0"/>
      </w:pPr>
      <w:rPr>
        <w:rFonts w:hint="eastAsia"/>
      </w:rPr>
    </w:lvl>
    <w:lvl w:ilvl="2">
      <w:start w:val="1"/>
      <w:numFmt w:val="decimal"/>
      <w:isLgl w:val="false"/>
      <w:suff w:val="nothing"/>
      <w:lvlText w:val="%2.%3 "/>
      <w:lvlJc w:val="left"/>
      <w:pPr>
        <w:pStyle w:val="734"/>
        <w:ind w:left="0" w:firstLine="0"/>
      </w:pPr>
      <w:rPr>
        <w:rFonts w:hint="eastAsia"/>
      </w:rPr>
    </w:lvl>
    <w:lvl w:ilvl="3">
      <w:start w:val="1"/>
      <w:numFmt w:val="decimal"/>
      <w:isLgl w:val="false"/>
      <w:suff w:val="nothing"/>
      <w:lvlText w:val="%2.%3.%4 "/>
      <w:lvlJc w:val="left"/>
      <w:pPr>
        <w:pStyle w:val="734"/>
        <w:ind w:left="0" w:firstLine="0"/>
      </w:pPr>
      <w:rPr>
        <w:rFonts w:hint="eastAsia"/>
      </w:rPr>
    </w:lvl>
    <w:lvl w:ilvl="4">
      <w:start w:val="1"/>
      <w:numFmt w:val="decimal"/>
      <w:isLgl w:val="false"/>
      <w:suff w:val="nothing"/>
      <w:lvlText w:val="%2.%3.%4.%5 "/>
      <w:lvlJc w:val="left"/>
      <w:pPr>
        <w:pStyle w:val="734"/>
        <w:ind w:left="0" w:firstLine="0"/>
      </w:pPr>
      <w:rPr>
        <w:rFonts w:hint="eastAsia"/>
      </w:rPr>
    </w:lvl>
    <w:lvl w:ilvl="5">
      <w:start w:val="1"/>
      <w:numFmt w:val="decimal"/>
      <w:pStyle w:val="740"/>
      <w:isLgl w:val="false"/>
      <w:suff w:val="nothing"/>
      <w:lvlText w:val=""/>
      <w:lvlJc w:val="left"/>
      <w:pPr>
        <w:pStyle w:val="734"/>
        <w:ind w:left="0" w:firstLine="0"/>
      </w:pPr>
      <w:rPr>
        <w:rFonts w:hint="eastAsia"/>
      </w:rPr>
    </w:lvl>
    <w:lvl w:ilvl="6">
      <w:start w:val="1"/>
      <w:numFmt w:val="decimal"/>
      <w:pStyle w:val="741"/>
      <w:isLgl w:val="false"/>
      <w:suff w:val="nothing"/>
      <w:lvlText w:val=""/>
      <w:lvlJc w:val="left"/>
      <w:pPr>
        <w:pStyle w:val="734"/>
        <w:ind w:left="0" w:firstLine="0"/>
      </w:pPr>
      <w:rPr>
        <w:rFonts w:hint="eastAsia"/>
      </w:rPr>
    </w:lvl>
    <w:lvl w:ilvl="7">
      <w:start w:val="1"/>
      <w:numFmt w:val="decimal"/>
      <w:pStyle w:val="742"/>
      <w:isLgl w:val="false"/>
      <w:suff w:val="nothing"/>
      <w:lvlText w:val=""/>
      <w:lvlJc w:val="left"/>
      <w:pPr>
        <w:pStyle w:val="734"/>
        <w:ind w:left="0" w:firstLine="0"/>
      </w:pPr>
      <w:rPr>
        <w:rFonts w:hint="eastAsia"/>
      </w:rPr>
    </w:lvl>
    <w:lvl w:ilvl="8">
      <w:start w:val="1"/>
      <w:numFmt w:val="decimal"/>
      <w:pStyle w:val="743"/>
      <w:isLgl w:val="false"/>
      <w:suff w:val="nothing"/>
      <w:lvlText w:val=""/>
      <w:lvlJc w:val="left"/>
      <w:pPr>
        <w:pStyle w:val="734"/>
        <w:ind w:left="0" w:firstLine="0"/>
      </w:pPr>
      <w:rPr>
        <w:rFonts w:hint="eastAsia"/>
      </w:rPr>
    </w:lvl>
  </w:abstractNum>
  <w:num w:numId="1">
    <w:abstractNumId w:val="7"/>
  </w:num>
  <w:num w:numId="2">
    <w:abstractNumId w:val="5"/>
  </w:num>
  <w:num w:numId="3">
    <w:abstractNumId w:val="6"/>
  </w:num>
  <w:num w:numId="4">
    <w:abstractNumId w:val="0"/>
  </w:num>
  <w:num w:numId="5">
    <w:abstractNumId w:val="1"/>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4"/>
    <w:next w:val="7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4"/>
    <w:next w:val="7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4"/>
    <w:next w:val="7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next w:val="746"/>
    <w:link w:val="734"/>
    <w:qFormat/>
    <w:pPr>
      <w:jc w:val="both"/>
      <w:widowControl w:val="off"/>
    </w:pPr>
    <w:rPr>
      <w:sz w:val="21"/>
      <w:szCs w:val="22"/>
      <w:lang w:val="en-US" w:eastAsia="zh-CN" w:bidi="ar-SA"/>
    </w:rPr>
  </w:style>
  <w:style w:type="paragraph" w:styleId="735">
    <w:name w:val="标题 1"/>
    <w:basedOn w:val="734"/>
    <w:next w:val="734"/>
    <w:link w:val="747"/>
    <w:qFormat/>
    <w:pPr>
      <w:jc w:val="center"/>
      <w:keepNext/>
      <w:outlineLvl w:val="0"/>
    </w:pPr>
    <w:rPr>
      <w:rFonts w:ascii="楷体_GB2312" w:hAnsi="Times New Roman" w:eastAsia="楷体_GB2312" w:cs="Times New Roman"/>
      <w:sz w:val="28"/>
      <w:szCs w:val="28"/>
    </w:rPr>
  </w:style>
  <w:style w:type="paragraph" w:styleId="736">
    <w:name w:val="标题 2"/>
    <w:basedOn w:val="734"/>
    <w:next w:val="734"/>
    <w:link w:val="748"/>
    <w:qFormat/>
    <w:pPr>
      <w:jc w:val="center"/>
      <w:keepLines/>
      <w:keepNext/>
      <w:spacing w:before="260" w:after="260" w:line="416" w:lineRule="auto"/>
      <w:outlineLvl w:val="1"/>
    </w:pPr>
    <w:rPr>
      <w:rFonts w:ascii="Arial" w:hAnsi="Arial" w:eastAsia="幼圆" w:cs="Arial"/>
      <w:b/>
      <w:bCs/>
      <w:sz w:val="44"/>
      <w:szCs w:val="44"/>
    </w:rPr>
  </w:style>
  <w:style w:type="paragraph" w:styleId="737">
    <w:name w:val="标题 3"/>
    <w:basedOn w:val="734"/>
    <w:next w:val="750"/>
    <w:link w:val="749"/>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8">
    <w:name w:val="标题 4"/>
    <w:basedOn w:val="734"/>
    <w:next w:val="750"/>
    <w:link w:val="752"/>
    <w:qFormat/>
    <w:pPr>
      <w:keepLines/>
      <w:keepNext/>
      <w:spacing w:before="280" w:after="290" w:line="376" w:lineRule="auto"/>
      <w:outlineLvl w:val="3"/>
    </w:pPr>
    <w:rPr>
      <w:rFonts w:ascii="Arial" w:hAnsi="Arial" w:eastAsia="黑体" w:cs="Arial"/>
      <w:b/>
      <w:bCs/>
      <w:sz w:val="28"/>
      <w:szCs w:val="28"/>
    </w:rPr>
  </w:style>
  <w:style w:type="paragraph" w:styleId="739">
    <w:name w:val="标题 5"/>
    <w:basedOn w:val="734"/>
    <w:next w:val="750"/>
    <w:link w:val="753"/>
    <w:qFormat/>
    <w:pPr>
      <w:keepNext/>
      <w:outlineLvl w:val="4"/>
    </w:pPr>
    <w:rPr>
      <w:rFonts w:ascii="宋体" w:hAnsi="Times New Roman" w:eastAsia="宋体" w:cs="Times New Roman"/>
      <w:color w:val="000000"/>
      <w:sz w:val="28"/>
      <w:szCs w:val="28"/>
    </w:rPr>
  </w:style>
  <w:style w:type="paragraph" w:styleId="740">
    <w:name w:val="标题 6"/>
    <w:basedOn w:val="734"/>
    <w:next w:val="734"/>
    <w:link w:val="75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41">
    <w:name w:val="标题 7"/>
    <w:basedOn w:val="734"/>
    <w:next w:val="734"/>
    <w:link w:val="75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42">
    <w:name w:val="标题 8"/>
    <w:basedOn w:val="734"/>
    <w:next w:val="734"/>
    <w:link w:val="75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43">
    <w:name w:val="标题 9"/>
    <w:basedOn w:val="734"/>
    <w:next w:val="734"/>
    <w:link w:val="757"/>
    <w:qFormat/>
    <w:pPr>
      <w:numPr>
        <w:ilvl w:val="8"/>
        <w:numId w:val="1"/>
      </w:numPr>
      <w:keepLines/>
      <w:keepNext/>
      <w:spacing w:before="240" w:after="64" w:line="320" w:lineRule="auto"/>
      <w:outlineLvl w:val="8"/>
    </w:pPr>
    <w:rPr>
      <w:rFonts w:ascii="Arial" w:hAnsi="Arial" w:eastAsia="黑体" w:cs="Times New Roman"/>
      <w:szCs w:val="21"/>
    </w:rPr>
  </w:style>
  <w:style w:type="character" w:styleId="744">
    <w:name w:val="默认段落字体"/>
    <w:next w:val="744"/>
    <w:link w:val="734"/>
    <w:uiPriority w:val="1"/>
    <w:unhideWhenUsed/>
  </w:style>
  <w:style w:type="table" w:styleId="745">
    <w:name w:val="普通表格"/>
    <w:next w:val="745"/>
    <w:link w:val="734"/>
    <w:uiPriority w:val="99"/>
    <w:unhideWhenUsed/>
    <w:tblPr/>
  </w:style>
  <w:style w:type="paragraph" w:styleId="746">
    <w:name w:val="目录 1"/>
    <w:basedOn w:val="734"/>
    <w:next w:val="734"/>
    <w:link w:val="734"/>
    <w:semiHidden/>
    <w:pPr>
      <w:jc w:val="left"/>
      <w:spacing w:before="120" w:after="120" w:line="400" w:lineRule="exact"/>
      <w:tabs>
        <w:tab w:val="right" w:pos="8720" w:leader="dot"/>
      </w:tabs>
    </w:pPr>
    <w:rPr>
      <w:rFonts w:ascii="宋体" w:hAnsi="宋体" w:eastAsia="宋体" w:cs="Times New Roman"/>
      <w:caps/>
      <w:sz w:val="24"/>
      <w:szCs w:val="24"/>
    </w:rPr>
  </w:style>
  <w:style w:type="character" w:styleId="747">
    <w:name w:val="标题 1 字符"/>
    <w:next w:val="747"/>
    <w:link w:val="735"/>
    <w:rPr>
      <w:rFonts w:ascii="楷体_GB2312" w:hAnsi="Times New Roman" w:eastAsia="楷体_GB2312" w:cs="Times New Roman"/>
      <w:sz w:val="28"/>
      <w:szCs w:val="28"/>
    </w:rPr>
  </w:style>
  <w:style w:type="character" w:styleId="748">
    <w:name w:val="标题 2 字符"/>
    <w:next w:val="748"/>
    <w:link w:val="736"/>
    <w:rPr>
      <w:rFonts w:ascii="Arial" w:hAnsi="Arial" w:eastAsia="幼圆" w:cs="Arial"/>
      <w:b/>
      <w:bCs/>
      <w:sz w:val="44"/>
      <w:szCs w:val="44"/>
    </w:rPr>
  </w:style>
  <w:style w:type="character" w:styleId="749">
    <w:name w:val="标题 3 字符"/>
    <w:next w:val="749"/>
    <w:link w:val="737"/>
    <w:rPr>
      <w:rFonts w:ascii="Times New Roman" w:hAnsi="Times New Roman" w:eastAsia="宋体" w:cs="Times New Roman"/>
      <w:b/>
      <w:bCs/>
      <w:sz w:val="32"/>
      <w:szCs w:val="32"/>
    </w:rPr>
  </w:style>
  <w:style w:type="paragraph" w:styleId="750">
    <w:name w:val="正文缩进"/>
    <w:basedOn w:val="734"/>
    <w:next w:val="750"/>
    <w:link w:val="751"/>
    <w:pPr>
      <w:ind w:firstLine="420"/>
    </w:pPr>
    <w:rPr>
      <w:szCs w:val="21"/>
    </w:rPr>
  </w:style>
  <w:style w:type="character" w:styleId="751">
    <w:name w:val="正文缩进 字符"/>
    <w:next w:val="751"/>
    <w:link w:val="750"/>
    <w:rPr>
      <w:szCs w:val="21"/>
    </w:rPr>
  </w:style>
  <w:style w:type="character" w:styleId="752">
    <w:name w:val="标题 4 字符"/>
    <w:next w:val="752"/>
    <w:link w:val="738"/>
    <w:rPr>
      <w:rFonts w:ascii="Arial" w:hAnsi="Arial" w:eastAsia="黑体" w:cs="Arial"/>
      <w:b/>
      <w:bCs/>
      <w:sz w:val="28"/>
      <w:szCs w:val="28"/>
    </w:rPr>
  </w:style>
  <w:style w:type="character" w:styleId="753">
    <w:name w:val="标题 5 字符"/>
    <w:next w:val="753"/>
    <w:link w:val="739"/>
    <w:rPr>
      <w:rFonts w:ascii="宋体" w:hAnsi="Times New Roman" w:eastAsia="宋体" w:cs="Times New Roman"/>
      <w:color w:val="000000"/>
      <w:sz w:val="28"/>
      <w:szCs w:val="28"/>
    </w:rPr>
  </w:style>
  <w:style w:type="character" w:styleId="754">
    <w:name w:val="标题 6 字符"/>
    <w:next w:val="754"/>
    <w:link w:val="740"/>
    <w:rPr>
      <w:rFonts w:ascii="Arial" w:hAnsi="Arial" w:eastAsia="黑体" w:cs="Times New Roman"/>
      <w:b/>
      <w:bCs/>
      <w:sz w:val="24"/>
      <w:szCs w:val="24"/>
    </w:rPr>
  </w:style>
  <w:style w:type="character" w:styleId="755">
    <w:name w:val="标题 7 字符"/>
    <w:next w:val="755"/>
    <w:link w:val="741"/>
    <w:rPr>
      <w:rFonts w:ascii="Times New Roman" w:hAnsi="Times New Roman" w:eastAsia="宋体" w:cs="Times New Roman"/>
      <w:b/>
      <w:bCs/>
      <w:sz w:val="24"/>
      <w:szCs w:val="24"/>
    </w:rPr>
  </w:style>
  <w:style w:type="character" w:styleId="756">
    <w:name w:val="标题 8 字符"/>
    <w:next w:val="756"/>
    <w:link w:val="742"/>
    <w:rPr>
      <w:rFonts w:ascii="Arial" w:hAnsi="Arial" w:eastAsia="黑体" w:cs="Times New Roman"/>
      <w:sz w:val="24"/>
      <w:szCs w:val="24"/>
    </w:rPr>
  </w:style>
  <w:style w:type="character" w:styleId="757">
    <w:name w:val="标题 9 字符"/>
    <w:next w:val="757"/>
    <w:link w:val="743"/>
    <w:rPr>
      <w:rFonts w:ascii="Arial" w:hAnsi="Arial" w:eastAsia="黑体" w:cs="Times New Roman"/>
      <w:szCs w:val="21"/>
    </w:rPr>
  </w:style>
  <w:style w:type="paragraph" w:styleId="758">
    <w:name w:val="列表 3"/>
    <w:basedOn w:val="734"/>
    <w:next w:val="758"/>
    <w:link w:val="734"/>
    <w:pPr>
      <w:ind w:left="100" w:hanging="200"/>
    </w:pPr>
    <w:rPr>
      <w:rFonts w:ascii="Times New Roman" w:hAnsi="Times New Roman" w:eastAsia="宋体" w:cs="Times New Roman"/>
      <w:szCs w:val="21"/>
    </w:rPr>
  </w:style>
  <w:style w:type="paragraph" w:styleId="759">
    <w:name w:val="目录 7"/>
    <w:basedOn w:val="734"/>
    <w:next w:val="734"/>
    <w:link w:val="734"/>
    <w:semiHidden/>
    <w:pPr>
      <w:ind w:left="1260"/>
      <w:jc w:val="left"/>
    </w:pPr>
    <w:rPr>
      <w:rFonts w:ascii="Times New Roman" w:hAnsi="Times New Roman" w:eastAsia="宋体" w:cs="Times New Roman"/>
      <w:szCs w:val="21"/>
    </w:rPr>
  </w:style>
  <w:style w:type="paragraph" w:styleId="760">
    <w:name w:val="文档结构图"/>
    <w:basedOn w:val="734"/>
    <w:next w:val="760"/>
    <w:link w:val="761"/>
    <w:semiHidden/>
    <w:pPr>
      <w:shd w:val="clear" w:color="auto" w:fill="000080"/>
    </w:pPr>
    <w:rPr>
      <w:rFonts w:ascii="Times New Roman" w:hAnsi="Times New Roman" w:eastAsia="宋体" w:cs="Times New Roman"/>
      <w:szCs w:val="21"/>
    </w:rPr>
  </w:style>
  <w:style w:type="character" w:styleId="761">
    <w:name w:val="文档结构图 字符"/>
    <w:next w:val="761"/>
    <w:link w:val="760"/>
    <w:semiHidden/>
    <w:rPr>
      <w:rFonts w:ascii="Times New Roman" w:hAnsi="Times New Roman" w:eastAsia="宋体" w:cs="Times New Roman"/>
      <w:szCs w:val="21"/>
      <w:shd w:val="clear" w:color="auto" w:fill="000080"/>
    </w:rPr>
  </w:style>
  <w:style w:type="paragraph" w:styleId="762">
    <w:name w:val="批注文字"/>
    <w:basedOn w:val="734"/>
    <w:next w:val="762"/>
    <w:link w:val="763"/>
    <w:unhideWhenUsed/>
    <w:pPr>
      <w:jc w:val="left"/>
    </w:pPr>
  </w:style>
  <w:style w:type="character" w:styleId="763">
    <w:name w:val="批注文字 字符"/>
    <w:next w:val="763"/>
    <w:link w:val="762"/>
    <w:uiPriority w:val="99"/>
    <w:semiHidden/>
  </w:style>
  <w:style w:type="paragraph" w:styleId="764">
    <w:name w:val="正文文本 3"/>
    <w:basedOn w:val="734"/>
    <w:next w:val="764"/>
    <w:link w:val="765"/>
    <w:rPr>
      <w:rFonts w:ascii="仿宋_GB2312" w:hAnsi="Arial" w:eastAsia="仿宋_GB2312" w:cs="Times New Roman"/>
      <w:sz w:val="32"/>
      <w:szCs w:val="32"/>
    </w:rPr>
  </w:style>
  <w:style w:type="character" w:styleId="765">
    <w:name w:val="正文文本 3 字符"/>
    <w:next w:val="765"/>
    <w:link w:val="764"/>
    <w:rPr>
      <w:rFonts w:ascii="仿宋_GB2312" w:hAnsi="Arial" w:eastAsia="仿宋_GB2312" w:cs="Times New Roman"/>
      <w:sz w:val="32"/>
      <w:szCs w:val="32"/>
    </w:rPr>
  </w:style>
  <w:style w:type="paragraph" w:styleId="766">
    <w:name w:val="正文文本"/>
    <w:basedOn w:val="734"/>
    <w:next w:val="766"/>
    <w:link w:val="767"/>
    <w:rPr>
      <w:rFonts w:ascii="楷体_GB2312" w:hAnsi="Arial" w:eastAsia="楷体_GB2312" w:cs="Times New Roman"/>
      <w:sz w:val="28"/>
      <w:szCs w:val="28"/>
    </w:rPr>
  </w:style>
  <w:style w:type="character" w:styleId="767">
    <w:name w:val="正文文本 字符"/>
    <w:next w:val="767"/>
    <w:link w:val="766"/>
    <w:rPr>
      <w:rFonts w:ascii="楷体_GB2312" w:hAnsi="Arial" w:eastAsia="楷体_GB2312" w:cs="Times New Roman"/>
      <w:sz w:val="28"/>
      <w:szCs w:val="28"/>
    </w:rPr>
  </w:style>
  <w:style w:type="paragraph" w:styleId="768">
    <w:name w:val="正文文本缩进"/>
    <w:basedOn w:val="734"/>
    <w:next w:val="768"/>
    <w:link w:val="769"/>
    <w:unhideWhenUsed/>
    <w:pPr>
      <w:ind w:left="420"/>
      <w:spacing w:after="120"/>
    </w:pPr>
  </w:style>
  <w:style w:type="character" w:styleId="769">
    <w:name w:val="正文文本缩进 字符"/>
    <w:next w:val="769"/>
    <w:link w:val="768"/>
    <w:uiPriority w:val="99"/>
    <w:semiHidden/>
  </w:style>
  <w:style w:type="paragraph" w:styleId="770">
    <w:name w:val="列表 2"/>
    <w:basedOn w:val="734"/>
    <w:next w:val="770"/>
    <w:link w:val="734"/>
    <w:pPr>
      <w:ind w:left="100" w:hanging="200"/>
    </w:pPr>
    <w:rPr>
      <w:rFonts w:ascii="Times New Roman" w:hAnsi="Times New Roman" w:eastAsia="宋体" w:cs="Times New Roman"/>
      <w:szCs w:val="21"/>
    </w:rPr>
  </w:style>
  <w:style w:type="paragraph" w:styleId="771">
    <w:name w:val="目录 5"/>
    <w:basedOn w:val="734"/>
    <w:next w:val="734"/>
    <w:link w:val="734"/>
    <w:semiHidden/>
    <w:pPr>
      <w:ind w:left="840"/>
      <w:jc w:val="left"/>
    </w:pPr>
    <w:rPr>
      <w:rFonts w:ascii="Times New Roman" w:hAnsi="Times New Roman" w:eastAsia="宋体" w:cs="Times New Roman"/>
      <w:szCs w:val="21"/>
    </w:rPr>
  </w:style>
  <w:style w:type="paragraph" w:styleId="772">
    <w:name w:val="目录 3"/>
    <w:basedOn w:val="734"/>
    <w:next w:val="734"/>
    <w:link w:val="734"/>
    <w:semiHidden/>
    <w:pPr>
      <w:ind w:left="420"/>
      <w:jc w:val="left"/>
    </w:pPr>
    <w:rPr>
      <w:rFonts w:ascii="Times New Roman" w:hAnsi="Times New Roman" w:eastAsia="宋体" w:cs="Times New Roman"/>
      <w:i/>
      <w:iCs/>
      <w:szCs w:val="24"/>
    </w:rPr>
  </w:style>
  <w:style w:type="paragraph" w:styleId="773">
    <w:name w:val="纯文本"/>
    <w:basedOn w:val="734"/>
    <w:next w:val="773"/>
    <w:link w:val="774"/>
    <w:qFormat/>
    <w:rPr>
      <w:rFonts w:ascii="宋体" w:hAnsi="Courier New" w:eastAsia="宋体" w:cs="Courier New"/>
      <w:szCs w:val="21"/>
    </w:rPr>
  </w:style>
  <w:style w:type="character" w:styleId="774">
    <w:name w:val="纯文本 字符"/>
    <w:next w:val="774"/>
    <w:link w:val="773"/>
    <w:rPr>
      <w:rFonts w:ascii="宋体" w:hAnsi="Courier New" w:eastAsia="宋体" w:cs="Courier New"/>
      <w:szCs w:val="21"/>
    </w:rPr>
  </w:style>
  <w:style w:type="paragraph" w:styleId="775">
    <w:name w:val="目录 8"/>
    <w:basedOn w:val="734"/>
    <w:next w:val="734"/>
    <w:link w:val="734"/>
    <w:semiHidden/>
    <w:pPr>
      <w:ind w:left="1470"/>
      <w:jc w:val="left"/>
    </w:pPr>
    <w:rPr>
      <w:rFonts w:ascii="Times New Roman" w:hAnsi="Times New Roman" w:eastAsia="宋体" w:cs="Times New Roman"/>
      <w:szCs w:val="21"/>
    </w:rPr>
  </w:style>
  <w:style w:type="paragraph" w:styleId="776">
    <w:name w:val="日期"/>
    <w:basedOn w:val="734"/>
    <w:next w:val="734"/>
    <w:link w:val="777"/>
    <w:rPr>
      <w:rFonts w:ascii="Times New Roman" w:hAnsi="Times New Roman" w:eastAsia="宋体" w:cs="Times New Roman"/>
      <w:sz w:val="24"/>
      <w:szCs w:val="24"/>
    </w:rPr>
  </w:style>
  <w:style w:type="character" w:styleId="777">
    <w:name w:val="日期 字符"/>
    <w:next w:val="777"/>
    <w:link w:val="776"/>
    <w:rPr>
      <w:rFonts w:ascii="Times New Roman" w:hAnsi="Times New Roman" w:eastAsia="宋体" w:cs="Times New Roman"/>
      <w:sz w:val="24"/>
      <w:szCs w:val="24"/>
    </w:rPr>
  </w:style>
  <w:style w:type="paragraph" w:styleId="778">
    <w:name w:val="正文文本缩进 2"/>
    <w:basedOn w:val="734"/>
    <w:next w:val="778"/>
    <w:link w:val="779"/>
    <w:pPr>
      <w:ind w:left="630" w:firstLine="645"/>
    </w:pPr>
    <w:rPr>
      <w:rFonts w:ascii="Arial" w:hAnsi="Arial" w:eastAsia="仿宋_GB2312" w:cs="Arial"/>
      <w:sz w:val="32"/>
      <w:szCs w:val="32"/>
    </w:rPr>
  </w:style>
  <w:style w:type="character" w:styleId="779">
    <w:name w:val="正文文本缩进 2 字符"/>
    <w:next w:val="779"/>
    <w:link w:val="778"/>
    <w:rPr>
      <w:rFonts w:ascii="Arial" w:hAnsi="Arial" w:eastAsia="仿宋_GB2312" w:cs="Arial"/>
      <w:sz w:val="32"/>
      <w:szCs w:val="32"/>
    </w:rPr>
  </w:style>
  <w:style w:type="paragraph" w:styleId="780">
    <w:name w:val="批注框文本"/>
    <w:basedOn w:val="734"/>
    <w:next w:val="780"/>
    <w:link w:val="781"/>
    <w:semiHidden/>
    <w:rPr>
      <w:rFonts w:ascii="Times New Roman" w:hAnsi="Times New Roman" w:eastAsia="宋体" w:cs="Times New Roman"/>
      <w:sz w:val="18"/>
      <w:szCs w:val="18"/>
    </w:rPr>
  </w:style>
  <w:style w:type="character" w:styleId="781">
    <w:name w:val="批注框文本 字符"/>
    <w:next w:val="781"/>
    <w:link w:val="780"/>
    <w:semiHidden/>
    <w:rPr>
      <w:rFonts w:ascii="Times New Roman" w:hAnsi="Times New Roman" w:eastAsia="宋体" w:cs="Times New Roman"/>
      <w:sz w:val="18"/>
      <w:szCs w:val="18"/>
    </w:rPr>
  </w:style>
  <w:style w:type="paragraph" w:styleId="782">
    <w:name w:val="页脚"/>
    <w:basedOn w:val="734"/>
    <w:next w:val="782"/>
    <w:link w:val="783"/>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83">
    <w:name w:val="页脚 字符"/>
    <w:next w:val="783"/>
    <w:link w:val="782"/>
    <w:uiPriority w:val="99"/>
    <w:rPr>
      <w:rFonts w:ascii="Times New Roman" w:hAnsi="Times New Roman" w:eastAsia="宋体" w:cs="Times New Roman"/>
      <w:sz w:val="18"/>
      <w:szCs w:val="18"/>
    </w:rPr>
  </w:style>
  <w:style w:type="paragraph" w:styleId="784">
    <w:name w:val="页眉"/>
    <w:basedOn w:val="734"/>
    <w:next w:val="784"/>
    <w:link w:val="78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85">
    <w:name w:val="页眉 字符"/>
    <w:next w:val="785"/>
    <w:link w:val="784"/>
    <w:rPr>
      <w:rFonts w:ascii="Times New Roman" w:hAnsi="Times New Roman" w:eastAsia="宋体" w:cs="Times New Roman"/>
      <w:sz w:val="18"/>
      <w:szCs w:val="18"/>
    </w:rPr>
  </w:style>
  <w:style w:type="paragraph" w:styleId="786">
    <w:name w:val="目录 4"/>
    <w:basedOn w:val="734"/>
    <w:next w:val="734"/>
    <w:link w:val="734"/>
    <w:semiHidden/>
    <w:pPr>
      <w:ind w:left="630"/>
      <w:jc w:val="left"/>
    </w:pPr>
    <w:rPr>
      <w:rFonts w:ascii="Times New Roman" w:hAnsi="Times New Roman" w:eastAsia="宋体" w:cs="Times New Roman"/>
      <w:szCs w:val="21"/>
    </w:rPr>
  </w:style>
  <w:style w:type="paragraph" w:styleId="787">
    <w:name w:val="列表"/>
    <w:basedOn w:val="734"/>
    <w:next w:val="787"/>
    <w:link w:val="734"/>
    <w:pPr>
      <w:ind w:left="200" w:hanging="200"/>
    </w:pPr>
    <w:rPr>
      <w:rFonts w:ascii="Times New Roman" w:hAnsi="Times New Roman" w:eastAsia="宋体" w:cs="Times New Roman"/>
      <w:szCs w:val="21"/>
    </w:rPr>
  </w:style>
  <w:style w:type="paragraph" w:styleId="788">
    <w:name w:val="目录 6"/>
    <w:basedOn w:val="734"/>
    <w:next w:val="734"/>
    <w:link w:val="734"/>
    <w:semiHidden/>
    <w:pPr>
      <w:ind w:left="1050"/>
      <w:jc w:val="left"/>
    </w:pPr>
    <w:rPr>
      <w:rFonts w:ascii="Times New Roman" w:hAnsi="Times New Roman" w:eastAsia="宋体" w:cs="Times New Roman"/>
      <w:szCs w:val="21"/>
    </w:rPr>
  </w:style>
  <w:style w:type="paragraph" w:styleId="789">
    <w:name w:val="正文文本缩进 3"/>
    <w:basedOn w:val="734"/>
    <w:next w:val="789"/>
    <w:link w:val="790"/>
    <w:pPr>
      <w:ind w:left="645" w:firstLine="645"/>
    </w:pPr>
    <w:rPr>
      <w:rFonts w:ascii="Arial" w:hAnsi="Arial" w:eastAsia="仿宋_GB2312" w:cs="Arial"/>
      <w:color w:val="ffff00"/>
      <w:sz w:val="32"/>
      <w:szCs w:val="32"/>
    </w:rPr>
  </w:style>
  <w:style w:type="character" w:styleId="790">
    <w:name w:val="正文文本缩进 3 字符"/>
    <w:next w:val="790"/>
    <w:link w:val="789"/>
    <w:rPr>
      <w:rFonts w:ascii="Arial" w:hAnsi="Arial" w:eastAsia="仿宋_GB2312" w:cs="Arial"/>
      <w:color w:val="ffff00"/>
      <w:sz w:val="32"/>
      <w:szCs w:val="32"/>
    </w:rPr>
  </w:style>
  <w:style w:type="paragraph" w:styleId="791">
    <w:name w:val="图表目录"/>
    <w:basedOn w:val="734"/>
    <w:next w:val="734"/>
    <w:link w:val="734"/>
    <w:semiHidden/>
    <w:pPr>
      <w:ind w:left="840" w:hanging="420"/>
    </w:pPr>
    <w:rPr>
      <w:rFonts w:ascii="Times New Roman" w:hAnsi="Times New Roman" w:eastAsia="宋体" w:cs="Times New Roman"/>
      <w:szCs w:val="21"/>
    </w:rPr>
  </w:style>
  <w:style w:type="paragraph" w:styleId="792">
    <w:name w:val="目录 2"/>
    <w:basedOn w:val="734"/>
    <w:next w:val="734"/>
    <w:link w:val="734"/>
    <w:semiHidden/>
    <w:pPr>
      <w:ind w:left="210"/>
      <w:jc w:val="left"/>
    </w:pPr>
    <w:rPr>
      <w:rFonts w:ascii="Times New Roman" w:hAnsi="Times New Roman" w:eastAsia="宋体" w:cs="Times New Roman"/>
      <w:smallCaps/>
      <w:szCs w:val="24"/>
    </w:rPr>
  </w:style>
  <w:style w:type="paragraph" w:styleId="793">
    <w:name w:val="目录 9"/>
    <w:basedOn w:val="734"/>
    <w:next w:val="734"/>
    <w:link w:val="734"/>
    <w:semiHidden/>
    <w:pPr>
      <w:ind w:left="1680"/>
      <w:jc w:val="left"/>
    </w:pPr>
    <w:rPr>
      <w:rFonts w:ascii="Times New Roman" w:hAnsi="Times New Roman" w:eastAsia="宋体" w:cs="Times New Roman"/>
      <w:szCs w:val="21"/>
    </w:rPr>
  </w:style>
  <w:style w:type="paragraph" w:styleId="794">
    <w:name w:val="正文文本 2"/>
    <w:basedOn w:val="734"/>
    <w:next w:val="794"/>
    <w:link w:val="795"/>
    <w:pPr>
      <w:jc w:val="center"/>
      <w:widowControl/>
    </w:pPr>
    <w:rPr>
      <w:rFonts w:ascii="楷体_GB2312" w:hAnsi="Times New Roman" w:eastAsia="楷体_GB2312" w:cs="Times New Roman"/>
      <w:sz w:val="28"/>
      <w:szCs w:val="28"/>
    </w:rPr>
  </w:style>
  <w:style w:type="character" w:styleId="795">
    <w:name w:val="正文文本 2 字符"/>
    <w:next w:val="795"/>
    <w:link w:val="794"/>
    <w:rPr>
      <w:rFonts w:ascii="楷体_GB2312" w:hAnsi="Times New Roman" w:eastAsia="楷体_GB2312" w:cs="Times New Roman"/>
      <w:sz w:val="28"/>
      <w:szCs w:val="28"/>
    </w:rPr>
  </w:style>
  <w:style w:type="paragraph" w:styleId="796">
    <w:name w:val="普通(网站)"/>
    <w:basedOn w:val="734"/>
    <w:next w:val="796"/>
    <w:link w:val="734"/>
    <w:uiPriority w:val="99"/>
    <w:pPr>
      <w:jc w:val="left"/>
      <w:spacing w:before="100" w:beforeAutospacing="1" w:after="100" w:afterAutospacing="1"/>
      <w:widowControl/>
    </w:pPr>
    <w:rPr>
      <w:rFonts w:ascii="宋体" w:hAnsi="宋体" w:eastAsia="宋体" w:cs="宋体"/>
      <w:sz w:val="24"/>
      <w:szCs w:val="24"/>
    </w:rPr>
  </w:style>
  <w:style w:type="paragraph" w:styleId="797">
    <w:name w:val="索引 1"/>
    <w:basedOn w:val="734"/>
    <w:next w:val="734"/>
    <w:link w:val="734"/>
    <w:semiHidden/>
    <w:pPr>
      <w:spacing w:line="240" w:lineRule="atLeast"/>
    </w:pPr>
    <w:rPr>
      <w:rFonts w:ascii="Times New Roman" w:hAnsi="Times New Roman" w:eastAsia="宋体" w:cs="Times New Roman"/>
      <w:b/>
      <w:bCs/>
      <w:szCs w:val="21"/>
    </w:rPr>
  </w:style>
  <w:style w:type="paragraph" w:styleId="798">
    <w:name w:val="批注主题"/>
    <w:basedOn w:val="762"/>
    <w:next w:val="762"/>
    <w:link w:val="799"/>
    <w:semiHidden/>
    <w:rPr>
      <w:rFonts w:ascii="Times New Roman" w:hAnsi="Times New Roman" w:eastAsia="宋体" w:cs="Times New Roman"/>
      <w:b/>
      <w:bCs/>
      <w:szCs w:val="21"/>
    </w:rPr>
  </w:style>
  <w:style w:type="character" w:styleId="799">
    <w:name w:val="批注主题 字符"/>
    <w:next w:val="799"/>
    <w:link w:val="798"/>
    <w:semiHidden/>
    <w:rPr>
      <w:rFonts w:ascii="Times New Roman" w:hAnsi="Times New Roman" w:eastAsia="宋体" w:cs="Times New Roman"/>
      <w:b/>
      <w:bCs/>
      <w:szCs w:val="21"/>
    </w:rPr>
  </w:style>
  <w:style w:type="paragraph" w:styleId="800">
    <w:name w:val="正文首行缩进"/>
    <w:basedOn w:val="734"/>
    <w:next w:val="800"/>
    <w:link w:val="801"/>
    <w:pPr>
      <w:ind w:firstLine="200"/>
      <w:spacing w:line="360" w:lineRule="auto"/>
    </w:pPr>
    <w:rPr>
      <w:rFonts w:ascii="仿宋_GB2312" w:hAnsi="Times New Roman" w:eastAsia="仿宋_GB2312" w:cs="Times New Roman"/>
      <w:sz w:val="30"/>
      <w:szCs w:val="30"/>
    </w:rPr>
  </w:style>
  <w:style w:type="character" w:styleId="801">
    <w:name w:val="正文文本首行缩进 字符"/>
    <w:next w:val="801"/>
    <w:link w:val="800"/>
    <w:rPr>
      <w:rFonts w:ascii="仿宋_GB2312" w:hAnsi="Times New Roman" w:eastAsia="仿宋_GB2312" w:cs="Times New Roman"/>
      <w:sz w:val="30"/>
      <w:szCs w:val="30"/>
    </w:rPr>
  </w:style>
  <w:style w:type="paragraph" w:styleId="802">
    <w:name w:val="正文首行缩进 2"/>
    <w:basedOn w:val="768"/>
    <w:next w:val="802"/>
    <w:link w:val="803"/>
    <w:pPr>
      <w:ind w:left="0" w:firstLine="420"/>
      <w:spacing w:after="0" w:line="360" w:lineRule="auto"/>
    </w:pPr>
    <w:rPr>
      <w:rFonts w:ascii="宋体" w:hAnsi="宋体" w:eastAsia="宋体" w:cs="Times New Roman"/>
      <w:szCs w:val="20"/>
    </w:rPr>
  </w:style>
  <w:style w:type="character" w:styleId="803">
    <w:name w:val="正文文本首行缩进 2 字符"/>
    <w:next w:val="803"/>
    <w:link w:val="802"/>
    <w:rPr>
      <w:rFonts w:ascii="宋体" w:hAnsi="宋体" w:eastAsia="宋体" w:cs="Times New Roman"/>
      <w:szCs w:val="20"/>
    </w:rPr>
  </w:style>
  <w:style w:type="table" w:styleId="804">
    <w:name w:val="网格型"/>
    <w:basedOn w:val="745"/>
    <w:next w:val="804"/>
    <w:link w:val="734"/>
    <w:pPr>
      <w:jc w:val="both"/>
      <w:widowControl w:val="off"/>
    </w:pPr>
    <w:rPr>
      <w:rFonts w:ascii="Times New Roman" w:hAnsi="Times New Roman" w:eastAsia="宋体" w:cs="Times New Roman"/>
      <w:sz w:val="20"/>
      <w:szCs w:val="20"/>
    </w:rPr>
    <w:tblPr/>
  </w:style>
  <w:style w:type="character" w:styleId="805">
    <w:name w:val="要点"/>
    <w:next w:val="805"/>
    <w:link w:val="734"/>
    <w:qFormat/>
    <w:rPr>
      <w:b/>
      <w:bCs/>
    </w:rPr>
  </w:style>
  <w:style w:type="character" w:styleId="806">
    <w:name w:val="页码"/>
    <w:next w:val="806"/>
    <w:link w:val="734"/>
  </w:style>
  <w:style w:type="character" w:styleId="807">
    <w:name w:val="已访问的超链接"/>
    <w:next w:val="807"/>
    <w:link w:val="734"/>
    <w:rPr>
      <w:color w:val="800080"/>
      <w:u w:val="single"/>
    </w:rPr>
  </w:style>
  <w:style w:type="character" w:styleId="808">
    <w:name w:val="强调"/>
    <w:next w:val="808"/>
    <w:link w:val="734"/>
    <w:qFormat/>
    <w:rPr>
      <w:i/>
    </w:rPr>
  </w:style>
  <w:style w:type="character" w:styleId="809">
    <w:name w:val="超链接"/>
    <w:next w:val="809"/>
    <w:link w:val="734"/>
    <w:rPr>
      <w:color w:val="0000ff"/>
      <w:u w:val="single"/>
    </w:rPr>
  </w:style>
  <w:style w:type="character" w:styleId="810">
    <w:name w:val="批注引用"/>
    <w:next w:val="810"/>
    <w:link w:val="734"/>
    <w:semiHidden/>
    <w:rPr>
      <w:sz w:val="21"/>
      <w:szCs w:val="21"/>
    </w:rPr>
  </w:style>
  <w:style w:type="character" w:styleId="811">
    <w:name w:val="font5 Char"/>
    <w:next w:val="811"/>
    <w:link w:val="734"/>
    <w:rPr>
      <w:rFonts w:ascii="宋体" w:hAnsi="宋体" w:eastAsia="宋体"/>
      <w:sz w:val="28"/>
      <w:szCs w:val="28"/>
      <w:lang w:val="en-US" w:eastAsia="zh-CN" w:bidi="ar-SA"/>
    </w:rPr>
  </w:style>
  <w:style w:type="character" w:styleId="812">
    <w:name w:val="二级目录 Char"/>
    <w:next w:val="812"/>
    <w:link w:val="813"/>
    <w:rPr>
      <w:b/>
      <w:sz w:val="30"/>
      <w:szCs w:val="28"/>
    </w:rPr>
  </w:style>
  <w:style w:type="paragraph" w:styleId="813">
    <w:name w:val="二级目录"/>
    <w:next w:val="734"/>
    <w:link w:val="812"/>
    <w:pPr>
      <w:numPr>
        <w:ilvl w:val="0"/>
        <w:numId w:val="2"/>
      </w:numPr>
      <w:tabs>
        <w:tab w:val="left" w:pos="907" w:leader="none"/>
        <w:tab w:val="left" w:pos="1145" w:leader="none"/>
      </w:tabs>
      <w:outlineLvl w:val="1"/>
    </w:pPr>
    <w:rPr>
      <w:b/>
      <w:sz w:val="30"/>
      <w:szCs w:val="28"/>
      <w:lang w:val="en-US" w:eastAsia="zh-CN" w:bidi="ar-SA"/>
    </w:rPr>
  </w:style>
  <w:style w:type="character" w:styleId="814">
    <w:name w:val="列出段落 Char,Bullet List Char,numbered Char,FooterText Char,List Paragraph1 Char,Paragraphe de liste1 Char"/>
    <w:next w:val="814"/>
    <w:link w:val="815"/>
    <w:rPr>
      <w:rFonts w:ascii="Calibri" w:hAnsi="Calibri"/>
      <w:sz w:val="24"/>
      <w:szCs w:val="24"/>
      <w:lang w:eastAsia="en-US" w:bidi="en-US"/>
    </w:rPr>
  </w:style>
  <w:style w:type="paragraph" w:styleId="815">
    <w:name w:val="列出段落1"/>
    <w:basedOn w:val="734"/>
    <w:next w:val="815"/>
    <w:link w:val="814"/>
    <w:qFormat/>
    <w:pPr>
      <w:contextualSpacing/>
      <w:ind w:left="720"/>
      <w:jc w:val="left"/>
      <w:widowControl/>
    </w:pPr>
    <w:rPr>
      <w:rFonts w:ascii="Calibri" w:hAnsi="Calibri"/>
      <w:sz w:val="24"/>
      <w:szCs w:val="24"/>
      <w:lang w:eastAsia="en-US" w:bidi="en-US"/>
    </w:rPr>
  </w:style>
  <w:style w:type="paragraph" w:styleId="816">
    <w:name w:val="Body Text(ch)"/>
    <w:basedOn w:val="734"/>
    <w:next w:val="766"/>
    <w:link w:val="734"/>
    <w:pPr>
      <w:spacing w:after="120"/>
    </w:pPr>
    <w:rPr>
      <w:rFonts w:ascii="宋体" w:hAnsi="Arial" w:eastAsia="宋体" w:cs="Times New Roman"/>
      <w:bCs/>
      <w:iCs/>
      <w:szCs w:val="24"/>
    </w:rPr>
  </w:style>
  <w:style w:type="paragraph" w:styleId="817">
    <w:name w:val="xl27"/>
    <w:basedOn w:val="734"/>
    <w:next w:val="817"/>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8">
    <w:name w:val="xl26"/>
    <w:basedOn w:val="734"/>
    <w:next w:val="818"/>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9">
    <w:name w:val="Char"/>
    <w:basedOn w:val="734"/>
    <w:next w:val="819"/>
    <w:link w:val="734"/>
    <w:pPr>
      <w:ind w:firstLine="200"/>
      <w:tabs>
        <w:tab w:val="left" w:pos="360" w:leader="none"/>
      </w:tabs>
    </w:pPr>
    <w:rPr>
      <w:rFonts w:ascii="Times New Roman" w:hAnsi="Times New Roman" w:eastAsia="宋体" w:cs="Times New Roman"/>
      <w:sz w:val="28"/>
      <w:szCs w:val="30"/>
    </w:rPr>
  </w:style>
  <w:style w:type="paragraph" w:styleId="820">
    <w:name w:val=" Char"/>
    <w:basedOn w:val="760"/>
    <w:next w:val="820"/>
    <w:link w:val="734"/>
    <w:rPr>
      <w:rFonts w:ascii="Tahoma" w:hAnsi="Tahoma"/>
      <w:sz w:val="24"/>
      <w:szCs w:val="24"/>
    </w:rPr>
  </w:style>
  <w:style w:type="paragraph" w:styleId="821">
    <w:name w:val="普通正文"/>
    <w:basedOn w:val="734"/>
    <w:next w:val="821"/>
    <w:link w:val="734"/>
    <w:pPr>
      <w:ind w:firstLine="480"/>
      <w:jc w:val="left"/>
      <w:spacing w:before="120" w:after="120" w:line="360" w:lineRule="auto"/>
    </w:pPr>
    <w:rPr>
      <w:rFonts w:ascii="Arial" w:hAnsi="Arial" w:eastAsia="宋体" w:cs="Times New Roman"/>
      <w:sz w:val="24"/>
      <w:szCs w:val="24"/>
    </w:rPr>
  </w:style>
  <w:style w:type="paragraph" w:styleId="822">
    <w:name w:val="table_lines"/>
    <w:basedOn w:val="734"/>
    <w:next w:val="822"/>
    <w:link w:val="734"/>
    <w:pPr>
      <w:jc w:val="left"/>
      <w:widowControl/>
    </w:pPr>
    <w:rPr>
      <w:rFonts w:ascii="Times New Roman" w:hAnsi="Times New Roman" w:eastAsia="宋体" w:cs="Times New Roman"/>
      <w:sz w:val="20"/>
      <w:szCs w:val="20"/>
      <w:lang w:val="de-DE" w:eastAsia="de-DE"/>
    </w:rPr>
  </w:style>
  <w:style w:type="paragraph" w:styleId="823">
    <w:name w:val="附录1"/>
    <w:next w:val="823"/>
    <w:link w:val="734"/>
    <w:pPr>
      <w:numPr>
        <w:ilvl w:val="0"/>
        <w:numId w:val="2"/>
      </w:numPr>
      <w:spacing w:before="240" w:line="600" w:lineRule="atLeast"/>
      <w:tabs>
        <w:tab w:val="left" w:pos="907" w:leader="none"/>
      </w:tabs>
    </w:pPr>
    <w:rPr>
      <w:b/>
      <w:i/>
      <w:sz w:val="28"/>
      <w:lang w:val="en-US" w:eastAsia="zh-CN" w:bidi="ar-SA"/>
    </w:rPr>
  </w:style>
  <w:style w:type="paragraph" w:styleId="824">
    <w:name w:val="font7"/>
    <w:basedOn w:val="734"/>
    <w:next w:val="824"/>
    <w:link w:val="734"/>
    <w:pPr>
      <w:jc w:val="left"/>
      <w:spacing w:before="100" w:beforeAutospacing="1" w:after="100" w:afterAutospacing="1"/>
      <w:widowControl/>
    </w:pPr>
    <w:rPr>
      <w:rFonts w:hint="eastAsia" w:ascii="宋体" w:hAnsi="宋体" w:eastAsia="宋体" w:cs="Times New Roman"/>
      <w:sz w:val="18"/>
      <w:szCs w:val="18"/>
    </w:rPr>
  </w:style>
  <w:style w:type="paragraph" w:styleId="825">
    <w:name w:val=" Char Char Char Char"/>
    <w:basedOn w:val="760"/>
    <w:next w:val="825"/>
    <w:link w:val="734"/>
    <w:pPr>
      <w:spacing w:line="360" w:lineRule="auto"/>
    </w:pPr>
    <w:rPr>
      <w:rFonts w:ascii="Tahoma" w:hAnsi="Tahoma"/>
      <w:sz w:val="24"/>
      <w:szCs w:val="24"/>
    </w:rPr>
  </w:style>
  <w:style w:type="paragraph" w:styleId="826">
    <w:name w:val="列表段落"/>
    <w:basedOn w:val="734"/>
    <w:next w:val="826"/>
    <w:link w:val="734"/>
    <w:qFormat/>
    <w:pPr>
      <w:contextualSpacing/>
      <w:ind w:left="720"/>
      <w:jc w:val="left"/>
      <w:widowControl/>
    </w:pPr>
    <w:rPr>
      <w:rFonts w:ascii="Calibri" w:hAnsi="Calibri" w:eastAsia="宋体" w:cs="Times New Roman"/>
      <w:sz w:val="24"/>
      <w:szCs w:val="24"/>
      <w:lang w:eastAsia="en-US" w:bidi="en-US"/>
    </w:rPr>
  </w:style>
  <w:style w:type="paragraph" w:styleId="827">
    <w:name w:val="4"/>
    <w:basedOn w:val="734"/>
    <w:next w:val="789"/>
    <w:link w:val="734"/>
    <w:pPr>
      <w:ind w:firstLine="420"/>
      <w:spacing w:line="360" w:lineRule="auto"/>
    </w:pPr>
    <w:rPr>
      <w:rFonts w:ascii="Times New Roman" w:hAnsi="Times New Roman" w:eastAsia="宋体" w:cs="Times New Roman"/>
      <w:color w:val="ff0000"/>
      <w:sz w:val="24"/>
      <w:szCs w:val="24"/>
    </w:rPr>
  </w:style>
  <w:style w:type="paragraph" w:styleId="828">
    <w:name w:val="普通 (Web)"/>
    <w:basedOn w:val="734"/>
    <w:next w:val="828"/>
    <w:link w:val="734"/>
    <w:pPr>
      <w:jc w:val="left"/>
      <w:spacing w:before="100" w:beforeAutospacing="1" w:after="100" w:afterAutospacing="1"/>
      <w:widowControl/>
    </w:pPr>
    <w:rPr>
      <w:rFonts w:ascii="宋体" w:hAnsi="宋体" w:eastAsia="宋体" w:cs="Times New Roman"/>
      <w:sz w:val="24"/>
      <w:szCs w:val="24"/>
    </w:rPr>
  </w:style>
  <w:style w:type="paragraph" w:styleId="829">
    <w:name w:val=" Char Char Char Char Char Char Char Char Char Char"/>
    <w:basedOn w:val="734"/>
    <w:next w:val="829"/>
    <w:link w:val="734"/>
    <w:pPr>
      <w:spacing w:line="360" w:lineRule="auto"/>
    </w:pPr>
    <w:rPr>
      <w:rFonts w:ascii="Times New Roman" w:hAnsi="Times New Roman" w:eastAsia="宋体" w:cs="Times New Roman"/>
      <w:sz w:val="24"/>
      <w:szCs w:val="20"/>
    </w:rPr>
  </w:style>
  <w:style w:type="paragraph" w:styleId="830">
    <w:name w:val="样式1"/>
    <w:basedOn w:val="734"/>
    <w:next w:val="830"/>
    <w:link w:val="734"/>
    <w:pPr>
      <w:numPr>
        <w:ilvl w:val="0"/>
        <w:numId w:val="3"/>
      </w:numPr>
      <w:tabs>
        <w:tab w:val="left" w:pos="709" w:leader="none"/>
      </w:tabs>
    </w:pPr>
    <w:rPr>
      <w:rFonts w:ascii="宋体" w:hAnsi="宋体" w:eastAsia="宋体" w:cs="Times New Roman"/>
      <w:szCs w:val="21"/>
    </w:rPr>
  </w:style>
  <w:style w:type="paragraph" w:styleId="831">
    <w:name w:val="font6"/>
    <w:basedOn w:val="734"/>
    <w:next w:val="831"/>
    <w:link w:val="734"/>
    <w:pPr>
      <w:jc w:val="left"/>
      <w:spacing w:before="100" w:beforeAutospacing="1" w:after="100" w:afterAutospacing="1"/>
      <w:widowControl/>
    </w:pPr>
    <w:rPr>
      <w:rFonts w:hint="eastAsia" w:ascii="宋体" w:hAnsi="宋体" w:eastAsia="宋体" w:cs="Times New Roman"/>
      <w:sz w:val="28"/>
      <w:szCs w:val="28"/>
      <w:u w:val="single"/>
    </w:rPr>
  </w:style>
  <w:style w:type="paragraph" w:styleId="832">
    <w:name w:val="xl25"/>
    <w:basedOn w:val="734"/>
    <w:next w:val="832"/>
    <w:link w:val="7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3">
    <w:name w:val="图标"/>
    <w:basedOn w:val="734"/>
    <w:next w:val="734"/>
    <w:link w:val="73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4">
    <w:name w:val="标题3"/>
    <w:basedOn w:val="734"/>
    <w:next w:val="734"/>
    <w:link w:val="734"/>
    <w:pPr>
      <w:ind w:firstLine="624"/>
      <w:spacing w:line="590" w:lineRule="atLeast"/>
    </w:pPr>
    <w:rPr>
      <w:rFonts w:ascii="方正黑体_GBK" w:hAnsi="Times New Roman" w:eastAsia="方正黑体_GBK" w:cs="Times New Roman"/>
      <w:sz w:val="32"/>
      <w:szCs w:val="32"/>
    </w:rPr>
  </w:style>
  <w:style w:type="paragraph" w:styleId="835">
    <w:name w:val="xl24"/>
    <w:basedOn w:val="734"/>
    <w:next w:val="835"/>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6">
    <w:name w:val="xl29"/>
    <w:basedOn w:val="734"/>
    <w:next w:val="836"/>
    <w:link w:val="73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37">
    <w:name w:val="Char Char Char Char Char Char Char Char"/>
    <w:basedOn w:val="734"/>
    <w:next w:val="837"/>
    <w:link w:val="734"/>
    <w:pPr>
      <w:jc w:val="left"/>
      <w:spacing w:after="160" w:line="240" w:lineRule="exact"/>
      <w:widowControl/>
    </w:pPr>
    <w:rPr>
      <w:rFonts w:ascii="Verdana" w:hAnsi="Verdana" w:eastAsia="宋体" w:cs="Times New Roman"/>
      <w:sz w:val="20"/>
      <w:szCs w:val="20"/>
      <w:lang w:eastAsia="en-US"/>
    </w:rPr>
  </w:style>
  <w:style w:type="paragraph" w:styleId="838">
    <w:name w:val="xl28"/>
    <w:basedOn w:val="734"/>
    <w:next w:val="838"/>
    <w:link w:val="7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39">
    <w:name w:val=" Char Char Char Char Char Char Char Char"/>
    <w:basedOn w:val="734"/>
    <w:next w:val="839"/>
    <w:link w:val="734"/>
    <w:pPr>
      <w:jc w:val="left"/>
      <w:spacing w:after="160" w:line="240" w:lineRule="exact"/>
      <w:widowControl/>
    </w:pPr>
    <w:rPr>
      <w:rFonts w:ascii="Verdana" w:hAnsi="Verdana" w:eastAsia="宋体" w:cs="Times New Roman"/>
      <w:sz w:val="20"/>
      <w:szCs w:val="20"/>
      <w:lang w:eastAsia="en-US"/>
    </w:rPr>
  </w:style>
  <w:style w:type="paragraph" w:styleId="840">
    <w:name w:val="xl30"/>
    <w:basedOn w:val="734"/>
    <w:next w:val="840"/>
    <w:link w:val="734"/>
    <w:pPr>
      <w:jc w:val="center"/>
      <w:spacing w:before="100" w:beforeAutospacing="1" w:after="100" w:afterAutospacing="1"/>
      <w:widowControl/>
    </w:pPr>
    <w:rPr>
      <w:rFonts w:ascii="宋体" w:hAnsi="宋体" w:eastAsia="宋体" w:cs="Times New Roman"/>
      <w:b/>
      <w:bCs/>
      <w:sz w:val="36"/>
      <w:szCs w:val="36"/>
    </w:rPr>
  </w:style>
  <w:style w:type="paragraph" w:styleId="841">
    <w:name w:val="Char Char Char Char"/>
    <w:basedOn w:val="760"/>
    <w:next w:val="841"/>
    <w:link w:val="734"/>
    <w:pPr>
      <w:spacing w:line="360" w:lineRule="auto"/>
    </w:pPr>
    <w:rPr>
      <w:rFonts w:ascii="Tahoma" w:hAnsi="Tahoma"/>
      <w:sz w:val="24"/>
      <w:szCs w:val="24"/>
    </w:rPr>
  </w:style>
  <w:style w:type="paragraph" w:styleId="842">
    <w:name w:val="table_1stline"/>
    <w:basedOn w:val="734"/>
    <w:next w:val="842"/>
    <w:link w:val="734"/>
    <w:pPr>
      <w:jc w:val="left"/>
      <w:spacing w:before="120"/>
      <w:widowControl/>
    </w:pPr>
    <w:rPr>
      <w:rFonts w:ascii="Times New Roman" w:hAnsi="Times New Roman" w:eastAsia="宋体" w:cs="Times New Roman"/>
      <w:bCs/>
      <w:sz w:val="20"/>
      <w:szCs w:val="20"/>
      <w:lang w:val="de-DE" w:eastAsia="de-DE"/>
    </w:rPr>
  </w:style>
  <w:style w:type="paragraph" w:styleId="843">
    <w:name w:val="font5"/>
    <w:basedOn w:val="734"/>
    <w:next w:val="843"/>
    <w:link w:val="734"/>
    <w:pPr>
      <w:jc w:val="left"/>
      <w:spacing w:before="100" w:beforeAutospacing="1" w:after="100" w:afterAutospacing="1"/>
      <w:widowControl/>
    </w:pPr>
    <w:rPr>
      <w:rFonts w:hint="eastAsia" w:ascii="宋体" w:hAnsi="宋体" w:eastAsia="宋体" w:cs="Times New Roman"/>
      <w:sz w:val="28"/>
      <w:szCs w:val="28"/>
    </w:rPr>
  </w:style>
  <w:style w:type="paragraph" w:styleId="844">
    <w:name w:val="标题1"/>
    <w:basedOn w:val="734"/>
    <w:next w:val="734"/>
    <w:link w:val="73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5">
    <w:name w:val="修订"/>
    <w:next w:val="845"/>
    <w:link w:val="734"/>
    <w:uiPriority w:val="99"/>
    <w:semiHidden/>
    <w:rPr>
      <w:sz w:val="21"/>
      <w:szCs w:val="21"/>
      <w:lang w:val="en-US" w:eastAsia="zh-CN" w:bidi="ar-SA"/>
    </w:rPr>
  </w:style>
  <w:style w:type="paragraph" w:styleId="846">
    <w:name w:val="无间隔"/>
    <w:next w:val="846"/>
    <w:link w:val="734"/>
    <w:uiPriority w:val="99"/>
    <w:qFormat/>
    <w:pPr>
      <w:jc w:val="both"/>
      <w:widowControl w:val="off"/>
    </w:pPr>
    <w:rPr>
      <w:sz w:val="21"/>
      <w:szCs w:val="21"/>
      <w:lang w:val="en-US" w:eastAsia="zh-CN" w:bidi="ar-SA"/>
    </w:rPr>
  </w:style>
  <w:style w:type="paragraph" w:styleId="847">
    <w:name w:val="AONormal"/>
    <w:next w:val="847"/>
    <w:link w:val="734"/>
    <w:qFormat/>
    <w:pPr>
      <w:ind w:firstLine="440"/>
      <w:spacing w:line="400" w:lineRule="exact"/>
    </w:pPr>
    <w:rPr>
      <w:rFonts w:ascii="华文楷体" w:hAnsi="华文楷体" w:eastAsia="华文楷体" w:cs="华文楷体"/>
      <w:sz w:val="22"/>
      <w:szCs w:val="21"/>
      <w:lang w:val="en-US" w:eastAsia="zh-CN" w:bidi="ar-SA"/>
    </w:rPr>
  </w:style>
  <w:style w:type="character" w:styleId="13460" w:default="1">
    <w:name w:val="Default Paragraph Font"/>
    <w:uiPriority w:val="1"/>
    <w:semiHidden/>
    <w:unhideWhenUsed/>
  </w:style>
  <w:style w:type="numbering" w:styleId="13461" w:default="1">
    <w:name w:val="No List"/>
    <w:uiPriority w:val="99"/>
    <w:semiHidden/>
    <w:unhideWhenUsed/>
  </w:style>
  <w:style w:type="table" w:styleId="134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苏俊</cp:lastModifiedBy>
  <cp:revision>5</cp:revision>
  <dcterms:created xsi:type="dcterms:W3CDTF">2026-09-09T06:49:00Z</dcterms:created>
  <dcterms:modified xsi:type="dcterms:W3CDTF">2026-09-21T08:24:33Z</dcterms:modified>
</cp:coreProperties>
</file>