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6692A5">
      <w:pPr>
        <w:rPr>
          <w:rFonts w:ascii="宋体" w:hAnsi="宋体" w:cs="宋体"/>
          <w:highlight w:val="none"/>
        </w:rPr>
      </w:pPr>
    </w:p>
    <w:p w14:paraId="63CE614B">
      <w:pPr>
        <w:rPr>
          <w:rFonts w:ascii="宋体" w:hAnsi="宋体" w:cs="宋体"/>
          <w:highlight w:val="none"/>
        </w:rPr>
      </w:pPr>
    </w:p>
    <w:p w14:paraId="5111033B">
      <w:pPr>
        <w:rPr>
          <w:rFonts w:ascii="宋体" w:hAnsi="宋体" w:cs="宋体"/>
          <w:b/>
          <w:sz w:val="96"/>
          <w:szCs w:val="96"/>
          <w:highlight w:val="none"/>
        </w:rPr>
      </w:pPr>
    </w:p>
    <w:p w14:paraId="4114ECBA">
      <w:pPr>
        <w:jc w:val="center"/>
        <w:rPr>
          <w:rFonts w:ascii="宋体" w:hAnsi="宋体" w:cs="宋体"/>
          <w:b/>
          <w:sz w:val="96"/>
          <w:szCs w:val="96"/>
          <w:highlight w:val="none"/>
        </w:rPr>
      </w:pPr>
      <w:r>
        <w:rPr>
          <w:rFonts w:hint="eastAsia" w:ascii="宋体" w:hAnsi="宋体" w:cs="宋体"/>
          <w:b/>
          <w:sz w:val="96"/>
          <w:szCs w:val="96"/>
          <w:highlight w:val="none"/>
        </w:rPr>
        <w:t>招 标 文 件</w:t>
      </w:r>
    </w:p>
    <w:p w14:paraId="1E46EF66">
      <w:pPr>
        <w:rPr>
          <w:rFonts w:ascii="宋体" w:hAnsi="宋体" w:cs="宋体"/>
          <w:highlight w:val="none"/>
        </w:rPr>
      </w:pPr>
    </w:p>
    <w:p w14:paraId="6E20FD08">
      <w:pPr>
        <w:rPr>
          <w:rFonts w:ascii="宋体" w:hAnsi="宋体" w:cs="宋体"/>
          <w:highlight w:val="none"/>
        </w:rPr>
      </w:pPr>
    </w:p>
    <w:p w14:paraId="5AA19B01">
      <w:pPr>
        <w:rPr>
          <w:rFonts w:ascii="宋体" w:hAnsi="宋体" w:cs="宋体"/>
          <w:highlight w:val="none"/>
        </w:rPr>
      </w:pPr>
    </w:p>
    <w:p w14:paraId="1376F1EA">
      <w:pPr>
        <w:rPr>
          <w:rFonts w:ascii="宋体" w:hAnsi="宋体" w:cs="宋体"/>
          <w:b/>
          <w:sz w:val="44"/>
          <w:szCs w:val="44"/>
          <w:highlight w:val="none"/>
        </w:rPr>
      </w:pPr>
    </w:p>
    <w:p w14:paraId="0D3CCB00">
      <w:pPr>
        <w:ind w:left="-38" w:leftChars="-18" w:firstLine="36" w:firstLineChars="9"/>
        <w:jc w:val="left"/>
        <w:rPr>
          <w:rFonts w:hint="eastAsia" w:ascii="宋体" w:hAnsi="宋体" w:eastAsia="宋体" w:cs="宋体"/>
          <w:b/>
          <w:sz w:val="40"/>
          <w:szCs w:val="40"/>
          <w:highlight w:val="none"/>
          <w:lang w:eastAsia="zh-CN"/>
        </w:rPr>
      </w:pPr>
      <w:r>
        <w:rPr>
          <w:rFonts w:hint="eastAsia" w:ascii="宋体" w:hAnsi="宋体" w:cs="宋体"/>
          <w:b/>
          <w:sz w:val="40"/>
          <w:szCs w:val="40"/>
          <w:highlight w:val="none"/>
        </w:rPr>
        <w:t>项目编号：</w:t>
      </w:r>
      <w:r>
        <w:rPr>
          <w:rFonts w:hint="eastAsia" w:ascii="宋体" w:hAnsi="宋体" w:cs="宋体"/>
          <w:b/>
          <w:sz w:val="40"/>
          <w:szCs w:val="40"/>
          <w:highlight w:val="none"/>
          <w:lang w:eastAsia="zh-CN"/>
        </w:rPr>
        <w:t>JSZC-320581-HXGW-G2026-0035</w:t>
      </w:r>
    </w:p>
    <w:p w14:paraId="78B7579E">
      <w:pPr>
        <w:autoSpaceDE w:val="0"/>
        <w:autoSpaceDN w:val="0"/>
        <w:adjustRightInd w:val="0"/>
        <w:spacing w:line="360" w:lineRule="auto"/>
        <w:ind w:left="-38" w:leftChars="-18" w:firstLine="36" w:firstLineChars="9"/>
        <w:jc w:val="left"/>
        <w:rPr>
          <w:rFonts w:ascii="宋体" w:hAnsi="宋体" w:cs="宋体"/>
          <w:b/>
          <w:sz w:val="40"/>
          <w:szCs w:val="40"/>
          <w:highlight w:val="none"/>
        </w:rPr>
      </w:pPr>
      <w:r>
        <w:rPr>
          <w:rFonts w:hint="eastAsia" w:ascii="宋体" w:hAnsi="宋体" w:cs="宋体"/>
          <w:b/>
          <w:sz w:val="40"/>
          <w:szCs w:val="40"/>
          <w:highlight w:val="none"/>
        </w:rPr>
        <w:t>项目名称：大气污染防治技术支撑服务</w:t>
      </w:r>
    </w:p>
    <w:p w14:paraId="3761E6E6">
      <w:pPr>
        <w:autoSpaceDE w:val="0"/>
        <w:autoSpaceDN w:val="0"/>
        <w:adjustRightInd w:val="0"/>
        <w:spacing w:line="360" w:lineRule="auto"/>
        <w:ind w:left="-38" w:leftChars="-18" w:firstLine="36" w:firstLineChars="9"/>
        <w:jc w:val="left"/>
        <w:rPr>
          <w:rFonts w:ascii="宋体" w:hAnsi="宋体" w:cs="宋体"/>
          <w:b/>
          <w:sz w:val="40"/>
          <w:szCs w:val="40"/>
          <w:highlight w:val="none"/>
        </w:rPr>
      </w:pPr>
      <w:r>
        <w:rPr>
          <w:rFonts w:hint="eastAsia" w:ascii="宋体" w:hAnsi="宋体" w:cs="宋体"/>
          <w:b/>
          <w:sz w:val="40"/>
          <w:szCs w:val="40"/>
          <w:highlight w:val="none"/>
        </w:rPr>
        <w:t>项目属性：服务类项目</w:t>
      </w:r>
    </w:p>
    <w:p w14:paraId="34DFDDA3">
      <w:pPr>
        <w:autoSpaceDE w:val="0"/>
        <w:autoSpaceDN w:val="0"/>
        <w:adjustRightInd w:val="0"/>
        <w:spacing w:line="360" w:lineRule="auto"/>
        <w:ind w:left="-38" w:leftChars="-18" w:firstLine="36" w:firstLineChars="9"/>
        <w:jc w:val="left"/>
        <w:rPr>
          <w:rFonts w:ascii="宋体" w:hAnsi="宋体" w:cs="宋体"/>
          <w:b/>
          <w:sz w:val="40"/>
          <w:szCs w:val="40"/>
          <w:highlight w:val="none"/>
        </w:rPr>
      </w:pPr>
      <w:r>
        <w:rPr>
          <w:rFonts w:hint="eastAsia" w:ascii="宋体" w:hAnsi="宋体" w:cs="宋体"/>
          <w:b/>
          <w:sz w:val="40"/>
          <w:szCs w:val="40"/>
          <w:highlight w:val="none"/>
        </w:rPr>
        <w:t>标的所属行业：其他未列明行业</w:t>
      </w:r>
    </w:p>
    <w:p w14:paraId="40758786">
      <w:pPr>
        <w:autoSpaceDE w:val="0"/>
        <w:autoSpaceDN w:val="0"/>
        <w:adjustRightInd w:val="0"/>
        <w:spacing w:line="360" w:lineRule="auto"/>
        <w:ind w:leftChars="-95" w:hanging="199" w:hangingChars="45"/>
        <w:jc w:val="left"/>
        <w:rPr>
          <w:rFonts w:ascii="宋体" w:hAnsi="宋体" w:cs="宋体"/>
          <w:b/>
          <w:sz w:val="44"/>
          <w:szCs w:val="44"/>
          <w:highlight w:val="none"/>
        </w:rPr>
      </w:pPr>
    </w:p>
    <w:p w14:paraId="593E84AC">
      <w:pPr>
        <w:autoSpaceDE w:val="0"/>
        <w:autoSpaceDN w:val="0"/>
        <w:adjustRightInd w:val="0"/>
        <w:spacing w:line="360" w:lineRule="auto"/>
        <w:jc w:val="center"/>
        <w:rPr>
          <w:rFonts w:ascii="宋体" w:hAnsi="宋体" w:cs="宋体"/>
          <w:b/>
          <w:sz w:val="44"/>
          <w:szCs w:val="44"/>
          <w:highlight w:val="none"/>
          <w:u w:val="single"/>
        </w:rPr>
      </w:pPr>
    </w:p>
    <w:p w14:paraId="060FAF2A">
      <w:pPr>
        <w:jc w:val="center"/>
        <w:rPr>
          <w:rFonts w:ascii="宋体" w:hAnsi="宋体" w:cs="宋体"/>
          <w:b/>
          <w:sz w:val="44"/>
          <w:szCs w:val="44"/>
          <w:highlight w:val="none"/>
        </w:rPr>
      </w:pPr>
    </w:p>
    <w:p w14:paraId="39ACEA97">
      <w:pPr>
        <w:rPr>
          <w:rFonts w:ascii="宋体" w:hAnsi="宋体" w:cs="宋体"/>
          <w:b/>
          <w:sz w:val="44"/>
          <w:szCs w:val="44"/>
          <w:highlight w:val="none"/>
        </w:rPr>
      </w:pPr>
    </w:p>
    <w:p w14:paraId="31D4921E">
      <w:pPr>
        <w:rPr>
          <w:rFonts w:ascii="宋体" w:hAnsi="宋体" w:cs="宋体"/>
          <w:b/>
          <w:sz w:val="44"/>
          <w:szCs w:val="44"/>
          <w:highlight w:val="none"/>
        </w:rPr>
      </w:pPr>
    </w:p>
    <w:p w14:paraId="4F0B9433">
      <w:pPr>
        <w:rPr>
          <w:rFonts w:ascii="宋体" w:hAnsi="宋体" w:cs="宋体"/>
          <w:b/>
          <w:sz w:val="44"/>
          <w:szCs w:val="44"/>
          <w:highlight w:val="none"/>
        </w:rPr>
      </w:pPr>
    </w:p>
    <w:p w14:paraId="5DB46A76">
      <w:pPr>
        <w:spacing w:line="360" w:lineRule="auto"/>
        <w:jc w:val="center"/>
        <w:rPr>
          <w:rFonts w:ascii="宋体" w:hAnsi="宋体" w:cs="宋体"/>
          <w:b/>
          <w:sz w:val="44"/>
          <w:szCs w:val="44"/>
          <w:highlight w:val="none"/>
        </w:rPr>
      </w:pPr>
      <w:r>
        <w:rPr>
          <w:rFonts w:hint="eastAsia" w:ascii="宋体" w:hAnsi="宋体" w:cs="宋体"/>
          <w:b/>
          <w:sz w:val="44"/>
          <w:szCs w:val="44"/>
          <w:highlight w:val="none"/>
        </w:rPr>
        <w:t>涵熙（苏州）工程顾问有限公司</w:t>
      </w:r>
    </w:p>
    <w:p w14:paraId="43226844">
      <w:pPr>
        <w:jc w:val="center"/>
        <w:rPr>
          <w:rFonts w:ascii="宋体" w:hAnsi="宋体" w:cs="宋体"/>
          <w:b/>
          <w:sz w:val="44"/>
          <w:szCs w:val="44"/>
          <w:highlight w:val="none"/>
        </w:rPr>
        <w:sectPr>
          <w:headerReference r:id="rId5" w:type="first"/>
          <w:headerReference r:id="rId3" w:type="default"/>
          <w:footerReference r:id="rId6" w:type="default"/>
          <w:headerReference r:id="rId4" w:type="even"/>
          <w:footerReference r:id="rId7" w:type="even"/>
          <w:pgSz w:w="11907" w:h="16840"/>
          <w:pgMar w:top="1134" w:right="242" w:bottom="1418" w:left="1365" w:header="567" w:footer="794" w:gutter="0"/>
          <w:pgNumType w:start="0"/>
          <w:cols w:space="720" w:num="1"/>
          <w:titlePg/>
          <w:docGrid w:type="lines" w:linePitch="305" w:charSpace="0"/>
        </w:sectPr>
      </w:pPr>
      <w:r>
        <w:rPr>
          <w:rFonts w:hint="eastAsia" w:ascii="宋体" w:hAnsi="宋体" w:cs="宋体"/>
          <w:b/>
          <w:sz w:val="44"/>
          <w:szCs w:val="44"/>
          <w:highlight w:val="none"/>
        </w:rPr>
        <w:t>2026年</w:t>
      </w:r>
      <w:r>
        <w:rPr>
          <w:rFonts w:hint="eastAsia" w:ascii="宋体" w:hAnsi="宋体" w:cs="宋体"/>
          <w:b/>
          <w:sz w:val="44"/>
          <w:szCs w:val="44"/>
          <w:highlight w:val="none"/>
          <w:lang w:val="en-US" w:eastAsia="zh-CN"/>
        </w:rPr>
        <w:t>9</w:t>
      </w:r>
      <w:r>
        <w:rPr>
          <w:rFonts w:hint="eastAsia" w:ascii="宋体" w:hAnsi="宋体" w:cs="宋体"/>
          <w:b/>
          <w:sz w:val="44"/>
          <w:szCs w:val="44"/>
          <w:highlight w:val="none"/>
        </w:rPr>
        <w:t>月</w:t>
      </w:r>
      <w:r>
        <w:rPr>
          <w:rFonts w:hint="eastAsia" w:ascii="宋体" w:hAnsi="宋体" w:cs="宋体"/>
          <w:b/>
          <w:sz w:val="44"/>
          <w:szCs w:val="44"/>
          <w:highlight w:val="none"/>
          <w:lang w:val="en-US" w:eastAsia="zh-CN"/>
        </w:rPr>
        <w:t>24</w:t>
      </w:r>
      <w:r>
        <w:rPr>
          <w:rFonts w:hint="eastAsia" w:ascii="宋体" w:hAnsi="宋体" w:cs="宋体"/>
          <w:b/>
          <w:sz w:val="44"/>
          <w:szCs w:val="44"/>
          <w:highlight w:val="none"/>
        </w:rPr>
        <w:t>日</w:t>
      </w:r>
    </w:p>
    <w:p w14:paraId="3E15DCAA">
      <w:pPr>
        <w:jc w:val="center"/>
        <w:rPr>
          <w:rFonts w:ascii="宋体" w:hAnsi="宋体" w:cs="宋体"/>
          <w:b/>
          <w:sz w:val="36"/>
          <w:szCs w:val="36"/>
          <w:highlight w:val="none"/>
        </w:rPr>
      </w:pPr>
      <w:r>
        <w:rPr>
          <w:rFonts w:hint="eastAsia" w:ascii="宋体" w:hAnsi="宋体" w:cs="宋体"/>
          <w:b/>
          <w:sz w:val="36"/>
          <w:szCs w:val="36"/>
          <w:highlight w:val="none"/>
        </w:rPr>
        <w:t>目录</w:t>
      </w:r>
      <w:bookmarkStart w:id="0" w:name="_Toc158691765"/>
    </w:p>
    <w:p w14:paraId="0584193B">
      <w:pPr>
        <w:pStyle w:val="35"/>
        <w:tabs>
          <w:tab w:val="right" w:leader="dot" w:pos="9660"/>
          <w:tab w:val="clear" w:pos="9450"/>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TOC \o "1-3" \h \z \u </w:instrText>
      </w:r>
      <w:r>
        <w:rPr>
          <w:rFonts w:hint="eastAsia" w:ascii="宋体" w:hAnsi="宋体" w:cs="宋体"/>
          <w:highlight w:val="none"/>
        </w:rPr>
        <w:fldChar w:fldCharType="separate"/>
      </w:r>
      <w:r>
        <w:rPr>
          <w:rFonts w:hint="eastAsia" w:ascii="宋体" w:hAnsi="宋体" w:cs="宋体"/>
          <w:highlight w:val="none"/>
        </w:rPr>
        <w:fldChar w:fldCharType="begin"/>
      </w:r>
      <w:r>
        <w:rPr>
          <w:rFonts w:hint="eastAsia" w:ascii="宋体" w:hAnsi="宋体" w:cs="宋体"/>
          <w:highlight w:val="none"/>
        </w:rPr>
        <w:instrText xml:space="preserve"> HYPERLINK \l _Toc13205 </w:instrText>
      </w:r>
      <w:r>
        <w:rPr>
          <w:rFonts w:hint="eastAsia" w:ascii="宋体" w:hAnsi="宋体" w:cs="宋体"/>
          <w:highlight w:val="none"/>
        </w:rPr>
        <w:fldChar w:fldCharType="separate"/>
      </w:r>
      <w:r>
        <w:rPr>
          <w:rFonts w:hint="eastAsia" w:cs="宋体"/>
          <w:highlight w:val="none"/>
        </w:rPr>
        <w:t>第一章 投标邀请</w:t>
      </w:r>
      <w:r>
        <w:rPr>
          <w:highlight w:val="none"/>
        </w:rPr>
        <w:tab/>
      </w:r>
      <w:r>
        <w:rPr>
          <w:highlight w:val="none"/>
        </w:rPr>
        <w:fldChar w:fldCharType="begin"/>
      </w:r>
      <w:r>
        <w:rPr>
          <w:highlight w:val="none"/>
        </w:rPr>
        <w:instrText xml:space="preserve"> PAGEREF _Toc13205 \h </w:instrText>
      </w:r>
      <w:r>
        <w:rPr>
          <w:highlight w:val="none"/>
        </w:rPr>
        <w:fldChar w:fldCharType="separate"/>
      </w:r>
      <w:r>
        <w:rPr>
          <w:highlight w:val="none"/>
        </w:rPr>
        <w:t>1</w:t>
      </w:r>
      <w:r>
        <w:rPr>
          <w:highlight w:val="none"/>
        </w:rPr>
        <w:fldChar w:fldCharType="end"/>
      </w:r>
      <w:r>
        <w:rPr>
          <w:rFonts w:hint="eastAsia" w:ascii="宋体" w:hAnsi="宋体" w:cs="宋体"/>
          <w:highlight w:val="none"/>
        </w:rPr>
        <w:fldChar w:fldCharType="end"/>
      </w:r>
    </w:p>
    <w:p w14:paraId="5E04C8E7">
      <w:pPr>
        <w:pStyle w:val="35"/>
        <w:tabs>
          <w:tab w:val="right" w:leader="dot" w:pos="9660"/>
          <w:tab w:val="clear" w:pos="9450"/>
        </w:tabs>
        <w:rPr>
          <w:highlight w:val="none"/>
        </w:rPr>
      </w:pPr>
      <w:r>
        <w:rPr>
          <w:rFonts w:hint="eastAsia" w:cs="宋体"/>
          <w:szCs w:val="36"/>
          <w:highlight w:val="none"/>
        </w:rPr>
        <w:fldChar w:fldCharType="begin"/>
      </w:r>
      <w:r>
        <w:rPr>
          <w:rFonts w:hint="eastAsia" w:cs="宋体"/>
          <w:szCs w:val="36"/>
          <w:highlight w:val="none"/>
        </w:rPr>
        <w:instrText xml:space="preserve"> HYPERLINK \l _Toc6855 </w:instrText>
      </w:r>
      <w:r>
        <w:rPr>
          <w:rFonts w:hint="eastAsia" w:cs="宋体"/>
          <w:szCs w:val="36"/>
          <w:highlight w:val="none"/>
        </w:rPr>
        <w:fldChar w:fldCharType="separate"/>
      </w:r>
      <w:r>
        <w:rPr>
          <w:rFonts w:hint="eastAsia" w:cs="宋体"/>
          <w:highlight w:val="none"/>
        </w:rPr>
        <w:t>第二章 投标人须知</w:t>
      </w:r>
      <w:r>
        <w:rPr>
          <w:highlight w:val="none"/>
        </w:rPr>
        <w:tab/>
      </w:r>
      <w:r>
        <w:rPr>
          <w:highlight w:val="none"/>
        </w:rPr>
        <w:fldChar w:fldCharType="begin"/>
      </w:r>
      <w:r>
        <w:rPr>
          <w:highlight w:val="none"/>
        </w:rPr>
        <w:instrText xml:space="preserve"> PAGEREF _Toc6855 \h </w:instrText>
      </w:r>
      <w:r>
        <w:rPr>
          <w:highlight w:val="none"/>
        </w:rPr>
        <w:fldChar w:fldCharType="separate"/>
      </w:r>
      <w:r>
        <w:rPr>
          <w:highlight w:val="none"/>
        </w:rPr>
        <w:t>4</w:t>
      </w:r>
      <w:r>
        <w:rPr>
          <w:highlight w:val="none"/>
        </w:rPr>
        <w:fldChar w:fldCharType="end"/>
      </w:r>
      <w:r>
        <w:rPr>
          <w:rFonts w:hint="eastAsia" w:cs="宋体"/>
          <w:szCs w:val="36"/>
          <w:highlight w:val="none"/>
        </w:rPr>
        <w:fldChar w:fldCharType="end"/>
      </w:r>
    </w:p>
    <w:p w14:paraId="35D27177">
      <w:pPr>
        <w:pStyle w:val="25"/>
        <w:tabs>
          <w:tab w:val="right" w:leader="dot" w:pos="9660"/>
        </w:tabs>
        <w:rPr>
          <w:highlight w:val="none"/>
        </w:rPr>
      </w:pPr>
      <w:r>
        <w:rPr>
          <w:rFonts w:hint="eastAsia" w:cs="宋体"/>
          <w:szCs w:val="36"/>
          <w:highlight w:val="none"/>
        </w:rPr>
        <w:fldChar w:fldCharType="begin"/>
      </w:r>
      <w:r>
        <w:rPr>
          <w:rFonts w:hint="eastAsia" w:cs="宋体"/>
          <w:szCs w:val="36"/>
          <w:highlight w:val="none"/>
        </w:rPr>
        <w:instrText xml:space="preserve"> HYPERLINK \l _Toc6496 </w:instrText>
      </w:r>
      <w:r>
        <w:rPr>
          <w:rFonts w:hint="eastAsia" w:cs="宋体"/>
          <w:szCs w:val="36"/>
          <w:highlight w:val="none"/>
        </w:rPr>
        <w:fldChar w:fldCharType="separate"/>
      </w:r>
      <w:r>
        <w:rPr>
          <w:rFonts w:hint="eastAsia" w:ascii="宋体" w:hAnsi="宋体" w:cs="宋体"/>
          <w:bCs/>
          <w:szCs w:val="32"/>
          <w:highlight w:val="none"/>
        </w:rPr>
        <w:t>一、总则</w:t>
      </w:r>
      <w:r>
        <w:rPr>
          <w:highlight w:val="none"/>
        </w:rPr>
        <w:tab/>
      </w:r>
      <w:r>
        <w:rPr>
          <w:highlight w:val="none"/>
        </w:rPr>
        <w:fldChar w:fldCharType="begin"/>
      </w:r>
      <w:r>
        <w:rPr>
          <w:highlight w:val="none"/>
        </w:rPr>
        <w:instrText xml:space="preserve"> PAGEREF _Toc6496 \h </w:instrText>
      </w:r>
      <w:r>
        <w:rPr>
          <w:highlight w:val="none"/>
        </w:rPr>
        <w:fldChar w:fldCharType="separate"/>
      </w:r>
      <w:r>
        <w:rPr>
          <w:highlight w:val="none"/>
        </w:rPr>
        <w:t>4</w:t>
      </w:r>
      <w:r>
        <w:rPr>
          <w:highlight w:val="none"/>
        </w:rPr>
        <w:fldChar w:fldCharType="end"/>
      </w:r>
      <w:r>
        <w:rPr>
          <w:rFonts w:hint="eastAsia" w:cs="宋体"/>
          <w:szCs w:val="36"/>
          <w:highlight w:val="none"/>
        </w:rPr>
        <w:fldChar w:fldCharType="end"/>
      </w:r>
    </w:p>
    <w:p w14:paraId="376C042A">
      <w:pPr>
        <w:pStyle w:val="25"/>
        <w:tabs>
          <w:tab w:val="right" w:leader="dot" w:pos="9660"/>
        </w:tabs>
        <w:rPr>
          <w:highlight w:val="none"/>
        </w:rPr>
      </w:pPr>
      <w:r>
        <w:rPr>
          <w:rFonts w:hint="eastAsia" w:cs="宋体"/>
          <w:szCs w:val="36"/>
          <w:highlight w:val="none"/>
        </w:rPr>
        <w:fldChar w:fldCharType="begin"/>
      </w:r>
      <w:r>
        <w:rPr>
          <w:rFonts w:hint="eastAsia" w:cs="宋体"/>
          <w:szCs w:val="36"/>
          <w:highlight w:val="none"/>
        </w:rPr>
        <w:instrText xml:space="preserve"> HYPERLINK \l _Toc15930 </w:instrText>
      </w:r>
      <w:r>
        <w:rPr>
          <w:rFonts w:hint="eastAsia" w:cs="宋体"/>
          <w:szCs w:val="36"/>
          <w:highlight w:val="none"/>
        </w:rPr>
        <w:fldChar w:fldCharType="separate"/>
      </w:r>
      <w:r>
        <w:rPr>
          <w:rFonts w:hint="eastAsia" w:ascii="宋体" w:hAnsi="宋体" w:cs="宋体"/>
          <w:bCs/>
          <w:szCs w:val="32"/>
          <w:highlight w:val="none"/>
        </w:rPr>
        <w:t>二、招标文件</w:t>
      </w:r>
      <w:r>
        <w:rPr>
          <w:highlight w:val="none"/>
        </w:rPr>
        <w:tab/>
      </w:r>
      <w:r>
        <w:rPr>
          <w:highlight w:val="none"/>
        </w:rPr>
        <w:fldChar w:fldCharType="begin"/>
      </w:r>
      <w:r>
        <w:rPr>
          <w:highlight w:val="none"/>
        </w:rPr>
        <w:instrText xml:space="preserve"> PAGEREF _Toc15930 \h </w:instrText>
      </w:r>
      <w:r>
        <w:rPr>
          <w:highlight w:val="none"/>
        </w:rPr>
        <w:fldChar w:fldCharType="separate"/>
      </w:r>
      <w:r>
        <w:rPr>
          <w:highlight w:val="none"/>
        </w:rPr>
        <w:t>4</w:t>
      </w:r>
      <w:r>
        <w:rPr>
          <w:highlight w:val="none"/>
        </w:rPr>
        <w:fldChar w:fldCharType="end"/>
      </w:r>
      <w:r>
        <w:rPr>
          <w:rFonts w:hint="eastAsia" w:cs="宋体"/>
          <w:szCs w:val="36"/>
          <w:highlight w:val="none"/>
        </w:rPr>
        <w:fldChar w:fldCharType="end"/>
      </w:r>
    </w:p>
    <w:p w14:paraId="35993303">
      <w:pPr>
        <w:pStyle w:val="25"/>
        <w:tabs>
          <w:tab w:val="right" w:leader="dot" w:pos="9660"/>
        </w:tabs>
        <w:rPr>
          <w:highlight w:val="none"/>
        </w:rPr>
      </w:pPr>
      <w:r>
        <w:rPr>
          <w:rFonts w:hint="eastAsia" w:cs="宋体"/>
          <w:szCs w:val="36"/>
          <w:highlight w:val="none"/>
        </w:rPr>
        <w:fldChar w:fldCharType="begin"/>
      </w:r>
      <w:r>
        <w:rPr>
          <w:rFonts w:hint="eastAsia" w:cs="宋体"/>
          <w:szCs w:val="36"/>
          <w:highlight w:val="none"/>
        </w:rPr>
        <w:instrText xml:space="preserve"> HYPERLINK \l _Toc30247 </w:instrText>
      </w:r>
      <w:r>
        <w:rPr>
          <w:rFonts w:hint="eastAsia" w:cs="宋体"/>
          <w:szCs w:val="36"/>
          <w:highlight w:val="none"/>
        </w:rPr>
        <w:fldChar w:fldCharType="separate"/>
      </w:r>
      <w:r>
        <w:rPr>
          <w:rFonts w:hint="eastAsia" w:ascii="宋体" w:hAnsi="宋体" w:cs="宋体"/>
          <w:bCs/>
          <w:szCs w:val="32"/>
          <w:highlight w:val="none"/>
        </w:rPr>
        <w:t>三、投标文件的编制</w:t>
      </w:r>
      <w:r>
        <w:rPr>
          <w:highlight w:val="none"/>
        </w:rPr>
        <w:tab/>
      </w:r>
      <w:r>
        <w:rPr>
          <w:highlight w:val="none"/>
        </w:rPr>
        <w:fldChar w:fldCharType="begin"/>
      </w:r>
      <w:r>
        <w:rPr>
          <w:highlight w:val="none"/>
        </w:rPr>
        <w:instrText xml:space="preserve"> PAGEREF _Toc30247 \h </w:instrText>
      </w:r>
      <w:r>
        <w:rPr>
          <w:highlight w:val="none"/>
        </w:rPr>
        <w:fldChar w:fldCharType="separate"/>
      </w:r>
      <w:r>
        <w:rPr>
          <w:highlight w:val="none"/>
        </w:rPr>
        <w:t>5</w:t>
      </w:r>
      <w:r>
        <w:rPr>
          <w:highlight w:val="none"/>
        </w:rPr>
        <w:fldChar w:fldCharType="end"/>
      </w:r>
      <w:r>
        <w:rPr>
          <w:rFonts w:hint="eastAsia" w:cs="宋体"/>
          <w:szCs w:val="36"/>
          <w:highlight w:val="none"/>
        </w:rPr>
        <w:fldChar w:fldCharType="end"/>
      </w:r>
    </w:p>
    <w:p w14:paraId="0B1BD552">
      <w:pPr>
        <w:pStyle w:val="25"/>
        <w:tabs>
          <w:tab w:val="right" w:leader="dot" w:pos="9660"/>
        </w:tabs>
        <w:rPr>
          <w:highlight w:val="none"/>
        </w:rPr>
      </w:pPr>
      <w:r>
        <w:rPr>
          <w:rFonts w:hint="eastAsia" w:cs="宋体"/>
          <w:szCs w:val="36"/>
          <w:highlight w:val="none"/>
        </w:rPr>
        <w:fldChar w:fldCharType="begin"/>
      </w:r>
      <w:r>
        <w:rPr>
          <w:rFonts w:hint="eastAsia" w:cs="宋体"/>
          <w:szCs w:val="36"/>
          <w:highlight w:val="none"/>
        </w:rPr>
        <w:instrText xml:space="preserve"> HYPERLINK \l _Toc418 </w:instrText>
      </w:r>
      <w:r>
        <w:rPr>
          <w:rFonts w:hint="eastAsia" w:cs="宋体"/>
          <w:szCs w:val="36"/>
          <w:highlight w:val="none"/>
        </w:rPr>
        <w:fldChar w:fldCharType="separate"/>
      </w:r>
      <w:r>
        <w:rPr>
          <w:rFonts w:hint="eastAsia" w:ascii="宋体" w:hAnsi="宋体" w:cs="宋体"/>
          <w:bCs/>
          <w:szCs w:val="32"/>
          <w:highlight w:val="none"/>
        </w:rPr>
        <w:t>四、投标文件的递交</w:t>
      </w:r>
      <w:r>
        <w:rPr>
          <w:highlight w:val="none"/>
        </w:rPr>
        <w:tab/>
      </w:r>
      <w:r>
        <w:rPr>
          <w:highlight w:val="none"/>
        </w:rPr>
        <w:fldChar w:fldCharType="begin"/>
      </w:r>
      <w:r>
        <w:rPr>
          <w:highlight w:val="none"/>
        </w:rPr>
        <w:instrText xml:space="preserve"> PAGEREF _Toc418 \h </w:instrText>
      </w:r>
      <w:r>
        <w:rPr>
          <w:highlight w:val="none"/>
        </w:rPr>
        <w:fldChar w:fldCharType="separate"/>
      </w:r>
      <w:r>
        <w:rPr>
          <w:highlight w:val="none"/>
        </w:rPr>
        <w:t>6</w:t>
      </w:r>
      <w:r>
        <w:rPr>
          <w:highlight w:val="none"/>
        </w:rPr>
        <w:fldChar w:fldCharType="end"/>
      </w:r>
      <w:r>
        <w:rPr>
          <w:rFonts w:hint="eastAsia" w:cs="宋体"/>
          <w:szCs w:val="36"/>
          <w:highlight w:val="none"/>
        </w:rPr>
        <w:fldChar w:fldCharType="end"/>
      </w:r>
    </w:p>
    <w:p w14:paraId="2EF5F696">
      <w:pPr>
        <w:pStyle w:val="25"/>
        <w:tabs>
          <w:tab w:val="right" w:leader="dot" w:pos="9660"/>
        </w:tabs>
        <w:rPr>
          <w:highlight w:val="none"/>
        </w:rPr>
      </w:pPr>
      <w:r>
        <w:rPr>
          <w:rFonts w:hint="eastAsia" w:cs="宋体"/>
          <w:szCs w:val="36"/>
          <w:highlight w:val="none"/>
        </w:rPr>
        <w:fldChar w:fldCharType="begin"/>
      </w:r>
      <w:r>
        <w:rPr>
          <w:rFonts w:hint="eastAsia" w:cs="宋体"/>
          <w:szCs w:val="36"/>
          <w:highlight w:val="none"/>
        </w:rPr>
        <w:instrText xml:space="preserve"> HYPERLINK \l _Toc4442 </w:instrText>
      </w:r>
      <w:r>
        <w:rPr>
          <w:rFonts w:hint="eastAsia" w:cs="宋体"/>
          <w:szCs w:val="36"/>
          <w:highlight w:val="none"/>
        </w:rPr>
        <w:fldChar w:fldCharType="separate"/>
      </w:r>
      <w:r>
        <w:rPr>
          <w:rFonts w:hint="eastAsia" w:ascii="宋体" w:hAnsi="宋体" w:cs="宋体"/>
          <w:bCs/>
          <w:szCs w:val="32"/>
          <w:highlight w:val="none"/>
        </w:rPr>
        <w:t>五、开标与评审</w:t>
      </w:r>
      <w:r>
        <w:rPr>
          <w:highlight w:val="none"/>
        </w:rPr>
        <w:tab/>
      </w:r>
      <w:r>
        <w:rPr>
          <w:highlight w:val="none"/>
        </w:rPr>
        <w:fldChar w:fldCharType="begin"/>
      </w:r>
      <w:r>
        <w:rPr>
          <w:highlight w:val="none"/>
        </w:rPr>
        <w:instrText xml:space="preserve"> PAGEREF _Toc4442 \h </w:instrText>
      </w:r>
      <w:r>
        <w:rPr>
          <w:highlight w:val="none"/>
        </w:rPr>
        <w:fldChar w:fldCharType="separate"/>
      </w:r>
      <w:r>
        <w:rPr>
          <w:highlight w:val="none"/>
        </w:rPr>
        <w:t>7</w:t>
      </w:r>
      <w:r>
        <w:rPr>
          <w:highlight w:val="none"/>
        </w:rPr>
        <w:fldChar w:fldCharType="end"/>
      </w:r>
      <w:r>
        <w:rPr>
          <w:rFonts w:hint="eastAsia" w:cs="宋体"/>
          <w:szCs w:val="36"/>
          <w:highlight w:val="none"/>
        </w:rPr>
        <w:fldChar w:fldCharType="end"/>
      </w:r>
    </w:p>
    <w:p w14:paraId="179D76C2">
      <w:pPr>
        <w:pStyle w:val="25"/>
        <w:tabs>
          <w:tab w:val="right" w:leader="dot" w:pos="9660"/>
        </w:tabs>
        <w:rPr>
          <w:highlight w:val="none"/>
        </w:rPr>
      </w:pPr>
      <w:r>
        <w:rPr>
          <w:rFonts w:hint="eastAsia" w:cs="宋体"/>
          <w:szCs w:val="36"/>
          <w:highlight w:val="none"/>
        </w:rPr>
        <w:fldChar w:fldCharType="begin"/>
      </w:r>
      <w:r>
        <w:rPr>
          <w:rFonts w:hint="eastAsia" w:cs="宋体"/>
          <w:szCs w:val="36"/>
          <w:highlight w:val="none"/>
        </w:rPr>
        <w:instrText xml:space="preserve"> HYPERLINK \l _Toc10214 </w:instrText>
      </w:r>
      <w:r>
        <w:rPr>
          <w:rFonts w:hint="eastAsia" w:cs="宋体"/>
          <w:szCs w:val="36"/>
          <w:highlight w:val="none"/>
        </w:rPr>
        <w:fldChar w:fldCharType="separate"/>
      </w:r>
      <w:r>
        <w:rPr>
          <w:rFonts w:hint="eastAsia" w:ascii="宋体" w:hAnsi="宋体" w:cs="宋体"/>
          <w:bCs/>
          <w:szCs w:val="32"/>
          <w:highlight w:val="none"/>
        </w:rPr>
        <w:t>六、定标</w:t>
      </w:r>
      <w:r>
        <w:rPr>
          <w:highlight w:val="none"/>
        </w:rPr>
        <w:tab/>
      </w:r>
      <w:r>
        <w:rPr>
          <w:highlight w:val="none"/>
        </w:rPr>
        <w:fldChar w:fldCharType="begin"/>
      </w:r>
      <w:r>
        <w:rPr>
          <w:highlight w:val="none"/>
        </w:rPr>
        <w:instrText xml:space="preserve"> PAGEREF _Toc10214 \h </w:instrText>
      </w:r>
      <w:r>
        <w:rPr>
          <w:highlight w:val="none"/>
        </w:rPr>
        <w:fldChar w:fldCharType="separate"/>
      </w:r>
      <w:r>
        <w:rPr>
          <w:highlight w:val="none"/>
        </w:rPr>
        <w:t>11</w:t>
      </w:r>
      <w:r>
        <w:rPr>
          <w:highlight w:val="none"/>
        </w:rPr>
        <w:fldChar w:fldCharType="end"/>
      </w:r>
      <w:r>
        <w:rPr>
          <w:rFonts w:hint="eastAsia" w:cs="宋体"/>
          <w:szCs w:val="36"/>
          <w:highlight w:val="none"/>
        </w:rPr>
        <w:fldChar w:fldCharType="end"/>
      </w:r>
    </w:p>
    <w:p w14:paraId="39A44167">
      <w:pPr>
        <w:pStyle w:val="25"/>
        <w:tabs>
          <w:tab w:val="right" w:leader="dot" w:pos="9660"/>
        </w:tabs>
        <w:rPr>
          <w:highlight w:val="none"/>
        </w:rPr>
      </w:pPr>
      <w:r>
        <w:rPr>
          <w:rFonts w:hint="eastAsia" w:cs="宋体"/>
          <w:szCs w:val="36"/>
          <w:highlight w:val="none"/>
        </w:rPr>
        <w:fldChar w:fldCharType="begin"/>
      </w:r>
      <w:r>
        <w:rPr>
          <w:rFonts w:hint="eastAsia" w:cs="宋体"/>
          <w:szCs w:val="36"/>
          <w:highlight w:val="none"/>
        </w:rPr>
        <w:instrText xml:space="preserve"> HYPERLINK \l _Toc16024 </w:instrText>
      </w:r>
      <w:r>
        <w:rPr>
          <w:rFonts w:hint="eastAsia" w:cs="宋体"/>
          <w:szCs w:val="36"/>
          <w:highlight w:val="none"/>
        </w:rPr>
        <w:fldChar w:fldCharType="separate"/>
      </w:r>
      <w:r>
        <w:rPr>
          <w:rFonts w:hint="eastAsia" w:ascii="宋体" w:hAnsi="宋体" w:cs="宋体"/>
          <w:bCs/>
          <w:szCs w:val="32"/>
          <w:highlight w:val="none"/>
        </w:rPr>
        <w:t>七、授予合同</w:t>
      </w:r>
      <w:r>
        <w:rPr>
          <w:highlight w:val="none"/>
        </w:rPr>
        <w:tab/>
      </w:r>
      <w:r>
        <w:rPr>
          <w:highlight w:val="none"/>
        </w:rPr>
        <w:fldChar w:fldCharType="begin"/>
      </w:r>
      <w:r>
        <w:rPr>
          <w:highlight w:val="none"/>
        </w:rPr>
        <w:instrText xml:space="preserve"> PAGEREF _Toc16024 \h </w:instrText>
      </w:r>
      <w:r>
        <w:rPr>
          <w:highlight w:val="none"/>
        </w:rPr>
        <w:fldChar w:fldCharType="separate"/>
      </w:r>
      <w:r>
        <w:rPr>
          <w:highlight w:val="none"/>
        </w:rPr>
        <w:t>12</w:t>
      </w:r>
      <w:r>
        <w:rPr>
          <w:highlight w:val="none"/>
        </w:rPr>
        <w:fldChar w:fldCharType="end"/>
      </w:r>
      <w:r>
        <w:rPr>
          <w:rFonts w:hint="eastAsia" w:cs="宋体"/>
          <w:szCs w:val="36"/>
          <w:highlight w:val="none"/>
        </w:rPr>
        <w:fldChar w:fldCharType="end"/>
      </w:r>
    </w:p>
    <w:p w14:paraId="4D43B46F">
      <w:pPr>
        <w:pStyle w:val="35"/>
        <w:tabs>
          <w:tab w:val="right" w:leader="dot" w:pos="9660"/>
          <w:tab w:val="clear" w:pos="9450"/>
        </w:tabs>
        <w:rPr>
          <w:highlight w:val="none"/>
        </w:rPr>
      </w:pPr>
      <w:r>
        <w:rPr>
          <w:rFonts w:hint="eastAsia" w:cs="宋体"/>
          <w:szCs w:val="36"/>
          <w:highlight w:val="none"/>
        </w:rPr>
        <w:fldChar w:fldCharType="begin"/>
      </w:r>
      <w:r>
        <w:rPr>
          <w:rFonts w:hint="eastAsia" w:cs="宋体"/>
          <w:szCs w:val="36"/>
          <w:highlight w:val="none"/>
        </w:rPr>
        <w:instrText xml:space="preserve"> HYPERLINK \l _Toc10551 </w:instrText>
      </w:r>
      <w:r>
        <w:rPr>
          <w:rFonts w:hint="eastAsia" w:cs="宋体"/>
          <w:szCs w:val="36"/>
          <w:highlight w:val="none"/>
        </w:rPr>
        <w:fldChar w:fldCharType="separate"/>
      </w:r>
      <w:r>
        <w:rPr>
          <w:rFonts w:hint="eastAsia" w:cs="宋体"/>
          <w:highlight w:val="none"/>
        </w:rPr>
        <w:t>第三章 合同文本</w:t>
      </w:r>
      <w:r>
        <w:rPr>
          <w:highlight w:val="none"/>
        </w:rPr>
        <w:tab/>
      </w:r>
      <w:r>
        <w:rPr>
          <w:highlight w:val="none"/>
        </w:rPr>
        <w:fldChar w:fldCharType="begin"/>
      </w:r>
      <w:r>
        <w:rPr>
          <w:highlight w:val="none"/>
        </w:rPr>
        <w:instrText xml:space="preserve"> PAGEREF _Toc10551 \h </w:instrText>
      </w:r>
      <w:r>
        <w:rPr>
          <w:highlight w:val="none"/>
        </w:rPr>
        <w:fldChar w:fldCharType="separate"/>
      </w:r>
      <w:r>
        <w:rPr>
          <w:highlight w:val="none"/>
        </w:rPr>
        <w:t>14</w:t>
      </w:r>
      <w:r>
        <w:rPr>
          <w:highlight w:val="none"/>
        </w:rPr>
        <w:fldChar w:fldCharType="end"/>
      </w:r>
      <w:r>
        <w:rPr>
          <w:rFonts w:hint="eastAsia" w:cs="宋体"/>
          <w:szCs w:val="36"/>
          <w:highlight w:val="none"/>
        </w:rPr>
        <w:fldChar w:fldCharType="end"/>
      </w:r>
    </w:p>
    <w:p w14:paraId="4254AC29">
      <w:pPr>
        <w:pStyle w:val="35"/>
        <w:tabs>
          <w:tab w:val="right" w:leader="dot" w:pos="9660"/>
          <w:tab w:val="clear" w:pos="9450"/>
        </w:tabs>
        <w:rPr>
          <w:highlight w:val="none"/>
        </w:rPr>
      </w:pPr>
      <w:r>
        <w:rPr>
          <w:rFonts w:hint="eastAsia" w:cs="宋体"/>
          <w:szCs w:val="36"/>
          <w:highlight w:val="none"/>
        </w:rPr>
        <w:fldChar w:fldCharType="begin"/>
      </w:r>
      <w:r>
        <w:rPr>
          <w:rFonts w:hint="eastAsia" w:cs="宋体"/>
          <w:szCs w:val="36"/>
          <w:highlight w:val="none"/>
        </w:rPr>
        <w:instrText xml:space="preserve"> HYPERLINK \l _Toc25641 </w:instrText>
      </w:r>
      <w:r>
        <w:rPr>
          <w:rFonts w:hint="eastAsia" w:cs="宋体"/>
          <w:szCs w:val="36"/>
          <w:highlight w:val="none"/>
        </w:rPr>
        <w:fldChar w:fldCharType="separate"/>
      </w:r>
      <w:r>
        <w:rPr>
          <w:rFonts w:hint="eastAsia" w:cs="宋体"/>
          <w:highlight w:val="none"/>
        </w:rPr>
        <w:t>第四章 采购需求</w:t>
      </w:r>
      <w:r>
        <w:rPr>
          <w:highlight w:val="none"/>
        </w:rPr>
        <w:tab/>
      </w:r>
      <w:r>
        <w:rPr>
          <w:highlight w:val="none"/>
        </w:rPr>
        <w:fldChar w:fldCharType="begin"/>
      </w:r>
      <w:r>
        <w:rPr>
          <w:highlight w:val="none"/>
        </w:rPr>
        <w:instrText xml:space="preserve"> PAGEREF _Toc25641 \h </w:instrText>
      </w:r>
      <w:r>
        <w:rPr>
          <w:highlight w:val="none"/>
        </w:rPr>
        <w:fldChar w:fldCharType="separate"/>
      </w:r>
      <w:r>
        <w:rPr>
          <w:highlight w:val="none"/>
        </w:rPr>
        <w:t>22</w:t>
      </w:r>
      <w:r>
        <w:rPr>
          <w:highlight w:val="none"/>
        </w:rPr>
        <w:fldChar w:fldCharType="end"/>
      </w:r>
      <w:r>
        <w:rPr>
          <w:rFonts w:hint="eastAsia" w:cs="宋体"/>
          <w:szCs w:val="36"/>
          <w:highlight w:val="none"/>
        </w:rPr>
        <w:fldChar w:fldCharType="end"/>
      </w:r>
    </w:p>
    <w:p w14:paraId="66E6E03C">
      <w:pPr>
        <w:pStyle w:val="35"/>
        <w:tabs>
          <w:tab w:val="right" w:leader="dot" w:pos="9660"/>
          <w:tab w:val="clear" w:pos="9450"/>
        </w:tabs>
        <w:rPr>
          <w:highlight w:val="none"/>
        </w:rPr>
      </w:pPr>
      <w:r>
        <w:rPr>
          <w:rFonts w:hint="eastAsia" w:cs="宋体"/>
          <w:szCs w:val="36"/>
          <w:highlight w:val="none"/>
        </w:rPr>
        <w:fldChar w:fldCharType="begin"/>
      </w:r>
      <w:r>
        <w:rPr>
          <w:rFonts w:hint="eastAsia" w:cs="宋体"/>
          <w:szCs w:val="36"/>
          <w:highlight w:val="none"/>
        </w:rPr>
        <w:instrText xml:space="preserve"> HYPERLINK \l _Toc28175 </w:instrText>
      </w:r>
      <w:r>
        <w:rPr>
          <w:rFonts w:hint="eastAsia" w:cs="宋体"/>
          <w:szCs w:val="36"/>
          <w:highlight w:val="none"/>
        </w:rPr>
        <w:fldChar w:fldCharType="separate"/>
      </w:r>
      <w:r>
        <w:rPr>
          <w:rFonts w:hint="eastAsia" w:cs="宋体"/>
          <w:highlight w:val="none"/>
        </w:rPr>
        <w:t>第五章 评审方法与评审标准</w:t>
      </w:r>
      <w:r>
        <w:rPr>
          <w:highlight w:val="none"/>
        </w:rPr>
        <w:tab/>
      </w:r>
      <w:r>
        <w:rPr>
          <w:highlight w:val="none"/>
        </w:rPr>
        <w:fldChar w:fldCharType="begin"/>
      </w:r>
      <w:r>
        <w:rPr>
          <w:highlight w:val="none"/>
        </w:rPr>
        <w:instrText xml:space="preserve"> PAGEREF _Toc28175 \h </w:instrText>
      </w:r>
      <w:r>
        <w:rPr>
          <w:highlight w:val="none"/>
        </w:rPr>
        <w:fldChar w:fldCharType="separate"/>
      </w:r>
      <w:r>
        <w:rPr>
          <w:highlight w:val="none"/>
        </w:rPr>
        <w:t>28</w:t>
      </w:r>
      <w:r>
        <w:rPr>
          <w:highlight w:val="none"/>
        </w:rPr>
        <w:fldChar w:fldCharType="end"/>
      </w:r>
      <w:r>
        <w:rPr>
          <w:rFonts w:hint="eastAsia" w:cs="宋体"/>
          <w:szCs w:val="36"/>
          <w:highlight w:val="none"/>
        </w:rPr>
        <w:fldChar w:fldCharType="end"/>
      </w:r>
    </w:p>
    <w:p w14:paraId="605B3BE0">
      <w:pPr>
        <w:pStyle w:val="35"/>
        <w:tabs>
          <w:tab w:val="right" w:leader="dot" w:pos="9660"/>
          <w:tab w:val="clear" w:pos="9450"/>
        </w:tabs>
        <w:rPr>
          <w:highlight w:val="none"/>
        </w:rPr>
      </w:pPr>
      <w:r>
        <w:rPr>
          <w:rFonts w:hint="eastAsia" w:cs="宋体"/>
          <w:szCs w:val="36"/>
          <w:highlight w:val="none"/>
        </w:rPr>
        <w:fldChar w:fldCharType="begin"/>
      </w:r>
      <w:r>
        <w:rPr>
          <w:rFonts w:hint="eastAsia" w:cs="宋体"/>
          <w:szCs w:val="36"/>
          <w:highlight w:val="none"/>
        </w:rPr>
        <w:instrText xml:space="preserve"> HYPERLINK \l _Toc24216 </w:instrText>
      </w:r>
      <w:r>
        <w:rPr>
          <w:rFonts w:hint="eastAsia" w:cs="宋体"/>
          <w:szCs w:val="36"/>
          <w:highlight w:val="none"/>
        </w:rPr>
        <w:fldChar w:fldCharType="separate"/>
      </w:r>
      <w:r>
        <w:rPr>
          <w:rFonts w:hint="eastAsia" w:ascii="宋体" w:hAnsi="宋体" w:cs="宋体"/>
          <w:highlight w:val="none"/>
        </w:rPr>
        <w:t>第六章 投标文件格式</w:t>
      </w:r>
      <w:r>
        <w:rPr>
          <w:highlight w:val="none"/>
        </w:rPr>
        <w:tab/>
      </w:r>
      <w:r>
        <w:rPr>
          <w:highlight w:val="none"/>
        </w:rPr>
        <w:fldChar w:fldCharType="begin"/>
      </w:r>
      <w:r>
        <w:rPr>
          <w:highlight w:val="none"/>
        </w:rPr>
        <w:instrText xml:space="preserve"> PAGEREF _Toc24216 \h </w:instrText>
      </w:r>
      <w:r>
        <w:rPr>
          <w:highlight w:val="none"/>
        </w:rPr>
        <w:fldChar w:fldCharType="separate"/>
      </w:r>
      <w:r>
        <w:rPr>
          <w:highlight w:val="none"/>
        </w:rPr>
        <w:t>35</w:t>
      </w:r>
      <w:r>
        <w:rPr>
          <w:highlight w:val="none"/>
        </w:rPr>
        <w:fldChar w:fldCharType="end"/>
      </w:r>
      <w:r>
        <w:rPr>
          <w:rFonts w:hint="eastAsia" w:cs="宋体"/>
          <w:szCs w:val="36"/>
          <w:highlight w:val="none"/>
        </w:rPr>
        <w:fldChar w:fldCharType="end"/>
      </w:r>
    </w:p>
    <w:p w14:paraId="2581FBD9">
      <w:pPr>
        <w:pStyle w:val="45"/>
        <w:tabs>
          <w:tab w:val="right" w:leader="dot" w:pos="9660"/>
          <w:tab w:val="clear" w:pos="9450"/>
        </w:tabs>
        <w:rPr>
          <w:highlight w:val="none"/>
        </w:rPr>
      </w:pPr>
      <w:r>
        <w:rPr>
          <w:rFonts w:hint="eastAsia" w:cs="宋体"/>
          <w:szCs w:val="36"/>
          <w:highlight w:val="none"/>
        </w:rPr>
        <w:fldChar w:fldCharType="begin"/>
      </w:r>
      <w:r>
        <w:rPr>
          <w:rFonts w:hint="eastAsia" w:cs="宋体"/>
          <w:szCs w:val="36"/>
          <w:highlight w:val="none"/>
        </w:rPr>
        <w:instrText xml:space="preserve"> HYPERLINK \l _Toc26369 </w:instrText>
      </w:r>
      <w:r>
        <w:rPr>
          <w:rFonts w:hint="eastAsia" w:cs="宋体"/>
          <w:szCs w:val="36"/>
          <w:highlight w:val="none"/>
        </w:rPr>
        <w:fldChar w:fldCharType="separate"/>
      </w:r>
      <w:r>
        <w:rPr>
          <w:rFonts w:hint="eastAsia" w:ascii="宋体" w:hAnsi="宋体" w:eastAsia="宋体" w:cs="宋体"/>
          <w:highlight w:val="none"/>
        </w:rPr>
        <w:t>附件1 开标一览表</w:t>
      </w:r>
      <w:r>
        <w:rPr>
          <w:highlight w:val="none"/>
        </w:rPr>
        <w:tab/>
      </w:r>
      <w:r>
        <w:rPr>
          <w:highlight w:val="none"/>
        </w:rPr>
        <w:fldChar w:fldCharType="begin"/>
      </w:r>
      <w:r>
        <w:rPr>
          <w:highlight w:val="none"/>
        </w:rPr>
        <w:instrText xml:space="preserve"> PAGEREF _Toc26369 \h </w:instrText>
      </w:r>
      <w:r>
        <w:rPr>
          <w:highlight w:val="none"/>
        </w:rPr>
        <w:fldChar w:fldCharType="separate"/>
      </w:r>
      <w:r>
        <w:rPr>
          <w:highlight w:val="none"/>
        </w:rPr>
        <w:t>37</w:t>
      </w:r>
      <w:r>
        <w:rPr>
          <w:highlight w:val="none"/>
        </w:rPr>
        <w:fldChar w:fldCharType="end"/>
      </w:r>
      <w:r>
        <w:rPr>
          <w:rFonts w:hint="eastAsia" w:cs="宋体"/>
          <w:szCs w:val="36"/>
          <w:highlight w:val="none"/>
        </w:rPr>
        <w:fldChar w:fldCharType="end"/>
      </w:r>
    </w:p>
    <w:p w14:paraId="6AB0329E">
      <w:pPr>
        <w:pStyle w:val="45"/>
        <w:tabs>
          <w:tab w:val="right" w:leader="dot" w:pos="9660"/>
          <w:tab w:val="clear" w:pos="9450"/>
        </w:tabs>
        <w:rPr>
          <w:highlight w:val="none"/>
        </w:rPr>
      </w:pPr>
      <w:r>
        <w:rPr>
          <w:rFonts w:hint="eastAsia" w:cs="宋体"/>
          <w:szCs w:val="36"/>
          <w:highlight w:val="none"/>
        </w:rPr>
        <w:fldChar w:fldCharType="begin"/>
      </w:r>
      <w:r>
        <w:rPr>
          <w:rFonts w:hint="eastAsia" w:cs="宋体"/>
          <w:szCs w:val="36"/>
          <w:highlight w:val="none"/>
        </w:rPr>
        <w:instrText xml:space="preserve"> HYPERLINK \l _Toc29098 </w:instrText>
      </w:r>
      <w:r>
        <w:rPr>
          <w:rFonts w:hint="eastAsia" w:cs="宋体"/>
          <w:szCs w:val="36"/>
          <w:highlight w:val="none"/>
        </w:rPr>
        <w:fldChar w:fldCharType="separate"/>
      </w:r>
      <w:r>
        <w:rPr>
          <w:rFonts w:hint="eastAsia" w:ascii="宋体" w:hAnsi="宋体" w:cs="宋体"/>
          <w:bCs/>
          <w:szCs w:val="28"/>
          <w:highlight w:val="none"/>
        </w:rPr>
        <w:t>附件2 报价明细表</w:t>
      </w:r>
      <w:r>
        <w:rPr>
          <w:highlight w:val="none"/>
        </w:rPr>
        <w:tab/>
      </w:r>
      <w:r>
        <w:rPr>
          <w:highlight w:val="none"/>
        </w:rPr>
        <w:fldChar w:fldCharType="begin"/>
      </w:r>
      <w:r>
        <w:rPr>
          <w:highlight w:val="none"/>
        </w:rPr>
        <w:instrText xml:space="preserve"> PAGEREF _Toc29098 \h </w:instrText>
      </w:r>
      <w:r>
        <w:rPr>
          <w:highlight w:val="none"/>
        </w:rPr>
        <w:fldChar w:fldCharType="separate"/>
      </w:r>
      <w:r>
        <w:rPr>
          <w:highlight w:val="none"/>
        </w:rPr>
        <w:t>38</w:t>
      </w:r>
      <w:r>
        <w:rPr>
          <w:highlight w:val="none"/>
        </w:rPr>
        <w:fldChar w:fldCharType="end"/>
      </w:r>
      <w:r>
        <w:rPr>
          <w:rFonts w:hint="eastAsia" w:cs="宋体"/>
          <w:szCs w:val="36"/>
          <w:highlight w:val="none"/>
        </w:rPr>
        <w:fldChar w:fldCharType="end"/>
      </w:r>
    </w:p>
    <w:p w14:paraId="7FA8AC73">
      <w:pPr>
        <w:pStyle w:val="45"/>
        <w:tabs>
          <w:tab w:val="right" w:leader="dot" w:pos="9660"/>
          <w:tab w:val="clear" w:pos="9450"/>
        </w:tabs>
        <w:rPr>
          <w:highlight w:val="none"/>
        </w:rPr>
      </w:pPr>
      <w:r>
        <w:rPr>
          <w:rFonts w:hint="eastAsia" w:cs="宋体"/>
          <w:szCs w:val="36"/>
          <w:highlight w:val="none"/>
        </w:rPr>
        <w:fldChar w:fldCharType="begin"/>
      </w:r>
      <w:r>
        <w:rPr>
          <w:rFonts w:hint="eastAsia" w:cs="宋体"/>
          <w:szCs w:val="36"/>
          <w:highlight w:val="none"/>
        </w:rPr>
        <w:instrText xml:space="preserve"> HYPERLINK \l _Toc4144 </w:instrText>
      </w:r>
      <w:r>
        <w:rPr>
          <w:rFonts w:hint="eastAsia" w:cs="宋体"/>
          <w:szCs w:val="36"/>
          <w:highlight w:val="none"/>
        </w:rPr>
        <w:fldChar w:fldCharType="separate"/>
      </w:r>
      <w:r>
        <w:rPr>
          <w:rFonts w:hint="eastAsia" w:ascii="宋体" w:hAnsi="宋体" w:eastAsia="宋体" w:cs="宋体"/>
          <w:highlight w:val="none"/>
        </w:rPr>
        <w:t>附件3具备履行合同所必需的设备和专业技术能力的书面声明</w:t>
      </w:r>
      <w:r>
        <w:rPr>
          <w:highlight w:val="none"/>
        </w:rPr>
        <w:tab/>
      </w:r>
      <w:r>
        <w:rPr>
          <w:highlight w:val="none"/>
        </w:rPr>
        <w:fldChar w:fldCharType="begin"/>
      </w:r>
      <w:r>
        <w:rPr>
          <w:highlight w:val="none"/>
        </w:rPr>
        <w:instrText xml:space="preserve"> PAGEREF _Toc4144 \h </w:instrText>
      </w:r>
      <w:r>
        <w:rPr>
          <w:highlight w:val="none"/>
        </w:rPr>
        <w:fldChar w:fldCharType="separate"/>
      </w:r>
      <w:r>
        <w:rPr>
          <w:highlight w:val="none"/>
        </w:rPr>
        <w:t>39</w:t>
      </w:r>
      <w:r>
        <w:rPr>
          <w:highlight w:val="none"/>
        </w:rPr>
        <w:fldChar w:fldCharType="end"/>
      </w:r>
      <w:r>
        <w:rPr>
          <w:rFonts w:hint="eastAsia" w:cs="宋体"/>
          <w:szCs w:val="36"/>
          <w:highlight w:val="none"/>
        </w:rPr>
        <w:fldChar w:fldCharType="end"/>
      </w:r>
    </w:p>
    <w:p w14:paraId="4E2B013D">
      <w:pPr>
        <w:pStyle w:val="45"/>
        <w:tabs>
          <w:tab w:val="right" w:leader="dot" w:pos="9660"/>
          <w:tab w:val="clear" w:pos="9450"/>
        </w:tabs>
        <w:rPr>
          <w:highlight w:val="none"/>
        </w:rPr>
      </w:pPr>
      <w:r>
        <w:rPr>
          <w:rFonts w:hint="eastAsia" w:cs="宋体"/>
          <w:szCs w:val="36"/>
          <w:highlight w:val="none"/>
        </w:rPr>
        <w:fldChar w:fldCharType="begin"/>
      </w:r>
      <w:r>
        <w:rPr>
          <w:rFonts w:hint="eastAsia" w:cs="宋体"/>
          <w:szCs w:val="36"/>
          <w:highlight w:val="none"/>
        </w:rPr>
        <w:instrText xml:space="preserve"> HYPERLINK \l _Toc14985 </w:instrText>
      </w:r>
      <w:r>
        <w:rPr>
          <w:rFonts w:hint="eastAsia" w:cs="宋体"/>
          <w:szCs w:val="36"/>
          <w:highlight w:val="none"/>
        </w:rPr>
        <w:fldChar w:fldCharType="separate"/>
      </w:r>
      <w:r>
        <w:rPr>
          <w:rFonts w:hint="eastAsia" w:ascii="宋体" w:hAnsi="宋体" w:eastAsia="宋体" w:cs="宋体"/>
          <w:highlight w:val="none"/>
        </w:rPr>
        <w:t>附件4 参加政府采购活动前3年内在经营活动中没有重大违法记录的书面声明</w:t>
      </w:r>
      <w:r>
        <w:rPr>
          <w:highlight w:val="none"/>
        </w:rPr>
        <w:tab/>
      </w:r>
      <w:r>
        <w:rPr>
          <w:highlight w:val="none"/>
        </w:rPr>
        <w:fldChar w:fldCharType="begin"/>
      </w:r>
      <w:r>
        <w:rPr>
          <w:highlight w:val="none"/>
        </w:rPr>
        <w:instrText xml:space="preserve"> PAGEREF _Toc14985 \h </w:instrText>
      </w:r>
      <w:r>
        <w:rPr>
          <w:highlight w:val="none"/>
        </w:rPr>
        <w:fldChar w:fldCharType="separate"/>
      </w:r>
      <w:r>
        <w:rPr>
          <w:highlight w:val="none"/>
        </w:rPr>
        <w:t>40</w:t>
      </w:r>
      <w:r>
        <w:rPr>
          <w:highlight w:val="none"/>
        </w:rPr>
        <w:fldChar w:fldCharType="end"/>
      </w:r>
      <w:r>
        <w:rPr>
          <w:rFonts w:hint="eastAsia" w:cs="宋体"/>
          <w:szCs w:val="36"/>
          <w:highlight w:val="none"/>
        </w:rPr>
        <w:fldChar w:fldCharType="end"/>
      </w:r>
    </w:p>
    <w:p w14:paraId="38A0986B">
      <w:pPr>
        <w:pStyle w:val="45"/>
        <w:tabs>
          <w:tab w:val="right" w:leader="dot" w:pos="9660"/>
          <w:tab w:val="clear" w:pos="9450"/>
        </w:tabs>
        <w:rPr>
          <w:highlight w:val="none"/>
        </w:rPr>
      </w:pPr>
      <w:r>
        <w:rPr>
          <w:rFonts w:hint="eastAsia" w:cs="宋体"/>
          <w:szCs w:val="36"/>
          <w:highlight w:val="none"/>
        </w:rPr>
        <w:fldChar w:fldCharType="begin"/>
      </w:r>
      <w:r>
        <w:rPr>
          <w:rFonts w:hint="eastAsia" w:cs="宋体"/>
          <w:szCs w:val="36"/>
          <w:highlight w:val="none"/>
        </w:rPr>
        <w:instrText xml:space="preserve"> HYPERLINK \l _Toc9582 </w:instrText>
      </w:r>
      <w:r>
        <w:rPr>
          <w:rFonts w:hint="eastAsia" w:cs="宋体"/>
          <w:szCs w:val="36"/>
          <w:highlight w:val="none"/>
        </w:rPr>
        <w:fldChar w:fldCharType="separate"/>
      </w:r>
      <w:r>
        <w:rPr>
          <w:rFonts w:hint="eastAsia" w:ascii="宋体" w:hAnsi="宋体" w:eastAsia="宋体" w:cs="宋体"/>
          <w:highlight w:val="none"/>
        </w:rPr>
        <w:t>附件5 法人授权书</w:t>
      </w:r>
      <w:r>
        <w:rPr>
          <w:highlight w:val="none"/>
        </w:rPr>
        <w:tab/>
      </w:r>
      <w:r>
        <w:rPr>
          <w:highlight w:val="none"/>
        </w:rPr>
        <w:fldChar w:fldCharType="begin"/>
      </w:r>
      <w:r>
        <w:rPr>
          <w:highlight w:val="none"/>
        </w:rPr>
        <w:instrText xml:space="preserve"> PAGEREF _Toc9582 \h </w:instrText>
      </w:r>
      <w:r>
        <w:rPr>
          <w:highlight w:val="none"/>
        </w:rPr>
        <w:fldChar w:fldCharType="separate"/>
      </w:r>
      <w:r>
        <w:rPr>
          <w:highlight w:val="none"/>
        </w:rPr>
        <w:t>41</w:t>
      </w:r>
      <w:r>
        <w:rPr>
          <w:highlight w:val="none"/>
        </w:rPr>
        <w:fldChar w:fldCharType="end"/>
      </w:r>
      <w:r>
        <w:rPr>
          <w:rFonts w:hint="eastAsia" w:cs="宋体"/>
          <w:szCs w:val="36"/>
          <w:highlight w:val="none"/>
        </w:rPr>
        <w:fldChar w:fldCharType="end"/>
      </w:r>
    </w:p>
    <w:p w14:paraId="11009B98">
      <w:pPr>
        <w:pStyle w:val="45"/>
        <w:tabs>
          <w:tab w:val="right" w:leader="dot" w:pos="9660"/>
          <w:tab w:val="clear" w:pos="9450"/>
        </w:tabs>
        <w:rPr>
          <w:highlight w:val="none"/>
        </w:rPr>
      </w:pPr>
      <w:r>
        <w:rPr>
          <w:rFonts w:hint="eastAsia" w:cs="宋体"/>
          <w:szCs w:val="36"/>
          <w:highlight w:val="none"/>
        </w:rPr>
        <w:fldChar w:fldCharType="begin"/>
      </w:r>
      <w:r>
        <w:rPr>
          <w:rFonts w:hint="eastAsia" w:cs="宋体"/>
          <w:szCs w:val="36"/>
          <w:highlight w:val="none"/>
        </w:rPr>
        <w:instrText xml:space="preserve"> HYPERLINK \l _Toc29666 </w:instrText>
      </w:r>
      <w:r>
        <w:rPr>
          <w:rFonts w:hint="eastAsia" w:cs="宋体"/>
          <w:szCs w:val="36"/>
          <w:highlight w:val="none"/>
        </w:rPr>
        <w:fldChar w:fldCharType="separate"/>
      </w:r>
      <w:r>
        <w:rPr>
          <w:rFonts w:hint="eastAsia" w:ascii="宋体" w:hAnsi="宋体" w:eastAsia="宋体" w:cs="宋体"/>
          <w:highlight w:val="none"/>
        </w:rPr>
        <w:t>附件6 投标函</w:t>
      </w:r>
      <w:r>
        <w:rPr>
          <w:highlight w:val="none"/>
        </w:rPr>
        <w:tab/>
      </w:r>
      <w:r>
        <w:rPr>
          <w:highlight w:val="none"/>
        </w:rPr>
        <w:fldChar w:fldCharType="begin"/>
      </w:r>
      <w:r>
        <w:rPr>
          <w:highlight w:val="none"/>
        </w:rPr>
        <w:instrText xml:space="preserve"> PAGEREF _Toc29666 \h </w:instrText>
      </w:r>
      <w:r>
        <w:rPr>
          <w:highlight w:val="none"/>
        </w:rPr>
        <w:fldChar w:fldCharType="separate"/>
      </w:r>
      <w:r>
        <w:rPr>
          <w:highlight w:val="none"/>
        </w:rPr>
        <w:t>42</w:t>
      </w:r>
      <w:r>
        <w:rPr>
          <w:highlight w:val="none"/>
        </w:rPr>
        <w:fldChar w:fldCharType="end"/>
      </w:r>
      <w:r>
        <w:rPr>
          <w:rFonts w:hint="eastAsia" w:cs="宋体"/>
          <w:szCs w:val="36"/>
          <w:highlight w:val="none"/>
        </w:rPr>
        <w:fldChar w:fldCharType="end"/>
      </w:r>
    </w:p>
    <w:p w14:paraId="3A136749">
      <w:pPr>
        <w:pStyle w:val="45"/>
        <w:tabs>
          <w:tab w:val="right" w:leader="dot" w:pos="9660"/>
          <w:tab w:val="clear" w:pos="9450"/>
        </w:tabs>
        <w:rPr>
          <w:highlight w:val="none"/>
        </w:rPr>
      </w:pPr>
      <w:r>
        <w:rPr>
          <w:rFonts w:hint="eastAsia" w:cs="宋体"/>
          <w:szCs w:val="36"/>
          <w:highlight w:val="none"/>
        </w:rPr>
        <w:fldChar w:fldCharType="begin"/>
      </w:r>
      <w:r>
        <w:rPr>
          <w:rFonts w:hint="eastAsia" w:cs="宋体"/>
          <w:szCs w:val="36"/>
          <w:highlight w:val="none"/>
        </w:rPr>
        <w:instrText xml:space="preserve"> HYPERLINK \l _Toc13385 </w:instrText>
      </w:r>
      <w:r>
        <w:rPr>
          <w:rFonts w:hint="eastAsia" w:cs="宋体"/>
          <w:szCs w:val="36"/>
          <w:highlight w:val="none"/>
        </w:rPr>
        <w:fldChar w:fldCharType="separate"/>
      </w:r>
      <w:r>
        <w:rPr>
          <w:rFonts w:hint="eastAsia" w:ascii="宋体" w:hAnsi="宋体" w:cs="宋体"/>
          <w:bCs/>
          <w:szCs w:val="28"/>
          <w:highlight w:val="none"/>
        </w:rPr>
        <w:t>附件7 中小企业声明函</w:t>
      </w:r>
      <w:r>
        <w:rPr>
          <w:highlight w:val="none"/>
        </w:rPr>
        <w:tab/>
      </w:r>
      <w:r>
        <w:rPr>
          <w:highlight w:val="none"/>
        </w:rPr>
        <w:fldChar w:fldCharType="begin"/>
      </w:r>
      <w:r>
        <w:rPr>
          <w:highlight w:val="none"/>
        </w:rPr>
        <w:instrText xml:space="preserve"> PAGEREF _Toc13385 \h </w:instrText>
      </w:r>
      <w:r>
        <w:rPr>
          <w:highlight w:val="none"/>
        </w:rPr>
        <w:fldChar w:fldCharType="separate"/>
      </w:r>
      <w:r>
        <w:rPr>
          <w:highlight w:val="none"/>
        </w:rPr>
        <w:t>43</w:t>
      </w:r>
      <w:r>
        <w:rPr>
          <w:highlight w:val="none"/>
        </w:rPr>
        <w:fldChar w:fldCharType="end"/>
      </w:r>
      <w:r>
        <w:rPr>
          <w:rFonts w:hint="eastAsia" w:cs="宋体"/>
          <w:szCs w:val="36"/>
          <w:highlight w:val="none"/>
        </w:rPr>
        <w:fldChar w:fldCharType="end"/>
      </w:r>
    </w:p>
    <w:p w14:paraId="32C482F2">
      <w:pPr>
        <w:pStyle w:val="45"/>
        <w:tabs>
          <w:tab w:val="right" w:leader="dot" w:pos="9660"/>
          <w:tab w:val="clear" w:pos="9450"/>
        </w:tabs>
        <w:rPr>
          <w:highlight w:val="none"/>
        </w:rPr>
      </w:pPr>
      <w:r>
        <w:rPr>
          <w:rFonts w:hint="eastAsia" w:cs="宋体"/>
          <w:szCs w:val="36"/>
          <w:highlight w:val="none"/>
        </w:rPr>
        <w:fldChar w:fldCharType="begin"/>
      </w:r>
      <w:r>
        <w:rPr>
          <w:rFonts w:hint="eastAsia" w:cs="宋体"/>
          <w:szCs w:val="36"/>
          <w:highlight w:val="none"/>
        </w:rPr>
        <w:instrText xml:space="preserve"> HYPERLINK \l _Toc9278 </w:instrText>
      </w:r>
      <w:r>
        <w:rPr>
          <w:rFonts w:hint="eastAsia" w:cs="宋体"/>
          <w:szCs w:val="36"/>
          <w:highlight w:val="none"/>
        </w:rPr>
        <w:fldChar w:fldCharType="separate"/>
      </w:r>
      <w:r>
        <w:rPr>
          <w:rFonts w:hint="eastAsia" w:ascii="宋体" w:hAnsi="宋体" w:cs="宋体"/>
          <w:bCs/>
          <w:szCs w:val="28"/>
          <w:highlight w:val="none"/>
        </w:rPr>
        <w:t>附件8 残疾人福利性单位声明函</w:t>
      </w:r>
      <w:r>
        <w:rPr>
          <w:highlight w:val="none"/>
        </w:rPr>
        <w:tab/>
      </w:r>
      <w:r>
        <w:rPr>
          <w:highlight w:val="none"/>
        </w:rPr>
        <w:fldChar w:fldCharType="begin"/>
      </w:r>
      <w:r>
        <w:rPr>
          <w:highlight w:val="none"/>
        </w:rPr>
        <w:instrText xml:space="preserve"> PAGEREF _Toc9278 \h </w:instrText>
      </w:r>
      <w:r>
        <w:rPr>
          <w:highlight w:val="none"/>
        </w:rPr>
        <w:fldChar w:fldCharType="separate"/>
      </w:r>
      <w:r>
        <w:rPr>
          <w:highlight w:val="none"/>
        </w:rPr>
        <w:t>44</w:t>
      </w:r>
      <w:r>
        <w:rPr>
          <w:highlight w:val="none"/>
        </w:rPr>
        <w:fldChar w:fldCharType="end"/>
      </w:r>
      <w:r>
        <w:rPr>
          <w:rFonts w:hint="eastAsia" w:cs="宋体"/>
          <w:szCs w:val="36"/>
          <w:highlight w:val="none"/>
        </w:rPr>
        <w:fldChar w:fldCharType="end"/>
      </w:r>
    </w:p>
    <w:p w14:paraId="2BF0F7B2">
      <w:pPr>
        <w:pStyle w:val="45"/>
        <w:tabs>
          <w:tab w:val="right" w:leader="dot" w:pos="9660"/>
          <w:tab w:val="clear" w:pos="9450"/>
        </w:tabs>
        <w:rPr>
          <w:highlight w:val="none"/>
        </w:rPr>
      </w:pPr>
      <w:r>
        <w:rPr>
          <w:rFonts w:hint="eastAsia" w:cs="宋体"/>
          <w:szCs w:val="36"/>
          <w:highlight w:val="none"/>
        </w:rPr>
        <w:fldChar w:fldCharType="begin"/>
      </w:r>
      <w:r>
        <w:rPr>
          <w:rFonts w:hint="eastAsia" w:cs="宋体"/>
          <w:szCs w:val="36"/>
          <w:highlight w:val="none"/>
        </w:rPr>
        <w:instrText xml:space="preserve"> HYPERLINK \l _Toc25491 </w:instrText>
      </w:r>
      <w:r>
        <w:rPr>
          <w:rFonts w:hint="eastAsia" w:cs="宋体"/>
          <w:szCs w:val="36"/>
          <w:highlight w:val="none"/>
        </w:rPr>
        <w:fldChar w:fldCharType="separate"/>
      </w:r>
      <w:r>
        <w:rPr>
          <w:rFonts w:hint="eastAsia" w:ascii="宋体" w:hAnsi="宋体" w:eastAsia="宋体" w:cs="宋体"/>
          <w:highlight w:val="none"/>
        </w:rPr>
        <w:t>附件9 实质性要求响应及偏离表</w:t>
      </w:r>
      <w:r>
        <w:rPr>
          <w:highlight w:val="none"/>
        </w:rPr>
        <w:tab/>
      </w:r>
      <w:r>
        <w:rPr>
          <w:highlight w:val="none"/>
        </w:rPr>
        <w:fldChar w:fldCharType="begin"/>
      </w:r>
      <w:r>
        <w:rPr>
          <w:highlight w:val="none"/>
        </w:rPr>
        <w:instrText xml:space="preserve"> PAGEREF _Toc25491 \h </w:instrText>
      </w:r>
      <w:r>
        <w:rPr>
          <w:highlight w:val="none"/>
        </w:rPr>
        <w:fldChar w:fldCharType="separate"/>
      </w:r>
      <w:r>
        <w:rPr>
          <w:highlight w:val="none"/>
        </w:rPr>
        <w:t>45</w:t>
      </w:r>
      <w:r>
        <w:rPr>
          <w:highlight w:val="none"/>
        </w:rPr>
        <w:fldChar w:fldCharType="end"/>
      </w:r>
      <w:r>
        <w:rPr>
          <w:rFonts w:hint="eastAsia" w:cs="宋体"/>
          <w:szCs w:val="36"/>
          <w:highlight w:val="none"/>
        </w:rPr>
        <w:fldChar w:fldCharType="end"/>
      </w:r>
    </w:p>
    <w:p w14:paraId="6255A73E">
      <w:pPr>
        <w:pStyle w:val="45"/>
        <w:tabs>
          <w:tab w:val="right" w:leader="dot" w:pos="9660"/>
          <w:tab w:val="clear" w:pos="9450"/>
        </w:tabs>
        <w:rPr>
          <w:highlight w:val="none"/>
        </w:rPr>
      </w:pPr>
      <w:r>
        <w:rPr>
          <w:rFonts w:hint="eastAsia" w:cs="宋体"/>
          <w:szCs w:val="36"/>
          <w:highlight w:val="none"/>
        </w:rPr>
        <w:fldChar w:fldCharType="begin"/>
      </w:r>
      <w:r>
        <w:rPr>
          <w:rFonts w:hint="eastAsia" w:cs="宋体"/>
          <w:szCs w:val="36"/>
          <w:highlight w:val="none"/>
        </w:rPr>
        <w:instrText xml:space="preserve"> HYPERLINK \l _Toc20453 </w:instrText>
      </w:r>
      <w:r>
        <w:rPr>
          <w:rFonts w:hint="eastAsia" w:cs="宋体"/>
          <w:szCs w:val="36"/>
          <w:highlight w:val="none"/>
        </w:rPr>
        <w:fldChar w:fldCharType="separate"/>
      </w:r>
      <w:r>
        <w:rPr>
          <w:rFonts w:hint="eastAsia" w:ascii="宋体" w:hAnsi="宋体" w:eastAsia="宋体" w:cs="宋体"/>
          <w:highlight w:val="none"/>
        </w:rPr>
        <w:t>附件10 服务要求响应及偏离表</w:t>
      </w:r>
      <w:r>
        <w:rPr>
          <w:highlight w:val="none"/>
        </w:rPr>
        <w:tab/>
      </w:r>
      <w:r>
        <w:rPr>
          <w:highlight w:val="none"/>
        </w:rPr>
        <w:fldChar w:fldCharType="begin"/>
      </w:r>
      <w:r>
        <w:rPr>
          <w:highlight w:val="none"/>
        </w:rPr>
        <w:instrText xml:space="preserve"> PAGEREF _Toc20453 \h </w:instrText>
      </w:r>
      <w:r>
        <w:rPr>
          <w:highlight w:val="none"/>
        </w:rPr>
        <w:fldChar w:fldCharType="separate"/>
      </w:r>
      <w:r>
        <w:rPr>
          <w:highlight w:val="none"/>
        </w:rPr>
        <w:t>46</w:t>
      </w:r>
      <w:r>
        <w:rPr>
          <w:highlight w:val="none"/>
        </w:rPr>
        <w:fldChar w:fldCharType="end"/>
      </w:r>
      <w:r>
        <w:rPr>
          <w:rFonts w:hint="eastAsia" w:cs="宋体"/>
          <w:szCs w:val="36"/>
          <w:highlight w:val="none"/>
        </w:rPr>
        <w:fldChar w:fldCharType="end"/>
      </w:r>
    </w:p>
    <w:p w14:paraId="401A3B7F">
      <w:pPr>
        <w:pStyle w:val="45"/>
        <w:tabs>
          <w:tab w:val="right" w:leader="dot" w:pos="9660"/>
          <w:tab w:val="clear" w:pos="9450"/>
        </w:tabs>
        <w:rPr>
          <w:highlight w:val="none"/>
        </w:rPr>
      </w:pPr>
      <w:r>
        <w:rPr>
          <w:rFonts w:hint="eastAsia" w:cs="宋体"/>
          <w:szCs w:val="36"/>
          <w:highlight w:val="none"/>
        </w:rPr>
        <w:fldChar w:fldCharType="begin"/>
      </w:r>
      <w:r>
        <w:rPr>
          <w:rFonts w:hint="eastAsia" w:cs="宋体"/>
          <w:szCs w:val="36"/>
          <w:highlight w:val="none"/>
        </w:rPr>
        <w:instrText xml:space="preserve"> HYPERLINK \l _Toc17455 </w:instrText>
      </w:r>
      <w:r>
        <w:rPr>
          <w:rFonts w:hint="eastAsia" w:cs="宋体"/>
          <w:szCs w:val="36"/>
          <w:highlight w:val="none"/>
        </w:rPr>
        <w:fldChar w:fldCharType="separate"/>
      </w:r>
      <w:r>
        <w:rPr>
          <w:rFonts w:hint="eastAsia" w:ascii="宋体" w:hAnsi="宋体" w:eastAsia="宋体" w:cs="宋体"/>
          <w:highlight w:val="none"/>
        </w:rPr>
        <w:t>附件11 项目实施方案</w:t>
      </w:r>
      <w:r>
        <w:rPr>
          <w:highlight w:val="none"/>
        </w:rPr>
        <w:tab/>
      </w:r>
      <w:r>
        <w:rPr>
          <w:highlight w:val="none"/>
        </w:rPr>
        <w:fldChar w:fldCharType="begin"/>
      </w:r>
      <w:r>
        <w:rPr>
          <w:highlight w:val="none"/>
        </w:rPr>
        <w:instrText xml:space="preserve"> PAGEREF _Toc17455 \h </w:instrText>
      </w:r>
      <w:r>
        <w:rPr>
          <w:highlight w:val="none"/>
        </w:rPr>
        <w:fldChar w:fldCharType="separate"/>
      </w:r>
      <w:r>
        <w:rPr>
          <w:highlight w:val="none"/>
        </w:rPr>
        <w:t>47</w:t>
      </w:r>
      <w:r>
        <w:rPr>
          <w:highlight w:val="none"/>
        </w:rPr>
        <w:fldChar w:fldCharType="end"/>
      </w:r>
      <w:r>
        <w:rPr>
          <w:rFonts w:hint="eastAsia" w:cs="宋体"/>
          <w:szCs w:val="36"/>
          <w:highlight w:val="none"/>
        </w:rPr>
        <w:fldChar w:fldCharType="end"/>
      </w:r>
    </w:p>
    <w:p w14:paraId="38AA9B80">
      <w:pPr>
        <w:pStyle w:val="45"/>
        <w:tabs>
          <w:tab w:val="right" w:leader="dot" w:pos="9660"/>
          <w:tab w:val="clear" w:pos="9450"/>
        </w:tabs>
        <w:rPr>
          <w:highlight w:val="none"/>
        </w:rPr>
      </w:pPr>
      <w:r>
        <w:rPr>
          <w:rFonts w:hint="eastAsia" w:cs="宋体"/>
          <w:szCs w:val="36"/>
          <w:highlight w:val="none"/>
        </w:rPr>
        <w:fldChar w:fldCharType="begin"/>
      </w:r>
      <w:r>
        <w:rPr>
          <w:rFonts w:hint="eastAsia" w:cs="宋体"/>
          <w:szCs w:val="36"/>
          <w:highlight w:val="none"/>
        </w:rPr>
        <w:instrText xml:space="preserve"> HYPERLINK \l _Toc21251 </w:instrText>
      </w:r>
      <w:r>
        <w:rPr>
          <w:rFonts w:hint="eastAsia" w:cs="宋体"/>
          <w:szCs w:val="36"/>
          <w:highlight w:val="none"/>
        </w:rPr>
        <w:fldChar w:fldCharType="separate"/>
      </w:r>
      <w:r>
        <w:rPr>
          <w:rFonts w:hint="eastAsia" w:ascii="宋体" w:hAnsi="宋体" w:eastAsia="宋体" w:cs="宋体"/>
          <w:highlight w:val="none"/>
        </w:rPr>
        <w:t>附件12 项目组人员一览表</w:t>
      </w:r>
      <w:r>
        <w:rPr>
          <w:highlight w:val="none"/>
        </w:rPr>
        <w:tab/>
      </w:r>
      <w:r>
        <w:rPr>
          <w:highlight w:val="none"/>
        </w:rPr>
        <w:fldChar w:fldCharType="begin"/>
      </w:r>
      <w:r>
        <w:rPr>
          <w:highlight w:val="none"/>
        </w:rPr>
        <w:instrText xml:space="preserve"> PAGEREF _Toc21251 \h </w:instrText>
      </w:r>
      <w:r>
        <w:rPr>
          <w:highlight w:val="none"/>
        </w:rPr>
        <w:fldChar w:fldCharType="separate"/>
      </w:r>
      <w:r>
        <w:rPr>
          <w:highlight w:val="none"/>
        </w:rPr>
        <w:t>48</w:t>
      </w:r>
      <w:r>
        <w:rPr>
          <w:highlight w:val="none"/>
        </w:rPr>
        <w:fldChar w:fldCharType="end"/>
      </w:r>
      <w:r>
        <w:rPr>
          <w:rFonts w:hint="eastAsia" w:cs="宋体"/>
          <w:szCs w:val="36"/>
          <w:highlight w:val="none"/>
        </w:rPr>
        <w:fldChar w:fldCharType="end"/>
      </w:r>
    </w:p>
    <w:p w14:paraId="09CE83CC">
      <w:pPr>
        <w:pStyle w:val="45"/>
        <w:tabs>
          <w:tab w:val="right" w:leader="dot" w:pos="9660"/>
          <w:tab w:val="clear" w:pos="9450"/>
        </w:tabs>
        <w:rPr>
          <w:highlight w:val="none"/>
        </w:rPr>
      </w:pPr>
      <w:r>
        <w:rPr>
          <w:rFonts w:hint="eastAsia" w:cs="宋体"/>
          <w:szCs w:val="36"/>
          <w:highlight w:val="none"/>
        </w:rPr>
        <w:fldChar w:fldCharType="begin"/>
      </w:r>
      <w:r>
        <w:rPr>
          <w:rFonts w:hint="eastAsia" w:cs="宋体"/>
          <w:szCs w:val="36"/>
          <w:highlight w:val="none"/>
        </w:rPr>
        <w:instrText xml:space="preserve"> HYPERLINK \l _Toc23838 </w:instrText>
      </w:r>
      <w:r>
        <w:rPr>
          <w:rFonts w:hint="eastAsia" w:cs="宋体"/>
          <w:szCs w:val="36"/>
          <w:highlight w:val="none"/>
        </w:rPr>
        <w:fldChar w:fldCharType="separate"/>
      </w:r>
      <w:r>
        <w:rPr>
          <w:rFonts w:hint="eastAsia" w:ascii="宋体" w:hAnsi="宋体" w:eastAsia="宋体" w:cs="宋体"/>
          <w:highlight w:val="none"/>
        </w:rPr>
        <w:t>附件13 业绩一览表</w:t>
      </w:r>
      <w:r>
        <w:rPr>
          <w:highlight w:val="none"/>
        </w:rPr>
        <w:tab/>
      </w:r>
      <w:r>
        <w:rPr>
          <w:highlight w:val="none"/>
        </w:rPr>
        <w:fldChar w:fldCharType="begin"/>
      </w:r>
      <w:r>
        <w:rPr>
          <w:highlight w:val="none"/>
        </w:rPr>
        <w:instrText xml:space="preserve"> PAGEREF _Toc23838 \h </w:instrText>
      </w:r>
      <w:r>
        <w:rPr>
          <w:highlight w:val="none"/>
        </w:rPr>
        <w:fldChar w:fldCharType="separate"/>
      </w:r>
      <w:r>
        <w:rPr>
          <w:highlight w:val="none"/>
        </w:rPr>
        <w:t>49</w:t>
      </w:r>
      <w:r>
        <w:rPr>
          <w:highlight w:val="none"/>
        </w:rPr>
        <w:fldChar w:fldCharType="end"/>
      </w:r>
      <w:r>
        <w:rPr>
          <w:rFonts w:hint="eastAsia" w:cs="宋体"/>
          <w:szCs w:val="36"/>
          <w:highlight w:val="none"/>
        </w:rPr>
        <w:fldChar w:fldCharType="end"/>
      </w:r>
    </w:p>
    <w:p w14:paraId="1F25CFDF">
      <w:pPr>
        <w:pStyle w:val="45"/>
        <w:tabs>
          <w:tab w:val="right" w:leader="dot" w:pos="9660"/>
          <w:tab w:val="clear" w:pos="9450"/>
        </w:tabs>
        <w:rPr>
          <w:highlight w:val="none"/>
        </w:rPr>
      </w:pPr>
      <w:r>
        <w:rPr>
          <w:rFonts w:hint="eastAsia" w:cs="宋体"/>
          <w:szCs w:val="36"/>
          <w:highlight w:val="none"/>
        </w:rPr>
        <w:fldChar w:fldCharType="begin"/>
      </w:r>
      <w:r>
        <w:rPr>
          <w:rFonts w:hint="eastAsia" w:cs="宋体"/>
          <w:szCs w:val="36"/>
          <w:highlight w:val="none"/>
        </w:rPr>
        <w:instrText xml:space="preserve"> HYPERLINK \l _Toc28150 </w:instrText>
      </w:r>
      <w:r>
        <w:rPr>
          <w:rFonts w:hint="eastAsia" w:cs="宋体"/>
          <w:szCs w:val="36"/>
          <w:highlight w:val="none"/>
        </w:rPr>
        <w:fldChar w:fldCharType="separate"/>
      </w:r>
      <w:r>
        <w:rPr>
          <w:rFonts w:hint="eastAsia" w:ascii="宋体" w:hAnsi="宋体" w:eastAsia="宋体" w:cs="宋体"/>
          <w:highlight w:val="none"/>
        </w:rPr>
        <w:t>附件14 商务条件响应及偏离表</w:t>
      </w:r>
      <w:r>
        <w:rPr>
          <w:highlight w:val="none"/>
        </w:rPr>
        <w:tab/>
      </w:r>
      <w:r>
        <w:rPr>
          <w:highlight w:val="none"/>
        </w:rPr>
        <w:fldChar w:fldCharType="begin"/>
      </w:r>
      <w:r>
        <w:rPr>
          <w:highlight w:val="none"/>
        </w:rPr>
        <w:instrText xml:space="preserve"> PAGEREF _Toc28150 \h </w:instrText>
      </w:r>
      <w:r>
        <w:rPr>
          <w:highlight w:val="none"/>
        </w:rPr>
        <w:fldChar w:fldCharType="separate"/>
      </w:r>
      <w:r>
        <w:rPr>
          <w:highlight w:val="none"/>
        </w:rPr>
        <w:t>50</w:t>
      </w:r>
      <w:r>
        <w:rPr>
          <w:highlight w:val="none"/>
        </w:rPr>
        <w:fldChar w:fldCharType="end"/>
      </w:r>
      <w:r>
        <w:rPr>
          <w:rFonts w:hint="eastAsia" w:cs="宋体"/>
          <w:szCs w:val="36"/>
          <w:highlight w:val="none"/>
        </w:rPr>
        <w:fldChar w:fldCharType="end"/>
      </w:r>
    </w:p>
    <w:p w14:paraId="49A7FC60">
      <w:pPr>
        <w:pStyle w:val="45"/>
        <w:tabs>
          <w:tab w:val="right" w:leader="dot" w:pos="9660"/>
          <w:tab w:val="clear" w:pos="9450"/>
        </w:tabs>
        <w:rPr>
          <w:highlight w:val="none"/>
        </w:rPr>
      </w:pPr>
      <w:r>
        <w:rPr>
          <w:rFonts w:hint="eastAsia" w:cs="宋体"/>
          <w:szCs w:val="36"/>
          <w:highlight w:val="none"/>
        </w:rPr>
        <w:fldChar w:fldCharType="begin"/>
      </w:r>
      <w:r>
        <w:rPr>
          <w:rFonts w:hint="eastAsia" w:cs="宋体"/>
          <w:szCs w:val="36"/>
          <w:highlight w:val="none"/>
        </w:rPr>
        <w:instrText xml:space="preserve"> HYPERLINK \l _Toc29990 </w:instrText>
      </w:r>
      <w:r>
        <w:rPr>
          <w:rFonts w:hint="eastAsia" w:cs="宋体"/>
          <w:szCs w:val="36"/>
          <w:highlight w:val="none"/>
        </w:rPr>
        <w:fldChar w:fldCharType="separate"/>
      </w:r>
      <w:r>
        <w:rPr>
          <w:rFonts w:hint="eastAsia" w:ascii="宋体" w:hAnsi="宋体" w:eastAsia="宋体" w:cs="宋体"/>
          <w:highlight w:val="none"/>
        </w:rPr>
        <w:t>附件15 供应商与其他单位存在直接控股、管理关系情况表</w:t>
      </w:r>
      <w:r>
        <w:rPr>
          <w:highlight w:val="none"/>
        </w:rPr>
        <w:tab/>
      </w:r>
      <w:r>
        <w:rPr>
          <w:highlight w:val="none"/>
        </w:rPr>
        <w:fldChar w:fldCharType="begin"/>
      </w:r>
      <w:r>
        <w:rPr>
          <w:highlight w:val="none"/>
        </w:rPr>
        <w:instrText xml:space="preserve"> PAGEREF _Toc29990 \h </w:instrText>
      </w:r>
      <w:r>
        <w:rPr>
          <w:highlight w:val="none"/>
        </w:rPr>
        <w:fldChar w:fldCharType="separate"/>
      </w:r>
      <w:r>
        <w:rPr>
          <w:highlight w:val="none"/>
        </w:rPr>
        <w:t>51</w:t>
      </w:r>
      <w:r>
        <w:rPr>
          <w:highlight w:val="none"/>
        </w:rPr>
        <w:fldChar w:fldCharType="end"/>
      </w:r>
      <w:r>
        <w:rPr>
          <w:rFonts w:hint="eastAsia" w:cs="宋体"/>
          <w:szCs w:val="36"/>
          <w:highlight w:val="none"/>
        </w:rPr>
        <w:fldChar w:fldCharType="end"/>
      </w:r>
    </w:p>
    <w:p w14:paraId="6DB40BF8">
      <w:pPr>
        <w:pStyle w:val="45"/>
        <w:tabs>
          <w:tab w:val="right" w:leader="dot" w:pos="9660"/>
          <w:tab w:val="clear" w:pos="9450"/>
        </w:tabs>
        <w:rPr>
          <w:highlight w:val="none"/>
        </w:rPr>
      </w:pPr>
      <w:r>
        <w:rPr>
          <w:rFonts w:hint="eastAsia" w:cs="宋体"/>
          <w:szCs w:val="36"/>
          <w:highlight w:val="none"/>
        </w:rPr>
        <w:fldChar w:fldCharType="begin"/>
      </w:r>
      <w:r>
        <w:rPr>
          <w:rFonts w:hint="eastAsia" w:cs="宋体"/>
          <w:szCs w:val="36"/>
          <w:highlight w:val="none"/>
        </w:rPr>
        <w:instrText xml:space="preserve"> HYPERLINK \l _Toc7390 </w:instrText>
      </w:r>
      <w:r>
        <w:rPr>
          <w:rFonts w:hint="eastAsia" w:cs="宋体"/>
          <w:szCs w:val="36"/>
          <w:highlight w:val="none"/>
        </w:rPr>
        <w:fldChar w:fldCharType="separate"/>
      </w:r>
      <w:r>
        <w:rPr>
          <w:rFonts w:hint="eastAsia" w:ascii="宋体" w:hAnsi="宋体" w:cs="宋体"/>
          <w:bCs/>
          <w:szCs w:val="28"/>
          <w:highlight w:val="none"/>
        </w:rPr>
        <w:t>附件16 关于符合本国产品标准的声明函</w:t>
      </w:r>
      <w:r>
        <w:rPr>
          <w:highlight w:val="none"/>
        </w:rPr>
        <w:tab/>
      </w:r>
      <w:r>
        <w:rPr>
          <w:highlight w:val="none"/>
        </w:rPr>
        <w:fldChar w:fldCharType="begin"/>
      </w:r>
      <w:r>
        <w:rPr>
          <w:highlight w:val="none"/>
        </w:rPr>
        <w:instrText xml:space="preserve"> PAGEREF _Toc7390 \h </w:instrText>
      </w:r>
      <w:r>
        <w:rPr>
          <w:highlight w:val="none"/>
        </w:rPr>
        <w:fldChar w:fldCharType="separate"/>
      </w:r>
      <w:r>
        <w:rPr>
          <w:highlight w:val="none"/>
        </w:rPr>
        <w:t>52</w:t>
      </w:r>
      <w:r>
        <w:rPr>
          <w:highlight w:val="none"/>
        </w:rPr>
        <w:fldChar w:fldCharType="end"/>
      </w:r>
      <w:r>
        <w:rPr>
          <w:rFonts w:hint="eastAsia" w:cs="宋体"/>
          <w:szCs w:val="36"/>
          <w:highlight w:val="none"/>
        </w:rPr>
        <w:fldChar w:fldCharType="end"/>
      </w:r>
    </w:p>
    <w:p w14:paraId="5C2DDE9A">
      <w:pPr>
        <w:pStyle w:val="2"/>
        <w:rPr>
          <w:rFonts w:cs="宋体"/>
          <w:szCs w:val="36"/>
          <w:highlight w:val="none"/>
        </w:rPr>
        <w:sectPr>
          <w:footerReference r:id="rId9" w:type="first"/>
          <w:footerReference r:id="rId8" w:type="default"/>
          <w:pgSz w:w="11907" w:h="16840"/>
          <w:pgMar w:top="1134" w:right="882" w:bottom="1134" w:left="1365" w:header="567" w:footer="794" w:gutter="0"/>
          <w:cols w:space="720" w:num="1"/>
          <w:titlePg/>
          <w:docGrid w:type="lines" w:linePitch="305" w:charSpace="0"/>
        </w:sectPr>
      </w:pPr>
      <w:r>
        <w:rPr>
          <w:rFonts w:hint="eastAsia" w:cs="宋体"/>
          <w:szCs w:val="36"/>
          <w:highlight w:val="none"/>
        </w:rPr>
        <w:fldChar w:fldCharType="end"/>
      </w:r>
      <w:bookmarkStart w:id="1" w:name="_Toc315875312"/>
      <w:bookmarkStart w:id="2" w:name="_Toc315868049"/>
    </w:p>
    <w:p w14:paraId="6049C8A9">
      <w:pPr>
        <w:pStyle w:val="2"/>
        <w:rPr>
          <w:rFonts w:cs="宋体"/>
          <w:highlight w:val="none"/>
        </w:rPr>
      </w:pPr>
      <w:bookmarkStart w:id="3" w:name="_Toc13205"/>
      <w:r>
        <w:rPr>
          <w:rFonts w:hint="eastAsia" w:cs="宋体"/>
          <w:highlight w:val="none"/>
        </w:rPr>
        <w:t>第一章 投标邀请</w:t>
      </w:r>
      <w:bookmarkEnd w:id="0"/>
      <w:bookmarkEnd w:id="1"/>
      <w:bookmarkEnd w:id="2"/>
      <w:bookmarkEnd w:id="3"/>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76"/>
      </w:tblGrid>
      <w:tr w14:paraId="3948C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14" w:hRule="atLeast"/>
        </w:trPr>
        <w:tc>
          <w:tcPr>
            <w:tcW w:w="9876" w:type="dxa"/>
          </w:tcPr>
          <w:p w14:paraId="714788B9">
            <w:pPr>
              <w:spacing w:line="440" w:lineRule="exact"/>
              <w:jc w:val="left"/>
              <w:rPr>
                <w:rFonts w:ascii="宋体" w:hAnsi="宋体" w:cs="宋体"/>
                <w:sz w:val="24"/>
                <w:szCs w:val="24"/>
                <w:highlight w:val="none"/>
              </w:rPr>
            </w:pPr>
            <w:bookmarkStart w:id="4" w:name="OLE_LINK1"/>
            <w:r>
              <w:rPr>
                <w:rFonts w:hint="eastAsia" w:ascii="宋体" w:hAnsi="宋体" w:cs="宋体"/>
                <w:sz w:val="24"/>
                <w:szCs w:val="24"/>
                <w:highlight w:val="none"/>
              </w:rPr>
              <w:t>项目概况：</w:t>
            </w:r>
          </w:p>
          <w:p w14:paraId="3220BA8D">
            <w:pPr>
              <w:spacing w:line="440" w:lineRule="exact"/>
              <w:jc w:val="left"/>
              <w:rPr>
                <w:rFonts w:ascii="宋体" w:hAnsi="宋体" w:cs="宋体"/>
                <w:sz w:val="24"/>
                <w:szCs w:val="24"/>
                <w:highlight w:val="none"/>
              </w:rPr>
            </w:pPr>
            <w:r>
              <w:rPr>
                <w:rFonts w:hint="eastAsia" w:ascii="宋体" w:hAnsi="宋体" w:cs="宋体"/>
                <w:sz w:val="24"/>
                <w:szCs w:val="24"/>
                <w:highlight w:val="none"/>
                <w:u w:val="single"/>
              </w:rPr>
              <w:t>大气污染防治技术支撑服务</w:t>
            </w:r>
            <w:r>
              <w:rPr>
                <w:rFonts w:hint="eastAsia" w:ascii="宋体" w:hAnsi="宋体" w:cs="宋体"/>
                <w:sz w:val="24"/>
                <w:szCs w:val="24"/>
                <w:highlight w:val="none"/>
              </w:rPr>
              <w:t>项目的潜在供应商应在“苏采云政府采购一体化平台”中参与项目获取招标文件，并于</w:t>
            </w:r>
            <w:r>
              <w:rPr>
                <w:rFonts w:hint="eastAsia" w:ascii="宋体" w:hAnsi="宋体" w:cs="宋体"/>
                <w:sz w:val="24"/>
                <w:szCs w:val="24"/>
                <w:highlight w:val="none"/>
                <w:u w:val="single"/>
              </w:rPr>
              <w:t>2026年</w:t>
            </w:r>
            <w:r>
              <w:rPr>
                <w:rFonts w:hint="eastAsia" w:ascii="宋体" w:hAnsi="宋体" w:cs="宋体"/>
                <w:sz w:val="24"/>
                <w:szCs w:val="24"/>
                <w:highlight w:val="none"/>
                <w:u w:val="single"/>
                <w:lang w:val="en-US" w:eastAsia="zh-CN"/>
              </w:rPr>
              <w:t>10</w:t>
            </w:r>
            <w:r>
              <w:rPr>
                <w:rFonts w:hint="eastAsia" w:ascii="宋体" w:hAnsi="宋体" w:cs="宋体"/>
                <w:sz w:val="24"/>
                <w:szCs w:val="24"/>
                <w:highlight w:val="none"/>
                <w:u w:val="single"/>
              </w:rPr>
              <w:t>月</w:t>
            </w:r>
            <w:r>
              <w:rPr>
                <w:rFonts w:hint="eastAsia" w:ascii="宋体" w:hAnsi="宋体" w:cs="宋体"/>
                <w:sz w:val="24"/>
                <w:szCs w:val="24"/>
                <w:highlight w:val="none"/>
                <w:u w:val="single"/>
                <w:lang w:val="en-US" w:eastAsia="zh-CN"/>
              </w:rPr>
              <w:t>22</w:t>
            </w:r>
            <w:r>
              <w:rPr>
                <w:rFonts w:hint="eastAsia" w:ascii="宋体" w:hAnsi="宋体" w:cs="宋体"/>
                <w:sz w:val="24"/>
                <w:szCs w:val="24"/>
                <w:highlight w:val="none"/>
                <w:u w:val="single"/>
              </w:rPr>
              <w:t>日13点00分</w:t>
            </w:r>
            <w:r>
              <w:rPr>
                <w:rFonts w:hint="eastAsia" w:ascii="宋体" w:hAnsi="宋体" w:cs="宋体"/>
                <w:sz w:val="24"/>
                <w:szCs w:val="24"/>
                <w:highlight w:val="none"/>
              </w:rPr>
              <w:t>（北京时间）前按规定提交投标文件。</w:t>
            </w:r>
          </w:p>
        </w:tc>
      </w:tr>
    </w:tbl>
    <w:p w14:paraId="539A3405">
      <w:pPr>
        <w:spacing w:line="460" w:lineRule="exact"/>
        <w:rPr>
          <w:rFonts w:ascii="宋体" w:hAnsi="宋体" w:cs="宋体"/>
          <w:b/>
          <w:sz w:val="24"/>
          <w:szCs w:val="24"/>
          <w:highlight w:val="none"/>
        </w:rPr>
      </w:pPr>
      <w:r>
        <w:rPr>
          <w:rFonts w:hint="eastAsia" w:ascii="宋体" w:hAnsi="宋体" w:cs="宋体"/>
          <w:b/>
          <w:sz w:val="24"/>
          <w:szCs w:val="24"/>
          <w:highlight w:val="none"/>
        </w:rPr>
        <w:t>一、项目基本情况</w:t>
      </w:r>
    </w:p>
    <w:p w14:paraId="7753AEFC">
      <w:pPr>
        <w:spacing w:line="440" w:lineRule="exact"/>
        <w:ind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rPr>
        <w:t>项目编号：</w:t>
      </w:r>
      <w:r>
        <w:rPr>
          <w:rFonts w:hint="eastAsia" w:ascii="宋体" w:hAnsi="宋体" w:cs="宋体"/>
          <w:sz w:val="24"/>
          <w:szCs w:val="24"/>
          <w:highlight w:val="none"/>
          <w:lang w:eastAsia="zh-CN"/>
        </w:rPr>
        <w:t>JSZC-320581-HXGW-G2026-0035</w:t>
      </w:r>
    </w:p>
    <w:p w14:paraId="7D2F0BFB">
      <w:pP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项目名称：大气污染防治技术支撑服务</w:t>
      </w:r>
    </w:p>
    <w:p w14:paraId="169C8541">
      <w:pP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采购方式：公开招标</w:t>
      </w:r>
    </w:p>
    <w:p w14:paraId="3F6D5635">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预算金额：</w:t>
      </w:r>
      <w:r>
        <w:rPr>
          <w:rFonts w:hint="eastAsia" w:ascii="宋体" w:hAnsi="宋体" w:cs="宋体"/>
          <w:sz w:val="24"/>
          <w:szCs w:val="24"/>
          <w:highlight w:val="none"/>
          <w:lang w:val="en-US" w:eastAsia="zh-CN"/>
        </w:rPr>
        <w:t>人民币</w:t>
      </w:r>
      <w:r>
        <w:rPr>
          <w:rFonts w:hint="eastAsia" w:ascii="宋体" w:hAnsi="宋体" w:cs="宋体"/>
          <w:sz w:val="24"/>
          <w:szCs w:val="24"/>
          <w:highlight w:val="none"/>
        </w:rPr>
        <w:t>180.0000万元</w:t>
      </w:r>
    </w:p>
    <w:p w14:paraId="6D4455FC">
      <w:pPr>
        <w:spacing w:line="440" w:lineRule="exact"/>
        <w:ind w:firstLine="480" w:firstLineChars="200"/>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最高限价：人民币178.5000万元</w:t>
      </w:r>
    </w:p>
    <w:p w14:paraId="28F84110">
      <w:pPr>
        <w:spacing w:line="440" w:lineRule="exact"/>
        <w:ind w:firstLine="480" w:firstLineChars="200"/>
        <w:rPr>
          <w:rFonts w:ascii="宋体" w:hAnsi="宋体" w:cs="宋体"/>
          <w:sz w:val="24"/>
          <w:szCs w:val="24"/>
          <w:highlight w:val="none"/>
        </w:rPr>
      </w:pPr>
      <w:bookmarkStart w:id="5" w:name="_Toc28359080"/>
      <w:bookmarkStart w:id="6" w:name="_Toc28359003"/>
      <w:bookmarkStart w:id="7" w:name="_Toc35393791"/>
      <w:bookmarkStart w:id="8" w:name="_Toc35393622"/>
      <w:r>
        <w:rPr>
          <w:rFonts w:hint="eastAsia" w:ascii="宋体" w:hAnsi="宋体" w:cs="宋体"/>
          <w:sz w:val="24"/>
          <w:szCs w:val="24"/>
          <w:highlight w:val="none"/>
        </w:rPr>
        <w:t>采购需求：本项目采购内容为苏州市常熟生态环境局所需的大气污染防治技术支撑服务。</w:t>
      </w:r>
    </w:p>
    <w:p w14:paraId="4234F56B">
      <w:pP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合同履行期限：自合同签订之日起一年。</w:t>
      </w:r>
    </w:p>
    <w:p w14:paraId="78BA17F9">
      <w:pP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本项目不接受联合体。</w:t>
      </w:r>
    </w:p>
    <w:p w14:paraId="0ED9DD59">
      <w:pPr>
        <w:spacing w:line="460" w:lineRule="exact"/>
        <w:rPr>
          <w:rFonts w:ascii="宋体" w:hAnsi="宋体" w:cs="宋体"/>
          <w:b/>
          <w:sz w:val="24"/>
          <w:szCs w:val="24"/>
          <w:highlight w:val="none"/>
        </w:rPr>
      </w:pPr>
      <w:r>
        <w:rPr>
          <w:rFonts w:hint="eastAsia" w:ascii="宋体" w:hAnsi="宋体" w:cs="宋体"/>
          <w:b/>
          <w:sz w:val="24"/>
          <w:szCs w:val="24"/>
          <w:highlight w:val="none"/>
        </w:rPr>
        <w:t>二、申请人的资格要求：</w:t>
      </w:r>
      <w:bookmarkEnd w:id="5"/>
      <w:bookmarkEnd w:id="6"/>
      <w:bookmarkEnd w:id="7"/>
      <w:bookmarkEnd w:id="8"/>
    </w:p>
    <w:p w14:paraId="1313C7FA">
      <w:pPr>
        <w:spacing w:line="440" w:lineRule="exact"/>
        <w:ind w:firstLine="480" w:firstLineChars="200"/>
        <w:rPr>
          <w:rFonts w:ascii="宋体" w:hAnsi="宋体" w:cs="宋体"/>
          <w:sz w:val="24"/>
          <w:szCs w:val="24"/>
          <w:highlight w:val="none"/>
        </w:rPr>
      </w:pPr>
      <w:bookmarkStart w:id="9" w:name="_Toc28359085"/>
      <w:bookmarkStart w:id="10" w:name="_Toc28359008"/>
      <w:bookmarkStart w:id="11" w:name="_Toc35393627"/>
      <w:bookmarkStart w:id="12" w:name="_Toc35393796"/>
      <w:r>
        <w:rPr>
          <w:rFonts w:hint="eastAsia" w:ascii="宋体" w:hAnsi="宋体" w:cs="宋体"/>
          <w:sz w:val="24"/>
          <w:szCs w:val="24"/>
          <w:highlight w:val="none"/>
        </w:rPr>
        <w:t>（一）满足《中华人民共和国政府采购法》第二十二条规定；</w:t>
      </w:r>
    </w:p>
    <w:p w14:paraId="12CADFF6">
      <w:pPr>
        <w:spacing w:line="440" w:lineRule="exact"/>
        <w:ind w:firstLine="720" w:firstLineChars="300"/>
        <w:rPr>
          <w:rFonts w:ascii="宋体" w:hAnsi="宋体" w:cs="宋体"/>
          <w:sz w:val="24"/>
          <w:szCs w:val="24"/>
          <w:highlight w:val="none"/>
        </w:rPr>
      </w:pPr>
      <w:r>
        <w:rPr>
          <w:rFonts w:hint="eastAsia" w:ascii="宋体" w:hAnsi="宋体" w:cs="宋体"/>
          <w:sz w:val="24"/>
          <w:szCs w:val="24"/>
          <w:highlight w:val="none"/>
        </w:rPr>
        <w:t>（1）具有独立承担民事责任的能力。</w:t>
      </w:r>
    </w:p>
    <w:p w14:paraId="248F4145">
      <w:pPr>
        <w:spacing w:line="440" w:lineRule="exact"/>
        <w:ind w:firstLine="720" w:firstLineChars="300"/>
        <w:rPr>
          <w:rFonts w:ascii="宋体" w:hAnsi="宋体" w:cs="宋体"/>
          <w:sz w:val="24"/>
          <w:szCs w:val="24"/>
          <w:highlight w:val="none"/>
        </w:rPr>
      </w:pPr>
      <w:r>
        <w:rPr>
          <w:rFonts w:hint="eastAsia" w:ascii="宋体" w:hAnsi="宋体" w:cs="宋体"/>
          <w:sz w:val="24"/>
          <w:szCs w:val="24"/>
          <w:highlight w:val="none"/>
        </w:rPr>
        <w:t>（2）具有良好的商业信誉和健全的财务会计制度。</w:t>
      </w:r>
    </w:p>
    <w:p w14:paraId="60DDAC38">
      <w:pPr>
        <w:spacing w:line="440" w:lineRule="exact"/>
        <w:ind w:firstLine="720" w:firstLineChars="300"/>
        <w:rPr>
          <w:rFonts w:ascii="宋体" w:hAnsi="宋体" w:cs="宋体"/>
          <w:sz w:val="24"/>
          <w:szCs w:val="24"/>
          <w:highlight w:val="none"/>
        </w:rPr>
      </w:pPr>
      <w:r>
        <w:rPr>
          <w:rFonts w:hint="eastAsia" w:ascii="宋体" w:hAnsi="宋体" w:cs="宋体"/>
          <w:sz w:val="24"/>
          <w:szCs w:val="24"/>
          <w:highlight w:val="none"/>
        </w:rPr>
        <w:t>（3）具有履行合同所必需的设备和专业技术能力。</w:t>
      </w:r>
    </w:p>
    <w:p w14:paraId="0EA0FF5D">
      <w:pPr>
        <w:spacing w:line="440" w:lineRule="exact"/>
        <w:ind w:firstLine="720" w:firstLineChars="300"/>
        <w:rPr>
          <w:rFonts w:ascii="宋体" w:hAnsi="宋体" w:cs="宋体"/>
          <w:sz w:val="24"/>
          <w:szCs w:val="24"/>
          <w:highlight w:val="none"/>
        </w:rPr>
      </w:pPr>
      <w:r>
        <w:rPr>
          <w:rFonts w:hint="eastAsia" w:ascii="宋体" w:hAnsi="宋体" w:cs="宋体"/>
          <w:sz w:val="24"/>
          <w:szCs w:val="24"/>
          <w:highlight w:val="none"/>
        </w:rPr>
        <w:t>（4）有依法缴纳税收和社会保障资金的良好记录。</w:t>
      </w:r>
    </w:p>
    <w:p w14:paraId="418E784F">
      <w:pPr>
        <w:spacing w:line="440" w:lineRule="exact"/>
        <w:ind w:firstLine="720" w:firstLineChars="300"/>
        <w:rPr>
          <w:rFonts w:ascii="宋体" w:hAnsi="宋体" w:cs="宋体"/>
          <w:sz w:val="24"/>
          <w:szCs w:val="24"/>
          <w:highlight w:val="none"/>
        </w:rPr>
      </w:pPr>
      <w:r>
        <w:rPr>
          <w:rFonts w:hint="eastAsia" w:ascii="宋体" w:hAnsi="宋体" w:cs="宋体"/>
          <w:sz w:val="24"/>
          <w:szCs w:val="24"/>
          <w:highlight w:val="none"/>
        </w:rPr>
        <w:t>（5）参加采购活动前三年内，在经营活动中没有重大违法记录。</w:t>
      </w:r>
    </w:p>
    <w:p w14:paraId="10D87DE5">
      <w:pPr>
        <w:spacing w:line="440" w:lineRule="exact"/>
        <w:ind w:firstLine="720" w:firstLineChars="300"/>
        <w:rPr>
          <w:rFonts w:ascii="宋体" w:hAnsi="宋体" w:cs="宋体"/>
          <w:sz w:val="24"/>
          <w:szCs w:val="24"/>
          <w:highlight w:val="none"/>
        </w:rPr>
      </w:pPr>
      <w:r>
        <w:rPr>
          <w:rFonts w:hint="eastAsia" w:ascii="宋体" w:hAnsi="宋体" w:cs="宋体"/>
          <w:sz w:val="24"/>
          <w:szCs w:val="24"/>
          <w:highlight w:val="none"/>
        </w:rPr>
        <w:t>（6）法律、行政法规规定的其他条件。</w:t>
      </w:r>
    </w:p>
    <w:p w14:paraId="2C84AAC9">
      <w:pP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（二）落实政府采购政策需满足的资格要求：</w:t>
      </w:r>
    </w:p>
    <w:p w14:paraId="75B715A8">
      <w:pPr>
        <w:spacing w:line="44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本项目专门面向中小企业采购，所属行业为其他未列明行业，投标时须提供《中小企业声明函》。</w:t>
      </w:r>
    </w:p>
    <w:p w14:paraId="197D1372">
      <w:pPr>
        <w:spacing w:line="44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注：对残疾人福利性单位、监狱企业视同小型、微型企业，但须按要求提供有关声明函或证明文件。</w:t>
      </w:r>
    </w:p>
    <w:p w14:paraId="083BBB3D">
      <w:pP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（三）本项目的特定资格要求：无</w:t>
      </w:r>
    </w:p>
    <w:p w14:paraId="0E402169">
      <w:pPr>
        <w:spacing w:line="440" w:lineRule="exact"/>
        <w:rPr>
          <w:rFonts w:ascii="宋体" w:hAnsi="宋体" w:cs="宋体"/>
          <w:b/>
          <w:sz w:val="24"/>
          <w:szCs w:val="24"/>
          <w:highlight w:val="none"/>
        </w:rPr>
      </w:pPr>
      <w:r>
        <w:rPr>
          <w:rFonts w:hint="eastAsia" w:ascii="宋体" w:hAnsi="宋体" w:cs="宋体"/>
          <w:b/>
          <w:sz w:val="24"/>
          <w:szCs w:val="24"/>
          <w:highlight w:val="none"/>
        </w:rPr>
        <w:t>三、获取招标文件：</w:t>
      </w:r>
    </w:p>
    <w:p w14:paraId="2FF5B8AE">
      <w:pP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时间：自招标文件公告发布之日起5个工作日。</w:t>
      </w:r>
    </w:p>
    <w:p w14:paraId="48C1DB8A">
      <w:pP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方式：在“苏采云政府采购一体化平台”自行免费下载招标文件。</w:t>
      </w:r>
    </w:p>
    <w:p w14:paraId="39C3E6CF">
      <w:pP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1）参与采购活动：供应商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p>
    <w:p w14:paraId="0B5A0371">
      <w:pP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2）电子投标准备：供应商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p>
    <w:p w14:paraId="1354BCCD">
      <w:pP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售价：免费。</w:t>
      </w:r>
    </w:p>
    <w:p w14:paraId="57686F78">
      <w:pPr>
        <w:spacing w:line="440" w:lineRule="exact"/>
        <w:rPr>
          <w:rFonts w:ascii="宋体" w:hAnsi="宋体" w:cs="宋体"/>
          <w:b/>
          <w:sz w:val="24"/>
          <w:szCs w:val="24"/>
          <w:highlight w:val="none"/>
        </w:rPr>
      </w:pPr>
      <w:r>
        <w:rPr>
          <w:rFonts w:hint="eastAsia" w:ascii="宋体" w:hAnsi="宋体" w:cs="宋体"/>
          <w:b/>
          <w:sz w:val="24"/>
          <w:szCs w:val="24"/>
          <w:highlight w:val="none"/>
        </w:rPr>
        <w:t>四、提交投标文件截止时间、开标时间和地点：</w:t>
      </w:r>
    </w:p>
    <w:p w14:paraId="70C66A91">
      <w:pPr>
        <w:widowControl/>
        <w:spacing w:line="44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2026年</w:t>
      </w:r>
      <w:r>
        <w:rPr>
          <w:rFonts w:hint="eastAsia" w:ascii="宋体" w:hAnsi="宋体" w:cs="宋体"/>
          <w:kern w:val="0"/>
          <w:sz w:val="24"/>
          <w:szCs w:val="24"/>
          <w:highlight w:val="none"/>
          <w:lang w:val="en-US" w:eastAsia="zh-CN"/>
        </w:rPr>
        <w:t>10</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22</w:t>
      </w:r>
      <w:r>
        <w:rPr>
          <w:rFonts w:hint="eastAsia" w:ascii="宋体" w:hAnsi="宋体" w:cs="宋体"/>
          <w:kern w:val="0"/>
          <w:sz w:val="24"/>
          <w:szCs w:val="24"/>
          <w:highlight w:val="none"/>
        </w:rPr>
        <w:t>日13点00分（北京时间）</w:t>
      </w:r>
    </w:p>
    <w:p w14:paraId="70CDAF34">
      <w:pPr>
        <w:widowControl/>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本项目采用电子化采购形式，供应商应当按照《苏采云系统供应商操作手册》规定，须在投标截止时间前制作并上传电子投标文件至“苏采云”系统，否则视为放弃参加该采购项目。</w:t>
      </w:r>
    </w:p>
    <w:p w14:paraId="581DA537">
      <w:pPr>
        <w:widowControl/>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本项目采用不见面开标，供应商登录“苏采云”系统在平台首页点击“开标大厅”，进入江苏省政府采购一体化不见面开标（采购）大厅，选择对应项目，并按系统提示完成开标流程。</w:t>
      </w:r>
    </w:p>
    <w:p w14:paraId="191D806E">
      <w:pPr>
        <w:widowControl/>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开标地点：苏采云系统网上开标大厅</w:t>
      </w:r>
    </w:p>
    <w:p w14:paraId="0DE5F098">
      <w:pPr>
        <w:spacing w:line="440" w:lineRule="exact"/>
        <w:rPr>
          <w:rFonts w:ascii="宋体" w:hAnsi="宋体" w:cs="宋体"/>
          <w:b/>
          <w:sz w:val="24"/>
          <w:szCs w:val="24"/>
          <w:highlight w:val="none"/>
        </w:rPr>
      </w:pPr>
      <w:r>
        <w:rPr>
          <w:rFonts w:hint="eastAsia" w:ascii="宋体" w:hAnsi="宋体" w:cs="宋体"/>
          <w:b/>
          <w:sz w:val="24"/>
          <w:szCs w:val="24"/>
          <w:highlight w:val="none"/>
        </w:rPr>
        <w:t>五、</w:t>
      </w:r>
      <w:bookmarkEnd w:id="4"/>
      <w:bookmarkEnd w:id="9"/>
      <w:bookmarkEnd w:id="10"/>
      <w:bookmarkEnd w:id="11"/>
      <w:bookmarkEnd w:id="12"/>
      <w:r>
        <w:rPr>
          <w:rFonts w:hint="eastAsia" w:ascii="宋体" w:hAnsi="宋体" w:cs="宋体"/>
          <w:b/>
          <w:sz w:val="24"/>
          <w:szCs w:val="24"/>
          <w:highlight w:val="none"/>
        </w:rPr>
        <w:t>公告期限：</w:t>
      </w:r>
    </w:p>
    <w:p w14:paraId="40A7D0DD">
      <w:pPr>
        <w:widowControl/>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自本公告发布之日起5个工作日。</w:t>
      </w:r>
    </w:p>
    <w:p w14:paraId="288B3F50">
      <w:pPr>
        <w:spacing w:line="440" w:lineRule="exact"/>
        <w:rPr>
          <w:rFonts w:ascii="宋体" w:hAnsi="宋体" w:cs="宋体"/>
          <w:b/>
          <w:sz w:val="24"/>
          <w:szCs w:val="24"/>
          <w:highlight w:val="none"/>
        </w:rPr>
      </w:pPr>
      <w:r>
        <w:rPr>
          <w:rFonts w:hint="eastAsia" w:ascii="宋体" w:hAnsi="宋体" w:cs="宋体"/>
          <w:b/>
          <w:sz w:val="24"/>
          <w:szCs w:val="24"/>
          <w:highlight w:val="none"/>
        </w:rPr>
        <w:t>六、其他补充事宜：</w:t>
      </w:r>
    </w:p>
    <w:p w14:paraId="35E0A230">
      <w:pP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1、根据省财政厅《关于更换全省政府采购交易系统C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6EADD7B6">
      <w:pP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2、供应商在“苏采云”系统操作过程中如有疑问，请按以下方式联系：</w:t>
      </w:r>
    </w:p>
    <w:p w14:paraId="6CAAD020">
      <w:pP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CA技术咨询电话：400-608-6099；电子签章技术咨询电话:15380932027、13675197356、025-83633811、025-83633812；系统使用指导与咨询电话：18261002950、13914088964、0519-86722802；智能客服：登录苏采云系统后，联系系统右下方智能客服图标进行咨询。</w:t>
      </w:r>
    </w:p>
    <w:p w14:paraId="2E63921B">
      <w:pP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3、有关本次采购的事项若存在变动或修改，敬请及时关注“苏州市政府采购网”发布的更正公告</w:t>
      </w:r>
      <w:bookmarkStart w:id="13" w:name="_Hlk87882297"/>
      <w:r>
        <w:rPr>
          <w:rFonts w:hint="eastAsia" w:ascii="宋体" w:hAnsi="宋体" w:cs="宋体"/>
          <w:sz w:val="24"/>
          <w:szCs w:val="32"/>
          <w:highlight w:val="none"/>
        </w:rPr>
        <w:t>，并按规定获取相关信息内容。</w:t>
      </w:r>
      <w:bookmarkEnd w:id="13"/>
    </w:p>
    <w:p w14:paraId="49C665F7">
      <w:pP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4、本次采购项目有关时间要求均以北京时间为标准，使用24小时制。</w:t>
      </w:r>
    </w:p>
    <w:p w14:paraId="6DAA65DB">
      <w:pP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5、公告媒体：</w:t>
      </w:r>
      <w:r>
        <w:rPr>
          <w:rFonts w:hint="eastAsia" w:ascii="宋体" w:hAnsi="宋体" w:cs="宋体"/>
          <w:sz w:val="24"/>
          <w:highlight w:val="none"/>
        </w:rPr>
        <w:t>苏州市政府采购网、江苏政府采购网</w:t>
      </w:r>
      <w:r>
        <w:rPr>
          <w:rFonts w:hint="eastAsia" w:ascii="宋体" w:hAnsi="宋体" w:cs="宋体"/>
          <w:sz w:val="24"/>
          <w:szCs w:val="32"/>
          <w:highlight w:val="none"/>
        </w:rPr>
        <w:t>。</w:t>
      </w:r>
    </w:p>
    <w:p w14:paraId="5230D4B6">
      <w:pPr>
        <w:spacing w:line="440" w:lineRule="exact"/>
        <w:ind w:firstLine="480" w:firstLineChars="200"/>
        <w:rPr>
          <w:rFonts w:ascii="宋体" w:hAnsi="宋体" w:cs="宋体"/>
          <w:sz w:val="24"/>
          <w:szCs w:val="24"/>
          <w:highlight w:val="none"/>
        </w:rPr>
      </w:pPr>
      <w:r>
        <w:rPr>
          <w:rFonts w:hint="eastAsia" w:ascii="宋体" w:hAnsi="宋体" w:cs="宋体"/>
          <w:sz w:val="24"/>
          <w:szCs w:val="32"/>
          <w:highlight w:val="none"/>
        </w:rPr>
        <w:t>6、</w:t>
      </w:r>
      <w:r>
        <w:rPr>
          <w:rFonts w:hint="eastAsia" w:ascii="宋体" w:hAnsi="宋体" w:cs="宋体"/>
          <w:sz w:val="24"/>
          <w:szCs w:val="24"/>
          <w:highlight w:val="none"/>
        </w:rPr>
        <w:t>其他要求：</w:t>
      </w:r>
    </w:p>
    <w:p w14:paraId="78722A7A">
      <w:pP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p>
    <w:p w14:paraId="7991910C">
      <w:pPr>
        <w:spacing w:line="440" w:lineRule="exact"/>
        <w:ind w:firstLine="480" w:firstLineChars="200"/>
        <w:rPr>
          <w:rFonts w:ascii="宋体" w:hAnsi="宋体" w:cs="宋体"/>
          <w:sz w:val="24"/>
          <w:szCs w:val="32"/>
          <w:highlight w:val="none"/>
        </w:rPr>
      </w:pPr>
      <w:r>
        <w:rPr>
          <w:rFonts w:hint="eastAsia" w:ascii="宋体" w:hAnsi="宋体" w:cs="宋体"/>
          <w:sz w:val="24"/>
          <w:szCs w:val="24"/>
          <w:highlight w:val="none"/>
        </w:rPr>
        <w:t>（2）单位负责人为同一人或者存在直接控股、管理关系的不同投标人，不得参加同一合同项下的政府采购活动。</w:t>
      </w:r>
    </w:p>
    <w:p w14:paraId="0933DCF8">
      <w:pPr>
        <w:spacing w:line="440" w:lineRule="exact"/>
        <w:rPr>
          <w:rFonts w:ascii="宋体" w:hAnsi="宋体" w:cs="宋体"/>
          <w:b/>
          <w:sz w:val="24"/>
          <w:szCs w:val="24"/>
          <w:highlight w:val="none"/>
        </w:rPr>
      </w:pPr>
      <w:r>
        <w:rPr>
          <w:rFonts w:hint="eastAsia" w:ascii="宋体" w:hAnsi="宋体" w:cs="宋体"/>
          <w:b/>
          <w:sz w:val="24"/>
          <w:szCs w:val="24"/>
          <w:highlight w:val="none"/>
        </w:rPr>
        <w:t>七、凡对本次采购提出询问，请按以下方式联系。</w:t>
      </w:r>
    </w:p>
    <w:p w14:paraId="36B8EC1D">
      <w:pPr>
        <w:spacing w:line="440" w:lineRule="exact"/>
        <w:ind w:firstLine="480" w:firstLineChars="200"/>
        <w:rPr>
          <w:rFonts w:ascii="宋体" w:hAnsi="宋体" w:cs="宋体"/>
          <w:sz w:val="24"/>
          <w:szCs w:val="32"/>
          <w:highlight w:val="none"/>
        </w:rPr>
      </w:pPr>
      <w:bookmarkStart w:id="14" w:name="_Toc315868050"/>
      <w:bookmarkStart w:id="15" w:name="_Toc158691766"/>
      <w:bookmarkStart w:id="16" w:name="_Toc315875313"/>
      <w:r>
        <w:rPr>
          <w:rFonts w:hint="eastAsia" w:ascii="宋体" w:hAnsi="宋体" w:cs="宋体"/>
          <w:sz w:val="24"/>
          <w:szCs w:val="32"/>
          <w:highlight w:val="none"/>
        </w:rPr>
        <w:t>1、采购人信息</w:t>
      </w:r>
    </w:p>
    <w:p w14:paraId="75D54E79">
      <w:pP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单位名称：苏州市常熟生态环境局</w:t>
      </w:r>
    </w:p>
    <w:p w14:paraId="52D4C872">
      <w:pP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单位地址：常熟市海虞北路52号</w:t>
      </w:r>
    </w:p>
    <w:p w14:paraId="6D54F256">
      <w:pP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联系人：胡健</w:t>
      </w:r>
    </w:p>
    <w:p w14:paraId="3DFCB33C">
      <w:pP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联系方式：</w:t>
      </w:r>
      <w:bookmarkStart w:id="17" w:name="_Toc28359086"/>
      <w:bookmarkStart w:id="18" w:name="_Toc28359009"/>
      <w:r>
        <w:rPr>
          <w:rFonts w:hint="eastAsia" w:ascii="宋体" w:hAnsi="宋体" w:cs="宋体"/>
          <w:sz w:val="24"/>
          <w:szCs w:val="32"/>
          <w:highlight w:val="none"/>
        </w:rPr>
        <w:t>0512-52814869</w:t>
      </w:r>
    </w:p>
    <w:bookmarkEnd w:id="17"/>
    <w:bookmarkEnd w:id="18"/>
    <w:p w14:paraId="1DBDE514">
      <w:pP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2、采购代理机构信息</w:t>
      </w:r>
    </w:p>
    <w:p w14:paraId="1092EBC3">
      <w:pP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单位名称：涵熙（苏州）工程顾问有限公司</w:t>
      </w:r>
    </w:p>
    <w:p w14:paraId="2BB8E23C">
      <w:pP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单位地址：常熟市山茶花路10号</w:t>
      </w:r>
    </w:p>
    <w:p w14:paraId="664F58BD">
      <w:pP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联系人：杜毓蓉、王蔼玲</w:t>
      </w:r>
    </w:p>
    <w:p w14:paraId="339A788B">
      <w:pP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联系方式：0512-52952666</w:t>
      </w:r>
    </w:p>
    <w:p w14:paraId="241634B4">
      <w:pP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3、项目联系方式</w:t>
      </w:r>
    </w:p>
    <w:p w14:paraId="3E842E86">
      <w:pP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项目联系人：杜毓蓉、王蔼玲</w:t>
      </w:r>
    </w:p>
    <w:p w14:paraId="7C631E59">
      <w:pP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电话：0512-52952666</w:t>
      </w:r>
    </w:p>
    <w:p w14:paraId="14DC56AC">
      <w:pPr>
        <w:spacing w:line="440" w:lineRule="exact"/>
        <w:ind w:firstLine="5400" w:firstLineChars="2250"/>
        <w:jc w:val="right"/>
        <w:rPr>
          <w:rFonts w:ascii="宋体" w:hAnsi="宋体" w:cs="宋体"/>
          <w:sz w:val="24"/>
          <w:szCs w:val="24"/>
          <w:highlight w:val="none"/>
        </w:rPr>
      </w:pPr>
    </w:p>
    <w:p w14:paraId="0A14E1AF">
      <w:pPr>
        <w:rPr>
          <w:rFonts w:ascii="宋体" w:hAnsi="宋体" w:cs="宋体"/>
          <w:highlight w:val="none"/>
        </w:rPr>
      </w:pPr>
      <w:r>
        <w:rPr>
          <w:rFonts w:hint="eastAsia" w:ascii="宋体" w:hAnsi="宋体" w:cs="宋体"/>
          <w:highlight w:val="none"/>
        </w:rPr>
        <w:br w:type="page"/>
      </w:r>
    </w:p>
    <w:p w14:paraId="49A6CBE5">
      <w:pPr>
        <w:pStyle w:val="2"/>
        <w:rPr>
          <w:rFonts w:cs="宋体"/>
          <w:highlight w:val="none"/>
        </w:rPr>
      </w:pPr>
      <w:bookmarkStart w:id="19" w:name="_Toc6855"/>
      <w:r>
        <w:rPr>
          <w:rFonts w:hint="eastAsia" w:cs="宋体"/>
          <w:highlight w:val="none"/>
        </w:rPr>
        <w:t>第二章 投标人须知</w:t>
      </w:r>
      <w:bookmarkEnd w:id="14"/>
      <w:bookmarkEnd w:id="15"/>
      <w:bookmarkEnd w:id="16"/>
      <w:bookmarkEnd w:id="19"/>
    </w:p>
    <w:p w14:paraId="17DD349F">
      <w:pPr>
        <w:keepNext/>
        <w:keepLines/>
        <w:spacing w:before="152" w:beforeLines="50" w:after="152" w:afterLines="50" w:line="440" w:lineRule="exact"/>
        <w:outlineLvl w:val="2"/>
        <w:rPr>
          <w:rFonts w:ascii="宋体" w:hAnsi="宋体" w:cs="宋体"/>
          <w:b/>
          <w:bCs/>
          <w:sz w:val="32"/>
          <w:szCs w:val="32"/>
          <w:highlight w:val="none"/>
        </w:rPr>
      </w:pPr>
      <w:bookmarkStart w:id="20" w:name="_Toc6496"/>
      <w:bookmarkStart w:id="21" w:name="_Toc1525"/>
      <w:bookmarkStart w:id="22" w:name="_Toc19236"/>
      <w:bookmarkStart w:id="23" w:name="_Toc4302"/>
      <w:bookmarkStart w:id="24" w:name="_Toc14411"/>
      <w:bookmarkStart w:id="25" w:name="_Toc11952"/>
      <w:bookmarkStart w:id="26" w:name="_Toc26983"/>
      <w:bookmarkStart w:id="27" w:name="_Toc13772"/>
      <w:bookmarkStart w:id="28" w:name="_Toc21213"/>
      <w:bookmarkStart w:id="29" w:name="_Toc22217"/>
      <w:bookmarkStart w:id="30" w:name="_Toc25166"/>
      <w:r>
        <w:rPr>
          <w:rFonts w:hint="eastAsia" w:ascii="宋体" w:hAnsi="宋体" w:cs="宋体"/>
          <w:b/>
          <w:bCs/>
          <w:sz w:val="32"/>
          <w:szCs w:val="32"/>
          <w:highlight w:val="none"/>
        </w:rPr>
        <w:t>一、总则</w:t>
      </w:r>
      <w:bookmarkEnd w:id="20"/>
      <w:bookmarkEnd w:id="21"/>
      <w:bookmarkEnd w:id="22"/>
      <w:bookmarkEnd w:id="23"/>
      <w:bookmarkEnd w:id="24"/>
      <w:bookmarkEnd w:id="25"/>
      <w:bookmarkEnd w:id="26"/>
      <w:bookmarkEnd w:id="27"/>
      <w:bookmarkEnd w:id="28"/>
      <w:bookmarkEnd w:id="29"/>
      <w:bookmarkEnd w:id="30"/>
    </w:p>
    <w:p w14:paraId="139D7A19">
      <w:pPr>
        <w:keepNext/>
        <w:keepLines/>
        <w:spacing w:line="440" w:lineRule="exact"/>
        <w:ind w:firstLine="138" w:firstLineChars="49"/>
        <w:rPr>
          <w:rFonts w:ascii="宋体" w:hAnsi="宋体" w:cs="宋体"/>
          <w:b/>
          <w:kern w:val="0"/>
          <w:sz w:val="24"/>
          <w:szCs w:val="24"/>
          <w:highlight w:val="none"/>
        </w:rPr>
      </w:pPr>
      <w:r>
        <w:rPr>
          <w:rFonts w:hint="eastAsia" w:ascii="宋体" w:hAnsi="宋体" w:cs="宋体"/>
          <w:b/>
          <w:kern w:val="0"/>
          <w:sz w:val="28"/>
          <w:szCs w:val="28"/>
          <w:highlight w:val="none"/>
        </w:rPr>
        <w:t>1、采购方式及适用法律</w:t>
      </w:r>
    </w:p>
    <w:p w14:paraId="203C1043">
      <w:pPr>
        <w:spacing w:line="44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1.1 本次政府采购活动采取公开招标方式，本招标文件仅适用于招标公告中所述项目。</w:t>
      </w:r>
    </w:p>
    <w:p w14:paraId="11C1B6FA">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1.2本次招标及由此产生的合同受中华人民共和国有关的法律法规制约和保护。</w:t>
      </w:r>
    </w:p>
    <w:p w14:paraId="7D717E49">
      <w:pPr>
        <w:keepNext/>
        <w:keepLines/>
        <w:spacing w:line="440" w:lineRule="exact"/>
        <w:ind w:firstLine="138" w:firstLineChars="49"/>
        <w:rPr>
          <w:rFonts w:ascii="宋体" w:hAnsi="宋体" w:cs="宋体"/>
          <w:b/>
          <w:kern w:val="0"/>
          <w:sz w:val="24"/>
          <w:szCs w:val="24"/>
          <w:highlight w:val="none"/>
        </w:rPr>
      </w:pPr>
      <w:r>
        <w:rPr>
          <w:rFonts w:hint="eastAsia" w:ascii="宋体" w:hAnsi="宋体" w:cs="宋体"/>
          <w:b/>
          <w:kern w:val="0"/>
          <w:sz w:val="28"/>
          <w:szCs w:val="28"/>
          <w:highlight w:val="none"/>
        </w:rPr>
        <w:t>2、定义</w:t>
      </w:r>
    </w:p>
    <w:p w14:paraId="3C1D93D3">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2.1“采购人”系指购买本项目货物并接受相关服务的国家机关、事业单位、团体组织。</w:t>
      </w:r>
    </w:p>
    <w:p w14:paraId="361ED583">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2.2“采购代理机构”系指依法接受采购人委托，从事货物和服务等政府采购业务的采购代理机构（以下简称“代理机构”）。本项目采购代理机构为涵熙（苏州）工程顾问有限公司。</w:t>
      </w:r>
    </w:p>
    <w:p w14:paraId="24CCE562">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2.3“</w:t>
      </w:r>
      <w:r>
        <w:rPr>
          <w:rFonts w:hint="eastAsia" w:ascii="宋体" w:hAnsi="宋体" w:cs="宋体"/>
          <w:sz w:val="24"/>
          <w:szCs w:val="21"/>
          <w:highlight w:val="none"/>
        </w:rPr>
        <w:t>投标人</w:t>
      </w:r>
      <w:r>
        <w:rPr>
          <w:rFonts w:hint="eastAsia" w:ascii="宋体" w:hAnsi="宋体" w:cs="宋体"/>
          <w:kern w:val="0"/>
          <w:sz w:val="24"/>
          <w:szCs w:val="24"/>
          <w:highlight w:val="none"/>
        </w:rPr>
        <w:t>”系指响应招标、参加投标竞争的供应商。</w:t>
      </w:r>
    </w:p>
    <w:p w14:paraId="4D63E3D4">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3、合格的投标人</w:t>
      </w:r>
    </w:p>
    <w:p w14:paraId="5972ED50">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3.1 满足招标公告中供应商的资格要求的规定，详见《第一章 投标邀请》中投标人资格要求。</w:t>
      </w:r>
    </w:p>
    <w:p w14:paraId="2AE4F85A">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3.2 满足本文件实质性要求和条件的规定。</w:t>
      </w:r>
    </w:p>
    <w:p w14:paraId="57545895">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4、投标费用</w:t>
      </w:r>
    </w:p>
    <w:p w14:paraId="5B2FBAB9">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4.1无论投标过程中的做法和结果如何，投标人应自行承担所有与准备和参加投标有关的全部费用。</w:t>
      </w:r>
    </w:p>
    <w:p w14:paraId="39F3DBDD">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4.2本次招标采购代理机构和采购人不收取标书工本费。</w:t>
      </w:r>
    </w:p>
    <w:p w14:paraId="40046BAE">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4.3本项目采购代理服务费由采购人支付，采购代理服务费金额¥1</w:t>
      </w:r>
      <w:r>
        <w:rPr>
          <w:rFonts w:hint="eastAsia" w:ascii="宋体" w:hAnsi="宋体" w:cs="宋体"/>
          <w:kern w:val="0"/>
          <w:sz w:val="24"/>
          <w:szCs w:val="24"/>
          <w:highlight w:val="none"/>
          <w:lang w:val="en-US" w:eastAsia="zh-CN"/>
        </w:rPr>
        <w:t>284</w:t>
      </w:r>
      <w:r>
        <w:rPr>
          <w:rFonts w:hint="eastAsia" w:ascii="宋体" w:hAnsi="宋体" w:cs="宋体"/>
          <w:kern w:val="0"/>
          <w:sz w:val="24"/>
          <w:szCs w:val="24"/>
          <w:highlight w:val="none"/>
        </w:rPr>
        <w:t>0.00元（人民币</w:t>
      </w:r>
      <w:r>
        <w:rPr>
          <w:rFonts w:hint="eastAsia" w:ascii="宋体" w:hAnsi="宋体" w:cs="宋体"/>
          <w:kern w:val="0"/>
          <w:sz w:val="24"/>
          <w:szCs w:val="24"/>
          <w:highlight w:val="none"/>
          <w:lang w:val="en-US" w:eastAsia="zh-CN"/>
        </w:rPr>
        <w:t>壹万贰仟捌佰肆拾元整</w:t>
      </w:r>
      <w:r>
        <w:rPr>
          <w:rFonts w:hint="eastAsia" w:ascii="宋体" w:hAnsi="宋体" w:cs="宋体"/>
          <w:kern w:val="0"/>
          <w:sz w:val="24"/>
          <w:szCs w:val="24"/>
          <w:highlight w:val="none"/>
        </w:rPr>
        <w:t>）。</w:t>
      </w:r>
    </w:p>
    <w:p w14:paraId="6421F64D">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5、招标文件的约束力</w:t>
      </w:r>
    </w:p>
    <w:p w14:paraId="598A5912">
      <w:pPr>
        <w:spacing w:line="440" w:lineRule="exact"/>
        <w:ind w:firstLine="480"/>
        <w:rPr>
          <w:rFonts w:ascii="宋体" w:hAnsi="宋体" w:cs="宋体"/>
          <w:sz w:val="24"/>
          <w:szCs w:val="24"/>
          <w:highlight w:val="none"/>
        </w:rPr>
      </w:pPr>
      <w:r>
        <w:rPr>
          <w:rFonts w:hint="eastAsia" w:ascii="宋体" w:hAnsi="宋体" w:cs="宋体"/>
          <w:kern w:val="0"/>
          <w:sz w:val="24"/>
          <w:szCs w:val="24"/>
          <w:highlight w:val="none"/>
        </w:rPr>
        <w:t>5.1</w:t>
      </w:r>
      <w:r>
        <w:rPr>
          <w:rFonts w:hint="eastAsia" w:ascii="宋体" w:hAnsi="宋体" w:cs="宋体"/>
          <w:sz w:val="24"/>
          <w:szCs w:val="24"/>
          <w:highlight w:val="none"/>
        </w:rPr>
        <w:t>投标人一旦参加本项目采购活动，即被认为接受了本招标文件的规定和约束。</w:t>
      </w:r>
    </w:p>
    <w:p w14:paraId="0420F598">
      <w:pPr>
        <w:keepNext/>
        <w:keepLines/>
        <w:spacing w:before="152" w:beforeLines="50" w:after="152" w:afterLines="50" w:line="440" w:lineRule="exact"/>
        <w:outlineLvl w:val="2"/>
        <w:rPr>
          <w:rFonts w:ascii="宋体" w:hAnsi="宋体" w:cs="宋体"/>
          <w:b/>
          <w:bCs/>
          <w:sz w:val="32"/>
          <w:szCs w:val="32"/>
          <w:highlight w:val="none"/>
        </w:rPr>
      </w:pPr>
      <w:bookmarkStart w:id="31" w:name="_Toc24886"/>
      <w:bookmarkStart w:id="32" w:name="_Toc5867"/>
      <w:bookmarkStart w:id="33" w:name="_Toc15419"/>
      <w:bookmarkStart w:id="34" w:name="_Toc11533"/>
      <w:bookmarkStart w:id="35" w:name="_Toc3850"/>
      <w:bookmarkStart w:id="36" w:name="_Toc5354"/>
      <w:bookmarkStart w:id="37" w:name="_Toc13416"/>
      <w:bookmarkStart w:id="38" w:name="_Toc2267"/>
      <w:bookmarkStart w:id="39" w:name="_Toc15930"/>
      <w:bookmarkStart w:id="40" w:name="_Toc20302"/>
      <w:bookmarkStart w:id="41" w:name="_Toc10408"/>
      <w:r>
        <w:rPr>
          <w:rFonts w:hint="eastAsia" w:ascii="宋体" w:hAnsi="宋体" w:cs="宋体"/>
          <w:b/>
          <w:bCs/>
          <w:sz w:val="32"/>
          <w:szCs w:val="32"/>
          <w:highlight w:val="none"/>
        </w:rPr>
        <w:t>二、</w:t>
      </w:r>
      <w:bookmarkEnd w:id="31"/>
      <w:bookmarkEnd w:id="32"/>
      <w:bookmarkEnd w:id="33"/>
      <w:bookmarkEnd w:id="34"/>
      <w:bookmarkEnd w:id="35"/>
      <w:bookmarkEnd w:id="36"/>
      <w:r>
        <w:rPr>
          <w:rFonts w:hint="eastAsia" w:ascii="宋体" w:hAnsi="宋体" w:cs="宋体"/>
          <w:b/>
          <w:bCs/>
          <w:sz w:val="32"/>
          <w:szCs w:val="32"/>
          <w:highlight w:val="none"/>
        </w:rPr>
        <w:t>招标文件</w:t>
      </w:r>
      <w:bookmarkEnd w:id="37"/>
      <w:bookmarkEnd w:id="38"/>
      <w:bookmarkEnd w:id="39"/>
      <w:bookmarkEnd w:id="40"/>
      <w:bookmarkEnd w:id="41"/>
    </w:p>
    <w:p w14:paraId="4DE98B17">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6、招标文件构成</w:t>
      </w:r>
    </w:p>
    <w:p w14:paraId="3CC7712C">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6.1招标文件由以下部分组成：</w:t>
      </w:r>
    </w:p>
    <w:p w14:paraId="1EEEC927">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（1）投标邀请</w:t>
      </w:r>
    </w:p>
    <w:p w14:paraId="32213D18">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（2）投标人须知</w:t>
      </w:r>
    </w:p>
    <w:p w14:paraId="4F78C263">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（3）合同文本</w:t>
      </w:r>
    </w:p>
    <w:p w14:paraId="39FC6701">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（4）采购需求</w:t>
      </w:r>
    </w:p>
    <w:p w14:paraId="070C5051">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（5）评标方法与评标标准</w:t>
      </w:r>
    </w:p>
    <w:p w14:paraId="60589D70">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（6）投标文件格式</w:t>
      </w:r>
    </w:p>
    <w:p w14:paraId="506FFB2D">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请仔细检查招标文件是否齐全，如有缺漏请立即与代理机构联系解决。</w:t>
      </w:r>
    </w:p>
    <w:p w14:paraId="162A828B">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F12DC62">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6.3 招标文件及其更正事项如不是直接从指定媒体地址下载获得的，采购人或代理机构对招标文件及其补遗的真实性、完整性不承担任何责任。</w:t>
      </w:r>
    </w:p>
    <w:p w14:paraId="732C7260">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7、招标文件的澄清、修改</w:t>
      </w:r>
    </w:p>
    <w:p w14:paraId="6ED953A2">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7.1</w:t>
      </w:r>
      <w:bookmarkStart w:id="42" w:name="_Toc20364"/>
      <w:bookmarkStart w:id="43" w:name="_Toc9687"/>
      <w:bookmarkStart w:id="44" w:name="_Toc18617"/>
      <w:bookmarkStart w:id="45" w:name="_Toc25813"/>
      <w:bookmarkStart w:id="46" w:name="_Toc19823"/>
      <w:bookmarkStart w:id="47" w:name="_Toc20675"/>
      <w:r>
        <w:rPr>
          <w:rFonts w:hint="eastAsia" w:ascii="宋体" w:hAnsi="宋体" w:cs="宋体"/>
          <w:kern w:val="0"/>
          <w:sz w:val="24"/>
          <w:szCs w:val="24"/>
          <w:highlight w:val="none"/>
        </w:rPr>
        <w:t>出于实际需要或澄清投标人问题的情况下，代理机构可对已发出的招标文件进行必要的澄清或者修改，并将在指定媒体上发布。各投标人应在投标截止时间前关注苏州市政府采购网“补充通知”栏，按规定获取相关信息内容，否则其投标风险由投标人承担。</w:t>
      </w:r>
    </w:p>
    <w:p w14:paraId="685156EE">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7.2 代理机构有权按照法定的要求顺延投标截止时间和开标时间。</w:t>
      </w:r>
    </w:p>
    <w:p w14:paraId="1149F085">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7.3 有关澄清或者修改的内容将作为招标文件的组成部分，对所有投标人具有约束力。</w:t>
      </w:r>
    </w:p>
    <w:p w14:paraId="56B4423D">
      <w:pPr>
        <w:keepNext/>
        <w:keepLines/>
        <w:spacing w:before="152" w:beforeLines="50" w:after="152" w:afterLines="50" w:line="440" w:lineRule="exact"/>
        <w:outlineLvl w:val="2"/>
        <w:rPr>
          <w:rFonts w:ascii="宋体" w:hAnsi="宋体" w:cs="宋体"/>
          <w:b/>
          <w:bCs/>
          <w:sz w:val="32"/>
          <w:szCs w:val="32"/>
          <w:highlight w:val="none"/>
        </w:rPr>
      </w:pPr>
      <w:bookmarkStart w:id="48" w:name="_Toc8359"/>
      <w:bookmarkStart w:id="49" w:name="_Toc30247"/>
      <w:bookmarkStart w:id="50" w:name="_Toc31086"/>
      <w:bookmarkStart w:id="51" w:name="_Toc23549"/>
      <w:bookmarkStart w:id="52" w:name="_Toc8969"/>
      <w:r>
        <w:rPr>
          <w:rFonts w:hint="eastAsia" w:ascii="宋体" w:hAnsi="宋体" w:cs="宋体"/>
          <w:b/>
          <w:bCs/>
          <w:sz w:val="32"/>
          <w:szCs w:val="32"/>
          <w:highlight w:val="none"/>
        </w:rPr>
        <w:t>三、投标文件的编制</w:t>
      </w:r>
      <w:bookmarkEnd w:id="42"/>
      <w:bookmarkEnd w:id="43"/>
      <w:bookmarkEnd w:id="44"/>
      <w:bookmarkEnd w:id="45"/>
      <w:bookmarkEnd w:id="46"/>
      <w:bookmarkEnd w:id="47"/>
      <w:bookmarkEnd w:id="48"/>
      <w:bookmarkEnd w:id="49"/>
      <w:bookmarkEnd w:id="50"/>
      <w:bookmarkEnd w:id="51"/>
      <w:bookmarkEnd w:id="52"/>
    </w:p>
    <w:p w14:paraId="24D7EB4D">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8、投标文件的语言及度量衡单位</w:t>
      </w:r>
    </w:p>
    <w:p w14:paraId="313A8B1B">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8.1投标人提交的投标文件以及投标人与代理机构就有关投标的所有来往通知、函件和文件均应使用</w:t>
      </w:r>
      <w:r>
        <w:rPr>
          <w:rFonts w:hint="eastAsia" w:ascii="宋体" w:hAnsi="宋体" w:cs="宋体"/>
          <w:b/>
          <w:bCs/>
          <w:kern w:val="0"/>
          <w:sz w:val="24"/>
          <w:szCs w:val="24"/>
          <w:highlight w:val="none"/>
        </w:rPr>
        <w:t>简体中文</w:t>
      </w:r>
      <w:r>
        <w:rPr>
          <w:rFonts w:hint="eastAsia" w:ascii="宋体" w:hAnsi="宋体" w:cs="宋体"/>
          <w:kern w:val="0"/>
          <w:sz w:val="24"/>
          <w:szCs w:val="24"/>
          <w:highlight w:val="none"/>
        </w:rPr>
        <w:t>。</w:t>
      </w:r>
    </w:p>
    <w:p w14:paraId="43B3F287">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8.2除技术性能另有规定外，投标文件所使用的度量衡单位，均须采用国家法定计量单位。</w:t>
      </w:r>
    </w:p>
    <w:p w14:paraId="5796C056">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9、投标文件构成</w:t>
      </w:r>
    </w:p>
    <w:p w14:paraId="391BA66B">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9.1投标人编写的投标文件应包括资格证明文件、开标一览表、投标函、技术（或商务）要求响应及偏离表、项目实施方案、其他证明文件等部分。</w:t>
      </w:r>
    </w:p>
    <w:p w14:paraId="0EE02A0B">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9.2 如标书制作工具中格式和内容与指定媒体发布的招标文件不一致，请以指定媒体发布的招标文件为准。</w:t>
      </w:r>
    </w:p>
    <w:p w14:paraId="1245ADF7">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10、证明投标人及投标标的符合招标文件规定的文件</w:t>
      </w:r>
    </w:p>
    <w:p w14:paraId="2CA06579">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10.1 投标人应按照招标文件要求提交证明文件，证明其及投标标的符合招标文件规定。</w:t>
      </w:r>
    </w:p>
    <w:p w14:paraId="790F4F00">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10.2招标文件对证明文件无明确形式要求的，证明文件可以以文字资料、图纸和数据等形式提交。</w:t>
      </w:r>
    </w:p>
    <w:p w14:paraId="3EB5ADD8">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11、投标函和开标一览表</w:t>
      </w:r>
    </w:p>
    <w:p w14:paraId="5BD8019D">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11.1投标人应按照招标文件中提供的格式完整、正确填写投标函、开标一览表。</w:t>
      </w:r>
    </w:p>
    <w:p w14:paraId="354E8E55">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11.2 对于采用货币报价的项目，开标一览表中的投标总报价应与报价明细表中的投标总报价一致，如不一致不作为无效投标处理，但评标时按开标一览表中价格为准。</w:t>
      </w:r>
    </w:p>
    <w:p w14:paraId="7B6A7060">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12、报价明细表</w:t>
      </w:r>
    </w:p>
    <w:p w14:paraId="142B00E3">
      <w:pPr>
        <w:spacing w:line="500" w:lineRule="exact"/>
        <w:ind w:firstLine="480"/>
        <w:rPr>
          <w:rFonts w:ascii="宋体" w:hAnsi="宋体" w:cs="宋体"/>
          <w:bCs/>
          <w:sz w:val="24"/>
          <w:szCs w:val="21"/>
          <w:highlight w:val="none"/>
        </w:rPr>
      </w:pPr>
      <w:r>
        <w:rPr>
          <w:rFonts w:hint="eastAsia" w:ascii="宋体" w:hAnsi="宋体" w:cs="宋体"/>
          <w:kern w:val="0"/>
          <w:sz w:val="24"/>
          <w:szCs w:val="24"/>
          <w:highlight w:val="none"/>
        </w:rPr>
        <w:t>12.1</w:t>
      </w:r>
      <w:r>
        <w:rPr>
          <w:rFonts w:hint="eastAsia" w:ascii="宋体" w:hAnsi="宋体" w:cs="宋体"/>
          <w:sz w:val="24"/>
          <w:szCs w:val="21"/>
          <w:highlight w:val="none"/>
        </w:rPr>
        <w:t>投标人应按照招标文件规定格式填报报价明细表。</w:t>
      </w:r>
    </w:p>
    <w:p w14:paraId="54EC4CB7">
      <w:pPr>
        <w:spacing w:line="500" w:lineRule="exact"/>
        <w:ind w:firstLine="480"/>
        <w:rPr>
          <w:rFonts w:ascii="宋体" w:hAnsi="宋体" w:cs="宋体"/>
          <w:kern w:val="0"/>
          <w:sz w:val="24"/>
          <w:szCs w:val="24"/>
          <w:highlight w:val="none"/>
        </w:rPr>
      </w:pPr>
      <w:r>
        <w:rPr>
          <w:rFonts w:hint="eastAsia" w:ascii="宋体" w:hAnsi="宋体" w:cs="宋体"/>
          <w:sz w:val="24"/>
          <w:szCs w:val="24"/>
          <w:highlight w:val="none"/>
        </w:rPr>
        <w:t>12.2</w:t>
      </w:r>
      <w:r>
        <w:rPr>
          <w:rFonts w:hint="eastAsia" w:ascii="宋体" w:hAnsi="宋体" w:cs="宋体"/>
          <w:sz w:val="24"/>
          <w:szCs w:val="21"/>
          <w:highlight w:val="none"/>
        </w:rPr>
        <w:t xml:space="preserve"> </w:t>
      </w:r>
      <w:r>
        <w:rPr>
          <w:rFonts w:hint="eastAsia" w:ascii="宋体" w:hAnsi="宋体" w:cs="宋体"/>
          <w:bCs/>
          <w:sz w:val="24"/>
          <w:szCs w:val="21"/>
          <w:highlight w:val="none"/>
        </w:rPr>
        <w:t>投标货币。投标文件中的单价和总价无特殊规定的采用人民币报价，以元为单位标注。</w:t>
      </w:r>
      <w:r>
        <w:rPr>
          <w:rFonts w:hint="eastAsia" w:ascii="宋体" w:hAnsi="宋体" w:cs="宋体"/>
          <w:sz w:val="24"/>
          <w:szCs w:val="21"/>
          <w:highlight w:val="none"/>
        </w:rPr>
        <w:t>招标文件中另有规定的按规定执行。</w:t>
      </w:r>
    </w:p>
    <w:p w14:paraId="710EC795">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13、服务、商务要求响应及偏离表</w:t>
      </w:r>
    </w:p>
    <w:p w14:paraId="1F24DFED">
      <w:pPr>
        <w:spacing w:line="500" w:lineRule="exact"/>
        <w:ind w:firstLine="480"/>
        <w:rPr>
          <w:rFonts w:ascii="宋体" w:hAnsi="宋体" w:cs="宋体"/>
          <w:sz w:val="24"/>
          <w:szCs w:val="21"/>
          <w:highlight w:val="none"/>
          <w:lang w:val="zh-CN"/>
        </w:rPr>
      </w:pPr>
      <w:r>
        <w:rPr>
          <w:rFonts w:hint="eastAsia" w:ascii="宋体" w:hAnsi="宋体" w:cs="宋体"/>
          <w:kern w:val="0"/>
          <w:sz w:val="24"/>
          <w:szCs w:val="24"/>
          <w:highlight w:val="none"/>
        </w:rPr>
        <w:t>13.1</w:t>
      </w:r>
      <w:r>
        <w:rPr>
          <w:rFonts w:hint="eastAsia" w:ascii="宋体" w:hAnsi="宋体" w:cs="宋体"/>
          <w:sz w:val="24"/>
          <w:szCs w:val="21"/>
          <w:highlight w:val="none"/>
          <w:lang w:val="zh-CN"/>
        </w:rPr>
        <w:t>投标人需对招标文件中的服务要求与商务要求逐项作出响应或偏离，并说明原因。</w:t>
      </w:r>
    </w:p>
    <w:p w14:paraId="14C65F9D">
      <w:pPr>
        <w:spacing w:line="500" w:lineRule="exact"/>
        <w:ind w:firstLine="480"/>
        <w:rPr>
          <w:rFonts w:ascii="宋体" w:hAnsi="宋体" w:cs="宋体"/>
          <w:sz w:val="24"/>
          <w:highlight w:val="none"/>
          <w:lang w:val="zh-CN"/>
        </w:rPr>
      </w:pPr>
      <w:r>
        <w:rPr>
          <w:rFonts w:hint="eastAsia" w:ascii="宋体" w:hAnsi="宋体" w:cs="宋体"/>
          <w:sz w:val="24"/>
          <w:szCs w:val="24"/>
          <w:highlight w:val="none"/>
        </w:rPr>
        <w:t>13.2</w:t>
      </w:r>
      <w:r>
        <w:rPr>
          <w:rFonts w:hint="eastAsia" w:ascii="宋体" w:hAnsi="宋体" w:cs="宋体"/>
          <w:sz w:val="24"/>
          <w:szCs w:val="21"/>
          <w:highlight w:val="none"/>
          <w:lang w:val="zh-CN"/>
        </w:rPr>
        <w:t xml:space="preserve"> </w:t>
      </w:r>
      <w:r>
        <w:rPr>
          <w:rFonts w:hint="eastAsia" w:ascii="宋体" w:hAnsi="宋体" w:cs="宋体"/>
          <w:sz w:val="24"/>
          <w:highlight w:val="none"/>
          <w:lang w:val="zh-CN"/>
        </w:rPr>
        <w:t>投标人需按照招标文件要求，在投标文件中提供与服务要求和商务要求相关的证明材料。（如有）</w:t>
      </w:r>
    </w:p>
    <w:p w14:paraId="78085326">
      <w:pPr>
        <w:keepNext/>
        <w:keepLines/>
        <w:spacing w:line="440" w:lineRule="exact"/>
        <w:ind w:firstLine="141" w:firstLineChars="50"/>
        <w:rPr>
          <w:rFonts w:ascii="宋体" w:hAnsi="宋体" w:cs="宋体"/>
          <w:b/>
          <w:kern w:val="0"/>
          <w:sz w:val="28"/>
          <w:szCs w:val="28"/>
          <w:highlight w:val="none"/>
        </w:rPr>
      </w:pPr>
      <w:r>
        <w:rPr>
          <w:rFonts w:hint="eastAsia" w:ascii="宋体" w:hAnsi="宋体" w:cs="宋体"/>
          <w:b/>
          <w:kern w:val="0"/>
          <w:sz w:val="28"/>
          <w:szCs w:val="28"/>
          <w:highlight w:val="none"/>
        </w:rPr>
        <w:t>14、项目实施方案、项目组人员一览表、业绩情况</w:t>
      </w:r>
    </w:p>
    <w:p w14:paraId="01B63BD0">
      <w:pPr>
        <w:spacing w:line="500" w:lineRule="exact"/>
        <w:ind w:firstLine="480"/>
        <w:rPr>
          <w:rFonts w:ascii="宋体" w:hAnsi="宋体" w:cs="宋体"/>
          <w:sz w:val="24"/>
          <w:szCs w:val="24"/>
          <w:highlight w:val="none"/>
        </w:rPr>
      </w:pPr>
      <w:r>
        <w:rPr>
          <w:rFonts w:hint="eastAsia" w:ascii="宋体" w:hAnsi="宋体" w:cs="宋体"/>
          <w:sz w:val="24"/>
          <w:szCs w:val="24"/>
          <w:highlight w:val="none"/>
        </w:rPr>
        <w:t>14.1</w:t>
      </w:r>
      <w:bookmarkStart w:id="53" w:name="_Toc49090510"/>
      <w:bookmarkStart w:id="54" w:name="_Toc14577359"/>
      <w:r>
        <w:rPr>
          <w:rFonts w:hint="eastAsia" w:ascii="宋体" w:hAnsi="宋体" w:cs="宋体"/>
          <w:sz w:val="24"/>
          <w:szCs w:val="24"/>
          <w:highlight w:val="none"/>
        </w:rPr>
        <w:t>投标人需根据招标文件要求提供有关项目实施方案、项目组人员一览表等。</w:t>
      </w:r>
    </w:p>
    <w:p w14:paraId="0D57464E">
      <w:pPr>
        <w:spacing w:line="500" w:lineRule="exact"/>
        <w:ind w:firstLine="480"/>
        <w:rPr>
          <w:rFonts w:ascii="宋体" w:hAnsi="宋体" w:cs="宋体"/>
          <w:sz w:val="24"/>
          <w:szCs w:val="24"/>
          <w:highlight w:val="none"/>
        </w:rPr>
      </w:pPr>
      <w:r>
        <w:rPr>
          <w:rFonts w:hint="eastAsia" w:ascii="宋体" w:hAnsi="宋体" w:cs="宋体"/>
          <w:sz w:val="24"/>
          <w:szCs w:val="24"/>
          <w:highlight w:val="none"/>
        </w:rPr>
        <w:t>14.2 投标人需根据招标文件要求提供实施的类似项目业绩情况。</w:t>
      </w:r>
    </w:p>
    <w:bookmarkEnd w:id="53"/>
    <w:bookmarkEnd w:id="54"/>
    <w:p w14:paraId="05F49514">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15、投标有效期</w:t>
      </w:r>
    </w:p>
    <w:p w14:paraId="4235C9F9">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15.1投标有效期为代理机构规定的提交投标文件截止之日后</w:t>
      </w:r>
      <w:r>
        <w:rPr>
          <w:rFonts w:hint="eastAsia" w:ascii="宋体" w:hAnsi="宋体" w:cs="宋体"/>
          <w:b/>
          <w:bCs/>
          <w:kern w:val="0"/>
          <w:sz w:val="24"/>
          <w:szCs w:val="24"/>
          <w:highlight w:val="none"/>
          <w:u w:val="single"/>
        </w:rPr>
        <w:t>六十（60）天</w:t>
      </w:r>
      <w:r>
        <w:rPr>
          <w:rFonts w:hint="eastAsia" w:ascii="宋体" w:hAnsi="宋体" w:cs="宋体"/>
          <w:kern w:val="0"/>
          <w:sz w:val="24"/>
          <w:szCs w:val="24"/>
          <w:highlight w:val="none"/>
        </w:rPr>
        <w:t>。投标有效期比规定短的将被视为非实质性响应招标文件而予以拒绝。</w:t>
      </w:r>
    </w:p>
    <w:p w14:paraId="7719A915">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16、投标有效期的延长</w:t>
      </w:r>
    </w:p>
    <w:p w14:paraId="1322A421">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49E7E66A">
      <w:pPr>
        <w:keepNext/>
        <w:keepLines/>
        <w:spacing w:before="152" w:beforeLines="50" w:after="152" w:afterLines="50" w:line="440" w:lineRule="exact"/>
        <w:outlineLvl w:val="2"/>
        <w:rPr>
          <w:rFonts w:ascii="宋体" w:hAnsi="宋体" w:cs="宋体"/>
          <w:b/>
          <w:bCs/>
          <w:sz w:val="32"/>
          <w:szCs w:val="32"/>
          <w:highlight w:val="none"/>
        </w:rPr>
      </w:pPr>
      <w:bookmarkStart w:id="55" w:name="_Toc959"/>
      <w:bookmarkStart w:id="56" w:name="_Toc16363"/>
      <w:bookmarkStart w:id="57" w:name="_Toc25796"/>
      <w:bookmarkStart w:id="58" w:name="_Toc14870"/>
      <w:bookmarkStart w:id="59" w:name="_Toc13568"/>
      <w:bookmarkStart w:id="60" w:name="_Toc5321"/>
      <w:bookmarkStart w:id="61" w:name="_Toc418"/>
      <w:bookmarkStart w:id="62" w:name="_Toc1373"/>
      <w:bookmarkStart w:id="63" w:name="_Toc8187"/>
      <w:bookmarkStart w:id="64" w:name="_Toc30450"/>
      <w:bookmarkStart w:id="65" w:name="_Toc24414"/>
      <w:r>
        <w:rPr>
          <w:rFonts w:hint="eastAsia" w:ascii="宋体" w:hAnsi="宋体" w:cs="宋体"/>
          <w:b/>
          <w:bCs/>
          <w:sz w:val="32"/>
          <w:szCs w:val="32"/>
          <w:highlight w:val="none"/>
        </w:rPr>
        <w:t>四、投标文件的递交</w:t>
      </w:r>
      <w:bookmarkEnd w:id="55"/>
      <w:bookmarkEnd w:id="56"/>
      <w:bookmarkEnd w:id="57"/>
      <w:bookmarkEnd w:id="58"/>
      <w:bookmarkEnd w:id="59"/>
      <w:bookmarkEnd w:id="60"/>
      <w:bookmarkEnd w:id="61"/>
      <w:bookmarkEnd w:id="62"/>
      <w:bookmarkEnd w:id="63"/>
      <w:bookmarkEnd w:id="64"/>
      <w:bookmarkEnd w:id="65"/>
    </w:p>
    <w:p w14:paraId="68245E25">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17、电子投标文件的递交</w:t>
      </w:r>
    </w:p>
    <w:p w14:paraId="6E7E917D">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17.1投标人应当按照《苏采云系统投标人操作手册》规定，在提交投标文件截止时间前制作并上传电子投标文件。</w:t>
      </w:r>
    </w:p>
    <w:p w14:paraId="2455E0EB">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17.2如投标人投报多个分包的，应分别制作所投每个分包的投标文件，再根据此文档分别制作所投每个分包的电子投标文件。按规定将所投每个分包的的电子投标文件分别上传到对应分包页面中。如未上传的视同为未参加本项目对应分包的投标。</w:t>
      </w:r>
    </w:p>
    <w:p w14:paraId="6376CB22">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18、提交投标文件截止时间</w:t>
      </w:r>
    </w:p>
    <w:p w14:paraId="297610C3">
      <w:pPr>
        <w:spacing w:line="440" w:lineRule="exact"/>
        <w:ind w:firstLine="480"/>
        <w:rPr>
          <w:rFonts w:ascii="宋体" w:hAnsi="宋体" w:cs="宋体"/>
          <w:b/>
          <w:bCs/>
          <w:kern w:val="0"/>
          <w:sz w:val="24"/>
          <w:szCs w:val="24"/>
          <w:highlight w:val="none"/>
        </w:rPr>
      </w:pPr>
      <w:r>
        <w:rPr>
          <w:rFonts w:hint="eastAsia" w:ascii="宋体" w:hAnsi="宋体" w:cs="宋体"/>
          <w:b/>
          <w:bCs/>
          <w:kern w:val="0"/>
          <w:sz w:val="24"/>
          <w:szCs w:val="24"/>
          <w:highlight w:val="none"/>
        </w:rPr>
        <w:t>18.1投标人上传电子投标文件的时间不得迟于招标公告中规定的提交投标文件截止时间。</w:t>
      </w:r>
    </w:p>
    <w:p w14:paraId="23B9AEDB">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投标人应充分考虑到网络环境、网络带宽等风险因素，如因投标人自身原因造成的电子投标文件上传不成功的作无效响应处理。</w:t>
      </w:r>
    </w:p>
    <w:p w14:paraId="01A634E9">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18.2代理机构可以按照规定，通过修改招标文件酌情延长提交投标文件截止日期，在此情况下，投标人的所有权利和义务以及投标人受制的截止日期均应以延长后新的截止日期为准。</w:t>
      </w:r>
    </w:p>
    <w:p w14:paraId="186B8CE9">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19、投标文件的拒收</w:t>
      </w:r>
    </w:p>
    <w:p w14:paraId="1F0B8B1F">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19.1代理机构拒绝接收在其规定的提交投标文件截止时间后上传的任何电子投标文件。</w:t>
      </w:r>
    </w:p>
    <w:p w14:paraId="2F7E078C">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20、投标文件的撤回和修改</w:t>
      </w:r>
    </w:p>
    <w:p w14:paraId="6A7A13FC">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20.1投标文件的撤回</w:t>
      </w:r>
    </w:p>
    <w:p w14:paraId="5DBF4533">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21.1.1电子投标文件的撤回</w:t>
      </w:r>
    </w:p>
    <w:p w14:paraId="57397EAA">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投标人可在提交投标文件截止时间前，撤回其电子投标文件，具体操作方法见《</w:t>
      </w:r>
      <w:r>
        <w:rPr>
          <w:rFonts w:hint="eastAsia" w:ascii="宋体" w:hAnsi="宋体" w:cs="宋体"/>
          <w:sz w:val="24"/>
          <w:szCs w:val="24"/>
          <w:highlight w:val="none"/>
        </w:rPr>
        <w:t>苏采云系统投标人操作手册</w:t>
      </w:r>
      <w:r>
        <w:rPr>
          <w:rFonts w:hint="eastAsia" w:ascii="宋体" w:hAnsi="宋体" w:cs="宋体"/>
          <w:kern w:val="0"/>
          <w:sz w:val="24"/>
          <w:szCs w:val="24"/>
          <w:highlight w:val="none"/>
        </w:rPr>
        <w:t>》。</w:t>
      </w:r>
    </w:p>
    <w:p w14:paraId="661BB4FA">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21.1.2投标人撤回电子投标文件，则认为其不再参与本项目投标活动。</w:t>
      </w:r>
    </w:p>
    <w:p w14:paraId="6A65DB20">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20.2投标文件的修改</w:t>
      </w:r>
    </w:p>
    <w:p w14:paraId="4328EF01">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投标人可在提交投标文件截止时间前，对其电子投标文件进行修改，具体操作方法见《</w:t>
      </w:r>
      <w:r>
        <w:rPr>
          <w:rFonts w:hint="eastAsia" w:ascii="宋体" w:hAnsi="宋体" w:cs="宋体"/>
          <w:sz w:val="24"/>
          <w:szCs w:val="24"/>
          <w:highlight w:val="none"/>
        </w:rPr>
        <w:t>苏采云系统投标人操作手册</w:t>
      </w:r>
      <w:r>
        <w:rPr>
          <w:rFonts w:hint="eastAsia" w:ascii="宋体" w:hAnsi="宋体" w:cs="宋体"/>
          <w:kern w:val="0"/>
          <w:sz w:val="24"/>
          <w:szCs w:val="24"/>
          <w:highlight w:val="none"/>
        </w:rPr>
        <w:t>》。</w:t>
      </w:r>
    </w:p>
    <w:p w14:paraId="6B9E04C4">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20.3在提交投标文件截止时间之后，投标人不得对其电子投标文件作任何修改。</w:t>
      </w:r>
    </w:p>
    <w:p w14:paraId="50296A7D">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20.4在提交投标文件截止时间至招标文件中规定的投标有效期满之间的这段时间内，投标人不得撤回其投标文件。</w:t>
      </w:r>
    </w:p>
    <w:p w14:paraId="5A65DE47">
      <w:pPr>
        <w:keepNext/>
        <w:keepLines/>
        <w:spacing w:before="152" w:beforeLines="50" w:after="152" w:afterLines="50" w:line="440" w:lineRule="exact"/>
        <w:outlineLvl w:val="2"/>
        <w:rPr>
          <w:rFonts w:ascii="宋体" w:hAnsi="宋体" w:cs="宋体"/>
          <w:b/>
          <w:bCs/>
          <w:sz w:val="32"/>
          <w:szCs w:val="32"/>
          <w:highlight w:val="none"/>
        </w:rPr>
      </w:pPr>
      <w:bookmarkStart w:id="66" w:name="_Toc8142"/>
      <w:bookmarkStart w:id="67" w:name="_Toc19354"/>
      <w:bookmarkStart w:id="68" w:name="_Toc5428"/>
      <w:bookmarkStart w:id="69" w:name="_Toc7502"/>
      <w:bookmarkStart w:id="70" w:name="_Toc29345"/>
      <w:bookmarkStart w:id="71" w:name="_Toc15284"/>
      <w:bookmarkStart w:id="72" w:name="_Toc1603"/>
      <w:bookmarkStart w:id="73" w:name="_Toc26408"/>
      <w:bookmarkStart w:id="74" w:name="_Toc4442"/>
      <w:bookmarkStart w:id="75" w:name="_Toc32035"/>
      <w:bookmarkStart w:id="76" w:name="_Toc28189"/>
      <w:r>
        <w:rPr>
          <w:rFonts w:hint="eastAsia" w:ascii="宋体" w:hAnsi="宋体" w:cs="宋体"/>
          <w:b/>
          <w:bCs/>
          <w:sz w:val="32"/>
          <w:szCs w:val="32"/>
          <w:highlight w:val="none"/>
        </w:rPr>
        <w:t>五、开标与评审</w:t>
      </w:r>
      <w:bookmarkEnd w:id="66"/>
      <w:bookmarkEnd w:id="67"/>
      <w:bookmarkEnd w:id="68"/>
      <w:bookmarkEnd w:id="69"/>
      <w:bookmarkEnd w:id="70"/>
      <w:bookmarkEnd w:id="71"/>
      <w:bookmarkEnd w:id="72"/>
      <w:bookmarkEnd w:id="73"/>
      <w:bookmarkEnd w:id="74"/>
      <w:bookmarkEnd w:id="75"/>
      <w:bookmarkEnd w:id="76"/>
    </w:p>
    <w:p w14:paraId="7B33D0B8">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21、开标</w:t>
      </w:r>
    </w:p>
    <w:p w14:paraId="2D783439">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21.1代理机构将在招标公告中规定的时间和地点组织公开开标。投标人应当按照《苏采云系统投标人操作手册》规定，参加开标活动和在苏采云系统规定的时间内对投标文件进行解密。</w:t>
      </w:r>
    </w:p>
    <w:p w14:paraId="457E5C7D">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21.2开标仪式由代理机构组织。苏采云系统将自动对项目进行开标，并宣布各投标人名称。</w:t>
      </w:r>
    </w:p>
    <w:p w14:paraId="53FAFE40">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21.3投标人在开标过程中涉及到的投标文件解密、开标结果确认等工作，应按照《苏采云系统投标人操作手册》规定执行。</w:t>
      </w:r>
    </w:p>
    <w:p w14:paraId="2FB38560">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21.4投标人如果对开标过程和开标记录有疑义，应当根据《操作手册》规定提出，如苏采云系统中《开标记录表》宣布后5分钟内未提出的，视同认可开标结果。</w:t>
      </w:r>
    </w:p>
    <w:p w14:paraId="29E0559C">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22、评标委员会</w:t>
      </w:r>
    </w:p>
    <w:p w14:paraId="4E13C422">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22.1 开标后，代理机构将立即组织评标委员会（以下简称评委会）进行评标。</w:t>
      </w:r>
    </w:p>
    <w:p w14:paraId="7A5B6416">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 xml:space="preserve">22.2 </w:t>
      </w:r>
      <w:r>
        <w:rPr>
          <w:rFonts w:hint="eastAsia" w:ascii="宋体" w:hAnsi="宋体" w:cs="宋体"/>
          <w:sz w:val="24"/>
          <w:szCs w:val="24"/>
          <w:highlight w:val="none"/>
        </w:rPr>
        <w:t>评委会由采购人代表和有关技术、经济等方面的专家组成，且人员构成符合政府采购有关规定</w:t>
      </w:r>
      <w:r>
        <w:rPr>
          <w:rFonts w:hint="eastAsia" w:ascii="宋体" w:hAnsi="宋体" w:cs="宋体"/>
          <w:kern w:val="0"/>
          <w:sz w:val="24"/>
          <w:szCs w:val="24"/>
          <w:highlight w:val="none"/>
        </w:rPr>
        <w:t>。</w:t>
      </w:r>
    </w:p>
    <w:p w14:paraId="50B1F7F4">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22.3评委会独立工作，负责评审所有投标文件并确定中标侯选人。</w:t>
      </w:r>
    </w:p>
    <w:p w14:paraId="792BCFD7">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23、评审过程的保密与公正</w:t>
      </w:r>
    </w:p>
    <w:p w14:paraId="57E003CC">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23.1凡是与审查、澄清、评价和比较投标的有关资料以及授标建议等，采购人、评委、代理机构均不得向投标人或与评标无关的其他人员透露。</w:t>
      </w:r>
    </w:p>
    <w:p w14:paraId="638D4BA4">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23.2在评标过程中，投标人不得以任何行为影响评标过程，否则其投标文件将被作为无效投标文件。</w:t>
      </w:r>
    </w:p>
    <w:p w14:paraId="6D1FA467">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23.3 代理机构和评委会不向未中标的投标人解释未中标原因，也不公布评标过程中的相关细节。</w:t>
      </w:r>
    </w:p>
    <w:p w14:paraId="312C5C4E">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23.4 采用综合评分法的项目，未中标的投标人可于中标结果公告期限届满之日起通过苏采云系统查看自己的评审得分及排序情况。</w:t>
      </w:r>
    </w:p>
    <w:p w14:paraId="50B8943A">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24、投标文件的澄清</w:t>
      </w:r>
    </w:p>
    <w:p w14:paraId="65B96F65">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24.1 评标期间，评委会对投标文件中含义不明确、同类问题表述不一致或者有明显文字和计算错误的内容，有权要求投标人作出必要的澄清、说明或者补正。</w:t>
      </w:r>
    </w:p>
    <w:p w14:paraId="355AF970">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投标人的澄清、说明或者补正不得超出投标文件的范围或者改变投标文件的实质性内容。</w:t>
      </w:r>
    </w:p>
    <w:p w14:paraId="4538A1B8">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评标委员会并非对每个投标人都做澄清要求。</w:t>
      </w:r>
    </w:p>
    <w:p w14:paraId="20ACCD2E">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p>
    <w:p w14:paraId="7497C96D">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24.3 接到评委会澄清、说明和补正要求的投标人如未按规定做出澄清、说明和补正，其风险由投标人自行承担。</w:t>
      </w:r>
    </w:p>
    <w:p w14:paraId="102CB97F">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25、对投标文件的审查</w:t>
      </w:r>
    </w:p>
    <w:p w14:paraId="42729832">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25.1投标文件审查分为资格审查和符合性审查。</w:t>
      </w:r>
    </w:p>
    <w:p w14:paraId="08759B7F">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25.1.1</w:t>
      </w:r>
      <w:r>
        <w:rPr>
          <w:rFonts w:hint="eastAsia" w:ascii="宋体" w:hAnsi="宋体" w:cs="宋体"/>
          <w:bCs/>
          <w:sz w:val="24"/>
          <w:szCs w:val="21"/>
          <w:highlight w:val="none"/>
        </w:rPr>
        <w:t>资格审查：依据法律法规和招标文件的规定，由采购人对投标文件中的资格证明文件进行审查。资格审查的结论，采购人以书面形式向评委会进行反馈。</w:t>
      </w:r>
    </w:p>
    <w:p w14:paraId="4F3FA7E6">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采购人在进行资格审查的同时，将在信用中国 （ https://www.creditchina.gov.cn/ ） 对投标人的诚信记录进行查询，以确定投标人是否具备投标资格,查询结果留存并归档。</w:t>
      </w:r>
    </w:p>
    <w:p w14:paraId="374CCB49">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接受联合体的项目，两个以上的自然人、法人或者其他组织组成一个联合体，以一个投标人的身份共同参加政府采购活动的，联合体成员中任何一方存在不良信用记录的，视同联合体存在不良信用记录。</w:t>
      </w:r>
    </w:p>
    <w:p w14:paraId="60367900">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25.1.2符合性审查：依据招标文件的规定，由评委会从投标文件的有效性、完整性和对招标文件的响应程度进行审查，以确定是否对招标文件的实质性要求作出响应。</w:t>
      </w:r>
    </w:p>
    <w:p w14:paraId="14E7F769">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25.1.3未通过资格审查或符合性审查的投标人，评委会将在苏采云系统中告知未通过资格审查或符合性审查的原因，评审结束后，评委会将不再告知未通过资格审查或符合性审查的原因。</w:t>
      </w:r>
    </w:p>
    <w:p w14:paraId="21880D89">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25.2在详细评审之前，评委会将首先审查每份投标文件是否实质性响应了招标文件的要求。实质性响应的投标文件应该是与招标文件要求的条款、条件和规格相符，没有重大偏离或保留。</w:t>
      </w:r>
    </w:p>
    <w:p w14:paraId="3CBC9850">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由评委会按照少数服从多数的原则认定。评委会决定投标文件的响应性只根据投标文件本身的内容，而不寻求外部的证据。</w:t>
      </w:r>
    </w:p>
    <w:p w14:paraId="6FE16E79">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25.3如果投标文件实质上没有响应招标文件的要求，评委会将予以拒绝，投标人不得通过修改或撤销不合要求的偏离或保留而使其投标成为实质性响应的投标。</w:t>
      </w:r>
    </w:p>
    <w:p w14:paraId="44BF6F8D">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25.4评委会将对确定为实质性响应的投标文件进行进一步审核，看其是否有计算上或累加上的算术错误，修正错误的原则如下：</w:t>
      </w:r>
    </w:p>
    <w:p w14:paraId="31807597">
      <w:pPr>
        <w:spacing w:line="460" w:lineRule="exact"/>
        <w:ind w:firstLine="480"/>
        <w:rPr>
          <w:rFonts w:ascii="宋体" w:hAnsi="宋体" w:cs="宋体"/>
          <w:bCs/>
          <w:sz w:val="24"/>
          <w:szCs w:val="21"/>
          <w:highlight w:val="none"/>
        </w:rPr>
      </w:pPr>
      <w:r>
        <w:rPr>
          <w:rFonts w:hint="eastAsia" w:ascii="宋体" w:hAnsi="宋体" w:cs="宋体"/>
          <w:bCs/>
          <w:sz w:val="24"/>
          <w:szCs w:val="21"/>
          <w:highlight w:val="none"/>
        </w:rPr>
        <w:t>（1）投标文件中开标一览表内容与投标文件中相应内容不一致的，以开标一览表为准。</w:t>
      </w:r>
    </w:p>
    <w:p w14:paraId="35CF3FE5">
      <w:pPr>
        <w:spacing w:line="460" w:lineRule="exact"/>
        <w:ind w:firstLine="480"/>
        <w:rPr>
          <w:rFonts w:ascii="宋体" w:hAnsi="宋体" w:cs="宋体"/>
          <w:bCs/>
          <w:sz w:val="24"/>
          <w:szCs w:val="21"/>
          <w:highlight w:val="none"/>
        </w:rPr>
      </w:pPr>
      <w:r>
        <w:rPr>
          <w:rFonts w:hint="eastAsia" w:ascii="宋体" w:hAnsi="宋体" w:cs="宋体"/>
          <w:bCs/>
          <w:sz w:val="24"/>
          <w:szCs w:val="21"/>
          <w:highlight w:val="none"/>
        </w:rPr>
        <w:t>（2）大写金额和小写金额不一致的，以大写金额为准。</w:t>
      </w:r>
    </w:p>
    <w:p w14:paraId="2E0F1E24">
      <w:pPr>
        <w:spacing w:line="460" w:lineRule="exact"/>
        <w:ind w:firstLine="480"/>
        <w:rPr>
          <w:rFonts w:ascii="宋体" w:hAnsi="宋体" w:cs="宋体"/>
          <w:bCs/>
          <w:sz w:val="24"/>
          <w:szCs w:val="21"/>
          <w:highlight w:val="none"/>
        </w:rPr>
      </w:pPr>
      <w:r>
        <w:rPr>
          <w:rFonts w:hint="eastAsia" w:ascii="宋体" w:hAnsi="宋体" w:cs="宋体"/>
          <w:bCs/>
          <w:sz w:val="24"/>
          <w:szCs w:val="21"/>
          <w:highlight w:val="none"/>
        </w:rPr>
        <w:t>（3）单价金额小数点或者百分比有明显错位的，以开标一览表的总价为准，并修改单价。</w:t>
      </w:r>
    </w:p>
    <w:p w14:paraId="04488A8E">
      <w:pPr>
        <w:spacing w:line="460" w:lineRule="exact"/>
        <w:ind w:firstLine="480"/>
        <w:rPr>
          <w:rFonts w:ascii="宋体" w:hAnsi="宋体" w:cs="宋体"/>
          <w:bCs/>
          <w:sz w:val="24"/>
          <w:szCs w:val="21"/>
          <w:highlight w:val="none"/>
        </w:rPr>
      </w:pPr>
      <w:r>
        <w:rPr>
          <w:rFonts w:hint="eastAsia" w:ascii="宋体" w:hAnsi="宋体" w:cs="宋体"/>
          <w:bCs/>
          <w:sz w:val="24"/>
          <w:szCs w:val="21"/>
          <w:highlight w:val="none"/>
        </w:rPr>
        <w:t>（4）总价金额与按单价汇总金额不一致的，以单价金额计算结果为准。</w:t>
      </w:r>
    </w:p>
    <w:p w14:paraId="6C7FBA1E">
      <w:pPr>
        <w:spacing w:line="460" w:lineRule="exact"/>
        <w:ind w:firstLine="480"/>
        <w:rPr>
          <w:rFonts w:ascii="宋体" w:hAnsi="宋体" w:cs="宋体"/>
          <w:bCs/>
          <w:sz w:val="24"/>
          <w:szCs w:val="21"/>
          <w:highlight w:val="none"/>
        </w:rPr>
      </w:pPr>
      <w:r>
        <w:rPr>
          <w:rFonts w:hint="eastAsia" w:ascii="宋体" w:hAnsi="宋体" w:cs="宋体"/>
          <w:bCs/>
          <w:sz w:val="24"/>
          <w:szCs w:val="21"/>
          <w:highlight w:val="none"/>
        </w:rPr>
        <w:t>同时出现两种以上错误的，按照前款规定的顺序修正。</w:t>
      </w:r>
    </w:p>
    <w:p w14:paraId="3F4233DB">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25.5评委会将按上述修正错误的方法调整投标文件中的报价价格，并通过苏采云系统告知投标人，调整后的价格应对投标人具有约束力。如果投标人不接受修正后的价格，则其投标将被拒绝。</w:t>
      </w:r>
    </w:p>
    <w:p w14:paraId="0CCB4587">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25.6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p>
    <w:p w14:paraId="329D1A65">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25.7投标人在开、评标全过程中应保持通讯畅通，及时登录苏采云系统查阅、答复相关信息，并安排专人与代理机构及评委会联系。</w:t>
      </w:r>
    </w:p>
    <w:p w14:paraId="2FFD9546">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26、无效投标条款和废标条款</w:t>
      </w:r>
    </w:p>
    <w:p w14:paraId="3876AE95">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26.1无效投标条款</w:t>
      </w:r>
    </w:p>
    <w:p w14:paraId="1FE11B22">
      <w:pPr>
        <w:spacing w:line="440" w:lineRule="exact"/>
        <w:ind w:firstLine="720" w:firstLineChars="300"/>
        <w:rPr>
          <w:rFonts w:ascii="宋体" w:hAnsi="宋体" w:cs="宋体"/>
          <w:kern w:val="0"/>
          <w:sz w:val="24"/>
          <w:szCs w:val="24"/>
          <w:highlight w:val="none"/>
        </w:rPr>
      </w:pPr>
      <w:r>
        <w:rPr>
          <w:rFonts w:hint="eastAsia" w:ascii="宋体" w:hAnsi="宋体" w:cs="宋体"/>
          <w:kern w:val="0"/>
          <w:sz w:val="24"/>
          <w:szCs w:val="24"/>
          <w:highlight w:val="none"/>
        </w:rPr>
        <w:t>26.1.1投标人在苏采云系统规定的时间内未成功解密电子投标文件的。</w:t>
      </w:r>
    </w:p>
    <w:p w14:paraId="4B76BEB6">
      <w:pPr>
        <w:spacing w:line="440" w:lineRule="exact"/>
        <w:ind w:firstLine="720" w:firstLineChars="300"/>
        <w:rPr>
          <w:rFonts w:ascii="宋体" w:hAnsi="宋体" w:cs="宋体"/>
          <w:kern w:val="0"/>
          <w:sz w:val="24"/>
          <w:szCs w:val="24"/>
          <w:highlight w:val="none"/>
        </w:rPr>
      </w:pPr>
      <w:r>
        <w:rPr>
          <w:rFonts w:hint="eastAsia" w:ascii="宋体" w:hAnsi="宋体" w:cs="宋体"/>
          <w:kern w:val="0"/>
          <w:sz w:val="24"/>
          <w:szCs w:val="24"/>
          <w:highlight w:val="none"/>
        </w:rPr>
        <w:t>26.1.2投标人未按照招标文件要求上传电子投标文件的。</w:t>
      </w:r>
    </w:p>
    <w:p w14:paraId="4DA9F9CF">
      <w:pPr>
        <w:spacing w:line="440" w:lineRule="exact"/>
        <w:ind w:firstLine="720" w:firstLineChars="300"/>
        <w:rPr>
          <w:rFonts w:ascii="宋体" w:hAnsi="宋体" w:cs="宋体"/>
          <w:kern w:val="0"/>
          <w:sz w:val="24"/>
          <w:szCs w:val="24"/>
          <w:highlight w:val="none"/>
        </w:rPr>
      </w:pPr>
      <w:r>
        <w:rPr>
          <w:rFonts w:hint="eastAsia" w:ascii="宋体" w:hAnsi="宋体" w:cs="宋体"/>
          <w:kern w:val="0"/>
          <w:sz w:val="24"/>
          <w:szCs w:val="24"/>
          <w:highlight w:val="none"/>
        </w:rPr>
        <w:t>26.1.3同一投标人提交两个（含两个）以上不同的投标报价的。</w:t>
      </w:r>
    </w:p>
    <w:p w14:paraId="00079B9B">
      <w:pPr>
        <w:spacing w:line="440" w:lineRule="exact"/>
        <w:ind w:firstLine="720" w:firstLineChars="300"/>
        <w:rPr>
          <w:rFonts w:ascii="宋体" w:hAnsi="宋体" w:cs="宋体"/>
          <w:kern w:val="0"/>
          <w:sz w:val="24"/>
          <w:szCs w:val="24"/>
          <w:highlight w:val="none"/>
        </w:rPr>
      </w:pPr>
      <w:r>
        <w:rPr>
          <w:rFonts w:hint="eastAsia" w:ascii="宋体" w:hAnsi="宋体" w:cs="宋体"/>
          <w:kern w:val="0"/>
          <w:sz w:val="24"/>
          <w:szCs w:val="24"/>
          <w:highlight w:val="none"/>
        </w:rPr>
        <w:t>26.1.4投标人不具备招标文件中规定资格要求的。</w:t>
      </w:r>
    </w:p>
    <w:p w14:paraId="2AAD1658">
      <w:pPr>
        <w:spacing w:line="440" w:lineRule="exact"/>
        <w:ind w:firstLine="720" w:firstLineChars="300"/>
        <w:rPr>
          <w:rFonts w:ascii="宋体" w:hAnsi="宋体" w:cs="宋体"/>
          <w:kern w:val="0"/>
          <w:sz w:val="24"/>
          <w:szCs w:val="24"/>
          <w:highlight w:val="none"/>
        </w:rPr>
      </w:pPr>
      <w:r>
        <w:rPr>
          <w:rFonts w:hint="eastAsia" w:ascii="宋体" w:hAnsi="宋体" w:cs="宋体"/>
          <w:kern w:val="0"/>
          <w:sz w:val="24"/>
          <w:szCs w:val="24"/>
          <w:highlight w:val="none"/>
        </w:rPr>
        <w:t>26.1.5投标人的报价超过了采购预算</w:t>
      </w:r>
      <w:r>
        <w:rPr>
          <w:rFonts w:hint="eastAsia" w:ascii="宋体" w:hAnsi="宋体" w:cs="宋体"/>
          <w:sz w:val="24"/>
          <w:highlight w:val="none"/>
        </w:rPr>
        <w:t>或最高限价的</w:t>
      </w:r>
      <w:r>
        <w:rPr>
          <w:rFonts w:hint="eastAsia" w:ascii="宋体" w:hAnsi="宋体" w:cs="宋体"/>
          <w:kern w:val="0"/>
          <w:sz w:val="24"/>
          <w:szCs w:val="24"/>
          <w:highlight w:val="none"/>
        </w:rPr>
        <w:t>。</w:t>
      </w:r>
    </w:p>
    <w:p w14:paraId="1CB9221C">
      <w:pPr>
        <w:spacing w:line="440" w:lineRule="exact"/>
        <w:ind w:firstLine="720" w:firstLineChars="300"/>
        <w:rPr>
          <w:rFonts w:ascii="宋体" w:hAnsi="宋体" w:cs="宋体"/>
          <w:kern w:val="0"/>
          <w:sz w:val="24"/>
          <w:szCs w:val="24"/>
          <w:highlight w:val="none"/>
        </w:rPr>
      </w:pPr>
      <w:r>
        <w:rPr>
          <w:rFonts w:hint="eastAsia" w:ascii="宋体" w:hAnsi="宋体" w:cs="宋体"/>
          <w:kern w:val="0"/>
          <w:sz w:val="24"/>
          <w:szCs w:val="24"/>
          <w:highlight w:val="none"/>
        </w:rPr>
        <w:t>26.1.6未通过符合性审查的。</w:t>
      </w:r>
    </w:p>
    <w:p w14:paraId="6FD4181E">
      <w:pPr>
        <w:spacing w:line="440" w:lineRule="exact"/>
        <w:ind w:firstLine="720" w:firstLineChars="300"/>
        <w:rPr>
          <w:rFonts w:ascii="宋体" w:hAnsi="宋体" w:cs="宋体"/>
          <w:kern w:val="0"/>
          <w:sz w:val="24"/>
          <w:szCs w:val="24"/>
          <w:highlight w:val="none"/>
        </w:rPr>
      </w:pPr>
      <w:r>
        <w:rPr>
          <w:rFonts w:hint="eastAsia" w:ascii="宋体" w:hAnsi="宋体" w:cs="宋体"/>
          <w:kern w:val="0"/>
          <w:sz w:val="24"/>
          <w:szCs w:val="24"/>
          <w:highlight w:val="none"/>
        </w:rPr>
        <w:t>26.1.7不符合招标文件中规定的实质性要求和条件的（</w:t>
      </w:r>
      <w:r>
        <w:rPr>
          <w:rFonts w:hint="eastAsia" w:ascii="宋体" w:hAnsi="宋体" w:cs="宋体"/>
          <w:b/>
          <w:bCs/>
          <w:kern w:val="0"/>
          <w:sz w:val="24"/>
          <w:szCs w:val="24"/>
          <w:highlight w:val="none"/>
        </w:rPr>
        <w:t>本招标文件中标“★”的相关要求为实质性要求和条件）</w:t>
      </w:r>
      <w:r>
        <w:rPr>
          <w:rFonts w:hint="eastAsia" w:ascii="宋体" w:hAnsi="宋体" w:cs="宋体"/>
          <w:kern w:val="0"/>
          <w:sz w:val="24"/>
          <w:szCs w:val="24"/>
          <w:highlight w:val="none"/>
        </w:rPr>
        <w:t>。</w:t>
      </w:r>
    </w:p>
    <w:p w14:paraId="1A9FC2FF">
      <w:pPr>
        <w:spacing w:line="440" w:lineRule="exact"/>
        <w:ind w:firstLine="720" w:firstLineChars="300"/>
        <w:rPr>
          <w:rFonts w:ascii="宋体" w:hAnsi="宋体" w:cs="宋体"/>
          <w:kern w:val="0"/>
          <w:sz w:val="24"/>
          <w:szCs w:val="24"/>
          <w:highlight w:val="none"/>
        </w:rPr>
      </w:pPr>
      <w:r>
        <w:rPr>
          <w:rFonts w:hint="eastAsia" w:ascii="宋体" w:hAnsi="宋体" w:cs="宋体"/>
          <w:kern w:val="0"/>
          <w:sz w:val="24"/>
          <w:szCs w:val="24"/>
          <w:highlight w:val="none"/>
        </w:rPr>
        <w:t>26.1.8投标人被“信用中国”（www.creditchina.gov.cn）等网站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p>
    <w:p w14:paraId="582C1E4B">
      <w:pPr>
        <w:spacing w:line="440" w:lineRule="exact"/>
        <w:ind w:firstLine="720" w:firstLineChars="300"/>
        <w:rPr>
          <w:rFonts w:ascii="宋体" w:hAnsi="宋体" w:cs="宋体"/>
          <w:kern w:val="0"/>
          <w:sz w:val="24"/>
          <w:szCs w:val="24"/>
          <w:highlight w:val="none"/>
        </w:rPr>
      </w:pPr>
      <w:r>
        <w:rPr>
          <w:rFonts w:hint="eastAsia" w:ascii="宋体" w:hAnsi="宋体" w:cs="宋体"/>
          <w:kern w:val="0"/>
          <w:sz w:val="24"/>
          <w:szCs w:val="24"/>
          <w:highlight w:val="none"/>
        </w:rPr>
        <w:t>26.1.9投标文件含有采购人不能接受的附加条件的。</w:t>
      </w:r>
    </w:p>
    <w:p w14:paraId="59650759">
      <w:pPr>
        <w:spacing w:line="440" w:lineRule="exact"/>
        <w:ind w:firstLine="720" w:firstLineChars="300"/>
        <w:rPr>
          <w:rFonts w:ascii="宋体" w:hAnsi="宋体" w:cs="宋体"/>
          <w:bCs/>
          <w:kern w:val="0"/>
          <w:sz w:val="24"/>
          <w:szCs w:val="24"/>
          <w:highlight w:val="none"/>
        </w:rPr>
      </w:pPr>
      <w:r>
        <w:rPr>
          <w:rFonts w:hint="eastAsia" w:ascii="宋体" w:hAnsi="宋体" w:cs="宋体"/>
          <w:bCs/>
          <w:kern w:val="0"/>
          <w:sz w:val="24"/>
          <w:szCs w:val="24"/>
          <w:highlight w:val="none"/>
        </w:rPr>
        <w:t>26.1.10评标委员会认为投标人的报价明显低于其他通过符合性审查投标人的报价，有可能影响产品质量或者不能诚信履约的，将通过</w:t>
      </w:r>
      <w:r>
        <w:rPr>
          <w:rFonts w:hint="eastAsia" w:ascii="宋体" w:hAnsi="宋体" w:cs="宋体"/>
          <w:kern w:val="0"/>
          <w:sz w:val="24"/>
          <w:szCs w:val="24"/>
          <w:highlight w:val="none"/>
        </w:rPr>
        <w:t>苏采云系统</w:t>
      </w:r>
      <w:r>
        <w:rPr>
          <w:rFonts w:hint="eastAsia" w:ascii="宋体" w:hAnsi="宋体" w:cs="宋体"/>
          <w:bCs/>
          <w:kern w:val="0"/>
          <w:sz w:val="24"/>
          <w:szCs w:val="24"/>
          <w:highlight w:val="none"/>
        </w:rPr>
        <w:t>要求其在合理的时间内提供说明，必要时提交相关证明材料；投标人不能证明其报价合理性的，评标委员会应当将其作为无效投标处理。</w:t>
      </w:r>
    </w:p>
    <w:p w14:paraId="09DA47E8">
      <w:pPr>
        <w:spacing w:line="440" w:lineRule="exact"/>
        <w:ind w:firstLine="720" w:firstLineChars="300"/>
        <w:rPr>
          <w:rFonts w:ascii="宋体" w:hAnsi="宋体" w:cs="宋体"/>
          <w:kern w:val="0"/>
          <w:sz w:val="24"/>
          <w:szCs w:val="24"/>
          <w:highlight w:val="none"/>
        </w:rPr>
      </w:pPr>
      <w:r>
        <w:rPr>
          <w:rFonts w:hint="eastAsia" w:ascii="宋体" w:hAnsi="宋体" w:cs="宋体"/>
          <w:kern w:val="0"/>
          <w:sz w:val="24"/>
          <w:szCs w:val="24"/>
          <w:highlight w:val="none"/>
        </w:rPr>
        <w:t>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5B877FFD">
      <w:pPr>
        <w:spacing w:line="440" w:lineRule="exact"/>
        <w:ind w:firstLine="720" w:firstLineChars="300"/>
        <w:rPr>
          <w:rFonts w:ascii="宋体" w:hAnsi="宋体" w:cs="宋体"/>
          <w:kern w:val="0"/>
          <w:sz w:val="24"/>
          <w:szCs w:val="24"/>
          <w:highlight w:val="none"/>
        </w:rPr>
      </w:pPr>
      <w:r>
        <w:rPr>
          <w:rFonts w:hint="eastAsia" w:ascii="宋体" w:hAnsi="宋体" w:cs="宋体"/>
          <w:kern w:val="0"/>
          <w:sz w:val="24"/>
          <w:szCs w:val="24"/>
          <w:highlight w:val="none"/>
        </w:rPr>
        <w:t>26.1.12投标文件未按照招标文件要求加盖CA电子公章的。</w:t>
      </w:r>
    </w:p>
    <w:p w14:paraId="27681349">
      <w:pPr>
        <w:spacing w:line="440" w:lineRule="exact"/>
        <w:ind w:firstLine="720" w:firstLineChars="300"/>
        <w:rPr>
          <w:rFonts w:ascii="宋体" w:hAnsi="宋体" w:cs="宋体"/>
          <w:kern w:val="0"/>
          <w:sz w:val="24"/>
          <w:szCs w:val="24"/>
          <w:highlight w:val="none"/>
        </w:rPr>
      </w:pPr>
      <w:r>
        <w:rPr>
          <w:rFonts w:hint="eastAsia" w:ascii="宋体" w:hAnsi="宋体" w:cs="宋体"/>
          <w:kern w:val="0"/>
          <w:sz w:val="24"/>
          <w:szCs w:val="24"/>
          <w:highlight w:val="none"/>
        </w:rPr>
        <w:t>26.1.13</w:t>
      </w:r>
      <w:r>
        <w:rPr>
          <w:rFonts w:hint="eastAsia" w:ascii="宋体" w:hAnsi="宋体" w:cs="宋体"/>
          <w:bCs/>
          <w:sz w:val="24"/>
          <w:szCs w:val="21"/>
          <w:highlight w:val="none"/>
        </w:rPr>
        <w:t>其他法律、法规及本招标文件规定的属无效投标的情形。</w:t>
      </w:r>
    </w:p>
    <w:p w14:paraId="3EAB47DC">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26.2废标条款</w:t>
      </w:r>
    </w:p>
    <w:p w14:paraId="53F797B8">
      <w:pPr>
        <w:spacing w:line="440" w:lineRule="exact"/>
        <w:ind w:firstLine="720" w:firstLineChars="300"/>
        <w:rPr>
          <w:rFonts w:ascii="宋体" w:hAnsi="宋体" w:cs="宋体"/>
          <w:bCs/>
          <w:sz w:val="24"/>
          <w:szCs w:val="21"/>
          <w:highlight w:val="none"/>
        </w:rPr>
      </w:pPr>
      <w:r>
        <w:rPr>
          <w:rFonts w:hint="eastAsia" w:ascii="宋体" w:hAnsi="宋体" w:cs="宋体"/>
          <w:kern w:val="0"/>
          <w:sz w:val="24"/>
          <w:szCs w:val="24"/>
          <w:highlight w:val="none"/>
        </w:rPr>
        <w:t>26.2.1</w:t>
      </w:r>
      <w:r>
        <w:rPr>
          <w:rFonts w:hint="eastAsia" w:ascii="宋体" w:hAnsi="宋体" w:cs="宋体"/>
          <w:bCs/>
          <w:sz w:val="24"/>
          <w:szCs w:val="21"/>
          <w:highlight w:val="none"/>
        </w:rPr>
        <w:t>符合专业条件的投标人或者对招标文件作实质响应的投标人不足三家的。</w:t>
      </w:r>
    </w:p>
    <w:p w14:paraId="260B09F5">
      <w:pPr>
        <w:spacing w:line="440" w:lineRule="exact"/>
        <w:ind w:firstLine="720" w:firstLineChars="300"/>
        <w:rPr>
          <w:rFonts w:ascii="宋体" w:hAnsi="宋体" w:cs="宋体"/>
          <w:kern w:val="0"/>
          <w:sz w:val="24"/>
          <w:szCs w:val="24"/>
          <w:highlight w:val="none"/>
        </w:rPr>
      </w:pPr>
      <w:r>
        <w:rPr>
          <w:rFonts w:hint="eastAsia" w:ascii="宋体" w:hAnsi="宋体" w:cs="宋体"/>
          <w:kern w:val="0"/>
          <w:sz w:val="24"/>
          <w:szCs w:val="24"/>
          <w:highlight w:val="none"/>
        </w:rPr>
        <w:t>26.2.2出现影响采购公正的违法、违规行为的。</w:t>
      </w:r>
    </w:p>
    <w:p w14:paraId="4F4D11AF">
      <w:pPr>
        <w:spacing w:line="440" w:lineRule="exact"/>
        <w:ind w:firstLine="720" w:firstLineChars="300"/>
        <w:rPr>
          <w:rFonts w:ascii="宋体" w:hAnsi="宋体" w:cs="宋体"/>
          <w:kern w:val="0"/>
          <w:sz w:val="24"/>
          <w:szCs w:val="24"/>
          <w:highlight w:val="none"/>
        </w:rPr>
      </w:pPr>
      <w:r>
        <w:rPr>
          <w:rFonts w:hint="eastAsia" w:ascii="宋体" w:hAnsi="宋体" w:cs="宋体"/>
          <w:kern w:val="0"/>
          <w:sz w:val="24"/>
          <w:szCs w:val="24"/>
          <w:highlight w:val="none"/>
        </w:rPr>
        <w:t>26.2.3因重大变故，采购任务取消的。</w:t>
      </w:r>
    </w:p>
    <w:p w14:paraId="0CBE8236">
      <w:pPr>
        <w:spacing w:line="440" w:lineRule="exact"/>
        <w:ind w:firstLine="720" w:firstLineChars="300"/>
        <w:rPr>
          <w:rFonts w:ascii="宋体" w:hAnsi="宋体" w:cs="宋体"/>
          <w:kern w:val="0"/>
          <w:sz w:val="24"/>
          <w:szCs w:val="24"/>
          <w:highlight w:val="none"/>
        </w:rPr>
      </w:pPr>
      <w:r>
        <w:rPr>
          <w:rFonts w:hint="eastAsia" w:ascii="宋体" w:hAnsi="宋体" w:cs="宋体"/>
          <w:kern w:val="0"/>
          <w:sz w:val="24"/>
          <w:szCs w:val="24"/>
          <w:highlight w:val="none"/>
        </w:rPr>
        <w:t>26.2.4评标委员会认定招标文件存在歧义、重大缺陷导致评审工作无法进行。</w:t>
      </w:r>
    </w:p>
    <w:p w14:paraId="61D4F22E">
      <w:pPr>
        <w:spacing w:line="440" w:lineRule="exact"/>
        <w:ind w:firstLine="720" w:firstLineChars="300"/>
        <w:rPr>
          <w:rFonts w:ascii="宋体" w:hAnsi="宋体" w:cs="宋体"/>
          <w:kern w:val="0"/>
          <w:sz w:val="24"/>
          <w:szCs w:val="24"/>
          <w:highlight w:val="none"/>
        </w:rPr>
      </w:pPr>
      <w:r>
        <w:rPr>
          <w:rFonts w:hint="eastAsia" w:ascii="宋体" w:hAnsi="宋体" w:cs="宋体"/>
          <w:kern w:val="0"/>
          <w:sz w:val="24"/>
          <w:szCs w:val="24"/>
          <w:highlight w:val="none"/>
        </w:rPr>
        <w:t>26.2.5因苏采云系统系统故障原因造成开标不成功的。</w:t>
      </w:r>
    </w:p>
    <w:p w14:paraId="20E3DDB8">
      <w:pPr>
        <w:spacing w:line="440" w:lineRule="exact"/>
        <w:ind w:firstLine="720" w:firstLineChars="300"/>
        <w:rPr>
          <w:rFonts w:ascii="宋体" w:hAnsi="宋体" w:cs="宋体"/>
          <w:kern w:val="0"/>
          <w:sz w:val="24"/>
          <w:szCs w:val="24"/>
          <w:highlight w:val="none"/>
        </w:rPr>
      </w:pPr>
      <w:r>
        <w:rPr>
          <w:rFonts w:hint="eastAsia" w:ascii="宋体" w:hAnsi="宋体" w:cs="宋体"/>
          <w:kern w:val="0"/>
          <w:sz w:val="24"/>
          <w:szCs w:val="24"/>
          <w:highlight w:val="none"/>
        </w:rPr>
        <w:t>26.2.6</w:t>
      </w:r>
      <w:r>
        <w:rPr>
          <w:rFonts w:hint="eastAsia" w:ascii="宋体" w:hAnsi="宋体" w:cs="宋体"/>
          <w:sz w:val="24"/>
          <w:highlight w:val="none"/>
        </w:rPr>
        <w:t>投标文件接受截止时间结束后参加投标的投标人不足</w:t>
      </w:r>
      <w:r>
        <w:rPr>
          <w:rFonts w:hint="eastAsia" w:ascii="宋体" w:hAnsi="宋体" w:cs="宋体"/>
          <w:kern w:val="0"/>
          <w:sz w:val="24"/>
          <w:szCs w:val="24"/>
          <w:highlight w:val="none"/>
        </w:rPr>
        <w:t>三家的处理：</w:t>
      </w:r>
    </w:p>
    <w:p w14:paraId="286623F0">
      <w:pPr>
        <w:spacing w:line="440" w:lineRule="exact"/>
        <w:ind w:firstLine="720" w:firstLineChars="300"/>
        <w:rPr>
          <w:rFonts w:ascii="宋体" w:hAnsi="宋体" w:cs="宋体"/>
          <w:kern w:val="0"/>
          <w:sz w:val="24"/>
          <w:szCs w:val="24"/>
          <w:highlight w:val="none"/>
        </w:rPr>
      </w:pPr>
      <w:r>
        <w:rPr>
          <w:rFonts w:hint="eastAsia" w:ascii="宋体" w:hAnsi="宋体" w:cs="宋体"/>
          <w:kern w:val="0"/>
          <w:sz w:val="24"/>
          <w:szCs w:val="24"/>
          <w:highlight w:val="none"/>
        </w:rPr>
        <w:t>26.2.7如出现投标截止时间结束后参加投标的投标人或者在评标期间对招标文件做出实质响应的投标人不足三家情况，按政府采购相关规定执行。</w:t>
      </w:r>
    </w:p>
    <w:p w14:paraId="1AB0F866">
      <w:pPr>
        <w:keepNext/>
        <w:keepLines/>
        <w:spacing w:before="152" w:beforeLines="50" w:after="152" w:afterLines="50" w:line="440" w:lineRule="exact"/>
        <w:outlineLvl w:val="2"/>
        <w:rPr>
          <w:rFonts w:ascii="宋体" w:hAnsi="宋体" w:cs="宋体"/>
          <w:b/>
          <w:bCs/>
          <w:sz w:val="32"/>
          <w:szCs w:val="32"/>
          <w:highlight w:val="none"/>
        </w:rPr>
      </w:pPr>
      <w:bookmarkStart w:id="77" w:name="_Toc13187"/>
      <w:bookmarkStart w:id="78" w:name="_Toc9362"/>
      <w:bookmarkStart w:id="79" w:name="_Toc17432"/>
      <w:bookmarkStart w:id="80" w:name="_Toc15817"/>
      <w:bookmarkStart w:id="81" w:name="_Toc48"/>
      <w:bookmarkStart w:id="82" w:name="_Toc19188"/>
      <w:bookmarkStart w:id="83" w:name="_Toc30141"/>
      <w:bookmarkStart w:id="84" w:name="_Toc10214"/>
      <w:bookmarkStart w:id="85" w:name="_Toc6218"/>
      <w:bookmarkStart w:id="86" w:name="_Toc881"/>
      <w:bookmarkStart w:id="87" w:name="_Toc207"/>
      <w:r>
        <w:rPr>
          <w:rFonts w:hint="eastAsia" w:ascii="宋体" w:hAnsi="宋体" w:cs="宋体"/>
          <w:b/>
          <w:bCs/>
          <w:sz w:val="32"/>
          <w:szCs w:val="32"/>
          <w:highlight w:val="none"/>
        </w:rPr>
        <w:t>六、</w:t>
      </w:r>
      <w:bookmarkEnd w:id="77"/>
      <w:bookmarkEnd w:id="78"/>
      <w:bookmarkEnd w:id="79"/>
      <w:bookmarkEnd w:id="80"/>
      <w:bookmarkEnd w:id="81"/>
      <w:bookmarkEnd w:id="82"/>
      <w:r>
        <w:rPr>
          <w:rFonts w:hint="eastAsia" w:ascii="宋体" w:hAnsi="宋体" w:cs="宋体"/>
          <w:b/>
          <w:bCs/>
          <w:sz w:val="32"/>
          <w:szCs w:val="32"/>
          <w:highlight w:val="none"/>
        </w:rPr>
        <w:t>定标</w:t>
      </w:r>
      <w:bookmarkEnd w:id="83"/>
      <w:bookmarkEnd w:id="84"/>
      <w:bookmarkEnd w:id="85"/>
      <w:bookmarkEnd w:id="86"/>
      <w:bookmarkEnd w:id="87"/>
    </w:p>
    <w:p w14:paraId="077384CA">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27、确定中标单位</w:t>
      </w:r>
    </w:p>
    <w:p w14:paraId="12A055E2">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 xml:space="preserve">27.1中标候选人的选取原则和数量见招标文件第五章规定。 </w:t>
      </w:r>
    </w:p>
    <w:p w14:paraId="1C7BA1A1">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27.2 采购人应根据评委会推荐的中标候选人确定中标人。</w:t>
      </w:r>
    </w:p>
    <w:p w14:paraId="13E6D81D">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27.3 代理机构将在指定媒体上发布中标公告，公告期限为1个工作日。</w:t>
      </w:r>
    </w:p>
    <w:p w14:paraId="45B68058">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27.4  若有充分证据证明，中标人出现下列情况之一的，一经查实，将被取消中标资格：</w:t>
      </w:r>
    </w:p>
    <w:p w14:paraId="122AAD9C">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27.4.1提供虚假材料谋取中标的。</w:t>
      </w:r>
    </w:p>
    <w:p w14:paraId="4D961D8B">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27.4.2向采购人、代理机构行贿或者提供其他不正当利益的。</w:t>
      </w:r>
    </w:p>
    <w:p w14:paraId="5BFBD11E">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27.4.3属于本文件规定的无效条件，但在评标过程中又未被评委会发现的。</w:t>
      </w:r>
    </w:p>
    <w:p w14:paraId="00B61C37">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27.4.4与采购人或者其他投标人恶意串通的。</w:t>
      </w:r>
    </w:p>
    <w:p w14:paraId="7DCCB541">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27.4.5采取不正当手段诋毁、排挤其他投标人的。</w:t>
      </w:r>
    </w:p>
    <w:p w14:paraId="17B3DBCD">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27.5. 有下列情形之一的，视为投标人串通投标，投标无效：</w:t>
      </w:r>
    </w:p>
    <w:p w14:paraId="164D760D">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27.5.1不同投标人的投标文件由同一单位或者个人编制；</w:t>
      </w:r>
    </w:p>
    <w:p w14:paraId="16A60822">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27.5.2不同投标人委托同一单位或者个人办理投标事宜；</w:t>
      </w:r>
    </w:p>
    <w:p w14:paraId="7E57C558">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27.5.3 不同投标人的投标文件载明的项目管理成员或者联系人员为同一人；</w:t>
      </w:r>
    </w:p>
    <w:p w14:paraId="70809C7A">
      <w:pPr>
        <w:spacing w:line="440" w:lineRule="exact"/>
        <w:ind w:firstLine="787" w:firstLineChars="328"/>
        <w:rPr>
          <w:rFonts w:ascii="宋体" w:hAnsi="宋体" w:cs="宋体"/>
          <w:kern w:val="0"/>
          <w:sz w:val="24"/>
          <w:szCs w:val="24"/>
          <w:highlight w:val="none"/>
        </w:rPr>
      </w:pPr>
      <w:r>
        <w:rPr>
          <w:rFonts w:hint="eastAsia" w:ascii="宋体" w:hAnsi="宋体" w:cs="宋体"/>
          <w:kern w:val="0"/>
          <w:sz w:val="24"/>
          <w:szCs w:val="24"/>
          <w:highlight w:val="none"/>
        </w:rPr>
        <w:t>28.5.4不同投标人的投标文件异常一致或者投标报价呈规律性差异。</w:t>
      </w:r>
    </w:p>
    <w:p w14:paraId="62F5AD76">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28、质疑处理</w:t>
      </w:r>
    </w:p>
    <w:p w14:paraId="71B856AF">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28.1 提出质疑的投标人应当是参与所质疑项目采购活动的投标人，潜在投标人已依法获取其可质疑的招标文件的，可以对该文件提出质疑。请将</w:t>
      </w:r>
      <w:bookmarkStart w:id="88" w:name="_Hlk98510751"/>
      <w:r>
        <w:rPr>
          <w:rFonts w:hint="eastAsia" w:ascii="宋体" w:hAnsi="宋体" w:cs="宋体"/>
          <w:kern w:val="0"/>
          <w:sz w:val="24"/>
          <w:szCs w:val="24"/>
          <w:highlight w:val="none"/>
        </w:rPr>
        <w:t>获取采购文件后打印留存的《投标供应商确认函》等</w:t>
      </w:r>
      <w:bookmarkEnd w:id="88"/>
      <w:r>
        <w:rPr>
          <w:rFonts w:hint="eastAsia" w:ascii="宋体" w:hAnsi="宋体" w:cs="宋体"/>
          <w:kern w:val="0"/>
          <w:sz w:val="24"/>
          <w:szCs w:val="24"/>
          <w:highlight w:val="none"/>
        </w:rPr>
        <w:t>必要的证明材料与质疑函一起递交，否则不予受理。</w:t>
      </w:r>
    </w:p>
    <w:p w14:paraId="7648A197">
      <w:pPr>
        <w:spacing w:line="440" w:lineRule="exact"/>
        <w:ind w:firstLine="480"/>
        <w:rPr>
          <w:rFonts w:ascii="宋体" w:hAnsi="宋体" w:cs="宋体"/>
          <w:kern w:val="0"/>
          <w:sz w:val="24"/>
          <w:szCs w:val="24"/>
          <w:highlight w:val="none"/>
        </w:rPr>
      </w:pPr>
      <w:r>
        <w:rPr>
          <w:rFonts w:hint="eastAsia" w:ascii="宋体" w:hAnsi="宋体" w:cs="宋体"/>
          <w:sz w:val="24"/>
          <w:szCs w:val="24"/>
          <w:highlight w:val="none"/>
        </w:rPr>
        <w:t>投标人对采购方式、招标文件中采购需求、投标人资格条件、评标方法和评标标准、合同文本及资格审查结果的询问、质疑请向采购人提出，由采购人负责答复。投标人对其他事项的询问、质疑请向代理机构提出，由代理机构负责答复。</w:t>
      </w:r>
    </w:p>
    <w:p w14:paraId="30EDFB23">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28.2 投标人认为招标文件、采购过程和采购结果使自己的权益受到损害的，可以在知道或应知其权益受到损害之日起七个工作日内，以书面形式向采购人或代理机构提出质疑。上述应知其权益受到损害之日，是指：</w:t>
      </w:r>
    </w:p>
    <w:p w14:paraId="204E4D69">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（1）对可以质疑的招标文件提出质疑的，为收到招标文件之日或者招标文件公告期限届满之日；</w:t>
      </w:r>
    </w:p>
    <w:p w14:paraId="15E6E128">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（2）对采购过程提出质疑的，为各采购程序环节结束之日；</w:t>
      </w:r>
    </w:p>
    <w:p w14:paraId="6C47C0A9">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（3）对中标或者中标结果提出质疑的，为中标或者中标结果公告期限届满之日。</w:t>
      </w:r>
    </w:p>
    <w:p w14:paraId="037B25FA">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投标人应当在法定质疑期内一次性提出针对同一采购程序环节的质疑。投标人如在法定期限内对同一采购程序环节提出多次质疑的，代理机构、采购人将只对投标人第一次质疑作出答复。</w:t>
      </w:r>
    </w:p>
    <w:p w14:paraId="3F274327">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28.3 投标人提出质疑应当提交质疑函和必要的证明材料，其中质疑函必须按照《质疑函范本》要求的格式和内容进行填写。投标人如组成联合体参加投标，则《质疑函范本》中要求签字、盖章、加盖公章之处，联合体各方均须按要求签字、盖章、加盖公章。</w:t>
      </w:r>
    </w:p>
    <w:p w14:paraId="31010F05">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28.4 代理机构及采购人只接收以纸质原件形式送达（当场送达或邮寄方式）的质疑。</w:t>
      </w:r>
    </w:p>
    <w:p w14:paraId="728E1265">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代理机构质疑接收部门为：涵熙（苏州）工程顾问有限公司，联系地址：常熟市</w:t>
      </w:r>
      <w:r>
        <w:rPr>
          <w:rFonts w:hint="eastAsia" w:ascii="宋体" w:hAnsi="宋体" w:cs="宋体"/>
          <w:kern w:val="0"/>
          <w:sz w:val="24"/>
          <w:szCs w:val="24"/>
          <w:highlight w:val="none"/>
          <w:lang w:val="en-US" w:eastAsia="zh-CN"/>
        </w:rPr>
        <w:t>山茶花路10号</w:t>
      </w:r>
      <w:r>
        <w:rPr>
          <w:rFonts w:hint="eastAsia" w:ascii="宋体" w:hAnsi="宋体" w:cs="宋体"/>
          <w:kern w:val="0"/>
          <w:sz w:val="24"/>
          <w:szCs w:val="24"/>
          <w:highlight w:val="none"/>
        </w:rPr>
        <w:t>。</w:t>
      </w:r>
    </w:p>
    <w:p w14:paraId="56E43C68">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质疑接收人及联系方式见招标文件“第一章 投标邀请”。</w:t>
      </w:r>
    </w:p>
    <w:p w14:paraId="4DE60279">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28.5 以下情形的质疑不予受理</w:t>
      </w:r>
    </w:p>
    <w:p w14:paraId="7F8EF65F">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（1）内容不符合《政府采购质疑和投诉办法》第十二条规定的质疑。</w:t>
      </w:r>
    </w:p>
    <w:p w14:paraId="7667B1C9">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（2）超出政府采购法定期限的质疑。</w:t>
      </w:r>
    </w:p>
    <w:p w14:paraId="75FF0749">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（3）以传真、电子邮件等方式递交的非原件形式的质疑。</w:t>
      </w:r>
    </w:p>
    <w:p w14:paraId="6FB5A801">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（4）未参加投标活动的投标人或在投标活动中自身权益未受到损害的投标人所提出的质疑。</w:t>
      </w:r>
    </w:p>
    <w:p w14:paraId="1A8AC640">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（5）如投标人组成联合体参加投标，联合体中任何一方或多方未按要求签字或盖章、加盖公章的质疑。</w:t>
      </w:r>
    </w:p>
    <w:p w14:paraId="5DA3ACA8">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28.6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p>
    <w:p w14:paraId="13246EE1">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29、中标通知书</w:t>
      </w:r>
    </w:p>
    <w:p w14:paraId="711FDA63">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29.1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E9E1798">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346E48EA">
      <w:pPr>
        <w:keepNext/>
        <w:keepLines/>
        <w:spacing w:before="152" w:beforeLines="50" w:after="152" w:afterLines="50" w:line="440" w:lineRule="exact"/>
        <w:outlineLvl w:val="2"/>
        <w:rPr>
          <w:rFonts w:ascii="宋体" w:hAnsi="宋体" w:cs="宋体"/>
          <w:b/>
          <w:bCs/>
          <w:sz w:val="32"/>
          <w:szCs w:val="32"/>
          <w:highlight w:val="none"/>
        </w:rPr>
      </w:pPr>
      <w:bookmarkStart w:id="89" w:name="_Toc31598"/>
      <w:bookmarkStart w:id="90" w:name="_Toc21840"/>
      <w:bookmarkStart w:id="91" w:name="_Toc11451"/>
      <w:bookmarkStart w:id="92" w:name="_Toc24233"/>
      <w:bookmarkStart w:id="93" w:name="_Toc22686"/>
      <w:bookmarkStart w:id="94" w:name="_Toc31645"/>
      <w:bookmarkStart w:id="95" w:name="_Toc16024"/>
      <w:bookmarkStart w:id="96" w:name="_Toc17654"/>
      <w:bookmarkStart w:id="97" w:name="_Toc4987"/>
      <w:bookmarkStart w:id="98" w:name="_Toc8381"/>
      <w:bookmarkStart w:id="99" w:name="_Toc1951"/>
      <w:r>
        <w:rPr>
          <w:rFonts w:hint="eastAsia" w:ascii="宋体" w:hAnsi="宋体" w:cs="宋体"/>
          <w:b/>
          <w:bCs/>
          <w:sz w:val="32"/>
          <w:szCs w:val="32"/>
          <w:highlight w:val="none"/>
        </w:rPr>
        <w:t>七、授予合同</w:t>
      </w:r>
      <w:bookmarkEnd w:id="89"/>
      <w:bookmarkEnd w:id="90"/>
      <w:bookmarkEnd w:id="91"/>
      <w:bookmarkEnd w:id="92"/>
      <w:bookmarkEnd w:id="93"/>
      <w:bookmarkEnd w:id="94"/>
      <w:bookmarkEnd w:id="95"/>
      <w:bookmarkEnd w:id="96"/>
      <w:bookmarkEnd w:id="97"/>
      <w:bookmarkEnd w:id="98"/>
      <w:bookmarkEnd w:id="99"/>
    </w:p>
    <w:p w14:paraId="0BDAE7EF">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30、签订合同</w:t>
      </w:r>
    </w:p>
    <w:p w14:paraId="704FACC2">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30.l中标人应当在中标通知书发出之日起三十日内，按照招标文件确定的事项与采购人签订政府采购合同。</w:t>
      </w:r>
    </w:p>
    <w:p w14:paraId="55BFF17F">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30.2招标文件、中标人的投标文件及投标过程中有关澄清、承诺文件均应作为合同附件。</w:t>
      </w:r>
    </w:p>
    <w:p w14:paraId="39463970">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158CB7CA">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31、标的物的追加</w:t>
      </w:r>
    </w:p>
    <w:p w14:paraId="6D656FEF">
      <w:pPr>
        <w:spacing w:line="440" w:lineRule="exact"/>
        <w:ind w:firstLine="480"/>
        <w:rPr>
          <w:rFonts w:ascii="宋体" w:hAnsi="宋体" w:cs="宋体"/>
          <w:kern w:val="0"/>
          <w:sz w:val="24"/>
          <w:szCs w:val="24"/>
          <w:highlight w:val="none"/>
        </w:rPr>
      </w:pPr>
      <w:r>
        <w:rPr>
          <w:rFonts w:hint="eastAsia" w:ascii="宋体" w:hAnsi="宋体" w:cs="宋体"/>
          <w:kern w:val="0"/>
          <w:sz w:val="24"/>
          <w:szCs w:val="24"/>
          <w:highlight w:val="none"/>
        </w:rPr>
        <w:t>31.1政府采购合同履行中，采购人需追加与合同标的相同的货物、服务（包含与货物相关的服务及与服务相关的货物）的，在不改变合同其他条款的前提下，可以与中标人协商签订补充合同，但所有补充合同的采购金额不超过原合同金额10%。</w:t>
      </w:r>
    </w:p>
    <w:p w14:paraId="4D4D9007">
      <w:pPr>
        <w:keepNext/>
        <w:keepLines/>
        <w:spacing w:line="440" w:lineRule="exact"/>
        <w:ind w:firstLine="138" w:firstLineChars="49"/>
        <w:rPr>
          <w:rFonts w:ascii="宋体" w:hAnsi="宋体" w:cs="宋体"/>
          <w:b/>
          <w:kern w:val="0"/>
          <w:sz w:val="28"/>
          <w:szCs w:val="28"/>
          <w:highlight w:val="none"/>
        </w:rPr>
      </w:pPr>
      <w:r>
        <w:rPr>
          <w:rFonts w:hint="eastAsia" w:ascii="宋体" w:hAnsi="宋体" w:cs="宋体"/>
          <w:b/>
          <w:kern w:val="0"/>
          <w:sz w:val="28"/>
          <w:szCs w:val="28"/>
          <w:highlight w:val="none"/>
        </w:rPr>
        <w:t>32、政府采购履约资金扶持政策</w:t>
      </w:r>
    </w:p>
    <w:p w14:paraId="046F7083">
      <w:pPr>
        <w:tabs>
          <w:tab w:val="left" w:pos="200"/>
        </w:tabs>
        <w:spacing w:line="44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中标人可凭政府采购合同办理融资贷款，详情请见苏州市政府采购网“政府采购合同信用融资”专栏。</w:t>
      </w:r>
    </w:p>
    <w:p w14:paraId="5C3B8684">
      <w:pPr>
        <w:spacing w:line="480" w:lineRule="exact"/>
        <w:rPr>
          <w:rFonts w:ascii="宋体" w:hAnsi="宋体" w:cs="宋体"/>
          <w:sz w:val="24"/>
          <w:szCs w:val="24"/>
          <w:highlight w:val="none"/>
        </w:rPr>
      </w:pPr>
      <w:r>
        <w:rPr>
          <w:rFonts w:hint="eastAsia" w:ascii="宋体" w:hAnsi="宋体" w:cs="宋体"/>
          <w:highlight w:val="none"/>
        </w:rPr>
        <w:br w:type="page"/>
      </w:r>
    </w:p>
    <w:p w14:paraId="569C5701">
      <w:pPr>
        <w:pStyle w:val="2"/>
        <w:rPr>
          <w:rFonts w:cs="宋体"/>
          <w:highlight w:val="none"/>
        </w:rPr>
      </w:pPr>
      <w:bookmarkStart w:id="100" w:name="_Toc9908"/>
      <w:bookmarkStart w:id="101" w:name="_Toc10551"/>
      <w:bookmarkStart w:id="102" w:name="_Toc158691774"/>
      <w:bookmarkStart w:id="103" w:name="_Toc315875321"/>
      <w:bookmarkStart w:id="104" w:name="_Toc315868058"/>
      <w:r>
        <w:rPr>
          <w:rFonts w:hint="eastAsia" w:cs="宋体"/>
          <w:highlight w:val="none"/>
        </w:rPr>
        <w:t>第三章 合同</w:t>
      </w:r>
      <w:bookmarkEnd w:id="100"/>
      <w:r>
        <w:rPr>
          <w:rFonts w:hint="eastAsia" w:cs="宋体"/>
          <w:highlight w:val="none"/>
        </w:rPr>
        <w:t>文本</w:t>
      </w:r>
      <w:bookmarkEnd w:id="101"/>
    </w:p>
    <w:p w14:paraId="39913A3B">
      <w:pPr>
        <w:spacing w:before="305" w:beforeLines="100"/>
        <w:ind w:right="105" w:rightChars="50" w:firstLine="6720" w:firstLineChars="2800"/>
        <w:rPr>
          <w:rFonts w:ascii="宋体" w:hAnsi="宋体" w:cs="宋体"/>
          <w:b/>
          <w:bCs/>
          <w:kern w:val="0"/>
          <w:sz w:val="72"/>
          <w:szCs w:val="72"/>
          <w:highlight w:val="none"/>
        </w:rPr>
      </w:pPr>
      <w:r>
        <w:rPr>
          <w:rFonts w:hint="eastAsia" w:ascii="宋体" w:hAnsi="宋体" w:cs="宋体"/>
          <w:sz w:val="24"/>
          <w:szCs w:val="24"/>
          <w:highlight w:val="none"/>
        </w:rPr>
        <w:t>合同编号：</w:t>
      </w:r>
    </w:p>
    <w:p w14:paraId="237C4208">
      <w:pPr>
        <w:spacing w:before="305" w:beforeLines="100"/>
        <w:ind w:right="105" w:rightChars="50" w:firstLine="2530" w:firstLineChars="350"/>
        <w:rPr>
          <w:rFonts w:ascii="宋体" w:hAnsi="宋体" w:cs="宋体"/>
          <w:b/>
          <w:bCs/>
          <w:kern w:val="0"/>
          <w:sz w:val="72"/>
          <w:szCs w:val="72"/>
          <w:highlight w:val="none"/>
        </w:rPr>
      </w:pPr>
    </w:p>
    <w:p w14:paraId="631414E1">
      <w:pPr>
        <w:spacing w:before="305" w:beforeLines="100"/>
        <w:ind w:right="105" w:rightChars="50" w:firstLine="2530" w:firstLineChars="350"/>
        <w:rPr>
          <w:rFonts w:ascii="宋体" w:hAnsi="宋体" w:cs="宋体"/>
          <w:b/>
          <w:bCs/>
          <w:kern w:val="0"/>
          <w:sz w:val="72"/>
          <w:szCs w:val="72"/>
          <w:highlight w:val="none"/>
        </w:rPr>
      </w:pPr>
      <w:r>
        <w:rPr>
          <w:rFonts w:hint="eastAsia" w:ascii="宋体" w:hAnsi="宋体" w:cs="宋体"/>
          <w:b/>
          <w:bCs/>
          <w:kern w:val="0"/>
          <w:sz w:val="72"/>
          <w:szCs w:val="72"/>
          <w:highlight w:val="none"/>
        </w:rPr>
        <w:t>政府采购合同</w:t>
      </w:r>
    </w:p>
    <w:p w14:paraId="63E0AD35">
      <w:pPr>
        <w:spacing w:line="420" w:lineRule="exact"/>
        <w:ind w:firstLine="1807" w:firstLineChars="250"/>
        <w:rPr>
          <w:rFonts w:ascii="宋体" w:hAnsi="宋体" w:cs="宋体"/>
          <w:b/>
          <w:bCs/>
          <w:kern w:val="0"/>
          <w:sz w:val="72"/>
          <w:szCs w:val="72"/>
          <w:highlight w:val="none"/>
        </w:rPr>
      </w:pPr>
    </w:p>
    <w:p w14:paraId="5FE8ACA5">
      <w:pPr>
        <w:spacing w:line="420" w:lineRule="exact"/>
        <w:ind w:firstLine="1807" w:firstLineChars="250"/>
        <w:rPr>
          <w:rFonts w:ascii="宋体" w:hAnsi="宋体" w:cs="宋体"/>
          <w:b/>
          <w:bCs/>
          <w:kern w:val="0"/>
          <w:sz w:val="72"/>
          <w:szCs w:val="72"/>
          <w:highlight w:val="none"/>
        </w:rPr>
      </w:pPr>
    </w:p>
    <w:p w14:paraId="07C6E8CE">
      <w:pPr>
        <w:autoSpaceDE w:val="0"/>
        <w:autoSpaceDN w:val="0"/>
        <w:adjustRightInd w:val="0"/>
        <w:spacing w:line="480" w:lineRule="exact"/>
        <w:ind w:firstLine="200"/>
        <w:jc w:val="center"/>
        <w:rPr>
          <w:rFonts w:ascii="宋体" w:hAnsi="宋体" w:cs="宋体"/>
          <w:b/>
          <w:kern w:val="0"/>
          <w:sz w:val="28"/>
          <w:szCs w:val="28"/>
          <w:highlight w:val="none"/>
        </w:rPr>
      </w:pPr>
      <w:r>
        <w:rPr>
          <w:rFonts w:hint="eastAsia" w:ascii="宋体" w:hAnsi="宋体" w:cs="宋体"/>
          <w:b/>
          <w:kern w:val="0"/>
          <w:sz w:val="28"/>
          <w:szCs w:val="28"/>
          <w:highlight w:val="none"/>
        </w:rPr>
        <w:t>第一部分 合同书</w:t>
      </w:r>
    </w:p>
    <w:p w14:paraId="4267C517">
      <w:pPr>
        <w:widowControl/>
        <w:spacing w:before="120" w:after="160" w:line="22" w:lineRule="atLeast"/>
        <w:rPr>
          <w:rFonts w:ascii="宋体" w:hAnsi="宋体" w:cs="宋体"/>
          <w:bCs/>
          <w:kern w:val="0"/>
          <w:sz w:val="24"/>
          <w:szCs w:val="24"/>
          <w:highlight w:val="none"/>
        </w:rPr>
      </w:pPr>
    </w:p>
    <w:p w14:paraId="287529E1">
      <w:pPr>
        <w:widowControl/>
        <w:spacing w:before="120" w:after="160" w:line="22" w:lineRule="atLeast"/>
        <w:jc w:val="center"/>
        <w:rPr>
          <w:rFonts w:ascii="宋体" w:hAnsi="宋体" w:cs="宋体"/>
          <w:b/>
          <w:bCs/>
          <w:kern w:val="0"/>
          <w:sz w:val="36"/>
          <w:szCs w:val="36"/>
          <w:highlight w:val="none"/>
          <w:u w:val="single"/>
        </w:rPr>
      </w:pPr>
      <w:r>
        <w:rPr>
          <w:rFonts w:hint="eastAsia" w:ascii="宋体" w:hAnsi="宋体" w:cs="宋体"/>
          <w:b/>
          <w:bCs/>
          <w:spacing w:val="-6"/>
          <w:kern w:val="0"/>
          <w:sz w:val="36"/>
          <w:szCs w:val="36"/>
          <w:highlight w:val="none"/>
        </w:rPr>
        <w:t>项目名称：</w:t>
      </w:r>
      <w:r>
        <w:rPr>
          <w:rFonts w:hint="eastAsia" w:ascii="宋体" w:hAnsi="宋体" w:cs="宋体"/>
          <w:spacing w:val="-6"/>
          <w:sz w:val="36"/>
          <w:szCs w:val="36"/>
          <w:highlight w:val="none"/>
          <w:u w:val="single"/>
        </w:rPr>
        <w:t>大气污染防治技术支撑服务</w:t>
      </w:r>
    </w:p>
    <w:p w14:paraId="3B569EBA">
      <w:pPr>
        <w:widowControl/>
        <w:spacing w:before="120" w:after="160" w:line="22" w:lineRule="atLeast"/>
        <w:ind w:firstLine="1807" w:firstLineChars="500"/>
        <w:rPr>
          <w:rFonts w:hint="eastAsia" w:ascii="宋体" w:hAnsi="宋体" w:eastAsia="宋体" w:cs="宋体"/>
          <w:b/>
          <w:bCs/>
          <w:kern w:val="0"/>
          <w:sz w:val="36"/>
          <w:szCs w:val="36"/>
          <w:highlight w:val="none"/>
          <w:lang w:eastAsia="zh-CN"/>
        </w:rPr>
      </w:pPr>
      <w:r>
        <w:rPr>
          <w:rFonts w:hint="eastAsia" w:ascii="宋体" w:hAnsi="宋体" w:cs="宋体"/>
          <w:b/>
          <w:bCs/>
          <w:kern w:val="0"/>
          <w:sz w:val="36"/>
          <w:szCs w:val="36"/>
          <w:highlight w:val="none"/>
        </w:rPr>
        <w:t>项目编号：</w:t>
      </w:r>
      <w:r>
        <w:rPr>
          <w:rFonts w:hint="eastAsia" w:ascii="宋体" w:hAnsi="宋体" w:cs="宋体"/>
          <w:sz w:val="36"/>
          <w:szCs w:val="36"/>
          <w:highlight w:val="none"/>
          <w:u w:val="single"/>
          <w:lang w:eastAsia="zh-CN"/>
        </w:rPr>
        <w:t>JSZC-320581-HXGW-G2026-0035</w:t>
      </w:r>
    </w:p>
    <w:p w14:paraId="5701C0DB">
      <w:pPr>
        <w:spacing w:line="420" w:lineRule="exact"/>
        <w:ind w:firstLine="1807" w:firstLineChars="250"/>
        <w:rPr>
          <w:rFonts w:ascii="宋体" w:hAnsi="宋体" w:cs="宋体"/>
          <w:b/>
          <w:bCs/>
          <w:kern w:val="0"/>
          <w:sz w:val="72"/>
          <w:szCs w:val="72"/>
          <w:highlight w:val="none"/>
        </w:rPr>
      </w:pPr>
    </w:p>
    <w:p w14:paraId="72C0C26D">
      <w:pPr>
        <w:spacing w:before="120" w:line="22" w:lineRule="atLeast"/>
        <w:ind w:left="960" w:firstLine="840" w:firstLineChars="350"/>
        <w:rPr>
          <w:rFonts w:ascii="宋体" w:hAnsi="宋体" w:cs="宋体"/>
          <w:bCs/>
          <w:sz w:val="24"/>
          <w:szCs w:val="24"/>
          <w:highlight w:val="none"/>
          <w:u w:val="single"/>
        </w:rPr>
      </w:pPr>
      <w:r>
        <w:rPr>
          <w:rFonts w:hint="eastAsia" w:ascii="宋体" w:hAnsi="宋体" w:cs="宋体"/>
          <w:bCs/>
          <w:sz w:val="24"/>
          <w:szCs w:val="24"/>
          <w:highlight w:val="none"/>
        </w:rPr>
        <w:t>甲方（采  购  人）：</w:t>
      </w:r>
      <w:r>
        <w:rPr>
          <w:rFonts w:hint="eastAsia" w:ascii="宋体" w:hAnsi="宋体" w:cs="宋体"/>
          <w:bCs/>
          <w:sz w:val="24"/>
          <w:szCs w:val="24"/>
          <w:highlight w:val="none"/>
          <w:u w:val="single"/>
        </w:rPr>
        <w:t xml:space="preserve">                                   </w:t>
      </w:r>
    </w:p>
    <w:p w14:paraId="7F2CDD5B">
      <w:pPr>
        <w:spacing w:before="120" w:line="22" w:lineRule="atLeast"/>
        <w:ind w:left="960" w:firstLine="840" w:firstLineChars="350"/>
        <w:rPr>
          <w:rFonts w:ascii="宋体" w:hAnsi="宋体" w:cs="宋体"/>
          <w:bCs/>
          <w:sz w:val="24"/>
          <w:szCs w:val="24"/>
          <w:highlight w:val="none"/>
          <w:u w:val="single"/>
        </w:rPr>
      </w:pPr>
      <w:r>
        <w:rPr>
          <w:rFonts w:hint="eastAsia" w:ascii="宋体" w:hAnsi="宋体" w:cs="宋体"/>
          <w:bCs/>
          <w:sz w:val="24"/>
          <w:szCs w:val="24"/>
          <w:highlight w:val="none"/>
        </w:rPr>
        <w:t>乙方（中  标  人）：</w:t>
      </w:r>
      <w:r>
        <w:rPr>
          <w:rFonts w:hint="eastAsia" w:ascii="宋体" w:hAnsi="宋体" w:cs="宋体"/>
          <w:bCs/>
          <w:sz w:val="24"/>
          <w:szCs w:val="24"/>
          <w:highlight w:val="none"/>
          <w:u w:val="single"/>
        </w:rPr>
        <w:t xml:space="preserve">                                   </w:t>
      </w:r>
    </w:p>
    <w:p w14:paraId="66BCCA2D">
      <w:pPr>
        <w:spacing w:before="120" w:line="22" w:lineRule="atLeast"/>
        <w:ind w:left="960" w:firstLine="840" w:firstLineChars="350"/>
        <w:rPr>
          <w:rFonts w:ascii="宋体" w:hAnsi="宋体" w:cs="宋体"/>
          <w:bCs/>
          <w:sz w:val="24"/>
          <w:szCs w:val="24"/>
          <w:highlight w:val="none"/>
          <w:u w:val="single"/>
        </w:rPr>
      </w:pPr>
      <w:r>
        <w:rPr>
          <w:rFonts w:hint="eastAsia" w:ascii="宋体" w:hAnsi="宋体" w:cs="宋体"/>
          <w:bCs/>
          <w:sz w:val="24"/>
          <w:szCs w:val="24"/>
          <w:highlight w:val="none"/>
        </w:rPr>
        <w:t>信用融资回款账户：</w:t>
      </w:r>
      <w:r>
        <w:rPr>
          <w:rFonts w:hint="eastAsia" w:ascii="宋体" w:hAnsi="宋体" w:cs="宋体"/>
          <w:bCs/>
          <w:sz w:val="24"/>
          <w:szCs w:val="24"/>
          <w:highlight w:val="none"/>
          <w:u w:val="single"/>
        </w:rPr>
        <w:t xml:space="preserve">                                   </w:t>
      </w:r>
    </w:p>
    <w:p w14:paraId="3AB5926C">
      <w:pPr>
        <w:spacing w:before="120" w:line="22" w:lineRule="atLeast"/>
        <w:ind w:left="960" w:firstLine="840" w:firstLineChars="350"/>
        <w:rPr>
          <w:rFonts w:ascii="宋体" w:hAnsi="宋体" w:cs="宋体"/>
          <w:bCs/>
          <w:sz w:val="24"/>
          <w:szCs w:val="24"/>
          <w:highlight w:val="none"/>
        </w:rPr>
      </w:pPr>
      <w:r>
        <w:rPr>
          <w:rFonts w:hint="eastAsia" w:ascii="宋体" w:hAnsi="宋体" w:cs="宋体"/>
          <w:bCs/>
          <w:sz w:val="24"/>
          <w:szCs w:val="24"/>
          <w:highlight w:val="none"/>
        </w:rPr>
        <w:t>开户银行：</w:t>
      </w:r>
      <w:r>
        <w:rPr>
          <w:rFonts w:hint="eastAsia" w:ascii="宋体" w:hAnsi="宋体" w:cs="宋体"/>
          <w:bCs/>
          <w:sz w:val="24"/>
          <w:szCs w:val="24"/>
          <w:highlight w:val="none"/>
          <w:u w:val="single"/>
        </w:rPr>
        <w:t xml:space="preserve">                                   </w:t>
      </w:r>
    </w:p>
    <w:p w14:paraId="37D533EA">
      <w:pPr>
        <w:spacing w:before="120" w:line="22" w:lineRule="atLeast"/>
        <w:ind w:firstLine="1800" w:firstLineChars="750"/>
        <w:rPr>
          <w:rFonts w:ascii="宋体" w:hAnsi="宋体" w:cs="宋体"/>
          <w:bCs/>
          <w:sz w:val="24"/>
          <w:szCs w:val="24"/>
          <w:highlight w:val="none"/>
          <w:u w:val="single"/>
        </w:rPr>
      </w:pPr>
      <w:r>
        <w:rPr>
          <w:rFonts w:hint="eastAsia" w:ascii="宋体" w:hAnsi="宋体" w:cs="宋体"/>
          <w:bCs/>
          <w:sz w:val="24"/>
          <w:szCs w:val="24"/>
          <w:highlight w:val="none"/>
        </w:rPr>
        <w:t>签 订 地：</w:t>
      </w:r>
      <w:r>
        <w:rPr>
          <w:rFonts w:hint="eastAsia" w:ascii="宋体" w:hAnsi="宋体" w:cs="宋体"/>
          <w:bCs/>
          <w:sz w:val="24"/>
          <w:szCs w:val="24"/>
          <w:highlight w:val="none"/>
          <w:u w:val="single"/>
        </w:rPr>
        <w:t xml:space="preserve">            常熟市                </w:t>
      </w:r>
    </w:p>
    <w:p w14:paraId="667F0819">
      <w:pPr>
        <w:spacing w:before="120" w:line="22" w:lineRule="atLeast"/>
        <w:ind w:firstLine="1800" w:firstLineChars="750"/>
        <w:rPr>
          <w:rFonts w:ascii="宋体" w:hAnsi="宋体" w:cs="宋体"/>
          <w:bCs/>
          <w:sz w:val="24"/>
          <w:szCs w:val="24"/>
          <w:highlight w:val="none"/>
          <w:u w:val="single"/>
        </w:rPr>
      </w:pPr>
      <w:r>
        <w:rPr>
          <w:rFonts w:hint="eastAsia" w:ascii="宋体" w:hAnsi="宋体" w:cs="宋体"/>
          <w:sz w:val="24"/>
          <w:szCs w:val="24"/>
          <w:highlight w:val="none"/>
        </w:rPr>
        <w:t>签订日期：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53064A9F">
      <w:pPr>
        <w:spacing w:line="440" w:lineRule="exact"/>
        <w:ind w:firstLine="480" w:firstLineChars="200"/>
        <w:rPr>
          <w:rFonts w:ascii="宋体" w:hAnsi="宋体" w:cs="宋体"/>
          <w:sz w:val="24"/>
          <w:szCs w:val="24"/>
          <w:highlight w:val="none"/>
          <w:u w:val="single"/>
          <w:lang w:val="zh-CN"/>
        </w:rPr>
      </w:pPr>
    </w:p>
    <w:p w14:paraId="25747BA6">
      <w:pPr>
        <w:spacing w:line="460" w:lineRule="exact"/>
        <w:ind w:firstLine="480" w:firstLineChars="200"/>
        <w:rPr>
          <w:rFonts w:ascii="宋体" w:hAnsi="宋体" w:cs="宋体"/>
          <w:sz w:val="24"/>
          <w:szCs w:val="24"/>
          <w:highlight w:val="none"/>
        </w:rPr>
      </w:pPr>
      <w:r>
        <w:rPr>
          <w:rFonts w:hint="eastAsia" w:ascii="宋体" w:hAnsi="宋体" w:cs="宋体"/>
          <w:sz w:val="24"/>
          <w:szCs w:val="24"/>
          <w:highlight w:val="none"/>
          <w:u w:val="single"/>
          <w:lang w:val="zh-CN"/>
        </w:rPr>
        <w:br w:type="page"/>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年</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月</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日</w:t>
      </w:r>
      <w:r>
        <w:rPr>
          <w:rFonts w:hint="eastAsia" w:ascii="宋体" w:hAnsi="宋体" w:cs="宋体"/>
          <w:sz w:val="24"/>
          <w:szCs w:val="24"/>
          <w:highlight w:val="none"/>
        </w:rPr>
        <w:t>，</w:t>
      </w:r>
      <w:r>
        <w:rPr>
          <w:rFonts w:hint="eastAsia" w:ascii="宋体" w:hAnsi="宋体" w:cs="宋体"/>
          <w:sz w:val="24"/>
          <w:szCs w:val="24"/>
          <w:highlight w:val="none"/>
          <w:u w:val="single"/>
        </w:rPr>
        <w:t xml:space="preserve">   （采购人名称）   </w:t>
      </w:r>
      <w:r>
        <w:rPr>
          <w:rFonts w:hint="eastAsia" w:ascii="宋体" w:hAnsi="宋体" w:cs="宋体"/>
          <w:sz w:val="24"/>
          <w:szCs w:val="24"/>
          <w:highlight w:val="none"/>
        </w:rPr>
        <w:t>以</w:t>
      </w:r>
      <w:r>
        <w:rPr>
          <w:rFonts w:hint="eastAsia" w:ascii="宋体" w:hAnsi="宋体" w:cs="宋体"/>
          <w:sz w:val="24"/>
          <w:szCs w:val="24"/>
          <w:highlight w:val="none"/>
          <w:u w:val="single"/>
        </w:rPr>
        <w:t xml:space="preserve"> </w:t>
      </w:r>
      <w:r>
        <w:rPr>
          <w:rFonts w:hint="eastAsia" w:ascii="宋体" w:hAnsi="宋体" w:cs="宋体"/>
          <w:b/>
          <w:bCs/>
          <w:sz w:val="24"/>
          <w:szCs w:val="24"/>
          <w:highlight w:val="none"/>
          <w:u w:val="single"/>
        </w:rPr>
        <w:t>公开招标</w:t>
      </w:r>
      <w:r>
        <w:rPr>
          <w:rFonts w:hint="eastAsia" w:ascii="宋体" w:hAnsi="宋体" w:cs="宋体"/>
          <w:sz w:val="24"/>
          <w:szCs w:val="24"/>
          <w:highlight w:val="none"/>
        </w:rPr>
        <w:t xml:space="preserve"> 对</w:t>
      </w:r>
      <w:r>
        <w:rPr>
          <w:rFonts w:hint="eastAsia" w:ascii="宋体" w:hAnsi="宋体" w:cs="宋体"/>
          <w:sz w:val="24"/>
          <w:szCs w:val="24"/>
          <w:highlight w:val="none"/>
          <w:u w:val="single"/>
        </w:rPr>
        <w:t xml:space="preserve">   （同前页项目名称）   </w:t>
      </w:r>
      <w:r>
        <w:rPr>
          <w:rFonts w:hint="eastAsia" w:ascii="宋体" w:hAnsi="宋体" w:cs="宋体"/>
          <w:sz w:val="24"/>
          <w:szCs w:val="24"/>
          <w:highlight w:val="none"/>
        </w:rPr>
        <w:t>项目进行了采购。经</w:t>
      </w:r>
      <w:r>
        <w:rPr>
          <w:rFonts w:hint="eastAsia" w:ascii="宋体" w:hAnsi="宋体" w:cs="宋体"/>
          <w:sz w:val="24"/>
          <w:szCs w:val="24"/>
          <w:highlight w:val="none"/>
          <w:u w:val="single"/>
        </w:rPr>
        <w:t>评标委员会</w:t>
      </w:r>
      <w:r>
        <w:rPr>
          <w:rFonts w:hint="eastAsia" w:ascii="宋体" w:hAnsi="宋体" w:cs="宋体"/>
          <w:sz w:val="24"/>
          <w:szCs w:val="24"/>
          <w:highlight w:val="none"/>
        </w:rPr>
        <w:t>评定，</w:t>
      </w:r>
      <w:r>
        <w:rPr>
          <w:rFonts w:hint="eastAsia" w:ascii="宋体" w:hAnsi="宋体" w:cs="宋体"/>
          <w:sz w:val="24"/>
          <w:szCs w:val="24"/>
          <w:highlight w:val="none"/>
          <w:u w:val="single"/>
        </w:rPr>
        <w:t xml:space="preserve">   （中标人名称） </w:t>
      </w:r>
      <w:r>
        <w:rPr>
          <w:rFonts w:hint="eastAsia" w:ascii="宋体" w:hAnsi="宋体" w:cs="宋体"/>
          <w:sz w:val="24"/>
          <w:szCs w:val="24"/>
          <w:highlight w:val="none"/>
        </w:rPr>
        <w:t>为该项目中标人。现于中标通知书发出之日起三十日内，按照采购文件确定的事项签订本合同。</w:t>
      </w:r>
    </w:p>
    <w:p w14:paraId="3A0222DF">
      <w:pPr>
        <w:spacing w:line="460" w:lineRule="exact"/>
        <w:ind w:firstLine="480" w:firstLineChars="200"/>
        <w:rPr>
          <w:rFonts w:ascii="宋体" w:hAnsi="宋体" w:cs="宋体"/>
          <w:sz w:val="24"/>
          <w:szCs w:val="24"/>
          <w:highlight w:val="none"/>
        </w:rPr>
      </w:pPr>
      <w:bookmarkStart w:id="105" w:name="_Hlk63008672"/>
      <w:bookmarkStart w:id="106" w:name="_Hlk63008690"/>
      <w:r>
        <w:rPr>
          <w:rFonts w:hint="eastAsia" w:ascii="宋体" w:hAnsi="宋体" w:cs="宋体"/>
          <w:sz w:val="24"/>
          <w:szCs w:val="24"/>
          <w:highlight w:val="none"/>
        </w:rPr>
        <w:t>根据《中华人民共和国政府采购法》及其实施条例、《中华人民共和国民法典》</w:t>
      </w:r>
      <w:bookmarkEnd w:id="105"/>
      <w:r>
        <w:rPr>
          <w:rFonts w:hint="eastAsia" w:ascii="宋体" w:hAnsi="宋体" w:cs="宋体"/>
          <w:sz w:val="24"/>
          <w:szCs w:val="24"/>
          <w:highlight w:val="none"/>
        </w:rPr>
        <w:t>等法律法规的规定</w:t>
      </w:r>
      <w:bookmarkEnd w:id="106"/>
      <w:r>
        <w:rPr>
          <w:rFonts w:hint="eastAsia" w:ascii="宋体" w:hAnsi="宋体" w:cs="宋体"/>
          <w:sz w:val="24"/>
          <w:szCs w:val="24"/>
          <w:highlight w:val="none"/>
          <w:lang w:val="zh-CN"/>
        </w:rPr>
        <w:t>，按照平等、自愿、公平和诚实信用的原则，经</w:t>
      </w:r>
      <w:r>
        <w:rPr>
          <w:rFonts w:hint="eastAsia" w:ascii="宋体" w:hAnsi="宋体" w:cs="宋体"/>
          <w:sz w:val="24"/>
          <w:szCs w:val="24"/>
          <w:highlight w:val="none"/>
          <w:u w:val="single"/>
        </w:rPr>
        <w:t>苏州市常熟生态环境局</w:t>
      </w:r>
      <w:r>
        <w:rPr>
          <w:rFonts w:hint="eastAsia" w:ascii="宋体" w:hAnsi="宋体" w:cs="宋体"/>
          <w:sz w:val="24"/>
          <w:szCs w:val="24"/>
          <w:highlight w:val="none"/>
          <w:lang w:val="zh-CN"/>
        </w:rPr>
        <w:t>(以下简称：甲方)和</w:t>
      </w:r>
      <w:r>
        <w:rPr>
          <w:rFonts w:hint="eastAsia" w:ascii="宋体" w:hAnsi="宋体" w:cs="宋体"/>
          <w:sz w:val="24"/>
          <w:szCs w:val="24"/>
          <w:highlight w:val="none"/>
          <w:u w:val="single"/>
        </w:rPr>
        <w:t xml:space="preserve">   （中标人名称）   </w:t>
      </w:r>
      <w:r>
        <w:rPr>
          <w:rFonts w:hint="eastAsia" w:ascii="宋体" w:hAnsi="宋体" w:cs="宋体"/>
          <w:sz w:val="24"/>
          <w:szCs w:val="24"/>
          <w:highlight w:val="none"/>
          <w:lang w:val="zh-CN"/>
        </w:rPr>
        <w:t>(以下简称：乙方)协商一致，约定以下合同</w:t>
      </w:r>
      <w:r>
        <w:rPr>
          <w:rFonts w:hint="eastAsia" w:ascii="宋体" w:hAnsi="宋体" w:cs="宋体"/>
          <w:sz w:val="24"/>
          <w:szCs w:val="24"/>
          <w:highlight w:val="none"/>
        </w:rPr>
        <w:t>条款，以兹共同遵守、全面履行。</w:t>
      </w:r>
    </w:p>
    <w:p w14:paraId="744D5646">
      <w:pPr>
        <w:spacing w:line="460" w:lineRule="exact"/>
        <w:rPr>
          <w:rFonts w:ascii="宋体" w:hAnsi="宋体" w:cs="宋体"/>
          <w:sz w:val="24"/>
          <w:szCs w:val="24"/>
          <w:highlight w:val="none"/>
        </w:rPr>
      </w:pPr>
      <w:bookmarkStart w:id="107" w:name="_Toc22967"/>
      <w:bookmarkStart w:id="108" w:name="_Toc15367"/>
      <w:bookmarkStart w:id="109" w:name="_Toc28855"/>
      <w:bookmarkStart w:id="110" w:name="_Toc19273"/>
      <w:bookmarkStart w:id="111" w:name="_Toc20421"/>
      <w:r>
        <w:rPr>
          <w:rFonts w:hint="eastAsia" w:ascii="宋体" w:hAnsi="宋体" w:cs="宋体"/>
          <w:b/>
          <w:sz w:val="24"/>
          <w:szCs w:val="24"/>
          <w:highlight w:val="none"/>
        </w:rPr>
        <w:t>1.1 合同组成部分</w:t>
      </w:r>
      <w:bookmarkEnd w:id="107"/>
      <w:bookmarkEnd w:id="108"/>
      <w:bookmarkEnd w:id="109"/>
      <w:bookmarkEnd w:id="110"/>
      <w:bookmarkEnd w:id="111"/>
    </w:p>
    <w:p w14:paraId="687BAFDB">
      <w:pPr>
        <w:spacing w:line="460" w:lineRule="exact"/>
        <w:ind w:firstLine="480" w:firstLineChars="200"/>
        <w:rPr>
          <w:rFonts w:ascii="宋体" w:hAnsi="宋体" w:cs="宋体"/>
          <w:sz w:val="24"/>
          <w:szCs w:val="24"/>
          <w:highlight w:val="none"/>
        </w:rPr>
      </w:pPr>
      <w:r>
        <w:rPr>
          <w:rFonts w:hint="eastAsia" w:ascii="宋体" w:hAnsi="宋体" w:cs="宋体"/>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5DE34C2D">
      <w:pPr>
        <w:spacing w:line="460" w:lineRule="exact"/>
        <w:ind w:firstLine="480" w:firstLineChars="200"/>
        <w:rPr>
          <w:rFonts w:ascii="宋体" w:hAnsi="宋体" w:cs="宋体"/>
          <w:sz w:val="24"/>
          <w:szCs w:val="24"/>
          <w:highlight w:val="none"/>
        </w:rPr>
      </w:pPr>
      <w:r>
        <w:rPr>
          <w:rFonts w:hint="eastAsia" w:ascii="宋体" w:hAnsi="宋体" w:cs="宋体"/>
          <w:sz w:val="24"/>
          <w:szCs w:val="24"/>
          <w:highlight w:val="none"/>
        </w:rPr>
        <w:t>1.1.1 本合同及其补充合同、变更协议。</w:t>
      </w:r>
    </w:p>
    <w:p w14:paraId="390F7365">
      <w:pPr>
        <w:spacing w:line="460" w:lineRule="exact"/>
        <w:ind w:firstLine="480" w:firstLineChars="200"/>
        <w:rPr>
          <w:rFonts w:ascii="宋体" w:hAnsi="宋体" w:cs="宋体"/>
          <w:sz w:val="24"/>
          <w:szCs w:val="24"/>
          <w:highlight w:val="none"/>
        </w:rPr>
      </w:pPr>
      <w:r>
        <w:rPr>
          <w:rFonts w:hint="eastAsia" w:ascii="宋体" w:hAnsi="宋体" w:cs="宋体"/>
          <w:sz w:val="24"/>
          <w:szCs w:val="24"/>
          <w:highlight w:val="none"/>
        </w:rPr>
        <w:t>1.1.2 中标通知书。</w:t>
      </w:r>
    </w:p>
    <w:p w14:paraId="7BD5E36B">
      <w:pPr>
        <w:spacing w:line="460" w:lineRule="exact"/>
        <w:ind w:firstLine="480" w:firstLineChars="200"/>
        <w:rPr>
          <w:rFonts w:ascii="宋体" w:hAnsi="宋体" w:cs="宋体"/>
          <w:sz w:val="24"/>
          <w:szCs w:val="24"/>
          <w:highlight w:val="none"/>
        </w:rPr>
      </w:pPr>
      <w:r>
        <w:rPr>
          <w:rFonts w:hint="eastAsia" w:ascii="宋体" w:hAnsi="宋体" w:cs="宋体"/>
          <w:sz w:val="24"/>
          <w:szCs w:val="24"/>
          <w:highlight w:val="none"/>
        </w:rPr>
        <w:t>1.1.3 投标文件（含澄清或者说明文件）。</w:t>
      </w:r>
    </w:p>
    <w:p w14:paraId="7D9C5022">
      <w:pPr>
        <w:spacing w:line="460" w:lineRule="exact"/>
        <w:ind w:firstLine="480" w:firstLineChars="200"/>
        <w:rPr>
          <w:rFonts w:ascii="宋体" w:hAnsi="宋体" w:cs="宋体"/>
          <w:sz w:val="24"/>
          <w:szCs w:val="24"/>
          <w:highlight w:val="none"/>
        </w:rPr>
      </w:pPr>
      <w:r>
        <w:rPr>
          <w:rFonts w:hint="eastAsia" w:ascii="宋体" w:hAnsi="宋体" w:cs="宋体"/>
          <w:sz w:val="24"/>
          <w:szCs w:val="24"/>
          <w:highlight w:val="none"/>
        </w:rPr>
        <w:t>1.1.4 招标文件（含澄清或者修改文件）。</w:t>
      </w:r>
    </w:p>
    <w:p w14:paraId="39E66F57">
      <w:pPr>
        <w:spacing w:line="460" w:lineRule="exact"/>
        <w:ind w:firstLine="480" w:firstLineChars="200"/>
        <w:rPr>
          <w:rFonts w:ascii="宋体" w:hAnsi="宋体" w:cs="宋体"/>
          <w:sz w:val="24"/>
          <w:szCs w:val="24"/>
          <w:highlight w:val="none"/>
        </w:rPr>
      </w:pPr>
      <w:r>
        <w:rPr>
          <w:rFonts w:hint="eastAsia" w:ascii="宋体" w:hAnsi="宋体" w:cs="宋体"/>
          <w:sz w:val="24"/>
          <w:szCs w:val="24"/>
          <w:highlight w:val="none"/>
        </w:rPr>
        <w:t>1.1.5 其他相关采购文件。</w:t>
      </w:r>
    </w:p>
    <w:p w14:paraId="388E79F4">
      <w:pPr>
        <w:spacing w:line="460" w:lineRule="exact"/>
        <w:rPr>
          <w:rFonts w:ascii="宋体" w:hAnsi="宋体" w:cs="宋体"/>
          <w:b/>
          <w:sz w:val="24"/>
          <w:szCs w:val="24"/>
          <w:highlight w:val="none"/>
        </w:rPr>
      </w:pPr>
      <w:bookmarkStart w:id="112" w:name="_Toc6773"/>
      <w:bookmarkStart w:id="113" w:name="_Toc6311"/>
      <w:bookmarkStart w:id="114" w:name="_Toc18585"/>
      <w:bookmarkStart w:id="115" w:name="_Toc22185"/>
      <w:bookmarkStart w:id="116" w:name="_Toc2918"/>
      <w:r>
        <w:rPr>
          <w:rFonts w:hint="eastAsia" w:ascii="宋体" w:hAnsi="宋体" w:cs="宋体"/>
          <w:b/>
          <w:sz w:val="24"/>
          <w:szCs w:val="24"/>
          <w:highlight w:val="none"/>
        </w:rPr>
        <w:t>1.2 标的</w:t>
      </w:r>
      <w:bookmarkEnd w:id="112"/>
      <w:bookmarkEnd w:id="113"/>
      <w:bookmarkEnd w:id="114"/>
      <w:bookmarkEnd w:id="115"/>
      <w:bookmarkEnd w:id="116"/>
    </w:p>
    <w:p w14:paraId="42CB427F">
      <w:pPr>
        <w:spacing w:line="460" w:lineRule="exact"/>
        <w:ind w:firstLine="480" w:firstLineChars="200"/>
        <w:rPr>
          <w:rFonts w:ascii="宋体" w:hAnsi="宋体" w:cs="宋体"/>
          <w:sz w:val="24"/>
          <w:szCs w:val="24"/>
          <w:highlight w:val="none"/>
          <w:u w:val="single"/>
        </w:rPr>
      </w:pPr>
      <w:r>
        <w:rPr>
          <w:rFonts w:hint="eastAsia" w:ascii="宋体" w:hAnsi="宋体" w:cs="宋体"/>
          <w:sz w:val="24"/>
          <w:szCs w:val="24"/>
          <w:highlight w:val="none"/>
        </w:rPr>
        <w:t>1.2.1 标的名称：</w:t>
      </w:r>
      <w:r>
        <w:rPr>
          <w:rFonts w:hint="eastAsia" w:ascii="宋体" w:hAnsi="宋体" w:cs="宋体"/>
          <w:sz w:val="24"/>
          <w:szCs w:val="24"/>
          <w:highlight w:val="none"/>
          <w:u w:val="single"/>
        </w:rPr>
        <w:t>大气污染防治技术支撑服务。</w:t>
      </w:r>
    </w:p>
    <w:p w14:paraId="1926A79A">
      <w:pPr>
        <w:spacing w:line="460" w:lineRule="exact"/>
        <w:ind w:firstLine="480" w:firstLineChars="200"/>
        <w:rPr>
          <w:rFonts w:ascii="宋体" w:hAnsi="宋体" w:cs="宋体"/>
          <w:sz w:val="24"/>
          <w:szCs w:val="24"/>
          <w:highlight w:val="none"/>
        </w:rPr>
      </w:pPr>
      <w:r>
        <w:rPr>
          <w:rFonts w:hint="eastAsia" w:ascii="宋体" w:hAnsi="宋体" w:cs="宋体"/>
          <w:sz w:val="24"/>
          <w:szCs w:val="24"/>
          <w:highlight w:val="none"/>
        </w:rPr>
        <w:t>1.2.2 标的数量：</w:t>
      </w:r>
      <w:r>
        <w:rPr>
          <w:rFonts w:hint="eastAsia" w:ascii="宋体" w:hAnsi="宋体" w:cs="宋体"/>
          <w:sz w:val="24"/>
          <w:szCs w:val="24"/>
          <w:highlight w:val="none"/>
          <w:u w:val="single"/>
        </w:rPr>
        <w:t>1项。</w:t>
      </w:r>
    </w:p>
    <w:p w14:paraId="3ECDFD62">
      <w:pPr>
        <w:spacing w:line="460" w:lineRule="exact"/>
        <w:ind w:firstLine="480" w:firstLineChars="200"/>
        <w:rPr>
          <w:rFonts w:ascii="宋体" w:hAnsi="宋体" w:cs="宋体"/>
          <w:sz w:val="24"/>
          <w:szCs w:val="24"/>
          <w:highlight w:val="none"/>
          <w:u w:val="single"/>
        </w:rPr>
      </w:pPr>
      <w:r>
        <w:rPr>
          <w:rFonts w:hint="eastAsia" w:ascii="宋体" w:hAnsi="宋体" w:cs="宋体"/>
          <w:sz w:val="24"/>
          <w:szCs w:val="24"/>
          <w:highlight w:val="none"/>
        </w:rPr>
        <w:t>1.2.3 标的内容：</w:t>
      </w:r>
      <w:r>
        <w:rPr>
          <w:rFonts w:hint="eastAsia" w:ascii="宋体" w:hAnsi="宋体" w:cs="宋体"/>
          <w:sz w:val="24"/>
          <w:szCs w:val="24"/>
          <w:highlight w:val="none"/>
          <w:u w:val="single"/>
        </w:rPr>
        <w:t xml:space="preserve">          。</w:t>
      </w:r>
    </w:p>
    <w:p w14:paraId="70180CA2">
      <w:pPr>
        <w:spacing w:line="460" w:lineRule="exact"/>
        <w:rPr>
          <w:rFonts w:ascii="宋体" w:hAnsi="宋体" w:cs="宋体"/>
          <w:b/>
          <w:sz w:val="24"/>
          <w:szCs w:val="24"/>
          <w:highlight w:val="none"/>
        </w:rPr>
      </w:pPr>
      <w:bookmarkStart w:id="117" w:name="_Toc13918"/>
      <w:bookmarkStart w:id="118" w:name="_Toc4929"/>
      <w:bookmarkStart w:id="119" w:name="_Toc21124"/>
      <w:bookmarkStart w:id="120" w:name="_Toc1386"/>
      <w:bookmarkStart w:id="121" w:name="_Toc5635"/>
      <w:r>
        <w:rPr>
          <w:rFonts w:hint="eastAsia" w:ascii="宋体" w:hAnsi="宋体" w:cs="宋体"/>
          <w:b/>
          <w:sz w:val="24"/>
          <w:szCs w:val="24"/>
          <w:highlight w:val="none"/>
        </w:rPr>
        <w:t>1.3 价款</w:t>
      </w:r>
      <w:bookmarkEnd w:id="117"/>
      <w:bookmarkEnd w:id="118"/>
      <w:bookmarkEnd w:id="119"/>
      <w:bookmarkEnd w:id="120"/>
      <w:bookmarkEnd w:id="121"/>
    </w:p>
    <w:p w14:paraId="75B76153">
      <w:pPr>
        <w:spacing w:line="440" w:lineRule="exact"/>
        <w:ind w:firstLine="480" w:firstLineChars="200"/>
        <w:rPr>
          <w:rFonts w:ascii="宋体" w:hAnsi="宋体" w:cs="宋体"/>
          <w:bCs/>
          <w:kern w:val="0"/>
          <w:sz w:val="24"/>
          <w:szCs w:val="24"/>
          <w:highlight w:val="none"/>
        </w:rPr>
      </w:pPr>
      <w:bookmarkStart w:id="122" w:name="_Toc30506"/>
      <w:bookmarkStart w:id="123" w:name="_Toc14993"/>
      <w:bookmarkStart w:id="124" w:name="_Toc26916"/>
      <w:bookmarkStart w:id="125" w:name="_Toc30158"/>
      <w:bookmarkStart w:id="126" w:name="_Toc3654"/>
      <w:r>
        <w:rPr>
          <w:rFonts w:hint="eastAsia" w:ascii="宋体" w:hAnsi="宋体" w:cs="宋体"/>
          <w:bCs/>
          <w:kern w:val="0"/>
          <w:sz w:val="24"/>
          <w:szCs w:val="24"/>
          <w:highlight w:val="none"/>
        </w:rPr>
        <w:t>本合同总价为：￥</w:t>
      </w:r>
      <w:r>
        <w:rPr>
          <w:rFonts w:hint="eastAsia" w:ascii="宋体" w:hAnsi="宋体" w:cs="宋体"/>
          <w:bCs/>
          <w:kern w:val="0"/>
          <w:sz w:val="24"/>
          <w:szCs w:val="24"/>
          <w:highlight w:val="none"/>
          <w:u w:val="single"/>
        </w:rPr>
        <w:t xml:space="preserve">      </w:t>
      </w:r>
      <w:r>
        <w:rPr>
          <w:rFonts w:hint="eastAsia" w:ascii="宋体" w:hAnsi="宋体" w:cs="宋体"/>
          <w:bCs/>
          <w:kern w:val="0"/>
          <w:sz w:val="24"/>
          <w:szCs w:val="24"/>
          <w:highlight w:val="none"/>
        </w:rPr>
        <w:t>元（大写：人民币</w:t>
      </w:r>
      <w:r>
        <w:rPr>
          <w:rFonts w:hint="eastAsia" w:ascii="宋体" w:hAnsi="宋体" w:cs="宋体"/>
          <w:bCs/>
          <w:kern w:val="0"/>
          <w:sz w:val="24"/>
          <w:szCs w:val="24"/>
          <w:highlight w:val="none"/>
          <w:u w:val="single"/>
        </w:rPr>
        <w:t xml:space="preserve">      </w:t>
      </w:r>
      <w:r>
        <w:rPr>
          <w:rFonts w:hint="eastAsia" w:ascii="宋体" w:hAnsi="宋体" w:cs="宋体"/>
          <w:bCs/>
          <w:kern w:val="0"/>
          <w:sz w:val="24"/>
          <w:szCs w:val="24"/>
          <w:highlight w:val="none"/>
        </w:rPr>
        <w:t>元）。本合同为固定总价合同。</w:t>
      </w:r>
    </w:p>
    <w:p w14:paraId="442D5689">
      <w:pPr>
        <w:spacing w:line="460" w:lineRule="exact"/>
        <w:rPr>
          <w:rFonts w:ascii="宋体" w:hAnsi="宋体" w:cs="宋体"/>
          <w:b/>
          <w:sz w:val="24"/>
          <w:szCs w:val="24"/>
          <w:highlight w:val="none"/>
        </w:rPr>
      </w:pPr>
      <w:r>
        <w:rPr>
          <w:rFonts w:hint="eastAsia" w:ascii="宋体" w:hAnsi="宋体" w:cs="宋体"/>
          <w:b/>
          <w:sz w:val="24"/>
          <w:szCs w:val="24"/>
          <w:highlight w:val="none"/>
        </w:rPr>
        <w:t>1.4 付款方式、开票方式</w:t>
      </w:r>
      <w:bookmarkEnd w:id="122"/>
      <w:bookmarkEnd w:id="123"/>
      <w:bookmarkEnd w:id="124"/>
      <w:bookmarkEnd w:id="125"/>
      <w:bookmarkEnd w:id="126"/>
    </w:p>
    <w:p w14:paraId="1939F568">
      <w:pPr>
        <w:autoSpaceDE w:val="0"/>
        <w:autoSpaceDN w:val="0"/>
        <w:adjustRightInd w:val="0"/>
        <w:spacing w:line="460" w:lineRule="exact"/>
        <w:ind w:firstLine="480" w:firstLineChars="200"/>
        <w:rPr>
          <w:rFonts w:ascii="宋体" w:hAnsi="宋体" w:cs="宋体"/>
          <w:sz w:val="24"/>
          <w:szCs w:val="24"/>
          <w:highlight w:val="none"/>
        </w:rPr>
      </w:pPr>
      <w:r>
        <w:rPr>
          <w:rFonts w:hint="eastAsia" w:ascii="宋体" w:hAnsi="宋体" w:cs="宋体"/>
          <w:sz w:val="24"/>
          <w:szCs w:val="24"/>
          <w:highlight w:val="none"/>
        </w:rPr>
        <w:t>1.4.1 本合同项下所有款项均以人民币支付。</w:t>
      </w:r>
    </w:p>
    <w:p w14:paraId="3B70B8E6">
      <w:pPr>
        <w:autoSpaceDE w:val="0"/>
        <w:autoSpaceDN w:val="0"/>
        <w:adjustRightInd w:val="0"/>
        <w:spacing w:line="460" w:lineRule="exact"/>
        <w:ind w:firstLine="480" w:firstLineChars="200"/>
        <w:rPr>
          <w:rFonts w:ascii="宋体" w:hAnsi="宋体" w:cs="宋体"/>
          <w:sz w:val="24"/>
          <w:szCs w:val="24"/>
          <w:highlight w:val="none"/>
        </w:rPr>
      </w:pPr>
      <w:r>
        <w:rPr>
          <w:rFonts w:hint="eastAsia" w:ascii="宋体" w:hAnsi="宋体" w:cs="宋体"/>
          <w:sz w:val="24"/>
          <w:szCs w:val="24"/>
          <w:highlight w:val="none"/>
        </w:rPr>
        <w:t>1.4.2 付款方式：</w:t>
      </w:r>
    </w:p>
    <w:p w14:paraId="2D37A19D">
      <w:pPr>
        <w:autoSpaceDE w:val="0"/>
        <w:autoSpaceDN w:val="0"/>
        <w:adjustRightInd w:val="0"/>
        <w:spacing w:line="420" w:lineRule="exact"/>
        <w:ind w:firstLine="480" w:firstLineChars="200"/>
        <w:rPr>
          <w:rFonts w:ascii="宋体" w:hAnsi="宋体" w:cs="宋体"/>
          <w:sz w:val="24"/>
          <w:szCs w:val="24"/>
          <w:highlight w:val="none"/>
          <w:lang w:val="zh-CN"/>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①</w:t>
      </w:r>
      <w:r>
        <w:rPr>
          <w:rFonts w:hint="eastAsia" w:ascii="宋体" w:hAnsi="宋体" w:cs="宋体"/>
          <w:sz w:val="24"/>
          <w:szCs w:val="24"/>
          <w:highlight w:val="none"/>
        </w:rPr>
        <w:fldChar w:fldCharType="end"/>
      </w:r>
      <w:r>
        <w:rPr>
          <w:rFonts w:hint="eastAsia" w:ascii="宋体" w:hAnsi="宋体" w:cs="宋体"/>
          <w:sz w:val="24"/>
          <w:szCs w:val="24"/>
          <w:highlight w:val="none"/>
        </w:rPr>
        <w:t>合同签订后一个月内，</w:t>
      </w:r>
      <w:r>
        <w:rPr>
          <w:rFonts w:hint="eastAsia" w:ascii="宋体" w:hAnsi="宋体" w:cs="宋体"/>
          <w:kern w:val="0"/>
          <w:sz w:val="24"/>
          <w:szCs w:val="24"/>
          <w:highlight w:val="none"/>
        </w:rPr>
        <w:t>甲方向乙方</w:t>
      </w:r>
      <w:r>
        <w:rPr>
          <w:rFonts w:hint="eastAsia" w:ascii="宋体" w:hAnsi="宋体" w:cs="宋体"/>
          <w:sz w:val="24"/>
          <w:szCs w:val="24"/>
          <w:highlight w:val="none"/>
        </w:rPr>
        <w:t>支付合同款项的40%作为预付款</w:t>
      </w:r>
      <w:r>
        <w:rPr>
          <w:rFonts w:hint="eastAsia" w:ascii="宋体" w:hAnsi="宋体" w:cs="宋体"/>
          <w:sz w:val="24"/>
          <w:szCs w:val="24"/>
          <w:highlight w:val="none"/>
          <w:lang w:val="zh-CN"/>
        </w:rPr>
        <w:t>。</w:t>
      </w:r>
    </w:p>
    <w:p w14:paraId="6224EF93">
      <w:pPr>
        <w:autoSpaceDE w:val="0"/>
        <w:autoSpaceDN w:val="0"/>
        <w:adjustRightInd w:val="0"/>
        <w:spacing w:line="460" w:lineRule="exact"/>
        <w:ind w:firstLine="480" w:firstLineChars="200"/>
        <w:rPr>
          <w:rFonts w:ascii="宋体" w:hAnsi="宋体" w:cs="宋体"/>
          <w:sz w:val="24"/>
          <w:szCs w:val="24"/>
          <w:highlight w:val="none"/>
        </w:rPr>
      </w:pPr>
      <w:r>
        <w:rPr>
          <w:rFonts w:hint="eastAsia" w:ascii="宋体" w:hAnsi="宋体" w:cs="宋体"/>
          <w:bCs/>
          <w:sz w:val="24"/>
          <w:szCs w:val="24"/>
          <w:highlight w:val="none"/>
        </w:rPr>
        <w:t>②项目完成后，中标人提交</w:t>
      </w:r>
      <w:r>
        <w:rPr>
          <w:rFonts w:hint="eastAsia" w:ascii="宋体" w:hAnsi="宋体" w:cs="宋体"/>
          <w:bCs/>
          <w:sz w:val="24"/>
          <w:szCs w:val="24"/>
          <w:highlight w:val="none"/>
          <w:lang w:val="en-US" w:eastAsia="zh-CN"/>
        </w:rPr>
        <w:t>的</w:t>
      </w:r>
      <w:r>
        <w:rPr>
          <w:rFonts w:hint="eastAsia" w:ascii="宋体" w:hAnsi="宋体" w:cs="宋体"/>
          <w:bCs/>
          <w:sz w:val="24"/>
          <w:szCs w:val="24"/>
          <w:highlight w:val="none"/>
        </w:rPr>
        <w:t>服务工作报告</w:t>
      </w:r>
      <w:r>
        <w:rPr>
          <w:rFonts w:hint="eastAsia" w:ascii="宋体" w:hAnsi="宋体" w:cs="宋体"/>
          <w:bCs/>
          <w:sz w:val="24"/>
          <w:szCs w:val="24"/>
          <w:highlight w:val="none"/>
          <w:lang w:val="en-US" w:eastAsia="zh-CN"/>
        </w:rPr>
        <w:t>经</w:t>
      </w:r>
      <w:r>
        <w:rPr>
          <w:rFonts w:hint="eastAsia" w:ascii="宋体" w:hAnsi="宋体" w:cs="宋体"/>
          <w:bCs/>
          <w:sz w:val="24"/>
          <w:szCs w:val="24"/>
          <w:highlight w:val="none"/>
        </w:rPr>
        <w:t>国家级或省级专家评审</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并出具专家</w:t>
      </w:r>
      <w:r>
        <w:rPr>
          <w:rFonts w:hint="eastAsia" w:ascii="宋体" w:hAnsi="宋体" w:cs="宋体"/>
          <w:bCs/>
          <w:sz w:val="24"/>
          <w:szCs w:val="24"/>
          <w:highlight w:val="none"/>
        </w:rPr>
        <w:t>意见（签字），</w:t>
      </w:r>
      <w:r>
        <w:rPr>
          <w:rFonts w:hint="eastAsia" w:ascii="宋体" w:hAnsi="宋体" w:cs="宋体"/>
          <w:bCs/>
          <w:sz w:val="24"/>
          <w:szCs w:val="24"/>
          <w:highlight w:val="none"/>
          <w:lang w:val="en-US" w:eastAsia="zh-CN"/>
        </w:rPr>
        <w:t>通过评审后，</w:t>
      </w:r>
      <w:r>
        <w:rPr>
          <w:rFonts w:hint="eastAsia" w:ascii="宋体" w:hAnsi="宋体" w:cs="宋体"/>
          <w:bCs/>
          <w:sz w:val="24"/>
          <w:szCs w:val="24"/>
          <w:highlight w:val="none"/>
        </w:rPr>
        <w:t>采购人向中标人支付合同剩余款项。</w:t>
      </w:r>
    </w:p>
    <w:p w14:paraId="19792100">
      <w:pPr>
        <w:autoSpaceDE w:val="0"/>
        <w:autoSpaceDN w:val="0"/>
        <w:adjustRightInd w:val="0"/>
        <w:spacing w:line="46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注：（1）签订合同时，乙方明确表示无需预付款或者主动要求降低预付款比例的，甲方可不适用上述①规定。</w:t>
      </w:r>
    </w:p>
    <w:p w14:paraId="09867EE1">
      <w:pPr>
        <w:autoSpaceDE w:val="0"/>
        <w:autoSpaceDN w:val="0"/>
        <w:adjustRightInd w:val="0"/>
        <w:spacing w:line="46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（2）以上每次付款前，乙方均应提供符合甲方要求的同等金额的合法有效发票。否则，甲方有权顺延付款时间，且不承担任何违约或赔偿责任。</w:t>
      </w:r>
    </w:p>
    <w:p w14:paraId="25527854">
      <w:pPr>
        <w:autoSpaceDE w:val="0"/>
        <w:autoSpaceDN w:val="0"/>
        <w:adjustRightInd w:val="0"/>
        <w:spacing w:line="46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（3）本项目支付方式支持数字人民币方式。</w:t>
      </w:r>
    </w:p>
    <w:p w14:paraId="48695790">
      <w:pPr>
        <w:autoSpaceDE w:val="0"/>
        <w:autoSpaceDN w:val="0"/>
        <w:adjustRightInd w:val="0"/>
        <w:spacing w:line="460" w:lineRule="exact"/>
        <w:ind w:firstLine="480" w:firstLineChars="200"/>
        <w:rPr>
          <w:rFonts w:ascii="宋体" w:hAnsi="宋体" w:cs="宋体"/>
          <w:sz w:val="24"/>
          <w:szCs w:val="24"/>
          <w:highlight w:val="none"/>
        </w:rPr>
      </w:pPr>
      <w:r>
        <w:rPr>
          <w:rFonts w:hint="eastAsia" w:ascii="宋体" w:hAnsi="宋体" w:cs="宋体"/>
          <w:sz w:val="24"/>
          <w:szCs w:val="24"/>
          <w:highlight w:val="none"/>
        </w:rPr>
        <w:t>1.4.3发票开具方式：</w:t>
      </w:r>
      <w:r>
        <w:rPr>
          <w:rFonts w:hint="eastAsia" w:ascii="宋体" w:hAnsi="宋体" w:cs="宋体"/>
          <w:b/>
          <w:bCs/>
          <w:sz w:val="24"/>
          <w:szCs w:val="24"/>
          <w:highlight w:val="none"/>
          <w:u w:val="single"/>
        </w:rPr>
        <w:t>增值税专用发票或增值税普通发票</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03F34587">
      <w:pPr>
        <w:spacing w:line="460" w:lineRule="exact"/>
        <w:rPr>
          <w:rFonts w:ascii="宋体" w:hAnsi="宋体" w:cs="宋体"/>
          <w:b/>
          <w:sz w:val="24"/>
          <w:szCs w:val="24"/>
          <w:highlight w:val="none"/>
        </w:rPr>
      </w:pPr>
      <w:r>
        <w:rPr>
          <w:rFonts w:hint="eastAsia" w:ascii="宋体" w:hAnsi="宋体" w:cs="宋体"/>
          <w:b/>
          <w:sz w:val="24"/>
          <w:szCs w:val="24"/>
          <w:highlight w:val="none"/>
        </w:rPr>
        <w:t>1.5 服务期限和地点</w:t>
      </w:r>
    </w:p>
    <w:p w14:paraId="435341B3">
      <w:pPr>
        <w:spacing w:line="460" w:lineRule="exact"/>
        <w:ind w:firstLine="480" w:firstLineChars="200"/>
        <w:rPr>
          <w:rFonts w:ascii="宋体" w:hAnsi="宋体" w:cs="宋体"/>
          <w:sz w:val="24"/>
          <w:szCs w:val="24"/>
          <w:highlight w:val="none"/>
          <w:u w:val="single"/>
        </w:rPr>
      </w:pPr>
      <w:r>
        <w:rPr>
          <w:rFonts w:hint="eastAsia" w:ascii="宋体" w:hAnsi="宋体" w:cs="宋体"/>
          <w:sz w:val="24"/>
          <w:szCs w:val="24"/>
          <w:highlight w:val="none"/>
        </w:rPr>
        <w:t>1.5.1 服务期限：自合同签订之日起一年。</w:t>
      </w:r>
    </w:p>
    <w:p w14:paraId="61E8A6DA">
      <w:pPr>
        <w:spacing w:line="460" w:lineRule="exact"/>
        <w:ind w:firstLine="480" w:firstLineChars="200"/>
        <w:rPr>
          <w:rFonts w:ascii="宋体" w:hAnsi="宋体" w:cs="宋体"/>
          <w:bCs/>
          <w:kern w:val="0"/>
          <w:sz w:val="24"/>
          <w:szCs w:val="24"/>
          <w:highlight w:val="none"/>
          <w:u w:val="single"/>
        </w:rPr>
      </w:pPr>
      <w:r>
        <w:rPr>
          <w:rFonts w:hint="eastAsia" w:ascii="宋体" w:hAnsi="宋体" w:cs="宋体"/>
          <w:sz w:val="24"/>
          <w:szCs w:val="24"/>
          <w:highlight w:val="none"/>
        </w:rPr>
        <w:t xml:space="preserve">1.5.2 </w:t>
      </w:r>
      <w:r>
        <w:rPr>
          <w:rFonts w:hint="eastAsia" w:ascii="宋体" w:hAnsi="宋体" w:cs="宋体"/>
          <w:bCs/>
          <w:kern w:val="0"/>
          <w:sz w:val="24"/>
          <w:szCs w:val="24"/>
          <w:highlight w:val="none"/>
        </w:rPr>
        <w:t>服务地点：</w:t>
      </w:r>
      <w:bookmarkStart w:id="127" w:name="_Toc2375"/>
      <w:bookmarkStart w:id="128" w:name="_Toc24662"/>
      <w:bookmarkStart w:id="129" w:name="_Toc5698"/>
      <w:bookmarkStart w:id="130" w:name="_Toc8586"/>
      <w:bookmarkStart w:id="131" w:name="_Toc3079"/>
      <w:r>
        <w:rPr>
          <w:rFonts w:hint="eastAsia" w:ascii="宋体" w:hAnsi="宋体" w:cs="宋体"/>
          <w:sz w:val="24"/>
          <w:szCs w:val="24"/>
          <w:highlight w:val="none"/>
        </w:rPr>
        <w:t>常熟市范围内</w:t>
      </w:r>
      <w:r>
        <w:rPr>
          <w:rFonts w:hint="eastAsia" w:ascii="宋体" w:hAnsi="宋体" w:cs="宋体"/>
          <w:bCs/>
          <w:kern w:val="0"/>
          <w:sz w:val="24"/>
          <w:szCs w:val="24"/>
          <w:highlight w:val="none"/>
        </w:rPr>
        <w:t>。</w:t>
      </w:r>
    </w:p>
    <w:p w14:paraId="1B075AAD">
      <w:pPr>
        <w:spacing w:line="460" w:lineRule="exact"/>
        <w:rPr>
          <w:rFonts w:ascii="宋体" w:hAnsi="宋体" w:cs="宋体"/>
          <w:b/>
          <w:sz w:val="24"/>
          <w:szCs w:val="24"/>
          <w:highlight w:val="none"/>
        </w:rPr>
      </w:pPr>
      <w:r>
        <w:rPr>
          <w:rFonts w:hint="eastAsia" w:ascii="宋体" w:hAnsi="宋体" w:cs="宋体"/>
          <w:b/>
          <w:sz w:val="24"/>
          <w:szCs w:val="24"/>
          <w:highlight w:val="none"/>
        </w:rPr>
        <w:t>1.6 双方权利义务：</w:t>
      </w:r>
    </w:p>
    <w:p w14:paraId="1A3D00B7">
      <w:pPr>
        <w:spacing w:line="440" w:lineRule="exact"/>
        <w:ind w:firstLine="480"/>
        <w:rPr>
          <w:rFonts w:ascii="宋体" w:hAnsi="宋体" w:cs="宋体"/>
          <w:sz w:val="24"/>
          <w:szCs w:val="24"/>
          <w:highlight w:val="none"/>
        </w:rPr>
      </w:pPr>
      <w:r>
        <w:rPr>
          <w:rFonts w:hint="eastAsia" w:ascii="宋体" w:hAnsi="宋体" w:cs="宋体"/>
          <w:sz w:val="24"/>
          <w:szCs w:val="24"/>
          <w:highlight w:val="none"/>
        </w:rPr>
        <w:t>1.6.1甲方权利义务</w:t>
      </w:r>
    </w:p>
    <w:p w14:paraId="38066BA4">
      <w:pPr>
        <w:spacing w:line="420" w:lineRule="exact"/>
        <w:ind w:firstLine="600" w:firstLineChars="250"/>
        <w:rPr>
          <w:rFonts w:ascii="宋体" w:hAnsi="宋体" w:cs="宋体"/>
          <w:sz w:val="24"/>
          <w:szCs w:val="24"/>
          <w:highlight w:val="none"/>
        </w:rPr>
      </w:pPr>
      <w:r>
        <w:rPr>
          <w:rFonts w:hint="eastAsia" w:ascii="宋体" w:hAnsi="宋体" w:cs="宋体"/>
          <w:sz w:val="24"/>
          <w:szCs w:val="24"/>
          <w:highlight w:val="none"/>
        </w:rPr>
        <w:t>（1）甲方有权随时向乙方了解服务进展，提出改进意见和建议；甲方有权根据实际履约质量和进度情况要求乙方按照本合同约定加强管理直至提供符合约定的服务。</w:t>
      </w:r>
    </w:p>
    <w:p w14:paraId="11A55039">
      <w:pPr>
        <w:spacing w:line="420" w:lineRule="exact"/>
        <w:ind w:firstLine="600" w:firstLineChars="250"/>
        <w:rPr>
          <w:rFonts w:ascii="宋体" w:hAnsi="宋体" w:cs="宋体"/>
          <w:sz w:val="24"/>
          <w:szCs w:val="24"/>
          <w:highlight w:val="none"/>
        </w:rPr>
      </w:pPr>
      <w:r>
        <w:rPr>
          <w:rFonts w:hint="eastAsia" w:ascii="宋体" w:hAnsi="宋体" w:cs="宋体"/>
          <w:sz w:val="24"/>
          <w:szCs w:val="24"/>
          <w:highlight w:val="none"/>
        </w:rPr>
        <w:t>（2）配合乙方协调。</w:t>
      </w:r>
    </w:p>
    <w:p w14:paraId="3D1E7DE2">
      <w:pPr>
        <w:spacing w:line="420" w:lineRule="exact"/>
        <w:ind w:firstLine="600" w:firstLineChars="250"/>
        <w:rPr>
          <w:rFonts w:hint="eastAsia" w:ascii="宋体" w:hAnsi="宋体" w:cs="宋体"/>
          <w:sz w:val="24"/>
          <w:szCs w:val="24"/>
          <w:highlight w:val="none"/>
        </w:rPr>
      </w:pPr>
      <w:r>
        <w:rPr>
          <w:rFonts w:hint="eastAsia" w:ascii="宋体" w:hAnsi="宋体" w:cs="宋体"/>
          <w:sz w:val="24"/>
          <w:szCs w:val="24"/>
          <w:highlight w:val="none"/>
        </w:rPr>
        <w:t>（3）根据规定按时支付费用。</w:t>
      </w:r>
    </w:p>
    <w:p w14:paraId="02927BD1">
      <w:pPr>
        <w:spacing w:line="420" w:lineRule="exact"/>
        <w:ind w:firstLine="600" w:firstLineChars="250"/>
        <w:rPr>
          <w:rFonts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4</w:t>
      </w:r>
      <w:r>
        <w:rPr>
          <w:rFonts w:hint="eastAsia" w:ascii="宋体" w:hAnsi="宋体" w:cs="宋体"/>
          <w:sz w:val="24"/>
          <w:szCs w:val="24"/>
          <w:highlight w:val="none"/>
          <w:lang w:eastAsia="zh-CN"/>
        </w:rPr>
        <w:t>）</w:t>
      </w:r>
      <w:r>
        <w:rPr>
          <w:rFonts w:hint="eastAsia" w:ascii="宋体" w:hAnsi="宋体" w:cs="宋体"/>
          <w:sz w:val="24"/>
          <w:szCs w:val="24"/>
          <w:highlight w:val="none"/>
        </w:rPr>
        <w:t>法规、政策规定由甲方承担的其他责任。</w:t>
      </w:r>
    </w:p>
    <w:p w14:paraId="034B69CE">
      <w:pPr>
        <w:spacing w:line="440" w:lineRule="exact"/>
        <w:ind w:firstLine="480"/>
        <w:rPr>
          <w:rFonts w:ascii="宋体" w:hAnsi="宋体" w:cs="宋体"/>
          <w:sz w:val="24"/>
          <w:szCs w:val="24"/>
          <w:highlight w:val="none"/>
        </w:rPr>
      </w:pPr>
      <w:r>
        <w:rPr>
          <w:rFonts w:hint="eastAsia" w:ascii="宋体" w:hAnsi="宋体" w:cs="宋体"/>
          <w:sz w:val="24"/>
          <w:szCs w:val="24"/>
          <w:highlight w:val="none"/>
        </w:rPr>
        <w:t>1.6.2乙方权利义务</w:t>
      </w:r>
    </w:p>
    <w:p w14:paraId="04C604FD">
      <w:pPr>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（1）乙方应及时履行合同一般性义务和文件中规定的具体义务。乙方所提供服务的质量应与采购文件规定及投标响应文件承诺的内容相一致。</w:t>
      </w:r>
    </w:p>
    <w:p w14:paraId="62563E83">
      <w:pPr>
        <w:spacing w:line="42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（2）乙方所提供服务的质量应与招标文件规定及投标文件承诺的内容相一致。</w:t>
      </w:r>
    </w:p>
    <w:p w14:paraId="62D695CF">
      <w:pPr>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（3）乙方应独立承担服务中由于乙方原因造成的各类责任。</w:t>
      </w:r>
    </w:p>
    <w:p w14:paraId="3D36FE86">
      <w:pPr>
        <w:spacing w:line="460" w:lineRule="exact"/>
        <w:ind w:firstLine="480" w:firstLineChars="200"/>
        <w:rPr>
          <w:rFonts w:hint="eastAsia" w:ascii="宋体" w:hAnsi="宋体" w:cs="宋体"/>
          <w:strike w:val="0"/>
          <w:dstrike w:val="0"/>
          <w:sz w:val="24"/>
          <w:szCs w:val="24"/>
          <w:highlight w:val="none"/>
        </w:rPr>
      </w:pPr>
      <w:r>
        <w:rPr>
          <w:rFonts w:hint="eastAsia" w:ascii="宋体" w:hAnsi="宋体" w:cs="宋体"/>
          <w:strike w:val="0"/>
          <w:dstrike w:val="0"/>
          <w:sz w:val="24"/>
          <w:szCs w:val="24"/>
          <w:highlight w:val="none"/>
        </w:rPr>
        <w:t>（4）乙方根据甲方要求，按规定安排相应人员进行大气污染源清单动态更新与大气污染防治技术支撑服务，在规定期限内完成相应服务。乙方投标文件中明确的项目工作人员应与实际工作人员一致，未经甲方同意不得随意更换，如发现未经甲方许可随意更换人员的，按乙方违约处理。</w:t>
      </w:r>
    </w:p>
    <w:p w14:paraId="63AA6F6E">
      <w:pPr>
        <w:spacing w:line="460" w:lineRule="exact"/>
        <w:ind w:firstLine="480" w:firstLineChars="200"/>
        <w:rPr>
          <w:rFonts w:hint="eastAsia" w:ascii="宋体" w:hAnsi="宋体" w:cs="宋体"/>
          <w:strike w:val="0"/>
          <w:dstrike w:val="0"/>
          <w:sz w:val="24"/>
          <w:szCs w:val="24"/>
          <w:highlight w:val="none"/>
          <w:lang w:eastAsia="zh-CN"/>
        </w:rPr>
      </w:pPr>
      <w:r>
        <w:rPr>
          <w:rFonts w:hint="eastAsia" w:ascii="宋体" w:hAnsi="宋体" w:cs="宋体"/>
          <w:strike w:val="0"/>
          <w:dstrike w:val="0"/>
          <w:sz w:val="24"/>
          <w:szCs w:val="24"/>
          <w:highlight w:val="none"/>
          <w:lang w:eastAsia="zh-CN"/>
        </w:rPr>
        <w:t>（</w:t>
      </w:r>
      <w:r>
        <w:rPr>
          <w:rFonts w:hint="eastAsia" w:ascii="宋体" w:hAnsi="宋体" w:cs="宋体"/>
          <w:strike w:val="0"/>
          <w:dstrike w:val="0"/>
          <w:sz w:val="24"/>
          <w:szCs w:val="24"/>
          <w:highlight w:val="none"/>
          <w:lang w:val="en-US" w:eastAsia="zh-CN"/>
        </w:rPr>
        <w:t>5</w:t>
      </w:r>
      <w:r>
        <w:rPr>
          <w:rFonts w:hint="eastAsia" w:ascii="宋体" w:hAnsi="宋体" w:cs="宋体"/>
          <w:strike w:val="0"/>
          <w:dstrike w:val="0"/>
          <w:sz w:val="24"/>
          <w:szCs w:val="24"/>
          <w:highlight w:val="none"/>
          <w:lang w:eastAsia="zh-CN"/>
        </w:rPr>
        <w:t>）乙方应根据国家法律法规的规定与其为甲方提供服务的人员签署劳动合同/劳务合同，并负责上述人员的工资和社会劳动保险、奖金、福利等费用，若发生劳动争议均由乙方自己解决并承担所有责任，甲方无任何连带关系和责任。</w:t>
      </w:r>
    </w:p>
    <w:p w14:paraId="0B96CB58">
      <w:pPr>
        <w:spacing w:line="460" w:lineRule="exact"/>
        <w:ind w:firstLine="480" w:firstLineChars="200"/>
        <w:rPr>
          <w:rFonts w:hint="eastAsia" w:ascii="宋体" w:hAnsi="宋体" w:cs="宋体"/>
          <w:strike w:val="0"/>
          <w:dstrike w:val="0"/>
          <w:sz w:val="24"/>
          <w:szCs w:val="24"/>
          <w:highlight w:val="none"/>
          <w:lang w:eastAsia="zh-CN"/>
        </w:rPr>
      </w:pPr>
      <w:r>
        <w:rPr>
          <w:rFonts w:hint="eastAsia" w:ascii="宋体" w:hAnsi="宋体" w:cs="宋体"/>
          <w:strike w:val="0"/>
          <w:dstrike w:val="0"/>
          <w:sz w:val="24"/>
          <w:szCs w:val="24"/>
          <w:highlight w:val="none"/>
          <w:lang w:eastAsia="zh-CN"/>
        </w:rPr>
        <w:t>（</w:t>
      </w:r>
      <w:r>
        <w:rPr>
          <w:rFonts w:hint="eastAsia" w:ascii="宋体" w:hAnsi="宋体" w:cs="宋体"/>
          <w:strike w:val="0"/>
          <w:dstrike w:val="0"/>
          <w:sz w:val="24"/>
          <w:szCs w:val="24"/>
          <w:highlight w:val="none"/>
          <w:lang w:val="en-US" w:eastAsia="zh-CN"/>
        </w:rPr>
        <w:t>6</w:t>
      </w:r>
      <w:r>
        <w:rPr>
          <w:rFonts w:hint="eastAsia" w:ascii="宋体" w:hAnsi="宋体" w:cs="宋体"/>
          <w:strike w:val="0"/>
          <w:dstrike w:val="0"/>
          <w:sz w:val="24"/>
          <w:szCs w:val="24"/>
          <w:highlight w:val="none"/>
          <w:lang w:eastAsia="zh-CN"/>
        </w:rPr>
        <w:t>）乙方应根据国家法律法规的规定与其为甲方提供服务的人员签署劳动合同/劳务合同，并负责上述人员的工资和社会劳动保险、奖金、福利等费用，若发生劳动争议均由乙方自己解决并承担所有责任，甲方无任何连带关系和责任。</w:t>
      </w:r>
    </w:p>
    <w:p w14:paraId="444D5C26">
      <w:pPr>
        <w:spacing w:line="460" w:lineRule="exact"/>
        <w:ind w:firstLine="480" w:firstLineChars="200"/>
        <w:rPr>
          <w:rFonts w:hint="eastAsia" w:ascii="宋体" w:hAnsi="宋体" w:cs="宋体"/>
          <w:strike w:val="0"/>
          <w:dstrike w:val="0"/>
          <w:sz w:val="24"/>
          <w:szCs w:val="24"/>
          <w:highlight w:val="none"/>
        </w:rPr>
      </w:pPr>
      <w:r>
        <w:rPr>
          <w:rFonts w:hint="eastAsia" w:ascii="宋体" w:hAnsi="宋体" w:cs="宋体"/>
          <w:strike w:val="0"/>
          <w:dstrike w:val="0"/>
          <w:sz w:val="24"/>
          <w:szCs w:val="24"/>
          <w:highlight w:val="none"/>
          <w:lang w:eastAsia="zh-CN"/>
        </w:rPr>
        <w:t>（</w:t>
      </w:r>
      <w:r>
        <w:rPr>
          <w:rFonts w:hint="eastAsia" w:ascii="宋体" w:hAnsi="宋体" w:cs="宋体"/>
          <w:strike w:val="0"/>
          <w:dstrike w:val="0"/>
          <w:sz w:val="24"/>
          <w:szCs w:val="24"/>
          <w:highlight w:val="none"/>
          <w:lang w:val="en-US" w:eastAsia="zh-CN"/>
        </w:rPr>
        <w:t>7</w:t>
      </w:r>
      <w:r>
        <w:rPr>
          <w:rFonts w:hint="eastAsia" w:ascii="宋体" w:hAnsi="宋体" w:cs="宋体"/>
          <w:strike w:val="0"/>
          <w:dstrike w:val="0"/>
          <w:sz w:val="24"/>
          <w:szCs w:val="24"/>
          <w:highlight w:val="none"/>
          <w:lang w:eastAsia="zh-CN"/>
        </w:rPr>
        <w:t>）</w:t>
      </w:r>
      <w:r>
        <w:rPr>
          <w:rFonts w:hint="eastAsia" w:ascii="宋体" w:hAnsi="宋体" w:cs="宋体"/>
          <w:strike w:val="0"/>
          <w:dstrike w:val="0"/>
          <w:sz w:val="24"/>
          <w:szCs w:val="24"/>
          <w:highlight w:val="none"/>
        </w:rPr>
        <w:t>乙方应为甲方所提供各种相关资料承担保密义务；未经甲方同意，不对外泄漏甲方的信息。</w:t>
      </w:r>
    </w:p>
    <w:p w14:paraId="488400B5">
      <w:pPr>
        <w:spacing w:line="460" w:lineRule="exact"/>
        <w:ind w:firstLine="480" w:firstLineChars="200"/>
        <w:rPr>
          <w:rFonts w:hint="eastAsia" w:ascii="宋体" w:hAnsi="宋体" w:cs="宋体"/>
          <w:strike w:val="0"/>
          <w:dstrike w:val="0"/>
          <w:sz w:val="24"/>
          <w:szCs w:val="24"/>
          <w:highlight w:val="none"/>
          <w:lang w:eastAsia="zh-CN"/>
        </w:rPr>
      </w:pPr>
      <w:r>
        <w:rPr>
          <w:rFonts w:hint="eastAsia" w:ascii="宋体" w:hAnsi="宋体" w:cs="宋体"/>
          <w:strike w:val="0"/>
          <w:dstrike w:val="0"/>
          <w:sz w:val="24"/>
          <w:szCs w:val="24"/>
          <w:highlight w:val="none"/>
          <w:lang w:eastAsia="zh-CN"/>
        </w:rPr>
        <w:t>（</w:t>
      </w:r>
      <w:r>
        <w:rPr>
          <w:rFonts w:hint="eastAsia" w:ascii="宋体" w:hAnsi="宋体" w:cs="宋体"/>
          <w:strike w:val="0"/>
          <w:dstrike w:val="0"/>
          <w:sz w:val="24"/>
          <w:szCs w:val="24"/>
          <w:highlight w:val="none"/>
          <w:lang w:val="en-US" w:eastAsia="zh-CN"/>
        </w:rPr>
        <w:t>8</w:t>
      </w:r>
      <w:r>
        <w:rPr>
          <w:rFonts w:hint="eastAsia" w:ascii="宋体" w:hAnsi="宋体" w:cs="宋体"/>
          <w:strike w:val="0"/>
          <w:dstrike w:val="0"/>
          <w:sz w:val="24"/>
          <w:szCs w:val="24"/>
          <w:highlight w:val="none"/>
          <w:lang w:eastAsia="zh-CN"/>
        </w:rPr>
        <w:t>）乙方须保证甲方在使用其提供的货物、服务或其任何部分时不受到第三方提出的关于侵犯其版权、专利权、商标权或其他权利的指控，一旦出现此类情况，乙方应负责与第三方交涉并承担可能发生的一切责任。</w:t>
      </w:r>
    </w:p>
    <w:p w14:paraId="086729E1">
      <w:pPr>
        <w:spacing w:line="460" w:lineRule="exact"/>
        <w:ind w:firstLine="480" w:firstLineChars="200"/>
        <w:rPr>
          <w:rFonts w:hint="eastAsia" w:ascii="宋体" w:hAnsi="宋体" w:cs="宋体"/>
          <w:strike w:val="0"/>
          <w:dstrike w:val="0"/>
          <w:sz w:val="24"/>
          <w:szCs w:val="24"/>
          <w:highlight w:val="none"/>
          <w:lang w:eastAsia="zh-CN"/>
        </w:rPr>
      </w:pPr>
      <w:r>
        <w:rPr>
          <w:rFonts w:hint="eastAsia" w:ascii="宋体" w:hAnsi="宋体" w:cs="宋体"/>
          <w:strike w:val="0"/>
          <w:dstrike w:val="0"/>
          <w:sz w:val="24"/>
          <w:szCs w:val="24"/>
          <w:highlight w:val="none"/>
          <w:lang w:eastAsia="zh-CN"/>
        </w:rPr>
        <w:t>（</w:t>
      </w:r>
      <w:r>
        <w:rPr>
          <w:rFonts w:hint="eastAsia" w:ascii="宋体" w:hAnsi="宋体" w:cs="宋体"/>
          <w:strike w:val="0"/>
          <w:dstrike w:val="0"/>
          <w:sz w:val="24"/>
          <w:szCs w:val="24"/>
          <w:highlight w:val="none"/>
          <w:lang w:val="en-US" w:eastAsia="zh-CN"/>
        </w:rPr>
        <w:t>9</w:t>
      </w:r>
      <w:r>
        <w:rPr>
          <w:rFonts w:hint="eastAsia" w:ascii="宋体" w:hAnsi="宋体" w:cs="宋体"/>
          <w:strike w:val="0"/>
          <w:dstrike w:val="0"/>
          <w:sz w:val="24"/>
          <w:szCs w:val="24"/>
          <w:highlight w:val="none"/>
          <w:lang w:eastAsia="zh-CN"/>
        </w:rPr>
        <w:t>）乙方提供的成果内容必须符合招标文件要求和国家、省、市有关标准。</w:t>
      </w:r>
    </w:p>
    <w:p w14:paraId="4A352EDB">
      <w:pPr>
        <w:spacing w:line="460" w:lineRule="exact"/>
        <w:ind w:firstLine="480" w:firstLineChars="200"/>
        <w:rPr>
          <w:rFonts w:hint="eastAsia" w:ascii="宋体" w:hAnsi="宋体" w:cs="宋体"/>
          <w:strike w:val="0"/>
          <w:dstrike w:val="0"/>
          <w:sz w:val="24"/>
          <w:szCs w:val="24"/>
          <w:highlight w:val="none"/>
          <w:lang w:eastAsia="zh-CN"/>
        </w:rPr>
      </w:pPr>
      <w:r>
        <w:rPr>
          <w:rFonts w:hint="eastAsia" w:ascii="宋体" w:hAnsi="宋体" w:cs="宋体"/>
          <w:strike w:val="0"/>
          <w:dstrike w:val="0"/>
          <w:sz w:val="24"/>
          <w:szCs w:val="24"/>
          <w:highlight w:val="none"/>
          <w:lang w:eastAsia="zh-CN"/>
        </w:rPr>
        <w:t>（</w:t>
      </w:r>
      <w:r>
        <w:rPr>
          <w:rFonts w:hint="eastAsia" w:ascii="宋体" w:hAnsi="宋体" w:cs="宋体"/>
          <w:strike w:val="0"/>
          <w:dstrike w:val="0"/>
          <w:sz w:val="24"/>
          <w:szCs w:val="24"/>
          <w:highlight w:val="none"/>
          <w:lang w:val="en-US" w:eastAsia="zh-CN"/>
        </w:rPr>
        <w:t>10</w:t>
      </w:r>
      <w:r>
        <w:rPr>
          <w:rFonts w:hint="eastAsia" w:ascii="宋体" w:hAnsi="宋体" w:cs="宋体"/>
          <w:strike w:val="0"/>
          <w:dstrike w:val="0"/>
          <w:sz w:val="24"/>
          <w:szCs w:val="24"/>
          <w:highlight w:val="none"/>
          <w:lang w:eastAsia="zh-CN"/>
        </w:rPr>
        <w:t>）乙方在被授予合同后不得转包，如发现分包或转包，按乙方违约处理。</w:t>
      </w:r>
    </w:p>
    <w:p w14:paraId="1D5B4D63">
      <w:pPr>
        <w:spacing w:line="460" w:lineRule="exact"/>
        <w:ind w:firstLine="480" w:firstLineChars="200"/>
        <w:rPr>
          <w:rFonts w:ascii="宋体" w:hAnsi="宋体" w:cs="宋体"/>
          <w:strike w:val="0"/>
          <w:dstrike w:val="0"/>
          <w:sz w:val="24"/>
          <w:szCs w:val="24"/>
          <w:highlight w:val="none"/>
        </w:rPr>
      </w:pPr>
      <w:r>
        <w:rPr>
          <w:rFonts w:hint="eastAsia" w:ascii="宋体" w:hAnsi="宋体" w:cs="宋体"/>
          <w:strike w:val="0"/>
          <w:dstrike w:val="0"/>
          <w:sz w:val="24"/>
          <w:szCs w:val="24"/>
          <w:highlight w:val="none"/>
          <w:lang w:eastAsia="zh-CN"/>
        </w:rPr>
        <w:t>（</w:t>
      </w:r>
      <w:r>
        <w:rPr>
          <w:rFonts w:hint="eastAsia" w:ascii="宋体" w:hAnsi="宋体" w:cs="宋体"/>
          <w:strike w:val="0"/>
          <w:dstrike w:val="0"/>
          <w:sz w:val="24"/>
          <w:szCs w:val="24"/>
          <w:highlight w:val="none"/>
          <w:lang w:val="en-US" w:eastAsia="zh-CN"/>
        </w:rPr>
        <w:t>11</w:t>
      </w:r>
      <w:r>
        <w:rPr>
          <w:rFonts w:hint="eastAsia" w:ascii="宋体" w:hAnsi="宋体" w:cs="宋体"/>
          <w:strike w:val="0"/>
          <w:dstrike w:val="0"/>
          <w:sz w:val="24"/>
          <w:szCs w:val="24"/>
          <w:highlight w:val="none"/>
          <w:lang w:eastAsia="zh-CN"/>
        </w:rPr>
        <w:t>）</w:t>
      </w:r>
      <w:r>
        <w:rPr>
          <w:rFonts w:hint="eastAsia" w:ascii="宋体" w:hAnsi="宋体" w:cs="宋体"/>
          <w:strike w:val="0"/>
          <w:dstrike w:val="0"/>
          <w:sz w:val="24"/>
          <w:szCs w:val="24"/>
          <w:highlight w:val="none"/>
        </w:rPr>
        <w:t>法规、政策规定由乙方承担的其他责任。</w:t>
      </w:r>
    </w:p>
    <w:bookmarkEnd w:id="127"/>
    <w:bookmarkEnd w:id="128"/>
    <w:bookmarkEnd w:id="129"/>
    <w:bookmarkEnd w:id="130"/>
    <w:bookmarkEnd w:id="131"/>
    <w:p w14:paraId="00FF440F">
      <w:pPr>
        <w:spacing w:line="460" w:lineRule="exact"/>
        <w:rPr>
          <w:rFonts w:ascii="宋体" w:hAnsi="宋体" w:cs="宋体"/>
          <w:bCs/>
          <w:kern w:val="0"/>
          <w:sz w:val="24"/>
          <w:szCs w:val="24"/>
          <w:highlight w:val="none"/>
          <w:u w:val="single"/>
        </w:rPr>
      </w:pPr>
      <w:r>
        <w:rPr>
          <w:rFonts w:hint="eastAsia" w:ascii="宋体" w:hAnsi="宋体" w:cs="宋体"/>
          <w:b/>
          <w:bCs/>
          <w:kern w:val="0"/>
          <w:sz w:val="24"/>
          <w:szCs w:val="24"/>
          <w:highlight w:val="none"/>
        </w:rPr>
        <w:t>1.7 违约责任</w:t>
      </w:r>
    </w:p>
    <w:p w14:paraId="3113C489">
      <w:pPr>
        <w:spacing w:line="44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 xml:space="preserve">1.7.1甲方未按合同规定期限向乙方支付合同价款的，每逾期一天向乙方偿付欠款总额 </w:t>
      </w:r>
      <w:r>
        <w:rPr>
          <w:rFonts w:hint="eastAsia" w:ascii="宋体" w:hAnsi="宋体" w:cs="宋体"/>
          <w:bCs/>
          <w:kern w:val="0"/>
          <w:sz w:val="24"/>
          <w:szCs w:val="24"/>
          <w:highlight w:val="none"/>
          <w:u w:val="single"/>
          <w:lang w:val="en-US" w:eastAsia="zh-CN"/>
        </w:rPr>
        <w:t xml:space="preserve"> /</w:t>
      </w:r>
      <w:r>
        <w:rPr>
          <w:rFonts w:hint="eastAsia" w:ascii="宋体" w:hAnsi="宋体" w:cs="宋体"/>
          <w:bCs/>
          <w:kern w:val="0"/>
          <w:sz w:val="24"/>
          <w:szCs w:val="24"/>
          <w:highlight w:val="none"/>
          <w:u w:val="single"/>
        </w:rPr>
        <w:t xml:space="preserve"> </w:t>
      </w:r>
      <w:r>
        <w:rPr>
          <w:rFonts w:hint="eastAsia" w:ascii="宋体" w:hAnsi="宋体" w:cs="宋体"/>
          <w:bCs/>
          <w:kern w:val="0"/>
          <w:sz w:val="24"/>
          <w:szCs w:val="24"/>
          <w:highlight w:val="none"/>
        </w:rPr>
        <w:t>％的滞纳金，但累计总额不超过欠款总额的</w:t>
      </w:r>
      <w:r>
        <w:rPr>
          <w:rFonts w:hint="eastAsia" w:ascii="宋体" w:hAnsi="宋体" w:cs="宋体"/>
          <w:bCs/>
          <w:kern w:val="0"/>
          <w:sz w:val="24"/>
          <w:szCs w:val="24"/>
          <w:highlight w:val="none"/>
          <w:u w:val="single"/>
        </w:rPr>
        <w:t xml:space="preserve"> </w:t>
      </w:r>
      <w:r>
        <w:rPr>
          <w:rFonts w:hint="eastAsia" w:ascii="宋体" w:hAnsi="宋体" w:cs="宋体"/>
          <w:bCs/>
          <w:kern w:val="0"/>
          <w:sz w:val="24"/>
          <w:szCs w:val="24"/>
          <w:highlight w:val="none"/>
          <w:u w:val="single"/>
          <w:lang w:val="en-US" w:eastAsia="zh-CN"/>
        </w:rPr>
        <w:t xml:space="preserve">/ </w:t>
      </w:r>
      <w:r>
        <w:rPr>
          <w:rFonts w:hint="eastAsia" w:ascii="宋体" w:hAnsi="宋体" w:cs="宋体"/>
          <w:bCs/>
          <w:kern w:val="0"/>
          <w:sz w:val="24"/>
          <w:szCs w:val="24"/>
          <w:highlight w:val="none"/>
        </w:rPr>
        <w:t>％。</w:t>
      </w:r>
    </w:p>
    <w:p w14:paraId="665C226B">
      <w:pPr>
        <w:spacing w:line="44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1.7.2有下列情形之一的，乙方</w:t>
      </w:r>
      <w:r>
        <w:rPr>
          <w:rFonts w:hint="eastAsia" w:ascii="宋体" w:hAnsi="宋体" w:cs="宋体"/>
          <w:bCs/>
          <w:kern w:val="0"/>
          <w:sz w:val="24"/>
          <w:szCs w:val="24"/>
          <w:highlight w:val="none"/>
          <w:lang w:val="en-US" w:eastAsia="zh-CN"/>
        </w:rPr>
        <w:t>经甲方督促未能达到甲方要求的，</w:t>
      </w:r>
      <w:r>
        <w:rPr>
          <w:rFonts w:hint="eastAsia" w:ascii="宋体" w:hAnsi="宋体" w:cs="宋体"/>
          <w:bCs/>
          <w:kern w:val="0"/>
          <w:sz w:val="24"/>
          <w:szCs w:val="24"/>
          <w:highlight w:val="none"/>
        </w:rPr>
        <w:t>应当向甲方支付合同约定价款金额</w:t>
      </w:r>
      <w:r>
        <w:rPr>
          <w:rFonts w:hint="eastAsia" w:ascii="宋体" w:hAnsi="宋体" w:cs="宋体"/>
          <w:bCs/>
          <w:kern w:val="0"/>
          <w:sz w:val="24"/>
          <w:szCs w:val="24"/>
          <w:highlight w:val="none"/>
          <w:u w:val="single"/>
          <w:lang w:val="en-US" w:eastAsia="zh-CN"/>
        </w:rPr>
        <w:t xml:space="preserve"> 1</w:t>
      </w:r>
      <w:r>
        <w:rPr>
          <w:rFonts w:hint="eastAsia" w:ascii="宋体" w:hAnsi="宋体" w:cs="宋体"/>
          <w:bCs/>
          <w:kern w:val="0"/>
          <w:sz w:val="24"/>
          <w:szCs w:val="24"/>
          <w:highlight w:val="none"/>
          <w:u w:val="single"/>
        </w:rPr>
        <w:t xml:space="preserve"> </w:t>
      </w:r>
      <w:r>
        <w:rPr>
          <w:rFonts w:hint="eastAsia" w:ascii="宋体" w:hAnsi="宋体" w:cs="宋体"/>
          <w:bCs/>
          <w:kern w:val="0"/>
          <w:sz w:val="24"/>
          <w:szCs w:val="24"/>
          <w:highlight w:val="none"/>
        </w:rPr>
        <w:t>%（或</w:t>
      </w:r>
      <w:r>
        <w:rPr>
          <w:rFonts w:hint="eastAsia" w:ascii="宋体" w:hAnsi="宋体" w:cs="宋体"/>
          <w:bCs/>
          <w:kern w:val="0"/>
          <w:sz w:val="24"/>
          <w:szCs w:val="24"/>
          <w:highlight w:val="none"/>
          <w:lang w:val="en-US" w:eastAsia="zh-CN"/>
        </w:rPr>
        <w:t>2</w:t>
      </w:r>
      <w:r>
        <w:rPr>
          <w:rFonts w:hint="eastAsia" w:ascii="宋体" w:hAnsi="宋体" w:cs="宋体"/>
          <w:bCs/>
          <w:kern w:val="0"/>
          <w:sz w:val="24"/>
          <w:szCs w:val="24"/>
          <w:highlight w:val="none"/>
        </w:rPr>
        <w:t>万元，以金额较大的为准）的违约金。</w:t>
      </w:r>
    </w:p>
    <w:p w14:paraId="37A19021">
      <w:pPr>
        <w:spacing w:line="440" w:lineRule="exact"/>
        <w:ind w:firstLine="720" w:firstLineChars="300"/>
        <w:rPr>
          <w:rFonts w:ascii="宋体" w:hAnsi="宋体" w:cs="宋体"/>
          <w:bCs/>
          <w:kern w:val="0"/>
          <w:sz w:val="24"/>
          <w:szCs w:val="24"/>
          <w:highlight w:val="none"/>
        </w:rPr>
      </w:pPr>
      <w:r>
        <w:rPr>
          <w:rFonts w:hint="eastAsia" w:ascii="宋体" w:hAnsi="宋体" w:cs="宋体"/>
          <w:bCs/>
          <w:kern w:val="0"/>
          <w:sz w:val="24"/>
          <w:szCs w:val="24"/>
          <w:highlight w:val="none"/>
        </w:rPr>
        <w:t>1.7.2.1乙方服务团队成员未经甲方同意发生变更，经甲方要求恢复后，未在合理期限内（ 5 个工作日内）恢复的；</w:t>
      </w:r>
    </w:p>
    <w:p w14:paraId="04741018">
      <w:pPr>
        <w:spacing w:line="440" w:lineRule="exact"/>
        <w:ind w:firstLine="720" w:firstLineChars="300"/>
        <w:rPr>
          <w:rFonts w:ascii="宋体" w:hAnsi="宋体" w:cs="宋体"/>
          <w:bCs/>
          <w:kern w:val="0"/>
          <w:sz w:val="24"/>
          <w:szCs w:val="24"/>
          <w:highlight w:val="none"/>
        </w:rPr>
      </w:pPr>
      <w:r>
        <w:rPr>
          <w:rFonts w:hint="eastAsia" w:ascii="宋体" w:hAnsi="宋体" w:cs="宋体"/>
          <w:bCs/>
          <w:kern w:val="0"/>
          <w:sz w:val="24"/>
          <w:szCs w:val="24"/>
          <w:highlight w:val="none"/>
        </w:rPr>
        <w:t>1.7.2.2乙方单位总体服务能力发生下降，专业技术人员减员或资质下降人数达到20%的；</w:t>
      </w:r>
    </w:p>
    <w:p w14:paraId="5CBBF1E8">
      <w:pPr>
        <w:spacing w:line="440" w:lineRule="exact"/>
        <w:ind w:firstLine="720" w:firstLineChars="300"/>
        <w:rPr>
          <w:rFonts w:ascii="宋体" w:hAnsi="宋体" w:cs="宋体"/>
          <w:bCs/>
          <w:kern w:val="0"/>
          <w:sz w:val="24"/>
          <w:szCs w:val="24"/>
          <w:highlight w:val="none"/>
        </w:rPr>
      </w:pPr>
      <w:r>
        <w:rPr>
          <w:rFonts w:hint="eastAsia" w:ascii="宋体" w:hAnsi="宋体" w:cs="宋体"/>
          <w:bCs/>
          <w:kern w:val="0"/>
          <w:sz w:val="24"/>
          <w:szCs w:val="24"/>
          <w:highlight w:val="none"/>
        </w:rPr>
        <w:t>1.7.2.3乙方人员无故未能按约到甲方提供服务，服务期限内达到2人次的；</w:t>
      </w:r>
    </w:p>
    <w:p w14:paraId="5BB9BD0D">
      <w:pPr>
        <w:spacing w:line="440" w:lineRule="exact"/>
        <w:ind w:firstLine="720" w:firstLineChars="300"/>
        <w:rPr>
          <w:rFonts w:ascii="宋体" w:hAnsi="宋体" w:cs="宋体"/>
          <w:bCs/>
          <w:kern w:val="0"/>
          <w:sz w:val="24"/>
          <w:szCs w:val="24"/>
          <w:highlight w:val="none"/>
        </w:rPr>
      </w:pPr>
      <w:r>
        <w:rPr>
          <w:rFonts w:hint="eastAsia" w:ascii="宋体" w:hAnsi="宋体" w:cs="宋体"/>
          <w:bCs/>
          <w:kern w:val="0"/>
          <w:sz w:val="24"/>
          <w:szCs w:val="24"/>
          <w:highlight w:val="none"/>
        </w:rPr>
        <w:t>1.7.2.4乙方人员不能响应甲方紧急服务需求的；</w:t>
      </w:r>
    </w:p>
    <w:p w14:paraId="2022EECA">
      <w:pPr>
        <w:spacing w:line="440" w:lineRule="exact"/>
        <w:ind w:firstLine="720" w:firstLineChars="300"/>
        <w:rPr>
          <w:rFonts w:ascii="宋体" w:hAnsi="宋体" w:cs="宋体"/>
          <w:bCs/>
          <w:kern w:val="0"/>
          <w:sz w:val="24"/>
          <w:szCs w:val="24"/>
          <w:highlight w:val="none"/>
        </w:rPr>
      </w:pPr>
      <w:r>
        <w:rPr>
          <w:rFonts w:hint="eastAsia" w:ascii="宋体" w:hAnsi="宋体" w:cs="宋体"/>
          <w:bCs/>
          <w:kern w:val="0"/>
          <w:sz w:val="24"/>
          <w:szCs w:val="24"/>
          <w:highlight w:val="none"/>
        </w:rPr>
        <w:t>1.7.2.5因乙方服务人员原因在服务期间给甲方造成不良影响的，服务期限内达到 1 次的；</w:t>
      </w:r>
    </w:p>
    <w:p w14:paraId="78F6C79F">
      <w:pPr>
        <w:spacing w:line="440" w:lineRule="exact"/>
        <w:ind w:firstLine="720" w:firstLineChars="300"/>
        <w:rPr>
          <w:rFonts w:ascii="宋体" w:hAnsi="宋体" w:cs="宋体"/>
          <w:bCs/>
          <w:kern w:val="0"/>
          <w:sz w:val="24"/>
          <w:szCs w:val="24"/>
          <w:highlight w:val="none"/>
        </w:rPr>
      </w:pPr>
      <w:r>
        <w:rPr>
          <w:rFonts w:hint="eastAsia" w:ascii="宋体" w:hAnsi="宋体" w:cs="宋体"/>
          <w:bCs/>
          <w:kern w:val="0"/>
          <w:sz w:val="24"/>
          <w:szCs w:val="24"/>
          <w:highlight w:val="none"/>
        </w:rPr>
        <w:t>1.7.2.6根据1.6条乙方权利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ascii="宋体" w:hAnsi="宋体" w:cs="宋体"/>
          <w:bCs/>
          <w:kern w:val="0"/>
          <w:sz w:val="24"/>
          <w:szCs w:val="24"/>
          <w:highlight w:val="none"/>
          <w:lang w:val="en-US" w:eastAsia="zh-CN"/>
        </w:rPr>
        <w:t>1</w:t>
      </w:r>
      <w:r>
        <w:rPr>
          <w:rFonts w:hint="eastAsia" w:ascii="宋体" w:hAnsi="宋体" w:cs="宋体"/>
          <w:bCs/>
          <w:kern w:val="0"/>
          <w:sz w:val="24"/>
          <w:szCs w:val="24"/>
          <w:highlight w:val="none"/>
        </w:rPr>
        <w:t>％（或</w:t>
      </w:r>
      <w:r>
        <w:rPr>
          <w:rFonts w:hint="eastAsia" w:ascii="宋体" w:hAnsi="宋体" w:cs="宋体"/>
          <w:bCs/>
          <w:kern w:val="0"/>
          <w:sz w:val="24"/>
          <w:szCs w:val="24"/>
          <w:highlight w:val="none"/>
          <w:lang w:val="en-US" w:eastAsia="zh-CN"/>
        </w:rPr>
        <w:t>2</w:t>
      </w:r>
      <w:r>
        <w:rPr>
          <w:rFonts w:hint="eastAsia" w:ascii="宋体" w:hAnsi="宋体" w:cs="宋体"/>
          <w:bCs/>
          <w:kern w:val="0"/>
          <w:sz w:val="24"/>
          <w:szCs w:val="24"/>
          <w:highlight w:val="none"/>
        </w:rPr>
        <w:t>万元，以金额较大的为准）的违约金。</w:t>
      </w:r>
    </w:p>
    <w:p w14:paraId="0DDB9CDE">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1.7.3乙方在承担上述1.7.2项中一项或多项违约责任后，仍应继续履行合同规定的义务（甲方解除合同的除外）。甲方未能及时追究乙方的任何一项违约责任并不表明甲方放弃追究乙方该项或其他违约责任。</w:t>
      </w:r>
    </w:p>
    <w:p w14:paraId="147E6FDD">
      <w:pPr>
        <w:spacing w:line="460" w:lineRule="exact"/>
        <w:rPr>
          <w:rFonts w:ascii="宋体" w:hAnsi="宋体" w:cs="宋体"/>
          <w:b/>
          <w:bCs/>
          <w:kern w:val="0"/>
          <w:sz w:val="24"/>
          <w:szCs w:val="24"/>
          <w:highlight w:val="none"/>
        </w:rPr>
      </w:pPr>
      <w:bookmarkStart w:id="132" w:name="_Toc9497"/>
      <w:bookmarkStart w:id="133" w:name="_Toc32454"/>
      <w:bookmarkStart w:id="134" w:name="_Toc26807"/>
      <w:bookmarkStart w:id="135" w:name="_Toc30329"/>
      <w:bookmarkStart w:id="136" w:name="_Toc18683"/>
      <w:r>
        <w:rPr>
          <w:rFonts w:hint="eastAsia" w:ascii="宋体" w:hAnsi="宋体" w:cs="宋体"/>
          <w:b/>
          <w:bCs/>
          <w:kern w:val="0"/>
          <w:sz w:val="24"/>
          <w:szCs w:val="24"/>
          <w:highlight w:val="none"/>
        </w:rPr>
        <w:t>1.8合同的解除</w:t>
      </w:r>
    </w:p>
    <w:p w14:paraId="29929CBD">
      <w:pPr>
        <w:spacing w:line="460" w:lineRule="exact"/>
        <w:rPr>
          <w:rFonts w:ascii="宋体" w:hAnsi="宋体" w:cs="宋体"/>
          <w:bCs/>
          <w:kern w:val="0"/>
          <w:sz w:val="24"/>
          <w:szCs w:val="24"/>
          <w:highlight w:val="none"/>
        </w:rPr>
      </w:pPr>
      <w:r>
        <w:rPr>
          <w:rFonts w:hint="eastAsia" w:ascii="宋体" w:hAnsi="宋体" w:cs="宋体"/>
          <w:bCs/>
          <w:kern w:val="0"/>
          <w:sz w:val="24"/>
          <w:szCs w:val="24"/>
          <w:highlight w:val="none"/>
        </w:rPr>
        <w:t>出现下列情形之一的，甲方有权解除本合同：</w:t>
      </w:r>
    </w:p>
    <w:p w14:paraId="1E90FF63">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1.8.1乙方单位总体服务能力发生下降，专业技术人员减员或资质下降人数达到 30%的；</w:t>
      </w:r>
    </w:p>
    <w:p w14:paraId="2B41133A">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1.8.2乙方人员无故未能按约到甲方提供服务，服务期限内达到3人次的；</w:t>
      </w:r>
    </w:p>
    <w:p w14:paraId="4A773C6C">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1.8.3乙方人员不能响应甲方紧急服务需求的，经甲方指出后未能改正的；</w:t>
      </w:r>
    </w:p>
    <w:p w14:paraId="02B660C0">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1.8.4因乙方服务人员原因在服务期间给甲方造成不良影响的，服务期限内达到 2 次的；</w:t>
      </w:r>
    </w:p>
    <w:p w14:paraId="0DE53C57">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1.8.5乙方及其服务人员虚报服务内容、服务时间等，骗取甲方服务费用的；</w:t>
      </w:r>
    </w:p>
    <w:p w14:paraId="0DB61D9F">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1.8.6因乙方不当服务或服务人员违法，给甲方造成严重不良影响的；</w:t>
      </w:r>
    </w:p>
    <w:p w14:paraId="24533270">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1.8.7乙方一年内因生产安全事故受到行政处罚达到3次的，或者因为乙方发生生产安全事故、环境损害事故，给甲方造成重大不良影响的或导致甲方受到行政处罚的。</w:t>
      </w:r>
    </w:p>
    <w:p w14:paraId="0C03CBD8">
      <w:pPr>
        <w:spacing w:line="460" w:lineRule="exact"/>
        <w:rPr>
          <w:rFonts w:ascii="宋体" w:hAnsi="宋体" w:cs="宋体"/>
          <w:b/>
          <w:bCs/>
          <w:kern w:val="0"/>
          <w:sz w:val="24"/>
          <w:szCs w:val="24"/>
          <w:highlight w:val="none"/>
        </w:rPr>
      </w:pPr>
      <w:r>
        <w:rPr>
          <w:rFonts w:hint="eastAsia" w:ascii="宋体" w:hAnsi="宋体" w:cs="宋体"/>
          <w:b/>
          <w:bCs/>
          <w:kern w:val="0"/>
          <w:sz w:val="24"/>
          <w:szCs w:val="24"/>
          <w:highlight w:val="none"/>
        </w:rPr>
        <w:t>1.9合同争议的解决</w:t>
      </w:r>
      <w:bookmarkEnd w:id="132"/>
      <w:bookmarkEnd w:id="133"/>
      <w:bookmarkEnd w:id="134"/>
      <w:bookmarkEnd w:id="135"/>
      <w:bookmarkEnd w:id="136"/>
    </w:p>
    <w:p w14:paraId="077844CB">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本合同履行过程中发生的任何争议，双方当事人均可通过和解或者调解解决；不愿和解、调解或者和解、调解不成的，可以选择下列第</w:t>
      </w:r>
      <w:r>
        <w:rPr>
          <w:rFonts w:hint="eastAsia" w:ascii="宋体" w:hAnsi="宋体" w:cs="宋体"/>
          <w:bCs/>
          <w:kern w:val="0"/>
          <w:sz w:val="24"/>
          <w:szCs w:val="24"/>
          <w:highlight w:val="none"/>
          <w:u w:val="single"/>
        </w:rPr>
        <w:t>1.9.1</w:t>
      </w:r>
      <w:r>
        <w:rPr>
          <w:rFonts w:hint="eastAsia" w:ascii="宋体" w:hAnsi="宋体" w:cs="宋体"/>
          <w:bCs/>
          <w:kern w:val="0"/>
          <w:sz w:val="24"/>
          <w:szCs w:val="24"/>
          <w:highlight w:val="none"/>
        </w:rPr>
        <w:t>种方式解决：</w:t>
      </w:r>
    </w:p>
    <w:p w14:paraId="76BE6E7F">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1.9.1向</w:t>
      </w:r>
      <w:r>
        <w:rPr>
          <w:rFonts w:hint="eastAsia" w:ascii="宋体" w:hAnsi="宋体" w:cs="宋体"/>
          <w:bCs/>
          <w:kern w:val="0"/>
          <w:sz w:val="24"/>
          <w:szCs w:val="24"/>
          <w:highlight w:val="none"/>
          <w:u w:val="single"/>
        </w:rPr>
        <w:t>甲方所在地</w:t>
      </w:r>
      <w:r>
        <w:rPr>
          <w:rFonts w:hint="eastAsia" w:ascii="宋体" w:hAnsi="宋体" w:cs="宋体"/>
          <w:bCs/>
          <w:kern w:val="0"/>
          <w:sz w:val="24"/>
          <w:szCs w:val="24"/>
          <w:highlight w:val="none"/>
        </w:rPr>
        <w:t>人民法院起诉。</w:t>
      </w:r>
    </w:p>
    <w:p w14:paraId="24F23F51">
      <w:pPr>
        <w:spacing w:line="460" w:lineRule="exact"/>
        <w:rPr>
          <w:rFonts w:ascii="宋体" w:hAnsi="宋体" w:cs="宋体"/>
          <w:b/>
          <w:bCs/>
          <w:kern w:val="0"/>
          <w:sz w:val="24"/>
          <w:szCs w:val="24"/>
          <w:highlight w:val="none"/>
        </w:rPr>
      </w:pPr>
      <w:bookmarkStart w:id="137" w:name="_Toc26227"/>
      <w:bookmarkStart w:id="138" w:name="_Toc15827"/>
      <w:bookmarkStart w:id="139" w:name="_Toc12273"/>
      <w:bookmarkStart w:id="140" w:name="_Toc16417"/>
      <w:bookmarkStart w:id="141" w:name="_Toc23784"/>
      <w:r>
        <w:rPr>
          <w:rFonts w:hint="eastAsia" w:ascii="宋体" w:hAnsi="宋体" w:cs="宋体"/>
          <w:b/>
          <w:bCs/>
          <w:kern w:val="0"/>
          <w:sz w:val="24"/>
          <w:szCs w:val="24"/>
          <w:highlight w:val="none"/>
        </w:rPr>
        <w:t>1.10 合同生效</w:t>
      </w:r>
      <w:bookmarkEnd w:id="137"/>
      <w:bookmarkEnd w:id="138"/>
      <w:bookmarkEnd w:id="139"/>
      <w:bookmarkEnd w:id="140"/>
      <w:bookmarkEnd w:id="141"/>
      <w:r>
        <w:rPr>
          <w:rFonts w:hint="eastAsia" w:ascii="宋体" w:hAnsi="宋体" w:cs="宋体"/>
          <w:b/>
          <w:bCs/>
          <w:kern w:val="0"/>
          <w:sz w:val="24"/>
          <w:szCs w:val="24"/>
          <w:highlight w:val="none"/>
        </w:rPr>
        <w:t>及其他</w:t>
      </w:r>
    </w:p>
    <w:p w14:paraId="557D5B9C">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1.10.1合同应在甲乙双方代表签字并加盖公章后生效。</w:t>
      </w:r>
    </w:p>
    <w:p w14:paraId="26DB29C8">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1.10.2本合同一式五份，以简体中文书写，甲方两份、乙方两份、代理机构一份。</w:t>
      </w:r>
    </w:p>
    <w:p w14:paraId="148614B7">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1.10.3本合同应按照中华人民共和国的现行法律进行解释。</w:t>
      </w:r>
      <w:bookmarkStart w:id="142" w:name="_Toc331685783"/>
    </w:p>
    <w:p w14:paraId="5C7AEEB3">
      <w:pPr>
        <w:autoSpaceDE w:val="0"/>
        <w:autoSpaceDN w:val="0"/>
        <w:adjustRightInd w:val="0"/>
        <w:spacing w:line="460" w:lineRule="exact"/>
        <w:ind w:firstLine="200"/>
        <w:jc w:val="center"/>
        <w:rPr>
          <w:rFonts w:ascii="宋体" w:hAnsi="宋体" w:cs="宋体"/>
          <w:b/>
          <w:kern w:val="0"/>
          <w:sz w:val="28"/>
          <w:szCs w:val="28"/>
          <w:highlight w:val="none"/>
        </w:rPr>
      </w:pPr>
      <w:r>
        <w:rPr>
          <w:rFonts w:hint="eastAsia" w:ascii="宋体" w:hAnsi="宋体" w:cs="宋体"/>
          <w:b/>
          <w:kern w:val="0"/>
          <w:sz w:val="28"/>
          <w:szCs w:val="28"/>
          <w:highlight w:val="none"/>
        </w:rPr>
        <w:t>第二部分 合同一般条款</w:t>
      </w:r>
      <w:bookmarkEnd w:id="142"/>
    </w:p>
    <w:p w14:paraId="49A86B36">
      <w:pPr>
        <w:spacing w:line="460" w:lineRule="exact"/>
        <w:rPr>
          <w:rFonts w:ascii="宋体" w:hAnsi="宋体" w:cs="宋体"/>
          <w:b/>
          <w:bCs/>
          <w:kern w:val="0"/>
          <w:sz w:val="24"/>
          <w:szCs w:val="24"/>
          <w:highlight w:val="none"/>
        </w:rPr>
      </w:pPr>
      <w:bookmarkStart w:id="143" w:name="_Toc14021"/>
      <w:bookmarkStart w:id="144" w:name="_Ref467379214"/>
      <w:bookmarkStart w:id="145" w:name="_Ref467378463"/>
      <w:bookmarkStart w:id="146" w:name="_Toc279701240"/>
      <w:bookmarkStart w:id="147" w:name="_Toc25079"/>
      <w:bookmarkStart w:id="148" w:name="_Toc31297"/>
      <w:bookmarkStart w:id="149" w:name="_Ref467378499"/>
      <w:bookmarkStart w:id="150" w:name="_Toc259093669"/>
      <w:bookmarkStart w:id="151" w:name="_Ref467379094"/>
      <w:bookmarkStart w:id="152" w:name="_Ref467379205"/>
      <w:bookmarkStart w:id="153" w:name="_Toc487900349"/>
      <w:bookmarkStart w:id="154" w:name="_Ref467379195"/>
      <w:bookmarkStart w:id="155" w:name="_Ref467379101"/>
      <w:bookmarkStart w:id="156" w:name="_Ref467379109"/>
      <w:bookmarkStart w:id="157" w:name="_Toc19680"/>
      <w:bookmarkStart w:id="158" w:name="_Ref467379225"/>
      <w:bookmarkStart w:id="159" w:name="_Toc5228"/>
      <w:bookmarkStart w:id="160" w:name="_Ref467378404"/>
      <w:r>
        <w:rPr>
          <w:rFonts w:hint="eastAsia" w:ascii="宋体" w:hAnsi="宋体" w:cs="宋体"/>
          <w:b/>
          <w:bCs/>
          <w:kern w:val="0"/>
          <w:sz w:val="24"/>
          <w:szCs w:val="24"/>
          <w:highlight w:val="none"/>
        </w:rPr>
        <w:t>2.1 定义</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58A95C7B">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本合同中的下列词语应按以下内容进行解释：</w:t>
      </w:r>
    </w:p>
    <w:p w14:paraId="38074CAD">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2.1.1“合同”系指采购人和中标人签订的载明双方当事人所达成的协议，并包括所有的附件、附录和构成合同的其他文件。</w:t>
      </w:r>
    </w:p>
    <w:p w14:paraId="68016893">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2.1.2“合同价”系指根据合同约定，中标人在完全履行合同义务后，采购人应支付给中标人的价格。</w:t>
      </w:r>
    </w:p>
    <w:p w14:paraId="4CAE6783">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2.1.3“服务”系指中标人根据合同约定应向采购人履行的除货物和工程以外的其他政府采购对象，包括采购人自身需要的服务和向社会公众提供的公共服务。</w:t>
      </w:r>
    </w:p>
    <w:p w14:paraId="5A4827F3">
      <w:pPr>
        <w:spacing w:line="460" w:lineRule="exact"/>
        <w:ind w:firstLine="480" w:firstLineChars="200"/>
        <w:rPr>
          <w:rFonts w:ascii="宋体" w:hAnsi="宋体" w:cs="宋体"/>
          <w:bCs/>
          <w:kern w:val="0"/>
          <w:sz w:val="24"/>
          <w:szCs w:val="24"/>
          <w:highlight w:val="none"/>
        </w:rPr>
      </w:pPr>
      <w:bookmarkStart w:id="161" w:name="_Ref467378840"/>
      <w:r>
        <w:rPr>
          <w:rFonts w:hint="eastAsia" w:ascii="宋体" w:hAnsi="宋体" w:cs="宋体"/>
          <w:bCs/>
          <w:kern w:val="0"/>
          <w:sz w:val="24"/>
          <w:szCs w:val="24"/>
          <w:highlight w:val="none"/>
        </w:rPr>
        <w:t>2.1.4“甲方”系指与中标人签署合同的采购人</w:t>
      </w:r>
      <w:bookmarkEnd w:id="161"/>
      <w:r>
        <w:rPr>
          <w:rFonts w:hint="eastAsia" w:ascii="宋体" w:hAnsi="宋体" w:cs="宋体"/>
          <w:bCs/>
          <w:kern w:val="0"/>
          <w:sz w:val="24"/>
          <w:szCs w:val="24"/>
          <w:highlight w:val="none"/>
        </w:rPr>
        <w:t>；采购人委托采购代理机构代表其与乙方签订合同的，采购人的授权委托书作为合同附件。</w:t>
      </w:r>
    </w:p>
    <w:p w14:paraId="2AA585C5">
      <w:pPr>
        <w:spacing w:line="460" w:lineRule="exact"/>
        <w:ind w:firstLine="480" w:firstLineChars="200"/>
        <w:rPr>
          <w:rFonts w:ascii="宋体" w:hAnsi="宋体" w:cs="宋体"/>
          <w:bCs/>
          <w:kern w:val="0"/>
          <w:sz w:val="24"/>
          <w:szCs w:val="24"/>
          <w:highlight w:val="none"/>
        </w:rPr>
      </w:pPr>
      <w:bookmarkStart w:id="162" w:name="_Ref467379400"/>
      <w:r>
        <w:rPr>
          <w:rFonts w:hint="eastAsia" w:ascii="宋体" w:hAnsi="宋体" w:cs="宋体"/>
          <w:bCs/>
          <w:kern w:val="0"/>
          <w:sz w:val="24"/>
          <w:szCs w:val="24"/>
          <w:highlight w:val="none"/>
        </w:rPr>
        <w:t>2.1.5“乙方”系指根据合同约定提供服务的</w:t>
      </w:r>
      <w:bookmarkEnd w:id="162"/>
      <w:r>
        <w:rPr>
          <w:rFonts w:hint="eastAsia" w:ascii="宋体" w:hAnsi="宋体" w:cs="宋体"/>
          <w:bCs/>
          <w:kern w:val="0"/>
          <w:sz w:val="24"/>
          <w:szCs w:val="24"/>
          <w:highlight w:val="none"/>
        </w:rPr>
        <w:t>中标人。</w:t>
      </w:r>
      <w:bookmarkStart w:id="163" w:name="_Ref467379436"/>
    </w:p>
    <w:p w14:paraId="499CCCFF">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2.1.6“现场”系指合同约定提供服务的地点。</w:t>
      </w:r>
      <w:bookmarkEnd w:id="163"/>
    </w:p>
    <w:p w14:paraId="04DEDB68">
      <w:pPr>
        <w:spacing w:line="460" w:lineRule="exact"/>
        <w:rPr>
          <w:rFonts w:ascii="宋体" w:hAnsi="宋体" w:cs="宋体"/>
          <w:b/>
          <w:bCs/>
          <w:kern w:val="0"/>
          <w:sz w:val="24"/>
          <w:szCs w:val="24"/>
          <w:highlight w:val="none"/>
        </w:rPr>
      </w:pPr>
      <w:bookmarkStart w:id="164" w:name="_Toc259093670"/>
      <w:bookmarkStart w:id="165" w:name="_Toc279701241"/>
      <w:bookmarkStart w:id="166" w:name="_Toc487900350"/>
      <w:bookmarkStart w:id="167" w:name="_Toc23289"/>
      <w:bookmarkStart w:id="168" w:name="_Toc19539"/>
      <w:bookmarkStart w:id="169" w:name="_Toc3769"/>
      <w:bookmarkStart w:id="170" w:name="_Toc31402"/>
      <w:bookmarkStart w:id="171" w:name="_Toc16752"/>
      <w:r>
        <w:rPr>
          <w:rFonts w:hint="eastAsia" w:ascii="宋体" w:hAnsi="宋体" w:cs="宋体"/>
          <w:b/>
          <w:bCs/>
          <w:kern w:val="0"/>
          <w:sz w:val="24"/>
          <w:szCs w:val="24"/>
          <w:highlight w:val="none"/>
        </w:rPr>
        <w:t>2.2 技术规范</w:t>
      </w:r>
      <w:bookmarkEnd w:id="164"/>
      <w:bookmarkEnd w:id="165"/>
      <w:bookmarkEnd w:id="166"/>
      <w:bookmarkEnd w:id="167"/>
      <w:bookmarkEnd w:id="168"/>
      <w:bookmarkEnd w:id="169"/>
      <w:bookmarkEnd w:id="170"/>
      <w:bookmarkEnd w:id="171"/>
    </w:p>
    <w:p w14:paraId="277EF65B">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0E791B01">
      <w:pPr>
        <w:spacing w:line="460" w:lineRule="exact"/>
        <w:rPr>
          <w:rFonts w:ascii="宋体" w:hAnsi="宋体" w:cs="宋体"/>
          <w:b/>
          <w:bCs/>
          <w:kern w:val="0"/>
          <w:sz w:val="24"/>
          <w:szCs w:val="24"/>
          <w:highlight w:val="none"/>
        </w:rPr>
      </w:pPr>
      <w:bookmarkStart w:id="172" w:name="_Toc13673"/>
      <w:bookmarkStart w:id="173" w:name="_Toc9161"/>
      <w:bookmarkStart w:id="174" w:name="_Toc27945"/>
      <w:bookmarkStart w:id="175" w:name="_Toc279701242"/>
      <w:bookmarkStart w:id="176" w:name="_Toc4133"/>
      <w:bookmarkStart w:id="177" w:name="_Toc487900351"/>
      <w:bookmarkStart w:id="178" w:name="_Toc259093671"/>
      <w:bookmarkStart w:id="179" w:name="_Toc12412"/>
      <w:r>
        <w:rPr>
          <w:rFonts w:hint="eastAsia" w:ascii="宋体" w:hAnsi="宋体" w:cs="宋体"/>
          <w:b/>
          <w:bCs/>
          <w:kern w:val="0"/>
          <w:sz w:val="24"/>
          <w:szCs w:val="24"/>
          <w:highlight w:val="none"/>
        </w:rPr>
        <w:t>2.3 知识产权</w:t>
      </w:r>
      <w:bookmarkEnd w:id="172"/>
      <w:bookmarkEnd w:id="173"/>
      <w:bookmarkEnd w:id="174"/>
      <w:bookmarkEnd w:id="175"/>
      <w:bookmarkEnd w:id="176"/>
      <w:bookmarkEnd w:id="177"/>
      <w:bookmarkEnd w:id="178"/>
      <w:bookmarkEnd w:id="179"/>
    </w:p>
    <w:p w14:paraId="46B802C5">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乙方应保证其提供的服务不受任何第三方提出的侵犯其著作权、商标权、专利权等知识产权方面的起诉；如果任何第三方提出侵权指控，那么乙方须与该第三方交涉并承担由此发生的一切责任、费用和赔偿。</w:t>
      </w:r>
    </w:p>
    <w:p w14:paraId="532ED7A2">
      <w:pPr>
        <w:spacing w:line="460" w:lineRule="exact"/>
        <w:rPr>
          <w:rFonts w:ascii="宋体" w:hAnsi="宋体" w:cs="宋体"/>
          <w:b/>
          <w:bCs/>
          <w:kern w:val="0"/>
          <w:sz w:val="24"/>
          <w:szCs w:val="24"/>
          <w:highlight w:val="none"/>
        </w:rPr>
      </w:pPr>
      <w:r>
        <w:rPr>
          <w:rFonts w:hint="eastAsia" w:ascii="宋体" w:hAnsi="宋体" w:cs="宋体"/>
          <w:b/>
          <w:bCs/>
          <w:kern w:val="0"/>
          <w:sz w:val="24"/>
          <w:szCs w:val="24"/>
          <w:highlight w:val="none"/>
        </w:rPr>
        <w:t>2.4 履约检查和问题反馈</w:t>
      </w:r>
    </w:p>
    <w:p w14:paraId="0DA3756C">
      <w:pPr>
        <w:spacing w:line="460" w:lineRule="exact"/>
        <w:ind w:firstLine="480" w:firstLineChars="200"/>
        <w:rPr>
          <w:rFonts w:ascii="宋体" w:hAnsi="宋体" w:cs="宋体"/>
          <w:bCs/>
          <w:kern w:val="0"/>
          <w:sz w:val="24"/>
          <w:szCs w:val="24"/>
          <w:highlight w:val="none"/>
        </w:rPr>
      </w:pPr>
      <w:bookmarkStart w:id="180" w:name="_Toc186431854"/>
      <w:bookmarkStart w:id="181" w:name="_Ref467379793"/>
      <w:bookmarkStart w:id="182" w:name="_Toc259093676"/>
      <w:bookmarkStart w:id="183" w:name="_Toc487900357"/>
      <w:bookmarkStart w:id="184" w:name="_Toc279701247"/>
      <w:bookmarkStart w:id="185" w:name="_Ref467379807"/>
      <w:r>
        <w:rPr>
          <w:rFonts w:hint="eastAsia" w:ascii="宋体" w:hAnsi="宋体" w:cs="宋体"/>
          <w:bCs/>
          <w:kern w:val="0"/>
          <w:sz w:val="24"/>
          <w:szCs w:val="24"/>
          <w:highlight w:val="none"/>
        </w:rPr>
        <w:t>2.4.1甲方有权在其认为必要时，对乙方是否能够按照合同约定提供服务进行履约检查，以确保乙方所提供的服务能够依约满足甲方之项目需求，但不得因履约检查妨碍乙方的正常工作，乙方应予积极配合。</w:t>
      </w:r>
    </w:p>
    <w:p w14:paraId="742203E4">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2.4.2合同履行期间，甲方有权将履行过程中出现的问题反馈给乙方，双方当事人应以书面形式约定需要完善和改进的内容</w:t>
      </w:r>
      <w:bookmarkEnd w:id="180"/>
      <w:bookmarkStart w:id="186" w:name="_Toc186431855"/>
      <w:r>
        <w:rPr>
          <w:rFonts w:hint="eastAsia" w:ascii="宋体" w:hAnsi="宋体" w:cs="宋体"/>
          <w:bCs/>
          <w:kern w:val="0"/>
          <w:sz w:val="24"/>
          <w:szCs w:val="24"/>
          <w:highlight w:val="none"/>
        </w:rPr>
        <w:t>。</w:t>
      </w:r>
    </w:p>
    <w:bookmarkEnd w:id="181"/>
    <w:bookmarkEnd w:id="182"/>
    <w:bookmarkEnd w:id="183"/>
    <w:bookmarkEnd w:id="184"/>
    <w:bookmarkEnd w:id="185"/>
    <w:bookmarkEnd w:id="186"/>
    <w:p w14:paraId="64490E7D">
      <w:pPr>
        <w:spacing w:line="460" w:lineRule="exact"/>
        <w:rPr>
          <w:rFonts w:ascii="宋体" w:hAnsi="宋体" w:cs="宋体"/>
          <w:b/>
          <w:bCs/>
          <w:kern w:val="0"/>
          <w:sz w:val="24"/>
          <w:szCs w:val="24"/>
          <w:highlight w:val="none"/>
        </w:rPr>
      </w:pPr>
      <w:bookmarkStart w:id="187" w:name="_Ref467379863"/>
      <w:bookmarkStart w:id="188" w:name="_Ref467379923"/>
      <w:bookmarkStart w:id="189" w:name="_Ref467379852"/>
      <w:bookmarkStart w:id="190" w:name="_Toc487900358"/>
      <w:bookmarkStart w:id="191" w:name="_Toc279701248"/>
      <w:bookmarkStart w:id="192" w:name="_Toc259093677"/>
      <w:bookmarkStart w:id="193" w:name="_Toc13154"/>
      <w:bookmarkStart w:id="194" w:name="_Toc13467"/>
      <w:bookmarkStart w:id="195" w:name="_Toc16163"/>
      <w:bookmarkStart w:id="196" w:name="_Toc30507"/>
      <w:bookmarkStart w:id="197" w:name="_Toc18990"/>
      <w:r>
        <w:rPr>
          <w:rFonts w:hint="eastAsia" w:ascii="宋体" w:hAnsi="宋体" w:cs="宋体"/>
          <w:b/>
          <w:bCs/>
          <w:kern w:val="0"/>
          <w:sz w:val="24"/>
          <w:szCs w:val="24"/>
          <w:highlight w:val="none"/>
        </w:rPr>
        <w:t>2.5 技术资料</w:t>
      </w:r>
      <w:bookmarkEnd w:id="187"/>
      <w:bookmarkEnd w:id="188"/>
      <w:bookmarkEnd w:id="189"/>
      <w:bookmarkEnd w:id="190"/>
      <w:bookmarkEnd w:id="191"/>
      <w:bookmarkEnd w:id="192"/>
      <w:r>
        <w:rPr>
          <w:rFonts w:hint="eastAsia" w:ascii="宋体" w:hAnsi="宋体" w:cs="宋体"/>
          <w:b/>
          <w:bCs/>
          <w:kern w:val="0"/>
          <w:sz w:val="24"/>
          <w:szCs w:val="24"/>
          <w:highlight w:val="none"/>
        </w:rPr>
        <w:t>和保密义务</w:t>
      </w:r>
      <w:bookmarkEnd w:id="193"/>
      <w:bookmarkEnd w:id="194"/>
      <w:bookmarkEnd w:id="195"/>
      <w:bookmarkEnd w:id="196"/>
      <w:bookmarkEnd w:id="197"/>
    </w:p>
    <w:p w14:paraId="1D960B49">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2.5.1乙方有权依据合同约定和项目需要，向甲方了解有关情况，调阅有关资料等，甲方应予积极配合。</w:t>
      </w:r>
    </w:p>
    <w:p w14:paraId="50998AD4">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2.5.2乙方有义务妥善保管和保护由甲方提供的前款信息和资料等。</w:t>
      </w:r>
    </w:p>
    <w:p w14:paraId="4132CE1E">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2.5.3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3FABF481">
      <w:pPr>
        <w:spacing w:line="460" w:lineRule="exact"/>
        <w:rPr>
          <w:rFonts w:ascii="宋体" w:hAnsi="宋体" w:cs="宋体"/>
          <w:b/>
          <w:bCs/>
          <w:kern w:val="0"/>
          <w:sz w:val="24"/>
          <w:szCs w:val="24"/>
          <w:highlight w:val="none"/>
        </w:rPr>
      </w:pPr>
      <w:bookmarkStart w:id="198" w:name="_Toc19069"/>
      <w:bookmarkStart w:id="199" w:name="_Toc487900362"/>
      <w:bookmarkStart w:id="200" w:name="_Toc279701252"/>
      <w:bookmarkStart w:id="201" w:name="_Toc259093681"/>
      <w:r>
        <w:rPr>
          <w:rFonts w:hint="eastAsia" w:ascii="宋体" w:hAnsi="宋体" w:cs="宋体"/>
          <w:b/>
          <w:bCs/>
          <w:kern w:val="0"/>
          <w:sz w:val="24"/>
          <w:szCs w:val="24"/>
          <w:highlight w:val="none"/>
        </w:rPr>
        <w:t>2.6 质量保证</w:t>
      </w:r>
      <w:bookmarkEnd w:id="198"/>
    </w:p>
    <w:p w14:paraId="72D771B3">
      <w:pPr>
        <w:spacing w:line="44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2.6.1乙方应建立和完善履行合同的内部质量保证体系，并提供相关内部规章制度给甲方，以便甲方进行监督检查；</w:t>
      </w:r>
    </w:p>
    <w:p w14:paraId="222EA2E0">
      <w:pPr>
        <w:spacing w:line="44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2.6.2乙方应保证履行合同的人员数量和素质、软件和硬件设备的配置、场地、环境和设施等满足全面履行合同的要求，并应接受甲方的监督检查。</w:t>
      </w:r>
    </w:p>
    <w:p w14:paraId="0A718324">
      <w:pPr>
        <w:spacing w:line="460" w:lineRule="exact"/>
        <w:ind w:firstLine="480" w:firstLineChars="200"/>
        <w:rPr>
          <w:rFonts w:ascii="宋体" w:hAnsi="宋体" w:cs="宋体"/>
          <w:sz w:val="24"/>
          <w:szCs w:val="24"/>
          <w:highlight w:val="none"/>
        </w:rPr>
      </w:pPr>
      <w:r>
        <w:rPr>
          <w:rFonts w:hint="eastAsia" w:ascii="宋体" w:hAnsi="宋体" w:cs="宋体"/>
          <w:bCs/>
          <w:kern w:val="0"/>
          <w:sz w:val="24"/>
          <w:szCs w:val="24"/>
          <w:highlight w:val="none"/>
        </w:rPr>
        <w:t>2.6.3其他</w:t>
      </w:r>
      <w:r>
        <w:rPr>
          <w:rFonts w:hint="eastAsia" w:ascii="宋体" w:hAnsi="宋体" w:cs="宋体"/>
          <w:sz w:val="24"/>
          <w:szCs w:val="24"/>
          <w:highlight w:val="none"/>
        </w:rPr>
        <w:t>各项服务承诺指标及所采取的措施符合“投标文件”要求及投标响应承诺</w:t>
      </w:r>
      <w:r>
        <w:rPr>
          <w:rFonts w:hint="eastAsia" w:ascii="宋体" w:hAnsi="宋体" w:cs="宋体"/>
          <w:bCs/>
          <w:kern w:val="0"/>
          <w:sz w:val="24"/>
          <w:szCs w:val="24"/>
          <w:highlight w:val="none"/>
        </w:rPr>
        <w:t>。</w:t>
      </w:r>
    </w:p>
    <w:p w14:paraId="196CC104">
      <w:pPr>
        <w:spacing w:line="460" w:lineRule="exact"/>
        <w:rPr>
          <w:rFonts w:ascii="宋体" w:hAnsi="宋体" w:cs="宋体"/>
          <w:b/>
          <w:bCs/>
          <w:kern w:val="0"/>
          <w:sz w:val="24"/>
          <w:szCs w:val="24"/>
          <w:highlight w:val="none"/>
        </w:rPr>
      </w:pPr>
      <w:bookmarkStart w:id="202" w:name="_Toc22267"/>
      <w:r>
        <w:rPr>
          <w:rFonts w:hint="eastAsia" w:ascii="宋体" w:hAnsi="宋体" w:cs="宋体"/>
          <w:b/>
          <w:bCs/>
          <w:kern w:val="0"/>
          <w:sz w:val="24"/>
          <w:szCs w:val="24"/>
          <w:highlight w:val="none"/>
        </w:rPr>
        <w:t>2.7 延迟</w:t>
      </w:r>
      <w:bookmarkEnd w:id="199"/>
      <w:bookmarkEnd w:id="200"/>
      <w:bookmarkEnd w:id="201"/>
      <w:r>
        <w:rPr>
          <w:rFonts w:hint="eastAsia" w:ascii="宋体" w:hAnsi="宋体" w:cs="宋体"/>
          <w:b/>
          <w:bCs/>
          <w:kern w:val="0"/>
          <w:sz w:val="24"/>
          <w:szCs w:val="24"/>
          <w:highlight w:val="none"/>
        </w:rPr>
        <w:t>履行</w:t>
      </w:r>
      <w:bookmarkEnd w:id="202"/>
    </w:p>
    <w:p w14:paraId="25A20C57">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1E550F73">
      <w:pPr>
        <w:spacing w:line="460" w:lineRule="exact"/>
        <w:rPr>
          <w:rFonts w:ascii="宋体" w:hAnsi="宋体" w:cs="宋体"/>
          <w:b/>
          <w:bCs/>
          <w:kern w:val="0"/>
          <w:sz w:val="24"/>
          <w:szCs w:val="24"/>
          <w:highlight w:val="none"/>
        </w:rPr>
      </w:pPr>
      <w:bookmarkStart w:id="203" w:name="_Toc10611"/>
      <w:bookmarkStart w:id="204" w:name="_Toc487900364"/>
      <w:bookmarkStart w:id="205" w:name="_Toc259093683"/>
      <w:bookmarkStart w:id="206" w:name="_Toc279701254"/>
      <w:bookmarkStart w:id="207" w:name="_Ref467378121"/>
      <w:r>
        <w:rPr>
          <w:rFonts w:hint="eastAsia" w:ascii="宋体" w:hAnsi="宋体" w:cs="宋体"/>
          <w:b/>
          <w:bCs/>
          <w:kern w:val="0"/>
          <w:sz w:val="24"/>
          <w:szCs w:val="24"/>
          <w:highlight w:val="none"/>
        </w:rPr>
        <w:t>2.8 合同变更</w:t>
      </w:r>
      <w:bookmarkEnd w:id="203"/>
    </w:p>
    <w:p w14:paraId="5AA68A0A">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2.8.1双方当事人协商一致，可以签订书面补充合同的形式变更合同，但不得违背采购文件确定的事项，且如果系追加与合同标的相同的服务的，那么所有补充合同的采购金额不得超过原合同价的10%。</w:t>
      </w:r>
    </w:p>
    <w:p w14:paraId="2C87718F">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2.8.2合同继续履行将损害国家利益和社会公共利益的，甲方有权变更合同。有过错的一方应当承担赔偿责任，双方当事人都有过错的，各自承担相应的责任。</w:t>
      </w:r>
      <w:bookmarkStart w:id="208" w:name="_Toc259093688"/>
      <w:bookmarkStart w:id="209" w:name="_Toc487900369"/>
      <w:bookmarkStart w:id="210" w:name="_Toc279701259"/>
    </w:p>
    <w:p w14:paraId="49F4F007">
      <w:pPr>
        <w:spacing w:line="460" w:lineRule="exact"/>
        <w:rPr>
          <w:rFonts w:ascii="宋体" w:hAnsi="宋体" w:cs="宋体"/>
          <w:b/>
          <w:bCs/>
          <w:kern w:val="0"/>
          <w:sz w:val="24"/>
          <w:szCs w:val="24"/>
          <w:highlight w:val="none"/>
        </w:rPr>
      </w:pPr>
      <w:bookmarkStart w:id="211" w:name="_Toc23368"/>
      <w:bookmarkStart w:id="212" w:name="_Toc26689"/>
      <w:bookmarkStart w:id="213" w:name="_Toc10663"/>
      <w:bookmarkStart w:id="214" w:name="_Toc21830"/>
      <w:bookmarkStart w:id="215" w:name="_Toc42"/>
      <w:r>
        <w:rPr>
          <w:rFonts w:hint="eastAsia" w:ascii="宋体" w:hAnsi="宋体" w:cs="宋体"/>
          <w:b/>
          <w:bCs/>
          <w:kern w:val="0"/>
          <w:sz w:val="24"/>
          <w:szCs w:val="24"/>
          <w:highlight w:val="none"/>
        </w:rPr>
        <w:t>2.9 合同转让</w:t>
      </w:r>
      <w:bookmarkEnd w:id="208"/>
      <w:bookmarkEnd w:id="209"/>
      <w:bookmarkEnd w:id="210"/>
      <w:r>
        <w:rPr>
          <w:rFonts w:hint="eastAsia" w:ascii="宋体" w:hAnsi="宋体" w:cs="宋体"/>
          <w:b/>
          <w:bCs/>
          <w:kern w:val="0"/>
          <w:sz w:val="24"/>
          <w:szCs w:val="24"/>
          <w:highlight w:val="none"/>
        </w:rPr>
        <w:t>和分包</w:t>
      </w:r>
      <w:bookmarkEnd w:id="211"/>
      <w:bookmarkEnd w:id="212"/>
      <w:bookmarkEnd w:id="213"/>
      <w:bookmarkEnd w:id="214"/>
      <w:bookmarkEnd w:id="215"/>
    </w:p>
    <w:p w14:paraId="68FED8B6">
      <w:pPr>
        <w:spacing w:line="460" w:lineRule="exact"/>
        <w:ind w:firstLine="480" w:firstLineChars="200"/>
        <w:rPr>
          <w:rFonts w:ascii="宋体" w:hAnsi="宋体" w:cs="宋体"/>
          <w:bCs/>
          <w:kern w:val="0"/>
          <w:sz w:val="24"/>
          <w:szCs w:val="24"/>
          <w:highlight w:val="none"/>
        </w:rPr>
      </w:pPr>
      <w:bookmarkStart w:id="216" w:name="_Toc4720"/>
      <w:bookmarkStart w:id="217" w:name="_Toc14371"/>
      <w:bookmarkStart w:id="218" w:name="_Toc32494"/>
      <w:bookmarkStart w:id="219" w:name="_Toc25571"/>
      <w:bookmarkStart w:id="220" w:name="_Toc26633"/>
      <w:r>
        <w:rPr>
          <w:rFonts w:hint="eastAsia" w:ascii="宋体" w:hAnsi="宋体" w:cs="宋体"/>
          <w:bCs/>
          <w:kern w:val="0"/>
          <w:sz w:val="24"/>
          <w:szCs w:val="24"/>
          <w:highlight w:val="none"/>
        </w:rPr>
        <w:t>2.9.1本项目不得以任何形式进行转包及分包。</w:t>
      </w:r>
    </w:p>
    <w:p w14:paraId="354F2B8F">
      <w:pPr>
        <w:spacing w:line="460" w:lineRule="exact"/>
        <w:rPr>
          <w:rFonts w:ascii="宋体" w:hAnsi="宋体" w:cs="宋体"/>
          <w:b/>
          <w:bCs/>
          <w:kern w:val="0"/>
          <w:sz w:val="24"/>
          <w:szCs w:val="24"/>
          <w:highlight w:val="none"/>
        </w:rPr>
      </w:pPr>
      <w:r>
        <w:rPr>
          <w:rFonts w:hint="eastAsia" w:ascii="宋体" w:hAnsi="宋体" w:cs="宋体"/>
          <w:b/>
          <w:bCs/>
          <w:kern w:val="0"/>
          <w:sz w:val="24"/>
          <w:szCs w:val="24"/>
          <w:highlight w:val="none"/>
        </w:rPr>
        <w:t>2.10 不可抗力</w:t>
      </w:r>
      <w:bookmarkEnd w:id="216"/>
      <w:bookmarkEnd w:id="217"/>
      <w:bookmarkEnd w:id="218"/>
      <w:bookmarkEnd w:id="219"/>
      <w:bookmarkEnd w:id="220"/>
    </w:p>
    <w:p w14:paraId="0A4A182E">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2.10.1如果任何一方遭遇法律规定的不可抗力，致使合同履行受阻时，履行合同的期限应予延长，延长的期限应相当于不可抗力所影响的时间。</w:t>
      </w:r>
    </w:p>
    <w:p w14:paraId="72C9E450">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2.10.2因不可抗力致使不能实现合同目的的，当事人可以解除合同。</w:t>
      </w:r>
    </w:p>
    <w:p w14:paraId="5B204BF3">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2.10.3因不可抗力致使合同有变更必要的，双方当事人应在</w:t>
      </w:r>
      <w:r>
        <w:rPr>
          <w:rFonts w:hint="eastAsia" w:ascii="宋体" w:hAnsi="宋体" w:cs="宋体"/>
          <w:b/>
          <w:bCs/>
          <w:kern w:val="0"/>
          <w:sz w:val="24"/>
          <w:szCs w:val="24"/>
          <w:highlight w:val="none"/>
          <w:u w:val="single"/>
        </w:rPr>
        <w:t>7个工作日内</w:t>
      </w:r>
      <w:r>
        <w:rPr>
          <w:rFonts w:hint="eastAsia" w:ascii="宋体" w:hAnsi="宋体" w:cs="宋体"/>
          <w:bCs/>
          <w:kern w:val="0"/>
          <w:sz w:val="24"/>
          <w:szCs w:val="24"/>
          <w:highlight w:val="none"/>
        </w:rPr>
        <w:t>以书面形式变更合同。</w:t>
      </w:r>
    </w:p>
    <w:p w14:paraId="3F00777E">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2.10.4受不可抗力影响的一方在不可抗力发生后，应在</w:t>
      </w:r>
      <w:r>
        <w:rPr>
          <w:rFonts w:hint="eastAsia" w:ascii="宋体" w:hAnsi="宋体" w:cs="宋体"/>
          <w:b/>
          <w:bCs/>
          <w:kern w:val="0"/>
          <w:sz w:val="24"/>
          <w:szCs w:val="24"/>
          <w:highlight w:val="none"/>
          <w:u w:val="single"/>
        </w:rPr>
        <w:t>7个工作日</w:t>
      </w:r>
      <w:r>
        <w:rPr>
          <w:rFonts w:hint="eastAsia" w:ascii="宋体" w:hAnsi="宋体" w:cs="宋体"/>
          <w:bCs/>
          <w:kern w:val="0"/>
          <w:sz w:val="24"/>
          <w:szCs w:val="24"/>
          <w:highlight w:val="none"/>
        </w:rPr>
        <w:t>内以书面形式通知对方当事人，并在</w:t>
      </w:r>
      <w:r>
        <w:rPr>
          <w:rFonts w:hint="eastAsia" w:ascii="宋体" w:hAnsi="宋体" w:cs="宋体"/>
          <w:b/>
          <w:bCs/>
          <w:kern w:val="0"/>
          <w:sz w:val="24"/>
          <w:szCs w:val="24"/>
          <w:highlight w:val="none"/>
          <w:u w:val="single"/>
        </w:rPr>
        <w:t>7个工作日</w:t>
      </w:r>
      <w:r>
        <w:rPr>
          <w:rFonts w:hint="eastAsia" w:ascii="宋体" w:hAnsi="宋体" w:cs="宋体"/>
          <w:bCs/>
          <w:kern w:val="0"/>
          <w:sz w:val="24"/>
          <w:szCs w:val="24"/>
          <w:highlight w:val="none"/>
        </w:rPr>
        <w:t>内，将有关部门出具的证明文件送达对方当事人。</w:t>
      </w:r>
    </w:p>
    <w:p w14:paraId="52429231">
      <w:pPr>
        <w:spacing w:line="460" w:lineRule="exact"/>
        <w:rPr>
          <w:rFonts w:ascii="宋体" w:hAnsi="宋体" w:cs="宋体"/>
          <w:b/>
          <w:bCs/>
          <w:kern w:val="0"/>
          <w:sz w:val="24"/>
          <w:szCs w:val="24"/>
          <w:highlight w:val="none"/>
        </w:rPr>
      </w:pPr>
      <w:bookmarkStart w:id="221" w:name="_Toc259093684"/>
      <w:bookmarkStart w:id="222" w:name="_Toc23854"/>
      <w:bookmarkStart w:id="223" w:name="_Toc279701255"/>
      <w:bookmarkStart w:id="224" w:name="_Toc14115"/>
      <w:bookmarkStart w:id="225" w:name="_Toc3638"/>
      <w:bookmarkStart w:id="226" w:name="_Toc487900365"/>
      <w:bookmarkStart w:id="227" w:name="_Toc25783"/>
      <w:bookmarkStart w:id="228" w:name="_Toc24465"/>
      <w:r>
        <w:rPr>
          <w:rFonts w:hint="eastAsia" w:ascii="宋体" w:hAnsi="宋体" w:cs="宋体"/>
          <w:b/>
          <w:bCs/>
          <w:kern w:val="0"/>
          <w:sz w:val="24"/>
          <w:szCs w:val="24"/>
          <w:highlight w:val="none"/>
        </w:rPr>
        <w:t>2.11 税费</w:t>
      </w:r>
      <w:bookmarkEnd w:id="221"/>
      <w:bookmarkEnd w:id="222"/>
      <w:bookmarkEnd w:id="223"/>
      <w:bookmarkEnd w:id="224"/>
      <w:bookmarkEnd w:id="225"/>
      <w:bookmarkEnd w:id="226"/>
      <w:bookmarkEnd w:id="227"/>
      <w:bookmarkEnd w:id="228"/>
    </w:p>
    <w:p w14:paraId="10CCDF39">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与合同有关的一切税费，均按照中华人民共和国法律的相关规定缴纳。</w:t>
      </w:r>
    </w:p>
    <w:p w14:paraId="12BA6A37">
      <w:pPr>
        <w:spacing w:line="460" w:lineRule="exact"/>
        <w:rPr>
          <w:rFonts w:ascii="宋体" w:hAnsi="宋体" w:cs="宋体"/>
          <w:b/>
          <w:bCs/>
          <w:kern w:val="0"/>
          <w:sz w:val="24"/>
          <w:szCs w:val="24"/>
          <w:highlight w:val="none"/>
        </w:rPr>
      </w:pPr>
      <w:bookmarkStart w:id="229" w:name="_Toc26883"/>
      <w:bookmarkStart w:id="230" w:name="_Toc487900368"/>
      <w:bookmarkStart w:id="231" w:name="_Toc259093687"/>
      <w:bookmarkStart w:id="232" w:name="_Toc7315"/>
      <w:bookmarkStart w:id="233" w:name="_Toc25525"/>
      <w:bookmarkStart w:id="234" w:name="_Toc30105"/>
      <w:bookmarkStart w:id="235" w:name="_Toc14814"/>
      <w:bookmarkStart w:id="236" w:name="_Toc279701258"/>
      <w:r>
        <w:rPr>
          <w:rFonts w:hint="eastAsia" w:ascii="宋体" w:hAnsi="宋体" w:cs="宋体"/>
          <w:b/>
          <w:bCs/>
          <w:kern w:val="0"/>
          <w:sz w:val="24"/>
          <w:szCs w:val="24"/>
          <w:highlight w:val="none"/>
        </w:rPr>
        <w:t>2.12 乙方破产</w:t>
      </w:r>
      <w:bookmarkEnd w:id="229"/>
      <w:bookmarkEnd w:id="230"/>
      <w:bookmarkEnd w:id="231"/>
      <w:bookmarkEnd w:id="232"/>
      <w:bookmarkEnd w:id="233"/>
      <w:bookmarkEnd w:id="234"/>
      <w:bookmarkEnd w:id="235"/>
      <w:bookmarkEnd w:id="236"/>
    </w:p>
    <w:p w14:paraId="6216AEF6">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56A99923">
      <w:pPr>
        <w:spacing w:line="460" w:lineRule="exact"/>
        <w:rPr>
          <w:rFonts w:ascii="宋体" w:hAnsi="宋体" w:cs="宋体"/>
          <w:b/>
          <w:bCs/>
          <w:kern w:val="0"/>
          <w:sz w:val="24"/>
          <w:szCs w:val="24"/>
          <w:highlight w:val="none"/>
        </w:rPr>
      </w:pPr>
      <w:bookmarkStart w:id="237" w:name="_Toc1123"/>
      <w:bookmarkStart w:id="238" w:name="_Toc2016"/>
      <w:bookmarkStart w:id="239" w:name="_Toc23323"/>
      <w:r>
        <w:rPr>
          <w:rFonts w:hint="eastAsia" w:ascii="宋体" w:hAnsi="宋体" w:cs="宋体"/>
          <w:b/>
          <w:bCs/>
          <w:kern w:val="0"/>
          <w:sz w:val="24"/>
          <w:szCs w:val="24"/>
          <w:highlight w:val="none"/>
        </w:rPr>
        <w:t>2.13 合同中止、终止</w:t>
      </w:r>
      <w:bookmarkEnd w:id="237"/>
      <w:bookmarkEnd w:id="238"/>
      <w:bookmarkEnd w:id="239"/>
    </w:p>
    <w:p w14:paraId="495BC9A9">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2.13.1双方当事人不得擅自中止或者终止合同。</w:t>
      </w:r>
    </w:p>
    <w:p w14:paraId="29F7BB8A">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2.13.2合同继续履行将损害国家利益和社会公共利益的，甲方有权中止或者终止、解除合同。有过错的一方应当承担赔偿责任，双方当事人都有过错的，各自承担相应的责任。</w:t>
      </w:r>
    </w:p>
    <w:bookmarkEnd w:id="204"/>
    <w:bookmarkEnd w:id="205"/>
    <w:bookmarkEnd w:id="206"/>
    <w:bookmarkEnd w:id="207"/>
    <w:p w14:paraId="0F7AA38F">
      <w:pPr>
        <w:spacing w:line="460" w:lineRule="exact"/>
        <w:rPr>
          <w:rFonts w:ascii="宋体" w:hAnsi="宋体" w:cs="宋体"/>
          <w:b/>
          <w:bCs/>
          <w:kern w:val="0"/>
          <w:sz w:val="24"/>
          <w:szCs w:val="24"/>
          <w:highlight w:val="none"/>
        </w:rPr>
      </w:pPr>
      <w:bookmarkStart w:id="240" w:name="_Toc487900371"/>
      <w:bookmarkStart w:id="241" w:name="_Toc259093690"/>
      <w:bookmarkStart w:id="242" w:name="_Toc279701261"/>
      <w:bookmarkStart w:id="243" w:name="_Toc9808"/>
      <w:bookmarkStart w:id="244" w:name="_Toc12666"/>
      <w:bookmarkStart w:id="245" w:name="_Toc2308"/>
      <w:bookmarkStart w:id="246" w:name="_Toc31892"/>
      <w:bookmarkStart w:id="247" w:name="_Toc25198"/>
      <w:r>
        <w:rPr>
          <w:rFonts w:hint="eastAsia" w:ascii="宋体" w:hAnsi="宋体" w:cs="宋体"/>
          <w:b/>
          <w:bCs/>
          <w:kern w:val="0"/>
          <w:sz w:val="24"/>
          <w:szCs w:val="24"/>
          <w:highlight w:val="none"/>
        </w:rPr>
        <w:t>2.14 通知</w:t>
      </w:r>
      <w:bookmarkEnd w:id="240"/>
      <w:bookmarkEnd w:id="241"/>
      <w:bookmarkEnd w:id="242"/>
      <w:r>
        <w:rPr>
          <w:rFonts w:hint="eastAsia" w:ascii="宋体" w:hAnsi="宋体" w:cs="宋体"/>
          <w:b/>
          <w:bCs/>
          <w:kern w:val="0"/>
          <w:sz w:val="24"/>
          <w:szCs w:val="24"/>
          <w:highlight w:val="none"/>
        </w:rPr>
        <w:t>和送达</w:t>
      </w:r>
      <w:bookmarkEnd w:id="243"/>
      <w:bookmarkEnd w:id="244"/>
      <w:bookmarkEnd w:id="245"/>
      <w:bookmarkEnd w:id="246"/>
      <w:bookmarkEnd w:id="247"/>
    </w:p>
    <w:p w14:paraId="15CF263B">
      <w:pPr>
        <w:spacing w:line="460" w:lineRule="exact"/>
        <w:ind w:firstLine="480" w:firstLineChars="200"/>
        <w:rPr>
          <w:rFonts w:ascii="宋体" w:hAnsi="宋体" w:cs="宋体"/>
          <w:bCs/>
          <w:kern w:val="0"/>
          <w:sz w:val="24"/>
          <w:szCs w:val="24"/>
          <w:highlight w:val="none"/>
        </w:rPr>
      </w:pPr>
      <w:bookmarkStart w:id="248" w:name="_Toc29220"/>
      <w:bookmarkStart w:id="249" w:name="_Toc7073"/>
      <w:bookmarkStart w:id="250" w:name="_Toc259093691"/>
      <w:bookmarkStart w:id="251" w:name="_Toc279701262"/>
      <w:bookmarkStart w:id="252" w:name="_Toc487900372"/>
      <w:r>
        <w:rPr>
          <w:rFonts w:hint="eastAsia" w:ascii="宋体" w:hAnsi="宋体" w:cs="宋体"/>
          <w:bCs/>
          <w:kern w:val="0"/>
          <w:sz w:val="24"/>
          <w:szCs w:val="24"/>
          <w:highlight w:val="none"/>
        </w:rPr>
        <w:t>2.14.1任何一方因履行合同而以合同第一部分尾部所列明的</w:t>
      </w:r>
      <w:r>
        <w:rPr>
          <w:rFonts w:hint="eastAsia" w:ascii="宋体" w:hAnsi="宋体" w:cs="宋体"/>
          <w:b/>
          <w:bCs/>
          <w:kern w:val="0"/>
          <w:sz w:val="24"/>
          <w:szCs w:val="24"/>
          <w:highlight w:val="none"/>
          <w:u w:val="single"/>
        </w:rPr>
        <w:t>内容</w:t>
      </w:r>
      <w:r>
        <w:rPr>
          <w:rFonts w:hint="eastAsia" w:ascii="宋体" w:hAnsi="宋体" w:cs="宋体"/>
          <w:bCs/>
          <w:kern w:val="0"/>
          <w:sz w:val="24"/>
          <w:szCs w:val="24"/>
          <w:highlight w:val="none"/>
        </w:rPr>
        <w:t>发出的所有通知、文件、材料，均视为已向对方当事人送达；任何一方变更上述送达方式或者地址的，应于</w:t>
      </w:r>
      <w:r>
        <w:rPr>
          <w:rFonts w:hint="eastAsia" w:ascii="宋体" w:hAnsi="宋体" w:cs="宋体"/>
          <w:b/>
          <w:bCs/>
          <w:kern w:val="0"/>
          <w:sz w:val="24"/>
          <w:szCs w:val="24"/>
          <w:highlight w:val="none"/>
          <w:u w:val="single"/>
        </w:rPr>
        <w:t>5个工作日</w:t>
      </w:r>
      <w:r>
        <w:rPr>
          <w:rFonts w:hint="eastAsia" w:ascii="宋体" w:hAnsi="宋体" w:cs="宋体"/>
          <w:bCs/>
          <w:kern w:val="0"/>
          <w:sz w:val="24"/>
          <w:szCs w:val="24"/>
          <w:highlight w:val="none"/>
        </w:rPr>
        <w:t>内书面通知对方当事人，在对方当事人收到有关变更通知之前，变更前的约定送达方式或者地址仍视为有效。</w:t>
      </w:r>
      <w:bookmarkEnd w:id="248"/>
      <w:bookmarkEnd w:id="249"/>
    </w:p>
    <w:p w14:paraId="6222CE13">
      <w:pPr>
        <w:spacing w:line="460" w:lineRule="exact"/>
        <w:ind w:firstLine="480" w:firstLineChars="200"/>
        <w:rPr>
          <w:rFonts w:ascii="宋体" w:hAnsi="宋体" w:cs="宋体"/>
          <w:bCs/>
          <w:kern w:val="0"/>
          <w:sz w:val="24"/>
          <w:szCs w:val="24"/>
          <w:highlight w:val="none"/>
        </w:rPr>
      </w:pPr>
      <w:bookmarkStart w:id="253" w:name="_Toc18401"/>
      <w:bookmarkStart w:id="254" w:name="_Toc27674"/>
      <w:r>
        <w:rPr>
          <w:rFonts w:hint="eastAsia" w:ascii="宋体" w:hAnsi="宋体" w:cs="宋体"/>
          <w:bCs/>
          <w:kern w:val="0"/>
          <w:sz w:val="24"/>
          <w:szCs w:val="24"/>
          <w:highlight w:val="none"/>
        </w:rPr>
        <w:t>2.14.2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3"/>
      <w:bookmarkEnd w:id="254"/>
    </w:p>
    <w:bookmarkEnd w:id="250"/>
    <w:bookmarkEnd w:id="251"/>
    <w:bookmarkEnd w:id="252"/>
    <w:p w14:paraId="16C48DA8">
      <w:pPr>
        <w:spacing w:line="460" w:lineRule="exact"/>
        <w:rPr>
          <w:rFonts w:ascii="宋体" w:hAnsi="宋体" w:cs="宋体"/>
          <w:b/>
          <w:bCs/>
          <w:kern w:val="0"/>
          <w:sz w:val="24"/>
          <w:szCs w:val="24"/>
          <w:highlight w:val="none"/>
        </w:rPr>
      </w:pPr>
      <w:bookmarkStart w:id="255" w:name="_Toc5063"/>
      <w:bookmarkStart w:id="256" w:name="_Toc259093692"/>
      <w:bookmarkStart w:id="257" w:name="_Toc27644"/>
      <w:bookmarkStart w:id="258" w:name="_Toc20808"/>
      <w:bookmarkStart w:id="259" w:name="_Toc12254"/>
      <w:bookmarkStart w:id="260" w:name="_Toc487900373"/>
      <w:bookmarkStart w:id="261" w:name="_Toc279701263"/>
      <w:bookmarkStart w:id="262" w:name="_Toc28906"/>
      <w:r>
        <w:rPr>
          <w:rFonts w:hint="eastAsia" w:ascii="宋体" w:hAnsi="宋体" w:cs="宋体"/>
          <w:b/>
          <w:bCs/>
          <w:kern w:val="0"/>
          <w:sz w:val="24"/>
          <w:szCs w:val="24"/>
          <w:highlight w:val="none"/>
        </w:rPr>
        <w:t>2.15 合同使用的文字和适用的法律</w:t>
      </w:r>
      <w:bookmarkEnd w:id="255"/>
      <w:bookmarkEnd w:id="256"/>
      <w:bookmarkEnd w:id="257"/>
      <w:bookmarkEnd w:id="258"/>
      <w:bookmarkEnd w:id="259"/>
      <w:bookmarkEnd w:id="260"/>
      <w:bookmarkEnd w:id="261"/>
      <w:bookmarkEnd w:id="262"/>
    </w:p>
    <w:p w14:paraId="3266728F">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2.15.1合同使用汉语书就、变更和解释。</w:t>
      </w:r>
    </w:p>
    <w:p w14:paraId="7F65DDC1">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2.15.2合同适用中华人民共和国法律。</w:t>
      </w:r>
    </w:p>
    <w:p w14:paraId="37D58C63">
      <w:pPr>
        <w:spacing w:line="460" w:lineRule="exact"/>
        <w:rPr>
          <w:rFonts w:ascii="宋体" w:hAnsi="宋体" w:cs="宋体"/>
          <w:bCs/>
          <w:kern w:val="0"/>
          <w:sz w:val="24"/>
          <w:szCs w:val="24"/>
          <w:highlight w:val="none"/>
        </w:rPr>
      </w:pPr>
      <w:bookmarkStart w:id="263" w:name="_Toc1492"/>
      <w:bookmarkStart w:id="264" w:name="_Toc27403"/>
      <w:bookmarkStart w:id="265" w:name="_Toc22266"/>
      <w:bookmarkStart w:id="266" w:name="_Toc279701264"/>
      <w:bookmarkStart w:id="267" w:name="_Toc487900374"/>
      <w:bookmarkStart w:id="268" w:name="_Toc259093693"/>
      <w:bookmarkStart w:id="269" w:name="_Toc27127"/>
      <w:bookmarkStart w:id="270" w:name="_Toc30096"/>
      <w:r>
        <w:rPr>
          <w:rFonts w:hint="eastAsia" w:ascii="宋体" w:hAnsi="宋体" w:cs="宋体"/>
          <w:b/>
          <w:bCs/>
          <w:kern w:val="0"/>
          <w:sz w:val="24"/>
          <w:szCs w:val="24"/>
          <w:highlight w:val="none"/>
        </w:rPr>
        <w:t>2.16 履约保证金</w:t>
      </w:r>
      <w:bookmarkEnd w:id="263"/>
      <w:bookmarkEnd w:id="264"/>
      <w:bookmarkEnd w:id="265"/>
      <w:bookmarkEnd w:id="266"/>
      <w:bookmarkEnd w:id="267"/>
      <w:bookmarkEnd w:id="268"/>
      <w:bookmarkEnd w:id="269"/>
      <w:bookmarkEnd w:id="270"/>
      <w:bookmarkStart w:id="271" w:name="_Toc331685784"/>
    </w:p>
    <w:p w14:paraId="62E573F7">
      <w:pPr>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无。</w:t>
      </w:r>
    </w:p>
    <w:p w14:paraId="42F5875D">
      <w:pPr>
        <w:spacing w:line="460" w:lineRule="exact"/>
        <w:jc w:val="center"/>
        <w:rPr>
          <w:rFonts w:ascii="宋体" w:hAnsi="宋体" w:cs="宋体"/>
          <w:b/>
          <w:kern w:val="0"/>
          <w:sz w:val="28"/>
          <w:szCs w:val="28"/>
          <w:highlight w:val="none"/>
        </w:rPr>
      </w:pPr>
      <w:r>
        <w:rPr>
          <w:rFonts w:hint="eastAsia" w:ascii="宋体" w:hAnsi="宋体" w:cs="宋体"/>
          <w:b/>
          <w:kern w:val="0"/>
          <w:sz w:val="28"/>
          <w:szCs w:val="28"/>
          <w:highlight w:val="none"/>
        </w:rPr>
        <w:t>第三部分  合同专用条款</w:t>
      </w:r>
      <w:bookmarkEnd w:id="271"/>
    </w:p>
    <w:p w14:paraId="656A507A">
      <w:pPr>
        <w:widowControl/>
        <w:spacing w:line="460" w:lineRule="exact"/>
        <w:ind w:firstLine="480" w:firstLineChars="200"/>
        <w:rPr>
          <w:rFonts w:ascii="宋体" w:hAnsi="宋体" w:cs="宋体"/>
          <w:bCs/>
          <w:kern w:val="0"/>
          <w:sz w:val="24"/>
          <w:szCs w:val="24"/>
          <w:highlight w:val="none"/>
        </w:rPr>
      </w:pPr>
      <w:r>
        <w:rPr>
          <w:rFonts w:hint="eastAsia" w:ascii="宋体" w:hAnsi="宋体" w:cs="宋体"/>
          <w:bCs/>
          <w:kern w:val="0"/>
          <w:sz w:val="24"/>
          <w:szCs w:val="24"/>
          <w:highlight w:val="none"/>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54"/>
        <w:tblW w:w="966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162"/>
        <w:gridCol w:w="8505"/>
      </w:tblGrid>
      <w:tr w14:paraId="59E47A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162" w:type="dxa"/>
            <w:tcBorders>
              <w:left w:val="single" w:color="auto" w:sz="4" w:space="0"/>
            </w:tcBorders>
            <w:vAlign w:val="center"/>
          </w:tcPr>
          <w:p w14:paraId="0F8CDA2B">
            <w:pPr>
              <w:widowControl/>
              <w:spacing w:line="480" w:lineRule="exact"/>
              <w:jc w:val="center"/>
              <w:rPr>
                <w:rFonts w:ascii="宋体" w:hAnsi="宋体" w:cs="宋体"/>
                <w:b/>
                <w:bCs/>
                <w:kern w:val="0"/>
                <w:sz w:val="24"/>
                <w:szCs w:val="24"/>
                <w:highlight w:val="none"/>
              </w:rPr>
            </w:pPr>
            <w:r>
              <w:rPr>
                <w:rFonts w:hint="eastAsia" w:ascii="宋体" w:hAnsi="宋体" w:cs="宋体"/>
                <w:b/>
                <w:bCs/>
                <w:kern w:val="0"/>
                <w:sz w:val="24"/>
                <w:szCs w:val="24"/>
                <w:highlight w:val="none"/>
              </w:rPr>
              <w:t>条款号</w:t>
            </w:r>
          </w:p>
        </w:tc>
        <w:tc>
          <w:tcPr>
            <w:tcW w:w="8505" w:type="dxa"/>
            <w:vAlign w:val="center"/>
          </w:tcPr>
          <w:p w14:paraId="44F9BDF2">
            <w:pPr>
              <w:widowControl/>
              <w:spacing w:line="480" w:lineRule="exact"/>
              <w:jc w:val="center"/>
              <w:rPr>
                <w:rFonts w:ascii="宋体" w:hAnsi="宋体" w:cs="宋体"/>
                <w:b/>
                <w:bCs/>
                <w:kern w:val="0"/>
                <w:sz w:val="24"/>
                <w:szCs w:val="24"/>
                <w:highlight w:val="none"/>
              </w:rPr>
            </w:pPr>
            <w:r>
              <w:rPr>
                <w:rFonts w:hint="eastAsia" w:ascii="宋体" w:hAnsi="宋体" w:cs="宋体"/>
                <w:b/>
                <w:bCs/>
                <w:kern w:val="0"/>
                <w:sz w:val="24"/>
                <w:szCs w:val="24"/>
                <w:highlight w:val="none"/>
              </w:rPr>
              <w:t>约定内容</w:t>
            </w:r>
          </w:p>
        </w:tc>
      </w:tr>
      <w:tr w14:paraId="611151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1162" w:type="dxa"/>
            <w:tcBorders>
              <w:left w:val="single" w:color="auto" w:sz="4" w:space="0"/>
            </w:tcBorders>
            <w:vAlign w:val="center"/>
          </w:tcPr>
          <w:p w14:paraId="267D0DCF">
            <w:pPr>
              <w:widowControl/>
              <w:spacing w:line="480" w:lineRule="exact"/>
              <w:jc w:val="center"/>
              <w:rPr>
                <w:rFonts w:ascii="宋体" w:hAnsi="宋体" w:cs="宋体"/>
                <w:bCs/>
                <w:kern w:val="0"/>
                <w:sz w:val="24"/>
                <w:szCs w:val="24"/>
                <w:highlight w:val="none"/>
              </w:rPr>
            </w:pPr>
          </w:p>
        </w:tc>
        <w:tc>
          <w:tcPr>
            <w:tcW w:w="8505" w:type="dxa"/>
            <w:vAlign w:val="center"/>
          </w:tcPr>
          <w:p w14:paraId="261C77F7">
            <w:pPr>
              <w:widowControl/>
              <w:rPr>
                <w:rFonts w:ascii="宋体" w:hAnsi="宋体" w:cs="宋体"/>
                <w:sz w:val="24"/>
                <w:szCs w:val="24"/>
                <w:highlight w:val="none"/>
              </w:rPr>
            </w:pPr>
          </w:p>
        </w:tc>
      </w:tr>
      <w:tr w14:paraId="287A62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1162" w:type="dxa"/>
            <w:tcBorders>
              <w:left w:val="single" w:color="auto" w:sz="4" w:space="0"/>
            </w:tcBorders>
            <w:vAlign w:val="center"/>
          </w:tcPr>
          <w:p w14:paraId="723D5D4B">
            <w:pPr>
              <w:widowControl/>
              <w:spacing w:line="480" w:lineRule="exact"/>
              <w:jc w:val="center"/>
              <w:rPr>
                <w:rFonts w:ascii="宋体" w:hAnsi="宋体" w:cs="宋体"/>
                <w:bCs/>
                <w:kern w:val="0"/>
                <w:sz w:val="24"/>
                <w:szCs w:val="24"/>
                <w:highlight w:val="none"/>
              </w:rPr>
            </w:pPr>
          </w:p>
        </w:tc>
        <w:tc>
          <w:tcPr>
            <w:tcW w:w="8505" w:type="dxa"/>
            <w:vAlign w:val="center"/>
          </w:tcPr>
          <w:p w14:paraId="1BDA815D">
            <w:pPr>
              <w:widowControl/>
              <w:spacing w:line="420" w:lineRule="exact"/>
              <w:rPr>
                <w:rFonts w:ascii="宋体" w:hAnsi="宋体" w:cs="宋体"/>
                <w:sz w:val="24"/>
                <w:szCs w:val="24"/>
                <w:highlight w:val="none"/>
              </w:rPr>
            </w:pPr>
          </w:p>
        </w:tc>
      </w:tr>
    </w:tbl>
    <w:p w14:paraId="6A252E0D">
      <w:pPr>
        <w:widowControl/>
        <w:autoSpaceDE w:val="0"/>
        <w:autoSpaceDN w:val="0"/>
        <w:adjustRightInd w:val="0"/>
        <w:spacing w:line="440" w:lineRule="exact"/>
        <w:rPr>
          <w:rFonts w:ascii="宋体" w:hAnsi="宋体" w:cs="宋体"/>
          <w:bCs/>
          <w:kern w:val="0"/>
          <w:sz w:val="24"/>
          <w:szCs w:val="24"/>
          <w:highlight w:val="none"/>
        </w:rPr>
      </w:pPr>
    </w:p>
    <w:p w14:paraId="7C943C76">
      <w:pPr>
        <w:widowControl/>
        <w:autoSpaceDE w:val="0"/>
        <w:autoSpaceDN w:val="0"/>
        <w:adjustRightInd w:val="0"/>
        <w:spacing w:line="440" w:lineRule="exact"/>
        <w:rPr>
          <w:rFonts w:ascii="宋体" w:hAnsi="宋体" w:cs="宋体"/>
          <w:bCs/>
          <w:kern w:val="0"/>
          <w:sz w:val="24"/>
          <w:szCs w:val="24"/>
          <w:highlight w:val="none"/>
          <w:lang w:val="zh-CN"/>
        </w:rPr>
      </w:pPr>
      <w:r>
        <w:rPr>
          <w:rFonts w:hint="eastAsia" w:ascii="宋体" w:hAnsi="宋体" w:cs="宋体"/>
          <w:bCs/>
          <w:kern w:val="0"/>
          <w:sz w:val="24"/>
          <w:szCs w:val="24"/>
          <w:highlight w:val="none"/>
          <w:lang w:val="zh-CN"/>
        </w:rPr>
        <w:t>甲方（盖章）：                         乙方（盖章）：</w:t>
      </w:r>
    </w:p>
    <w:p w14:paraId="2E44011E">
      <w:pPr>
        <w:widowControl/>
        <w:autoSpaceDE w:val="0"/>
        <w:autoSpaceDN w:val="0"/>
        <w:adjustRightInd w:val="0"/>
        <w:spacing w:line="440" w:lineRule="exact"/>
        <w:rPr>
          <w:rFonts w:ascii="宋体" w:hAnsi="宋体" w:cs="宋体"/>
          <w:bCs/>
          <w:kern w:val="0"/>
          <w:sz w:val="24"/>
          <w:szCs w:val="24"/>
          <w:highlight w:val="none"/>
          <w:lang w:val="zh-CN"/>
        </w:rPr>
      </w:pPr>
      <w:r>
        <w:rPr>
          <w:rFonts w:hint="eastAsia" w:ascii="宋体" w:hAnsi="宋体" w:cs="宋体"/>
          <w:bCs/>
          <w:kern w:val="0"/>
          <w:sz w:val="24"/>
          <w:szCs w:val="24"/>
          <w:highlight w:val="none"/>
          <w:lang w:val="zh-CN"/>
        </w:rPr>
        <w:t>法定代表人（签名）：                   法定代表人（签名）：</w:t>
      </w:r>
    </w:p>
    <w:p w14:paraId="67F4B3B5">
      <w:pPr>
        <w:widowControl/>
        <w:autoSpaceDE w:val="0"/>
        <w:autoSpaceDN w:val="0"/>
        <w:adjustRightInd w:val="0"/>
        <w:spacing w:line="440" w:lineRule="exact"/>
        <w:rPr>
          <w:rFonts w:ascii="宋体" w:hAnsi="宋体" w:cs="宋体"/>
          <w:bCs/>
          <w:kern w:val="0"/>
          <w:sz w:val="24"/>
          <w:szCs w:val="24"/>
          <w:highlight w:val="none"/>
          <w:lang w:val="zh-CN"/>
        </w:rPr>
      </w:pPr>
      <w:r>
        <w:rPr>
          <w:rFonts w:hint="eastAsia" w:ascii="宋体" w:hAnsi="宋体" w:cs="宋体"/>
          <w:bCs/>
          <w:kern w:val="0"/>
          <w:sz w:val="24"/>
          <w:szCs w:val="24"/>
          <w:highlight w:val="none"/>
          <w:lang w:val="zh-CN"/>
        </w:rPr>
        <w:t>或委托代理人（签名）：                 或委托代理人（签名）：</w:t>
      </w:r>
    </w:p>
    <w:p w14:paraId="0E247AA2">
      <w:pPr>
        <w:widowControl/>
        <w:autoSpaceDE w:val="0"/>
        <w:autoSpaceDN w:val="0"/>
        <w:adjustRightInd w:val="0"/>
        <w:spacing w:line="440" w:lineRule="exact"/>
        <w:rPr>
          <w:rFonts w:ascii="宋体" w:hAnsi="宋体" w:cs="宋体"/>
          <w:bCs/>
          <w:kern w:val="0"/>
          <w:sz w:val="24"/>
          <w:szCs w:val="24"/>
          <w:highlight w:val="none"/>
          <w:lang w:val="zh-CN"/>
        </w:rPr>
      </w:pPr>
      <w:r>
        <w:rPr>
          <w:rFonts w:hint="eastAsia" w:ascii="宋体" w:hAnsi="宋体" w:cs="宋体"/>
          <w:bCs/>
          <w:kern w:val="0"/>
          <w:sz w:val="24"/>
          <w:szCs w:val="24"/>
          <w:highlight w:val="none"/>
          <w:lang w:val="zh-CN"/>
        </w:rPr>
        <w:t xml:space="preserve">联系人：                             </w:t>
      </w:r>
      <w:r>
        <w:rPr>
          <w:rFonts w:hint="eastAsia" w:ascii="宋体" w:hAnsi="宋体" w:cs="宋体"/>
          <w:bCs/>
          <w:kern w:val="0"/>
          <w:sz w:val="24"/>
          <w:szCs w:val="24"/>
          <w:highlight w:val="none"/>
        </w:rPr>
        <w:t xml:space="preserve"> </w:t>
      </w:r>
      <w:r>
        <w:rPr>
          <w:rFonts w:hint="eastAsia" w:ascii="宋体" w:hAnsi="宋体" w:cs="宋体"/>
          <w:bCs/>
          <w:kern w:val="0"/>
          <w:sz w:val="24"/>
          <w:szCs w:val="24"/>
          <w:highlight w:val="none"/>
          <w:lang w:val="zh-CN"/>
        </w:rPr>
        <w:t xml:space="preserve"> 联系人：</w:t>
      </w:r>
    </w:p>
    <w:p w14:paraId="650DAAB7">
      <w:pPr>
        <w:widowControl/>
        <w:autoSpaceDE w:val="0"/>
        <w:autoSpaceDN w:val="0"/>
        <w:adjustRightInd w:val="0"/>
        <w:spacing w:line="440" w:lineRule="exact"/>
        <w:rPr>
          <w:rFonts w:ascii="宋体" w:hAnsi="宋体" w:cs="宋体"/>
          <w:bCs/>
          <w:kern w:val="0"/>
          <w:sz w:val="24"/>
          <w:szCs w:val="24"/>
          <w:highlight w:val="none"/>
          <w:lang w:val="zh-CN"/>
        </w:rPr>
      </w:pPr>
      <w:r>
        <w:rPr>
          <w:rFonts w:hint="eastAsia" w:ascii="宋体" w:hAnsi="宋体" w:cs="宋体"/>
          <w:bCs/>
          <w:kern w:val="0"/>
          <w:sz w:val="24"/>
          <w:szCs w:val="24"/>
          <w:highlight w:val="none"/>
          <w:lang w:val="zh-CN"/>
        </w:rPr>
        <w:t xml:space="preserve">地址：                                </w:t>
      </w:r>
      <w:r>
        <w:rPr>
          <w:rFonts w:hint="eastAsia" w:ascii="宋体" w:hAnsi="宋体" w:cs="宋体"/>
          <w:bCs/>
          <w:kern w:val="0"/>
          <w:sz w:val="24"/>
          <w:szCs w:val="24"/>
          <w:highlight w:val="none"/>
        </w:rPr>
        <w:t xml:space="preserve"> </w:t>
      </w:r>
      <w:r>
        <w:rPr>
          <w:rFonts w:hint="eastAsia" w:ascii="宋体" w:hAnsi="宋体" w:cs="宋体"/>
          <w:bCs/>
          <w:kern w:val="0"/>
          <w:sz w:val="24"/>
          <w:szCs w:val="24"/>
          <w:highlight w:val="none"/>
          <w:lang w:val="zh-CN"/>
        </w:rPr>
        <w:t>地址：</w:t>
      </w:r>
    </w:p>
    <w:p w14:paraId="7CB6DD83">
      <w:pPr>
        <w:widowControl/>
        <w:autoSpaceDE w:val="0"/>
        <w:autoSpaceDN w:val="0"/>
        <w:adjustRightInd w:val="0"/>
        <w:spacing w:line="440" w:lineRule="exact"/>
        <w:rPr>
          <w:rFonts w:ascii="宋体" w:hAnsi="宋体" w:cs="宋体"/>
          <w:bCs/>
          <w:kern w:val="0"/>
          <w:sz w:val="24"/>
          <w:szCs w:val="24"/>
          <w:highlight w:val="none"/>
          <w:lang w:val="zh-CN"/>
        </w:rPr>
      </w:pPr>
      <w:r>
        <w:rPr>
          <w:rFonts w:hint="eastAsia" w:ascii="宋体" w:hAnsi="宋体" w:cs="宋体"/>
          <w:bCs/>
          <w:kern w:val="0"/>
          <w:sz w:val="24"/>
          <w:szCs w:val="24"/>
          <w:highlight w:val="none"/>
          <w:lang w:val="zh-CN"/>
        </w:rPr>
        <w:t xml:space="preserve">电话：                                </w:t>
      </w:r>
      <w:r>
        <w:rPr>
          <w:rFonts w:hint="eastAsia" w:ascii="宋体" w:hAnsi="宋体" w:cs="宋体"/>
          <w:bCs/>
          <w:kern w:val="0"/>
          <w:sz w:val="24"/>
          <w:szCs w:val="24"/>
          <w:highlight w:val="none"/>
        </w:rPr>
        <w:t xml:space="preserve"> </w:t>
      </w:r>
      <w:r>
        <w:rPr>
          <w:rFonts w:hint="eastAsia" w:ascii="宋体" w:hAnsi="宋体" w:cs="宋体"/>
          <w:bCs/>
          <w:kern w:val="0"/>
          <w:sz w:val="24"/>
          <w:szCs w:val="24"/>
          <w:highlight w:val="none"/>
          <w:lang w:val="zh-CN"/>
        </w:rPr>
        <w:t>电话：</w:t>
      </w:r>
    </w:p>
    <w:p w14:paraId="60B13E6C">
      <w:pPr>
        <w:widowControl/>
        <w:autoSpaceDE w:val="0"/>
        <w:autoSpaceDN w:val="0"/>
        <w:adjustRightInd w:val="0"/>
        <w:spacing w:line="440" w:lineRule="exact"/>
        <w:rPr>
          <w:rFonts w:ascii="宋体" w:hAnsi="宋体" w:cs="宋体"/>
          <w:bCs/>
          <w:kern w:val="0"/>
          <w:sz w:val="24"/>
          <w:szCs w:val="24"/>
          <w:highlight w:val="none"/>
          <w:lang w:val="zh-CN"/>
        </w:rPr>
      </w:pPr>
      <w:r>
        <w:rPr>
          <w:rFonts w:hint="eastAsia" w:ascii="宋体" w:hAnsi="宋体" w:cs="宋体"/>
          <w:bCs/>
          <w:kern w:val="0"/>
          <w:sz w:val="24"/>
          <w:szCs w:val="24"/>
          <w:highlight w:val="none"/>
          <w:lang w:val="zh-CN"/>
        </w:rPr>
        <w:t xml:space="preserve">传真：                                </w:t>
      </w:r>
      <w:r>
        <w:rPr>
          <w:rFonts w:hint="eastAsia" w:ascii="宋体" w:hAnsi="宋体" w:cs="宋体"/>
          <w:bCs/>
          <w:kern w:val="0"/>
          <w:sz w:val="24"/>
          <w:szCs w:val="24"/>
          <w:highlight w:val="none"/>
        </w:rPr>
        <w:t xml:space="preserve"> </w:t>
      </w:r>
      <w:r>
        <w:rPr>
          <w:rFonts w:hint="eastAsia" w:ascii="宋体" w:hAnsi="宋体" w:cs="宋体"/>
          <w:bCs/>
          <w:kern w:val="0"/>
          <w:sz w:val="24"/>
          <w:szCs w:val="24"/>
          <w:highlight w:val="none"/>
          <w:lang w:val="zh-CN"/>
        </w:rPr>
        <w:t>传真：</w:t>
      </w:r>
    </w:p>
    <w:p w14:paraId="34B7773B">
      <w:pPr>
        <w:widowControl/>
        <w:autoSpaceDE w:val="0"/>
        <w:autoSpaceDN w:val="0"/>
        <w:adjustRightInd w:val="0"/>
        <w:spacing w:line="440" w:lineRule="exact"/>
        <w:rPr>
          <w:rFonts w:ascii="宋体" w:hAnsi="宋体" w:cs="宋体"/>
          <w:bCs/>
          <w:kern w:val="0"/>
          <w:sz w:val="24"/>
          <w:szCs w:val="24"/>
          <w:highlight w:val="none"/>
          <w:lang w:val="zh-CN"/>
        </w:rPr>
      </w:pPr>
      <w:r>
        <w:rPr>
          <w:rFonts w:hint="eastAsia" w:ascii="宋体" w:hAnsi="宋体" w:cs="宋体"/>
          <w:bCs/>
          <w:kern w:val="0"/>
          <w:sz w:val="24"/>
          <w:szCs w:val="24"/>
          <w:highlight w:val="none"/>
          <w:lang w:val="zh-CN"/>
        </w:rPr>
        <w:t xml:space="preserve">开户银行：                            </w:t>
      </w:r>
      <w:r>
        <w:rPr>
          <w:rFonts w:hint="eastAsia" w:ascii="宋体" w:hAnsi="宋体" w:cs="宋体"/>
          <w:bCs/>
          <w:kern w:val="0"/>
          <w:sz w:val="24"/>
          <w:szCs w:val="24"/>
          <w:highlight w:val="none"/>
        </w:rPr>
        <w:t xml:space="preserve"> </w:t>
      </w:r>
      <w:r>
        <w:rPr>
          <w:rFonts w:hint="eastAsia" w:ascii="宋体" w:hAnsi="宋体" w:cs="宋体"/>
          <w:bCs/>
          <w:kern w:val="0"/>
          <w:sz w:val="24"/>
          <w:szCs w:val="24"/>
          <w:highlight w:val="none"/>
          <w:lang w:val="zh-CN"/>
        </w:rPr>
        <w:t>开户银行：</w:t>
      </w:r>
    </w:p>
    <w:p w14:paraId="510DFA98">
      <w:pPr>
        <w:widowControl/>
        <w:autoSpaceDE w:val="0"/>
        <w:autoSpaceDN w:val="0"/>
        <w:adjustRightInd w:val="0"/>
        <w:spacing w:line="440" w:lineRule="exact"/>
        <w:rPr>
          <w:rFonts w:ascii="宋体" w:hAnsi="宋体" w:cs="宋体"/>
          <w:bCs/>
          <w:kern w:val="0"/>
          <w:sz w:val="24"/>
          <w:szCs w:val="24"/>
          <w:highlight w:val="none"/>
          <w:lang w:val="zh-CN"/>
        </w:rPr>
      </w:pPr>
      <w:r>
        <w:rPr>
          <w:rFonts w:hint="eastAsia" w:ascii="宋体" w:hAnsi="宋体" w:cs="宋体"/>
          <w:bCs/>
          <w:kern w:val="0"/>
          <w:sz w:val="24"/>
          <w:szCs w:val="24"/>
          <w:highlight w:val="none"/>
          <w:lang w:val="zh-CN"/>
        </w:rPr>
        <w:t xml:space="preserve">银行账号：                            </w:t>
      </w:r>
      <w:r>
        <w:rPr>
          <w:rFonts w:hint="eastAsia" w:ascii="宋体" w:hAnsi="宋体" w:cs="宋体"/>
          <w:bCs/>
          <w:kern w:val="0"/>
          <w:sz w:val="24"/>
          <w:szCs w:val="24"/>
          <w:highlight w:val="none"/>
        </w:rPr>
        <w:t xml:space="preserve"> </w:t>
      </w:r>
      <w:r>
        <w:rPr>
          <w:rFonts w:hint="eastAsia" w:ascii="宋体" w:hAnsi="宋体" w:cs="宋体"/>
          <w:bCs/>
          <w:kern w:val="0"/>
          <w:sz w:val="24"/>
          <w:szCs w:val="24"/>
          <w:highlight w:val="none"/>
          <w:lang w:val="zh-CN"/>
        </w:rPr>
        <w:t>银行账号：</w:t>
      </w:r>
    </w:p>
    <w:p w14:paraId="14DFF17C">
      <w:pPr>
        <w:rPr>
          <w:rFonts w:ascii="宋体" w:hAnsi="宋体" w:cs="宋体"/>
          <w:highlight w:val="none"/>
        </w:rPr>
      </w:pPr>
      <w:r>
        <w:rPr>
          <w:rFonts w:hint="eastAsia" w:ascii="宋体" w:hAnsi="宋体" w:cs="宋体"/>
          <w:bCs/>
          <w:kern w:val="0"/>
          <w:sz w:val="24"/>
          <w:szCs w:val="24"/>
          <w:highlight w:val="none"/>
          <w:lang w:val="zh-CN"/>
        </w:rPr>
        <w:t xml:space="preserve">社会统一信用代码:                      </w:t>
      </w:r>
      <w:r>
        <w:rPr>
          <w:rFonts w:hint="eastAsia" w:ascii="宋体" w:hAnsi="宋体" w:cs="宋体"/>
          <w:bCs/>
          <w:kern w:val="0"/>
          <w:sz w:val="24"/>
          <w:szCs w:val="24"/>
          <w:highlight w:val="none"/>
        </w:rPr>
        <w:t xml:space="preserve"> </w:t>
      </w:r>
      <w:r>
        <w:rPr>
          <w:rFonts w:hint="eastAsia" w:ascii="宋体" w:hAnsi="宋体" w:cs="宋体"/>
          <w:bCs/>
          <w:kern w:val="0"/>
          <w:sz w:val="24"/>
          <w:szCs w:val="24"/>
          <w:highlight w:val="none"/>
          <w:lang w:val="zh-CN"/>
        </w:rPr>
        <w:t>社会统一信用代码：</w:t>
      </w:r>
    </w:p>
    <w:p w14:paraId="34BE6FD0">
      <w:pPr>
        <w:rPr>
          <w:rFonts w:ascii="宋体" w:hAnsi="宋体" w:cs="宋体"/>
          <w:highlight w:val="none"/>
        </w:rPr>
      </w:pPr>
      <w:r>
        <w:rPr>
          <w:rFonts w:hint="eastAsia" w:ascii="宋体" w:hAnsi="宋体" w:cs="宋体"/>
          <w:highlight w:val="none"/>
        </w:rPr>
        <w:br w:type="page"/>
      </w:r>
    </w:p>
    <w:p w14:paraId="4B2D30ED">
      <w:pPr>
        <w:pStyle w:val="2"/>
        <w:rPr>
          <w:rFonts w:cs="宋体"/>
          <w:highlight w:val="none"/>
        </w:rPr>
      </w:pPr>
      <w:bookmarkStart w:id="272" w:name="_Toc25641"/>
      <w:r>
        <w:rPr>
          <w:rFonts w:hint="eastAsia" w:cs="宋体"/>
          <w:highlight w:val="none"/>
        </w:rPr>
        <w:t>第四章 采购需求</w:t>
      </w:r>
      <w:bookmarkEnd w:id="102"/>
      <w:bookmarkEnd w:id="103"/>
      <w:bookmarkEnd w:id="104"/>
      <w:bookmarkEnd w:id="272"/>
    </w:p>
    <w:p w14:paraId="48516467">
      <w:pPr>
        <w:spacing w:line="420" w:lineRule="exact"/>
        <w:rPr>
          <w:rFonts w:ascii="宋体" w:hAnsi="宋体" w:cs="宋体"/>
          <w:b/>
          <w:bCs/>
          <w:sz w:val="28"/>
          <w:highlight w:val="none"/>
        </w:rPr>
      </w:pPr>
      <w:bookmarkStart w:id="273" w:name="_Toc158691776"/>
      <w:bookmarkStart w:id="274" w:name="_Toc315868060"/>
      <w:bookmarkStart w:id="275" w:name="_Toc315875323"/>
      <w:r>
        <w:rPr>
          <w:rFonts w:hint="eastAsia" w:ascii="宋体" w:hAnsi="宋体" w:cs="宋体"/>
          <w:b/>
          <w:bCs/>
          <w:sz w:val="28"/>
          <w:highlight w:val="none"/>
        </w:rPr>
        <w:t>项目名称：</w:t>
      </w:r>
      <w:r>
        <w:rPr>
          <w:rFonts w:hint="eastAsia" w:ascii="宋体" w:hAnsi="宋体" w:cs="宋体"/>
          <w:b/>
          <w:sz w:val="28"/>
          <w:szCs w:val="28"/>
          <w:highlight w:val="none"/>
        </w:rPr>
        <w:t>大气污染防治技术支撑服务</w:t>
      </w:r>
    </w:p>
    <w:p w14:paraId="25C10B8C">
      <w:pPr>
        <w:spacing w:line="420" w:lineRule="exact"/>
        <w:rPr>
          <w:rFonts w:hint="eastAsia" w:ascii="宋体" w:hAnsi="宋体" w:eastAsia="宋体" w:cs="宋体"/>
          <w:b/>
          <w:bCs/>
          <w:sz w:val="28"/>
          <w:highlight w:val="none"/>
          <w:lang w:eastAsia="zh-CN"/>
        </w:rPr>
      </w:pPr>
      <w:r>
        <w:rPr>
          <w:rFonts w:hint="eastAsia" w:ascii="宋体" w:hAnsi="宋体" w:cs="宋体"/>
          <w:b/>
          <w:bCs/>
          <w:sz w:val="28"/>
          <w:highlight w:val="none"/>
        </w:rPr>
        <w:t>项目编号：</w:t>
      </w:r>
      <w:r>
        <w:rPr>
          <w:rFonts w:hint="eastAsia" w:ascii="宋体" w:hAnsi="宋体" w:cs="宋体"/>
          <w:b/>
          <w:bCs/>
          <w:sz w:val="28"/>
          <w:highlight w:val="none"/>
          <w:lang w:eastAsia="zh-CN"/>
        </w:rPr>
        <w:t>JSZC-320581-HXGW-G2026-0035</w:t>
      </w:r>
    </w:p>
    <w:p w14:paraId="2590C2DD">
      <w:pPr>
        <w:spacing w:line="420" w:lineRule="exact"/>
        <w:rPr>
          <w:rFonts w:ascii="宋体" w:hAnsi="宋体" w:cs="宋体"/>
          <w:b/>
          <w:bCs/>
          <w:sz w:val="28"/>
          <w:highlight w:val="none"/>
        </w:rPr>
      </w:pPr>
      <w:r>
        <w:rPr>
          <w:rFonts w:hint="eastAsia" w:ascii="宋体" w:hAnsi="宋体" w:cs="宋体"/>
          <w:b/>
          <w:bCs/>
          <w:sz w:val="28"/>
          <w:highlight w:val="none"/>
        </w:rPr>
        <w:t>采购人：苏州市常熟生态环境局</w:t>
      </w:r>
    </w:p>
    <w:p w14:paraId="3D1B2359">
      <w:pPr>
        <w:spacing w:line="420" w:lineRule="exact"/>
        <w:rPr>
          <w:rFonts w:ascii="宋体" w:hAnsi="宋体" w:cs="宋体"/>
          <w:b/>
          <w:bCs/>
          <w:sz w:val="28"/>
          <w:szCs w:val="28"/>
          <w:highlight w:val="none"/>
        </w:rPr>
      </w:pPr>
      <w:r>
        <w:rPr>
          <w:rFonts w:hint="eastAsia" w:ascii="宋体" w:hAnsi="宋体" w:cs="宋体"/>
          <w:b/>
          <w:bCs/>
          <w:sz w:val="28"/>
          <w:szCs w:val="28"/>
          <w:highlight w:val="none"/>
        </w:rPr>
        <w:t>一、项目说明：</w:t>
      </w:r>
    </w:p>
    <w:p w14:paraId="1516AFAB">
      <w:pPr>
        <w:autoSpaceDE w:val="0"/>
        <w:autoSpaceDN w:val="0"/>
        <w:adjustRightInd w:val="0"/>
        <w:spacing w:line="420" w:lineRule="exact"/>
        <w:ind w:firstLine="480" w:firstLineChars="200"/>
        <w:rPr>
          <w:rFonts w:ascii="宋体" w:hAnsi="宋体" w:cs="宋体"/>
          <w:sz w:val="24"/>
          <w:szCs w:val="24"/>
          <w:highlight w:val="none"/>
          <w:lang w:val="zh-CN"/>
        </w:rPr>
      </w:pPr>
      <w:bookmarkStart w:id="276" w:name="_Toc89524316"/>
      <w:r>
        <w:rPr>
          <w:rFonts w:hint="eastAsia" w:ascii="宋体" w:hAnsi="宋体" w:cs="宋体"/>
          <w:sz w:val="24"/>
          <w:szCs w:val="24"/>
          <w:highlight w:val="none"/>
          <w:lang w:val="zh-CN"/>
        </w:rPr>
        <w:t>1、项目概况：</w:t>
      </w:r>
      <w:r>
        <w:rPr>
          <w:rFonts w:hint="eastAsia" w:ascii="宋体" w:hAnsi="宋体" w:cs="宋体"/>
          <w:sz w:val="24"/>
          <w:szCs w:val="24"/>
          <w:highlight w:val="none"/>
        </w:rPr>
        <w:t>本项目采购内容为苏州市常熟生态环境局所需的大气污染防治技术支撑服务，包括：为我市大气污染防治工作提供高分辨率卫星遥感对地观测、分析，重点区域重点时段走航监测、评估，环境空气、大气污染物等大数据融合智慧分析，重污染天气应急管控数据更新与分析等技术支撑服务等内容</w:t>
      </w:r>
      <w:r>
        <w:rPr>
          <w:rFonts w:hint="eastAsia" w:ascii="宋体" w:hAnsi="宋体" w:cs="宋体"/>
          <w:sz w:val="24"/>
          <w:szCs w:val="24"/>
          <w:highlight w:val="none"/>
          <w:lang w:val="zh-CN"/>
        </w:rPr>
        <w:t>。</w:t>
      </w:r>
    </w:p>
    <w:p w14:paraId="75E9B864">
      <w:pPr>
        <w:autoSpaceDE w:val="0"/>
        <w:autoSpaceDN w:val="0"/>
        <w:adjustRightInd w:val="0"/>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lang w:val="zh-CN"/>
        </w:rPr>
        <w:t>、</w:t>
      </w:r>
      <w:r>
        <w:rPr>
          <w:rFonts w:hint="eastAsia" w:ascii="宋体" w:hAnsi="宋体" w:cs="宋体"/>
          <w:sz w:val="24"/>
          <w:szCs w:val="24"/>
          <w:highlight w:val="none"/>
        </w:rPr>
        <w:t>投标人应对项目现场进行踏勘，但费用由投标人自行承担。投标人在投标时应充分考虑现场实际情况，采购人不负担因投标人对项目现场情况考虑不周而产生的其他任何费用。</w:t>
      </w:r>
    </w:p>
    <w:p w14:paraId="282CD2B4">
      <w:pPr>
        <w:autoSpaceDE w:val="0"/>
        <w:autoSpaceDN w:val="0"/>
        <w:adjustRightInd w:val="0"/>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zh-CN"/>
        </w:rPr>
        <w:t>、服务地点：</w:t>
      </w:r>
      <w:r>
        <w:rPr>
          <w:rFonts w:hint="eastAsia" w:ascii="宋体" w:hAnsi="宋体" w:cs="宋体"/>
          <w:sz w:val="24"/>
          <w:szCs w:val="24"/>
          <w:highlight w:val="none"/>
        </w:rPr>
        <w:t>常熟市范围内</w:t>
      </w:r>
      <w:r>
        <w:rPr>
          <w:rFonts w:hint="eastAsia" w:ascii="宋体" w:hAnsi="宋体" w:cs="宋体"/>
          <w:sz w:val="24"/>
          <w:szCs w:val="24"/>
          <w:highlight w:val="none"/>
          <w:lang w:val="zh-CN"/>
        </w:rPr>
        <w:t>。</w:t>
      </w:r>
    </w:p>
    <w:p w14:paraId="185F909F">
      <w:pPr>
        <w:autoSpaceDE w:val="0"/>
        <w:autoSpaceDN w:val="0"/>
        <w:adjustRightInd w:val="0"/>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4、服务期限：自合同签订之日起一年。</w:t>
      </w:r>
    </w:p>
    <w:p w14:paraId="67F35C19">
      <w:pPr>
        <w:autoSpaceDE w:val="0"/>
        <w:autoSpaceDN w:val="0"/>
        <w:adjustRightInd w:val="0"/>
        <w:spacing w:line="420" w:lineRule="exact"/>
        <w:ind w:firstLine="482" w:firstLineChars="200"/>
        <w:rPr>
          <w:rFonts w:ascii="宋体" w:hAnsi="宋体" w:cs="宋体"/>
          <w:sz w:val="24"/>
          <w:szCs w:val="24"/>
          <w:highlight w:val="none"/>
          <w:lang w:val="zh-CN"/>
        </w:rPr>
      </w:pPr>
      <w:r>
        <w:rPr>
          <w:rFonts w:hint="eastAsia" w:ascii="宋体" w:hAnsi="宋体" w:cs="宋体"/>
          <w:b/>
          <w:bCs/>
          <w:sz w:val="24"/>
          <w:szCs w:val="24"/>
          <w:highlight w:val="none"/>
        </w:rPr>
        <w:t>★</w:t>
      </w:r>
      <w:r>
        <w:rPr>
          <w:rFonts w:hint="eastAsia" w:ascii="宋体" w:hAnsi="宋体" w:cs="宋体"/>
          <w:sz w:val="24"/>
          <w:szCs w:val="24"/>
          <w:highlight w:val="none"/>
        </w:rPr>
        <w:t>5</w:t>
      </w:r>
      <w:r>
        <w:rPr>
          <w:rFonts w:hint="eastAsia" w:ascii="宋体" w:hAnsi="宋体" w:cs="宋体"/>
          <w:sz w:val="24"/>
          <w:szCs w:val="24"/>
          <w:highlight w:val="none"/>
          <w:lang w:val="zh-CN"/>
        </w:rPr>
        <w:t>、付款方式：</w:t>
      </w:r>
    </w:p>
    <w:p w14:paraId="7312F2C1">
      <w:pPr>
        <w:autoSpaceDE w:val="0"/>
        <w:autoSpaceDN w:val="0"/>
        <w:adjustRightInd w:val="0"/>
        <w:spacing w:line="420" w:lineRule="exact"/>
        <w:ind w:firstLine="480" w:firstLineChars="200"/>
        <w:rPr>
          <w:rFonts w:ascii="宋体" w:hAnsi="宋体" w:cs="宋体"/>
          <w:sz w:val="24"/>
          <w:szCs w:val="24"/>
          <w:highlight w:val="none"/>
          <w:lang w:val="zh-CN"/>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①</w:t>
      </w:r>
      <w:r>
        <w:rPr>
          <w:rFonts w:hint="eastAsia" w:ascii="宋体" w:hAnsi="宋体" w:cs="宋体"/>
          <w:sz w:val="24"/>
          <w:szCs w:val="24"/>
          <w:highlight w:val="none"/>
        </w:rPr>
        <w:fldChar w:fldCharType="end"/>
      </w:r>
      <w:r>
        <w:rPr>
          <w:rFonts w:hint="eastAsia" w:ascii="宋体" w:hAnsi="宋体" w:cs="宋体"/>
          <w:sz w:val="24"/>
          <w:szCs w:val="24"/>
          <w:highlight w:val="none"/>
        </w:rPr>
        <w:t>合同签订后一个月内，</w:t>
      </w:r>
      <w:r>
        <w:rPr>
          <w:rFonts w:hint="eastAsia" w:ascii="宋体" w:hAnsi="宋体" w:cs="宋体"/>
          <w:kern w:val="0"/>
          <w:sz w:val="24"/>
          <w:szCs w:val="24"/>
          <w:highlight w:val="none"/>
        </w:rPr>
        <w:t>采购人向中标人</w:t>
      </w:r>
      <w:r>
        <w:rPr>
          <w:rFonts w:hint="eastAsia" w:ascii="宋体" w:hAnsi="宋体" w:cs="宋体"/>
          <w:sz w:val="24"/>
          <w:szCs w:val="24"/>
          <w:highlight w:val="none"/>
        </w:rPr>
        <w:t>支付合同款项的40%作为预付款</w:t>
      </w:r>
      <w:r>
        <w:rPr>
          <w:rFonts w:hint="eastAsia" w:ascii="宋体" w:hAnsi="宋体" w:cs="宋体"/>
          <w:sz w:val="24"/>
          <w:szCs w:val="24"/>
          <w:highlight w:val="none"/>
          <w:lang w:val="zh-CN"/>
        </w:rPr>
        <w:t>。</w:t>
      </w:r>
    </w:p>
    <w:p w14:paraId="4FCB4670">
      <w:pPr>
        <w:autoSpaceDE w:val="0"/>
        <w:autoSpaceDN w:val="0"/>
        <w:adjustRightInd w:val="0"/>
        <w:spacing w:line="420" w:lineRule="exact"/>
        <w:ind w:firstLine="480" w:firstLineChars="200"/>
        <w:rPr>
          <w:rFonts w:ascii="宋体" w:hAnsi="宋体" w:cs="宋体"/>
          <w:kern w:val="0"/>
          <w:sz w:val="24"/>
          <w:szCs w:val="24"/>
          <w:highlight w:val="none"/>
        </w:rPr>
      </w:pP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 2 \* GB3 </w:instrText>
      </w:r>
      <w:r>
        <w:rPr>
          <w:rFonts w:hint="eastAsia" w:ascii="宋体" w:hAnsi="宋体" w:cs="宋体"/>
          <w:bCs/>
          <w:sz w:val="24"/>
          <w:szCs w:val="24"/>
          <w:highlight w:val="none"/>
        </w:rPr>
        <w:fldChar w:fldCharType="separate"/>
      </w:r>
      <w:r>
        <w:rPr>
          <w:rFonts w:hint="eastAsia" w:ascii="宋体" w:hAnsi="宋体" w:cs="宋体"/>
          <w:bCs/>
          <w:sz w:val="24"/>
          <w:szCs w:val="24"/>
          <w:highlight w:val="none"/>
        </w:rPr>
        <w:t>②</w:t>
      </w:r>
      <w:r>
        <w:rPr>
          <w:rFonts w:hint="eastAsia" w:ascii="宋体" w:hAnsi="宋体" w:cs="宋体"/>
          <w:bCs/>
          <w:sz w:val="24"/>
          <w:szCs w:val="24"/>
          <w:highlight w:val="none"/>
        </w:rPr>
        <w:fldChar w:fldCharType="end"/>
      </w:r>
      <w:r>
        <w:rPr>
          <w:rFonts w:hint="eastAsia" w:ascii="宋体" w:hAnsi="宋体" w:cs="宋体"/>
          <w:kern w:val="0"/>
          <w:sz w:val="24"/>
          <w:szCs w:val="24"/>
          <w:highlight w:val="none"/>
        </w:rPr>
        <w:t>项目完成后，中标人提交的服务工作报告经国家级或省级专家评审，并出具专家意见（签字），通过评审后，采购人向中标人支付合同剩余款项。</w:t>
      </w:r>
    </w:p>
    <w:p w14:paraId="2C138583">
      <w:pPr>
        <w:autoSpaceDE w:val="0"/>
        <w:autoSpaceDN w:val="0"/>
        <w:adjustRightInd w:val="0"/>
        <w:spacing w:line="420" w:lineRule="exact"/>
        <w:ind w:firstLine="482" w:firstLineChars="200"/>
        <w:rPr>
          <w:rFonts w:ascii="宋体" w:hAnsi="宋体" w:cs="宋体"/>
          <w:b/>
          <w:sz w:val="24"/>
          <w:szCs w:val="24"/>
          <w:highlight w:val="none"/>
        </w:rPr>
      </w:pPr>
      <w:r>
        <w:rPr>
          <w:rFonts w:hint="eastAsia" w:ascii="宋体" w:hAnsi="宋体" w:cs="宋体"/>
          <w:b/>
          <w:sz w:val="24"/>
          <w:szCs w:val="24"/>
          <w:highlight w:val="none"/>
        </w:rPr>
        <w:t>注：（1）签订合同时，中标人明确表示无需预付款或者主动要求降低预付款比例的，采购人可不适用上述①规定。</w:t>
      </w:r>
    </w:p>
    <w:p w14:paraId="5DBDEA50">
      <w:pPr>
        <w:numPr>
          <w:ilvl w:val="0"/>
          <w:numId w:val="4"/>
        </w:numPr>
        <w:autoSpaceDE w:val="0"/>
        <w:autoSpaceDN w:val="0"/>
        <w:adjustRightInd w:val="0"/>
        <w:spacing w:line="420" w:lineRule="exact"/>
        <w:ind w:firstLine="908" w:firstLineChars="377"/>
        <w:rPr>
          <w:rFonts w:ascii="宋体" w:hAnsi="宋体" w:cs="宋体"/>
          <w:b/>
          <w:bCs/>
          <w:sz w:val="24"/>
          <w:szCs w:val="24"/>
          <w:highlight w:val="none"/>
        </w:rPr>
      </w:pPr>
      <w:r>
        <w:rPr>
          <w:rFonts w:hint="eastAsia" w:ascii="宋体" w:hAnsi="宋体" w:cs="宋体"/>
          <w:b/>
          <w:sz w:val="24"/>
          <w:szCs w:val="24"/>
          <w:highlight w:val="none"/>
        </w:rPr>
        <w:t>以上每次付款前，中标人均应提供符合采购人要求的同等金额的合法有效发票。否则，采购人有权顺延付款时间，且不承担任何违约或赔偿责任。</w:t>
      </w:r>
    </w:p>
    <w:p w14:paraId="2F430EAC">
      <w:pPr>
        <w:numPr>
          <w:ilvl w:val="0"/>
          <w:numId w:val="4"/>
        </w:numPr>
        <w:autoSpaceDE w:val="0"/>
        <w:autoSpaceDN w:val="0"/>
        <w:adjustRightInd w:val="0"/>
        <w:spacing w:line="420" w:lineRule="exact"/>
        <w:ind w:firstLine="908" w:firstLineChars="377"/>
        <w:rPr>
          <w:rFonts w:ascii="宋体" w:hAnsi="宋体" w:cs="宋体"/>
          <w:b/>
          <w:bCs/>
          <w:sz w:val="24"/>
          <w:szCs w:val="24"/>
          <w:highlight w:val="none"/>
        </w:rPr>
      </w:pPr>
      <w:r>
        <w:rPr>
          <w:rFonts w:hint="eastAsia" w:ascii="宋体" w:hAnsi="宋体" w:cs="宋体"/>
          <w:b/>
          <w:sz w:val="24"/>
          <w:szCs w:val="24"/>
          <w:highlight w:val="none"/>
        </w:rPr>
        <w:t>本项目支付方式支持数字人民币方式。</w:t>
      </w:r>
    </w:p>
    <w:p w14:paraId="669DFDA3">
      <w:pPr>
        <w:autoSpaceDE w:val="0"/>
        <w:autoSpaceDN w:val="0"/>
        <w:adjustRightInd w:val="0"/>
        <w:spacing w:line="420" w:lineRule="exact"/>
        <w:ind w:firstLine="482" w:firstLineChars="200"/>
        <w:rPr>
          <w:rFonts w:ascii="宋体" w:hAnsi="宋体" w:cs="宋体"/>
          <w:b/>
          <w:sz w:val="24"/>
          <w:szCs w:val="24"/>
          <w:highlight w:val="none"/>
        </w:rPr>
      </w:pPr>
      <w:r>
        <w:rPr>
          <w:rFonts w:hint="eastAsia" w:ascii="宋体" w:hAnsi="宋体" w:cs="宋体"/>
          <w:b/>
          <w:sz w:val="24"/>
          <w:szCs w:val="24"/>
          <w:highlight w:val="none"/>
        </w:rPr>
        <w:t>不满足上述付款要求的</w:t>
      </w:r>
      <w:r>
        <w:rPr>
          <w:rFonts w:hint="eastAsia" w:ascii="宋体" w:hAnsi="宋体" w:cs="宋体"/>
          <w:b/>
          <w:sz w:val="24"/>
          <w:szCs w:val="24"/>
          <w:highlight w:val="none"/>
          <w:lang w:val="zh-CN"/>
        </w:rPr>
        <w:t>将作无效投标处理</w:t>
      </w:r>
      <w:r>
        <w:rPr>
          <w:rFonts w:hint="eastAsia" w:ascii="宋体" w:hAnsi="宋体" w:cs="宋体"/>
          <w:b/>
          <w:sz w:val="24"/>
          <w:szCs w:val="24"/>
          <w:highlight w:val="none"/>
        </w:rPr>
        <w:t>。</w:t>
      </w:r>
    </w:p>
    <w:p w14:paraId="3687B2BA">
      <w:pPr>
        <w:autoSpaceDE w:val="0"/>
        <w:autoSpaceDN w:val="0"/>
        <w:adjustRightInd w:val="0"/>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6、结算方式：本项目以总价合同方式结算。</w:t>
      </w:r>
    </w:p>
    <w:p w14:paraId="6497A604">
      <w:pPr>
        <w:autoSpaceDE w:val="0"/>
        <w:autoSpaceDN w:val="0"/>
        <w:adjustRightInd w:val="0"/>
        <w:spacing w:line="420" w:lineRule="exact"/>
        <w:ind w:firstLine="482" w:firstLineChars="200"/>
        <w:rPr>
          <w:rFonts w:ascii="宋体" w:hAnsi="宋体" w:cs="宋体"/>
          <w:b/>
          <w:bCs/>
          <w:sz w:val="28"/>
          <w:szCs w:val="28"/>
          <w:highlight w:val="none"/>
          <w:lang w:val="zh-CN"/>
        </w:rPr>
      </w:pPr>
      <w:r>
        <w:rPr>
          <w:rFonts w:hint="eastAsia" w:ascii="宋体" w:hAnsi="宋体" w:cs="宋体"/>
          <w:b/>
          <w:sz w:val="24"/>
          <w:szCs w:val="24"/>
          <w:highlight w:val="none"/>
        </w:rPr>
        <w:t>7、本项目不得以任何形式进行转包及分包。</w:t>
      </w:r>
    </w:p>
    <w:p w14:paraId="191A8C11">
      <w:pPr>
        <w:spacing w:line="420" w:lineRule="exact"/>
        <w:rPr>
          <w:rFonts w:ascii="宋体" w:hAnsi="宋体" w:cs="宋体"/>
          <w:b/>
          <w:bCs/>
          <w:sz w:val="28"/>
          <w:szCs w:val="28"/>
          <w:highlight w:val="none"/>
        </w:rPr>
      </w:pPr>
      <w:r>
        <w:rPr>
          <w:rFonts w:hint="eastAsia" w:ascii="宋体" w:hAnsi="宋体" w:cs="宋体"/>
          <w:b/>
          <w:bCs/>
          <w:sz w:val="28"/>
          <w:szCs w:val="28"/>
          <w:highlight w:val="none"/>
          <w:lang w:val="zh-CN"/>
        </w:rPr>
        <w:t>二、</w:t>
      </w:r>
      <w:bookmarkStart w:id="277" w:name="_Toc485992633"/>
      <w:bookmarkStart w:id="278" w:name="_Toc485977967"/>
      <w:r>
        <w:rPr>
          <w:rFonts w:hint="eastAsia" w:ascii="宋体" w:hAnsi="宋体" w:cs="宋体"/>
          <w:b/>
          <w:bCs/>
          <w:sz w:val="28"/>
          <w:szCs w:val="28"/>
          <w:highlight w:val="none"/>
        </w:rPr>
        <w:t>项目服务</w:t>
      </w:r>
      <w:r>
        <w:rPr>
          <w:rFonts w:hint="eastAsia" w:ascii="宋体" w:hAnsi="宋体" w:cs="宋体"/>
          <w:b/>
          <w:bCs/>
          <w:sz w:val="28"/>
          <w:szCs w:val="28"/>
          <w:highlight w:val="none"/>
          <w:lang w:val="en-US" w:eastAsia="zh-CN"/>
        </w:rPr>
        <w:t>要求</w:t>
      </w:r>
      <w:r>
        <w:rPr>
          <w:rFonts w:hint="eastAsia" w:ascii="宋体" w:hAnsi="宋体" w:cs="宋体"/>
          <w:b/>
          <w:bCs/>
          <w:sz w:val="28"/>
          <w:szCs w:val="28"/>
          <w:highlight w:val="none"/>
        </w:rPr>
        <w:t>：</w:t>
      </w:r>
    </w:p>
    <w:p w14:paraId="78C7AD24">
      <w:pPr>
        <w:autoSpaceDE w:val="0"/>
        <w:autoSpaceDN w:val="0"/>
        <w:adjustRightInd w:val="0"/>
        <w:spacing w:line="420" w:lineRule="exact"/>
        <w:rPr>
          <w:rFonts w:ascii="宋体" w:hAnsi="宋体" w:cs="宋体"/>
          <w:b/>
          <w:bCs/>
          <w:sz w:val="24"/>
          <w:szCs w:val="24"/>
          <w:highlight w:val="none"/>
        </w:rPr>
      </w:pPr>
      <w:r>
        <w:rPr>
          <w:rFonts w:hint="eastAsia" w:ascii="宋体" w:hAnsi="宋体" w:cs="宋体"/>
          <w:b/>
          <w:bCs/>
          <w:sz w:val="24"/>
          <w:szCs w:val="24"/>
          <w:highlight w:val="none"/>
        </w:rPr>
        <w:t>（一）项目需求</w:t>
      </w:r>
    </w:p>
    <w:p w14:paraId="4BA01E81">
      <w:pPr>
        <w:autoSpaceDE w:val="0"/>
        <w:autoSpaceDN w:val="0"/>
        <w:adjustRightInd w:val="0"/>
        <w:spacing w:line="42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1、高分辨率卫星遥感对地观测、分析</w:t>
      </w:r>
    </w:p>
    <w:p w14:paraId="23534096">
      <w:pPr>
        <w:autoSpaceDE w:val="0"/>
        <w:autoSpaceDN w:val="0"/>
        <w:adjustRightInd w:val="0"/>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高分辨率卫星遥感对地观测、分析，具体包括以下三方面工作：</w:t>
      </w:r>
    </w:p>
    <w:p w14:paraId="1B7FA91D">
      <w:pPr>
        <w:autoSpaceDE w:val="0"/>
        <w:autoSpaceDN w:val="0"/>
        <w:adjustRightInd w:val="0"/>
        <w:spacing w:line="420" w:lineRule="exact"/>
        <w:rPr>
          <w:rFonts w:ascii="宋体" w:hAnsi="宋体" w:cs="宋体"/>
          <w:sz w:val="24"/>
          <w:szCs w:val="24"/>
          <w:highlight w:val="none"/>
        </w:rPr>
      </w:pPr>
      <w:r>
        <w:rPr>
          <w:rFonts w:hint="eastAsia" w:ascii="宋体" w:hAnsi="宋体" w:cs="宋体"/>
          <w:sz w:val="24"/>
          <w:szCs w:val="24"/>
          <w:highlight w:val="none"/>
        </w:rPr>
        <w:tab/>
      </w:r>
      <w:r>
        <w:rPr>
          <w:rFonts w:hint="eastAsia" w:ascii="宋体" w:hAnsi="宋体" w:cs="宋体"/>
          <w:sz w:val="24"/>
          <w:szCs w:val="24"/>
          <w:highlight w:val="none"/>
        </w:rPr>
        <w:t>1.1 采用高分辨率卫星遥感数据，对本地裸土、垃圾堆放和建筑工地等固定扬尘源进行识别，获取污染源所在的空间位置信息、矢量边界、固定扬尘源面积大小等。</w:t>
      </w:r>
    </w:p>
    <w:p w14:paraId="653555FA">
      <w:pPr>
        <w:autoSpaceDE w:val="0"/>
        <w:autoSpaceDN w:val="0"/>
        <w:adjustRightInd w:val="0"/>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1.2 针对提取的本地固定扬尘源信息和周边环境，评估分析固定扬尘源对考核站点和居民生活的影响，提出整改的建议。</w:t>
      </w:r>
    </w:p>
    <w:p w14:paraId="5B811707">
      <w:pPr>
        <w:autoSpaceDE w:val="0"/>
        <w:autoSpaceDN w:val="0"/>
        <w:adjustRightInd w:val="0"/>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1.3 运用卫星遥感数据对本地连续甲醛、NOx等因子热点提取，对热点网格内污染源头进行溯源，明确污染成因。</w:t>
      </w:r>
    </w:p>
    <w:p w14:paraId="252B0C61">
      <w:pPr>
        <w:autoSpaceDE w:val="0"/>
        <w:autoSpaceDN w:val="0"/>
        <w:adjustRightInd w:val="0"/>
        <w:spacing w:line="420" w:lineRule="exact"/>
        <w:ind w:firstLine="425"/>
        <w:rPr>
          <w:rFonts w:ascii="宋体" w:hAnsi="宋体" w:cs="宋体"/>
          <w:b/>
          <w:bCs/>
          <w:sz w:val="24"/>
          <w:szCs w:val="24"/>
          <w:highlight w:val="none"/>
        </w:rPr>
      </w:pPr>
      <w:r>
        <w:rPr>
          <w:rFonts w:hint="eastAsia" w:ascii="宋体" w:hAnsi="宋体" w:cs="宋体"/>
          <w:b/>
          <w:bCs/>
          <w:sz w:val="24"/>
          <w:szCs w:val="24"/>
          <w:highlight w:val="none"/>
        </w:rPr>
        <w:t>2、重点区域重点时段走航监测、评估</w:t>
      </w:r>
    </w:p>
    <w:p w14:paraId="572BBA8C">
      <w:pPr>
        <w:spacing w:line="420" w:lineRule="exact"/>
        <w:ind w:firstLine="240" w:firstLineChars="100"/>
        <w:rPr>
          <w:rFonts w:ascii="宋体" w:hAnsi="宋体" w:cs="宋体"/>
          <w:sz w:val="24"/>
          <w:szCs w:val="24"/>
          <w:highlight w:val="none"/>
        </w:rPr>
      </w:pPr>
      <w:r>
        <w:rPr>
          <w:rFonts w:hint="eastAsia" w:ascii="宋体" w:hAnsi="宋体" w:cs="宋体"/>
          <w:sz w:val="24"/>
          <w:szCs w:val="24"/>
          <w:highlight w:val="none"/>
        </w:rPr>
        <w:t>重点区域重点时段走航监测、评估，包括VOCs走航和积尘走航两大部分，具体如下：</w:t>
      </w:r>
    </w:p>
    <w:p w14:paraId="5784E003">
      <w:pPr>
        <w:spacing w:line="420" w:lineRule="exact"/>
        <w:rPr>
          <w:rFonts w:ascii="宋体" w:hAnsi="宋体" w:cs="宋体"/>
          <w:sz w:val="24"/>
          <w:szCs w:val="24"/>
          <w:highlight w:val="none"/>
        </w:rPr>
      </w:pPr>
      <w:r>
        <w:rPr>
          <w:rFonts w:hint="eastAsia" w:ascii="宋体" w:hAnsi="宋体" w:cs="宋体"/>
          <w:sz w:val="24"/>
          <w:szCs w:val="24"/>
          <w:highlight w:val="none"/>
        </w:rPr>
        <w:tab/>
      </w:r>
      <w:r>
        <w:rPr>
          <w:rFonts w:hint="eastAsia" w:ascii="宋体" w:hAnsi="宋体" w:cs="宋体"/>
          <w:sz w:val="24"/>
          <w:szCs w:val="24"/>
          <w:highlight w:val="none"/>
        </w:rPr>
        <w:t>2.1 关于VOCs走航需求</w:t>
      </w:r>
    </w:p>
    <w:p w14:paraId="0E721C8B">
      <w:pPr>
        <w:spacing w:line="420" w:lineRule="exact"/>
        <w:ind w:firstLine="240" w:firstLineChars="100"/>
        <w:rPr>
          <w:rFonts w:ascii="宋体" w:hAnsi="宋体" w:cs="宋体"/>
          <w:sz w:val="24"/>
          <w:szCs w:val="24"/>
          <w:highlight w:val="none"/>
        </w:rPr>
      </w:pPr>
      <w:r>
        <w:rPr>
          <w:rFonts w:hint="eastAsia" w:ascii="宋体" w:hAnsi="宋体" w:cs="宋体"/>
          <w:sz w:val="24"/>
          <w:szCs w:val="24"/>
          <w:highlight w:val="none"/>
        </w:rPr>
        <w:t>（1）对本地三个省控站点周边、重点工业园区及高排放区、敏感点等进行VOCs走航监测工作。根据走航结果提供准确有效的VOCs组分数据、相关监测数据和科学合理的分析与评估报告。</w:t>
      </w:r>
    </w:p>
    <w:p w14:paraId="48802996">
      <w:pPr>
        <w:spacing w:line="420" w:lineRule="exact"/>
        <w:ind w:firstLine="240" w:firstLineChars="100"/>
        <w:rPr>
          <w:rFonts w:ascii="宋体" w:hAnsi="宋体" w:cs="宋体"/>
          <w:sz w:val="24"/>
          <w:szCs w:val="24"/>
          <w:highlight w:val="none"/>
        </w:rPr>
      </w:pPr>
      <w:r>
        <w:rPr>
          <w:rFonts w:hint="eastAsia" w:ascii="宋体" w:hAnsi="宋体" w:cs="宋体"/>
          <w:sz w:val="24"/>
          <w:szCs w:val="24"/>
          <w:highlight w:val="none"/>
        </w:rPr>
        <w:t>（2）根据走航结果实现对本地VOCs污染特征、高污染区域识、污染来源，以及臭氧敏感性和臭氧生成潜势重点物种识别。</w:t>
      </w:r>
    </w:p>
    <w:p w14:paraId="28E4D9EA">
      <w:pPr>
        <w:spacing w:line="420" w:lineRule="exact"/>
        <w:ind w:firstLine="425"/>
        <w:rPr>
          <w:rFonts w:ascii="宋体" w:hAnsi="宋体" w:cs="宋体"/>
          <w:sz w:val="24"/>
          <w:szCs w:val="24"/>
          <w:highlight w:val="none"/>
        </w:rPr>
      </w:pPr>
      <w:r>
        <w:rPr>
          <w:rFonts w:hint="eastAsia" w:ascii="宋体" w:hAnsi="宋体" w:cs="宋体"/>
          <w:sz w:val="24"/>
          <w:szCs w:val="24"/>
          <w:highlight w:val="none"/>
        </w:rPr>
        <w:t>2.2 关于积尘走航需求</w:t>
      </w:r>
    </w:p>
    <w:p w14:paraId="0E4A6094">
      <w:pPr>
        <w:spacing w:line="420" w:lineRule="exact"/>
        <w:ind w:firstLine="240" w:firstLineChars="100"/>
        <w:rPr>
          <w:rFonts w:ascii="宋体" w:hAnsi="宋体" w:cs="宋体"/>
          <w:sz w:val="24"/>
          <w:szCs w:val="24"/>
          <w:highlight w:val="none"/>
        </w:rPr>
      </w:pPr>
      <w:r>
        <w:rPr>
          <w:rFonts w:hint="eastAsia" w:ascii="宋体" w:hAnsi="宋体" w:cs="宋体"/>
          <w:sz w:val="24"/>
          <w:szCs w:val="24"/>
          <w:highlight w:val="none"/>
        </w:rPr>
        <w:t>（1）结合本地省控和市控站点数据变化规律制定积尘走航路线；</w:t>
      </w:r>
    </w:p>
    <w:p w14:paraId="72BCBD29">
      <w:pPr>
        <w:spacing w:line="420" w:lineRule="exact"/>
        <w:ind w:firstLine="240" w:firstLineChars="100"/>
        <w:rPr>
          <w:rFonts w:ascii="宋体" w:hAnsi="宋体" w:cs="宋体"/>
          <w:sz w:val="24"/>
          <w:szCs w:val="24"/>
          <w:highlight w:val="none"/>
        </w:rPr>
      </w:pPr>
      <w:r>
        <w:rPr>
          <w:rFonts w:hint="eastAsia" w:ascii="宋体" w:hAnsi="宋体" w:cs="宋体"/>
          <w:sz w:val="24"/>
          <w:szCs w:val="24"/>
          <w:highlight w:val="none"/>
        </w:rPr>
        <w:t>（2）结合站点颗粒物高值、裸土分布区域，进行精细化积尘走航监测。</w:t>
      </w:r>
    </w:p>
    <w:p w14:paraId="74B751B6">
      <w:pPr>
        <w:spacing w:line="420" w:lineRule="exact"/>
        <w:ind w:firstLine="241" w:firstLineChars="100"/>
        <w:rPr>
          <w:rFonts w:ascii="宋体" w:hAnsi="宋体" w:cs="宋体"/>
          <w:b/>
          <w:bCs/>
          <w:sz w:val="24"/>
          <w:szCs w:val="24"/>
          <w:highlight w:val="none"/>
        </w:rPr>
      </w:pPr>
      <w:r>
        <w:rPr>
          <w:rFonts w:hint="eastAsia" w:ascii="宋体" w:hAnsi="宋体" w:cs="宋体"/>
          <w:b/>
          <w:bCs/>
          <w:sz w:val="24"/>
          <w:szCs w:val="24"/>
          <w:highlight w:val="none"/>
        </w:rPr>
        <w:t>3、环境空气、大气污染物等大数据融合智慧分析</w:t>
      </w:r>
    </w:p>
    <w:p w14:paraId="701E1008">
      <w:pPr>
        <w:spacing w:line="420" w:lineRule="exact"/>
        <w:ind w:firstLine="240" w:firstLineChars="100"/>
        <w:rPr>
          <w:rFonts w:ascii="宋体" w:hAnsi="宋体" w:cs="宋体"/>
          <w:sz w:val="24"/>
          <w:szCs w:val="24"/>
          <w:highlight w:val="none"/>
        </w:rPr>
      </w:pPr>
      <w:r>
        <w:rPr>
          <w:rFonts w:hint="eastAsia" w:ascii="宋体" w:hAnsi="宋体" w:cs="宋体"/>
          <w:sz w:val="24"/>
          <w:szCs w:val="24"/>
          <w:highlight w:val="none"/>
        </w:rPr>
        <w:t xml:space="preserve"> 围绕本地环境空气质量研判分析，综合运用气象数据、省控站、市控站、微型站、超站、企业排放、企业用电数等多源数据，为PM</w:t>
      </w:r>
      <w:r>
        <w:rPr>
          <w:rFonts w:hint="eastAsia" w:ascii="宋体" w:hAnsi="宋体" w:cs="宋体"/>
          <w:sz w:val="24"/>
          <w:szCs w:val="24"/>
          <w:highlight w:val="none"/>
          <w:vertAlign w:val="subscript"/>
        </w:rPr>
        <w:t>2.5</w:t>
      </w:r>
      <w:r>
        <w:rPr>
          <w:rFonts w:hint="eastAsia" w:ascii="宋体" w:hAnsi="宋体" w:cs="宋体"/>
          <w:sz w:val="24"/>
          <w:szCs w:val="24"/>
          <w:highlight w:val="none"/>
        </w:rPr>
        <w:t>与O</w:t>
      </w:r>
      <w:r>
        <w:rPr>
          <w:rFonts w:hint="eastAsia" w:ascii="宋体" w:hAnsi="宋体" w:cs="宋体"/>
          <w:sz w:val="24"/>
          <w:szCs w:val="24"/>
          <w:highlight w:val="none"/>
          <w:vertAlign w:val="subscript"/>
        </w:rPr>
        <w:t>3</w:t>
      </w:r>
      <w:r>
        <w:rPr>
          <w:rFonts w:hint="eastAsia" w:ascii="宋体" w:hAnsi="宋体" w:cs="宋体"/>
          <w:sz w:val="24"/>
          <w:szCs w:val="24"/>
          <w:highlight w:val="none"/>
        </w:rPr>
        <w:t>协同防控提供支撑依据；</w:t>
      </w:r>
    </w:p>
    <w:p w14:paraId="1EABE601">
      <w:pPr>
        <w:spacing w:line="420" w:lineRule="exact"/>
        <w:ind w:firstLine="240" w:firstLineChars="100"/>
        <w:rPr>
          <w:rFonts w:ascii="宋体" w:hAnsi="宋体" w:cs="宋体"/>
          <w:sz w:val="24"/>
          <w:szCs w:val="24"/>
          <w:highlight w:val="none"/>
        </w:rPr>
      </w:pPr>
      <w:r>
        <w:rPr>
          <w:rFonts w:hint="eastAsia" w:ascii="宋体" w:hAnsi="宋体" w:cs="宋体"/>
          <w:sz w:val="24"/>
          <w:szCs w:val="24"/>
          <w:highlight w:val="none"/>
        </w:rPr>
        <w:t>3.1 EKMA曲线模型更新：基于最新监测数据动态更新本地EKMA曲线模型，辅助调整本地臭氧污染综合分析与管控措施，提高臭氧污染问题定位精度。</w:t>
      </w:r>
    </w:p>
    <w:p w14:paraId="1D5115F8">
      <w:pPr>
        <w:spacing w:line="420" w:lineRule="exact"/>
        <w:ind w:firstLine="240" w:firstLineChars="100"/>
        <w:rPr>
          <w:rFonts w:ascii="宋体" w:hAnsi="宋体" w:cs="宋体"/>
          <w:sz w:val="24"/>
          <w:szCs w:val="24"/>
          <w:highlight w:val="none"/>
        </w:rPr>
      </w:pPr>
      <w:r>
        <w:rPr>
          <w:rFonts w:hint="eastAsia" w:ascii="宋体" w:hAnsi="宋体" w:cs="宋体"/>
          <w:sz w:val="24"/>
          <w:szCs w:val="24"/>
          <w:highlight w:val="none"/>
        </w:rPr>
        <w:t>3.2 运用空气质量数值预报模型（如WRF-Chem, NAQPMS等），辅助实现长期-中期-短期空气质量预报及应急响应，提升预报时效性与污染过程捕捉精度。</w:t>
      </w:r>
    </w:p>
    <w:p w14:paraId="0F319E0A">
      <w:pPr>
        <w:spacing w:line="420" w:lineRule="exact"/>
        <w:ind w:firstLine="240" w:firstLineChars="100"/>
        <w:rPr>
          <w:rFonts w:ascii="宋体" w:hAnsi="宋体" w:cs="宋体"/>
          <w:sz w:val="24"/>
          <w:szCs w:val="24"/>
          <w:highlight w:val="none"/>
        </w:rPr>
      </w:pPr>
      <w:r>
        <w:rPr>
          <w:rFonts w:hint="eastAsia" w:ascii="宋体" w:hAnsi="宋体" w:cs="宋体"/>
          <w:sz w:val="24"/>
          <w:szCs w:val="24"/>
          <w:highlight w:val="none"/>
        </w:rPr>
        <w:t>3.3 污染过程复盘：针对污染过程，从时序变化、本地生成与外来传输贡献等维度，复盘天气形势、气象要素特征、污染分布及污染来源，出具复盘分析笔记，总结经验、指导应急。</w:t>
      </w:r>
    </w:p>
    <w:p w14:paraId="2A7DC825">
      <w:pPr>
        <w:spacing w:line="420" w:lineRule="exact"/>
        <w:ind w:firstLine="240" w:firstLineChars="100"/>
        <w:rPr>
          <w:rFonts w:ascii="宋体" w:hAnsi="宋体" w:cs="宋体"/>
          <w:sz w:val="24"/>
          <w:szCs w:val="24"/>
          <w:highlight w:val="none"/>
        </w:rPr>
      </w:pPr>
      <w:r>
        <w:rPr>
          <w:rFonts w:hint="eastAsia" w:ascii="宋体" w:hAnsi="宋体" w:cs="宋体"/>
          <w:sz w:val="24"/>
          <w:szCs w:val="24"/>
          <w:highlight w:val="none"/>
        </w:rPr>
        <w:t>3.4 化工园区高值溯源：围绕本地化工园区小型站开展数据盯控，针对高值结合特征物种情况匹配VOCs污染源清单，利用气象、站点和非现场监控数据进行比对分析，支撑溯源工作。</w:t>
      </w:r>
    </w:p>
    <w:p w14:paraId="2568A978">
      <w:pPr>
        <w:spacing w:line="420" w:lineRule="exact"/>
        <w:ind w:firstLine="240" w:firstLineChars="100"/>
        <w:rPr>
          <w:rFonts w:ascii="Times New Roman" w:hAnsi="Times New Roman"/>
          <w:color w:val="000000"/>
          <w:sz w:val="24"/>
          <w:szCs w:val="24"/>
          <w:highlight w:val="none"/>
        </w:rPr>
      </w:pPr>
      <w:r>
        <w:rPr>
          <w:rFonts w:hint="eastAsia" w:ascii="Times New Roman" w:hAnsi="Times New Roman"/>
          <w:color w:val="000000"/>
          <w:sz w:val="24"/>
          <w:szCs w:val="24"/>
          <w:highlight w:val="none"/>
        </w:rPr>
        <w:t>3.5 每周污染物评估分析：开展达标余量预测，制定以周保月计划，每周编制分析报告，夯实年度目标可控基础。</w:t>
      </w:r>
    </w:p>
    <w:p w14:paraId="7DF399DC">
      <w:pPr>
        <w:spacing w:line="420" w:lineRule="exact"/>
        <w:ind w:firstLine="240" w:firstLineChars="100"/>
        <w:rPr>
          <w:rFonts w:ascii="Times New Roman" w:hAnsi="Times New Roman"/>
          <w:color w:val="000000"/>
          <w:sz w:val="24"/>
          <w:szCs w:val="24"/>
          <w:highlight w:val="none"/>
        </w:rPr>
      </w:pPr>
      <w:r>
        <w:rPr>
          <w:rFonts w:hint="eastAsia" w:ascii="Times New Roman" w:hAnsi="Times New Roman"/>
          <w:color w:val="000000"/>
          <w:sz w:val="24"/>
          <w:szCs w:val="24"/>
          <w:highlight w:val="none"/>
        </w:rPr>
        <w:t>3.6 持续完善本地污染案例库：按季节、气象条件、污染类型等维度补充更新案例档案，支撑未来相似污染情景的快速研判与精准应对</w:t>
      </w:r>
    </w:p>
    <w:p w14:paraId="43484010">
      <w:pPr>
        <w:spacing w:line="420" w:lineRule="exact"/>
        <w:ind w:firstLine="240" w:firstLineChars="100"/>
        <w:rPr>
          <w:rFonts w:ascii="宋体" w:hAnsi="宋体" w:cs="宋体"/>
          <w:sz w:val="24"/>
          <w:szCs w:val="24"/>
          <w:highlight w:val="none"/>
        </w:rPr>
      </w:pPr>
      <w:r>
        <w:rPr>
          <w:rFonts w:hint="eastAsia" w:ascii="宋体" w:hAnsi="宋体" w:cs="宋体"/>
          <w:sz w:val="24"/>
          <w:szCs w:val="24"/>
          <w:highlight w:val="none"/>
        </w:rPr>
        <w:t>3.7 自动化推送：自动读取已有系统平台省控和市控站点数据，对比各个站点数据之间的差异，根据一定的差异化判断规则，自动推送站点数据差异。</w:t>
      </w:r>
    </w:p>
    <w:p w14:paraId="57F47417">
      <w:pPr>
        <w:spacing w:line="420" w:lineRule="exact"/>
        <w:ind w:firstLine="240" w:firstLineChars="100"/>
        <w:rPr>
          <w:rFonts w:ascii="宋体" w:hAnsi="宋体" w:cs="宋体"/>
          <w:sz w:val="24"/>
          <w:szCs w:val="24"/>
          <w:highlight w:val="none"/>
        </w:rPr>
      </w:pPr>
      <w:r>
        <w:rPr>
          <w:rFonts w:hint="eastAsia" w:ascii="宋体" w:hAnsi="宋体" w:cs="宋体"/>
          <w:sz w:val="24"/>
          <w:szCs w:val="24"/>
          <w:highlight w:val="none"/>
        </w:rPr>
        <w:t>3.8 企业帮扶：（1）结合重点行业企业重污染天气绩效培育等工作，开展重点企业技术帮扶 ；（2）对走航、飞航高值区域或问题线索企业，开展专项技术帮扶；（3）协助开展企业年度VOCs源清单核算周期数据更新填报帮扶及审核，深化VOCs源清单减排潜力分析。</w:t>
      </w:r>
    </w:p>
    <w:p w14:paraId="3503AB9F">
      <w:pPr>
        <w:spacing w:line="420" w:lineRule="exact"/>
        <w:ind w:firstLine="241" w:firstLineChars="100"/>
        <w:rPr>
          <w:rFonts w:ascii="宋体" w:hAnsi="宋体" w:cs="宋体"/>
          <w:b/>
          <w:bCs/>
          <w:sz w:val="24"/>
          <w:szCs w:val="24"/>
          <w:highlight w:val="none"/>
        </w:rPr>
      </w:pPr>
      <w:r>
        <w:rPr>
          <w:rFonts w:hint="eastAsia" w:ascii="宋体" w:hAnsi="宋体" w:cs="宋体"/>
          <w:b/>
          <w:bCs/>
          <w:sz w:val="24"/>
          <w:szCs w:val="24"/>
          <w:highlight w:val="none"/>
        </w:rPr>
        <w:t>4、污染天气应急管控数据更新与应用分析</w:t>
      </w:r>
    </w:p>
    <w:p w14:paraId="52F45DC6">
      <w:pPr>
        <w:spacing w:line="420" w:lineRule="exact"/>
        <w:ind w:firstLine="240" w:firstLineChars="100"/>
        <w:rPr>
          <w:rFonts w:ascii="宋体" w:hAnsi="宋体" w:cs="宋体"/>
          <w:sz w:val="24"/>
          <w:szCs w:val="24"/>
          <w:highlight w:val="none"/>
        </w:rPr>
      </w:pPr>
      <w:r>
        <w:rPr>
          <w:rFonts w:hint="eastAsia" w:ascii="宋体" w:hAnsi="宋体" w:cs="宋体"/>
          <w:sz w:val="24"/>
          <w:szCs w:val="24"/>
          <w:highlight w:val="none"/>
        </w:rPr>
        <w:t>4.1对</w:t>
      </w:r>
      <w:r>
        <w:rPr>
          <w:rFonts w:hint="eastAsia" w:ascii="宋体" w:hAnsi="宋体" w:cs="宋体"/>
          <w:sz w:val="24"/>
          <w:szCs w:val="24"/>
          <w:highlight w:val="none"/>
          <w:lang w:val="en-US" w:eastAsia="zh-CN"/>
        </w:rPr>
        <w:t>秋冬季</w:t>
      </w:r>
      <w:r>
        <w:rPr>
          <w:rFonts w:hint="eastAsia" w:ascii="宋体" w:hAnsi="宋体" w:cs="宋体"/>
          <w:sz w:val="24"/>
          <w:szCs w:val="24"/>
          <w:highlight w:val="none"/>
        </w:rPr>
        <w:t>污染天气管控企业申报材料、豁免申请材料进行技术评估，出具评估意见并汇总整理上报材料。</w:t>
      </w:r>
    </w:p>
    <w:p w14:paraId="12326198">
      <w:pPr>
        <w:spacing w:line="420" w:lineRule="exact"/>
        <w:ind w:firstLine="240" w:firstLineChars="100"/>
        <w:rPr>
          <w:rFonts w:ascii="宋体" w:hAnsi="宋体" w:cs="宋体"/>
          <w:sz w:val="24"/>
          <w:szCs w:val="24"/>
          <w:highlight w:val="none"/>
        </w:rPr>
      </w:pPr>
      <w:r>
        <w:rPr>
          <w:rFonts w:hint="eastAsia" w:ascii="宋体" w:hAnsi="宋体" w:cs="宋体"/>
          <w:sz w:val="24"/>
          <w:szCs w:val="24"/>
          <w:highlight w:val="none"/>
        </w:rPr>
        <w:t>4.2运用年度VOCs源清单成果，围绕夏季</w:t>
      </w:r>
      <w:r>
        <w:rPr>
          <w:rFonts w:hint="eastAsia" w:ascii="宋体" w:hAnsi="宋体" w:cs="宋体"/>
          <w:sz w:val="24"/>
          <w:szCs w:val="24"/>
          <w:highlight w:val="none"/>
          <w:lang w:val="en-US" w:eastAsia="zh-CN"/>
        </w:rPr>
        <w:t>臭氧</w:t>
      </w:r>
      <w:r>
        <w:rPr>
          <w:rFonts w:hint="eastAsia" w:ascii="宋体" w:hAnsi="宋体" w:cs="宋体"/>
          <w:sz w:val="24"/>
          <w:szCs w:val="24"/>
          <w:highlight w:val="none"/>
        </w:rPr>
        <w:t>污染开展成因分析，强化排放清单与实时监测数据的联动应用，为臭氧污染高值应对及精准溯源提供支撑。</w:t>
      </w:r>
    </w:p>
    <w:p w14:paraId="5E78E872">
      <w:pPr>
        <w:numPr>
          <w:ilvl w:val="0"/>
          <w:numId w:val="5"/>
        </w:numPr>
        <w:autoSpaceDE w:val="0"/>
        <w:autoSpaceDN w:val="0"/>
        <w:adjustRightInd w:val="0"/>
        <w:spacing w:line="420" w:lineRule="exact"/>
        <w:rPr>
          <w:rFonts w:ascii="宋体" w:hAnsi="宋体" w:cs="宋体"/>
          <w:b/>
          <w:bCs/>
          <w:sz w:val="24"/>
          <w:szCs w:val="24"/>
          <w:highlight w:val="none"/>
        </w:rPr>
      </w:pPr>
      <w:r>
        <w:rPr>
          <w:rFonts w:hint="eastAsia" w:ascii="宋体" w:hAnsi="宋体" w:cs="宋体"/>
          <w:b/>
          <w:bCs/>
          <w:sz w:val="24"/>
          <w:szCs w:val="24"/>
          <w:highlight w:val="none"/>
        </w:rPr>
        <w:t>技术规范要求：</w:t>
      </w:r>
    </w:p>
    <w:p w14:paraId="66943951">
      <w:pPr>
        <w:autoSpaceDE w:val="0"/>
        <w:autoSpaceDN w:val="0"/>
        <w:adjustRightInd w:val="0"/>
        <w:spacing w:line="420" w:lineRule="exact"/>
        <w:ind w:firstLine="425"/>
        <w:rPr>
          <w:rFonts w:ascii="宋体" w:hAnsi="宋体" w:cs="宋体"/>
          <w:b/>
          <w:bCs/>
          <w:sz w:val="24"/>
          <w:szCs w:val="24"/>
          <w:highlight w:val="none"/>
        </w:rPr>
      </w:pPr>
      <w:r>
        <w:rPr>
          <w:rFonts w:hint="eastAsia" w:ascii="宋体" w:hAnsi="宋体" w:cs="宋体"/>
          <w:b/>
          <w:bCs/>
          <w:sz w:val="24"/>
          <w:szCs w:val="24"/>
          <w:highlight w:val="none"/>
        </w:rPr>
        <w:t>1、高分辨率卫星遥感对地观测、分析</w:t>
      </w:r>
    </w:p>
    <w:p w14:paraId="0A425241">
      <w:pPr>
        <w:spacing w:line="420" w:lineRule="exact"/>
        <w:ind w:firstLine="425"/>
        <w:rPr>
          <w:rFonts w:ascii="Times New Roman" w:hAnsi="Times New Roman"/>
          <w:color w:val="000000"/>
          <w:sz w:val="24"/>
          <w:szCs w:val="24"/>
          <w:highlight w:val="none"/>
        </w:rPr>
      </w:pPr>
      <w:r>
        <w:rPr>
          <w:rFonts w:hint="eastAsia" w:ascii="Times New Roman" w:hAnsi="Times New Roman"/>
          <w:color w:val="000000"/>
          <w:sz w:val="24"/>
          <w:szCs w:val="24"/>
          <w:highlight w:val="none"/>
        </w:rPr>
        <w:t>1.1</w:t>
      </w:r>
      <w:r>
        <w:rPr>
          <w:rFonts w:ascii="Times New Roman" w:hAnsi="Times New Roman"/>
          <w:color w:val="000000"/>
          <w:sz w:val="24"/>
          <w:szCs w:val="24"/>
          <w:highlight w:val="none"/>
        </w:rPr>
        <w:t>采用高分辨率卫星遥感数据（分辨率</w:t>
      </w:r>
      <w:r>
        <w:rPr>
          <w:rFonts w:hint="eastAsia" w:ascii="Times New Roman" w:hAnsi="Times New Roman"/>
          <w:color w:val="000000"/>
          <w:sz w:val="24"/>
          <w:szCs w:val="24"/>
          <w:highlight w:val="none"/>
        </w:rPr>
        <w:t>≤</w:t>
      </w:r>
      <w:r>
        <w:rPr>
          <w:rFonts w:ascii="Times New Roman" w:hAnsi="Times New Roman"/>
          <w:color w:val="000000"/>
          <w:sz w:val="24"/>
          <w:szCs w:val="24"/>
          <w:highlight w:val="none"/>
        </w:rPr>
        <w:t>2m）</w:t>
      </w:r>
      <w:r>
        <w:rPr>
          <w:rFonts w:hint="eastAsia" w:ascii="Times New Roman" w:hAnsi="Times New Roman"/>
          <w:color w:val="000000"/>
          <w:sz w:val="24"/>
          <w:szCs w:val="24"/>
          <w:highlight w:val="none"/>
        </w:rPr>
        <w:t>。</w:t>
      </w:r>
    </w:p>
    <w:p w14:paraId="034120A0">
      <w:pPr>
        <w:spacing w:line="420" w:lineRule="exact"/>
        <w:ind w:firstLine="425"/>
        <w:rPr>
          <w:rFonts w:ascii="Times New Roman" w:hAnsi="Times New Roman"/>
          <w:color w:val="000000"/>
          <w:sz w:val="24"/>
          <w:szCs w:val="24"/>
          <w:highlight w:val="none"/>
        </w:rPr>
      </w:pPr>
      <w:r>
        <w:rPr>
          <w:rFonts w:hint="eastAsia" w:ascii="Times New Roman" w:hAnsi="Times New Roman"/>
          <w:color w:val="000000"/>
          <w:sz w:val="24"/>
          <w:szCs w:val="24"/>
          <w:highlight w:val="none"/>
        </w:rPr>
        <w:t>1.2</w:t>
      </w:r>
      <w:r>
        <w:rPr>
          <w:rFonts w:ascii="Times New Roman" w:hAnsi="Times New Roman"/>
          <w:color w:val="000000"/>
          <w:sz w:val="24"/>
          <w:szCs w:val="24"/>
          <w:highlight w:val="none"/>
        </w:rPr>
        <w:t>提取面积</w:t>
      </w:r>
      <w:r>
        <w:rPr>
          <w:rFonts w:hint="eastAsia" w:ascii="Times New Roman" w:hAnsi="Times New Roman"/>
          <w:color w:val="000000"/>
          <w:sz w:val="24"/>
          <w:szCs w:val="24"/>
          <w:highlight w:val="none"/>
        </w:rPr>
        <w:t>≥</w:t>
      </w:r>
      <w:r>
        <w:rPr>
          <w:rFonts w:ascii="Times New Roman" w:hAnsi="Times New Roman"/>
          <w:color w:val="000000"/>
          <w:sz w:val="24"/>
          <w:szCs w:val="24"/>
          <w:highlight w:val="none"/>
        </w:rPr>
        <w:t>20m*20m</w:t>
      </w:r>
      <w:r>
        <w:rPr>
          <w:rFonts w:hint="eastAsia" w:ascii="Times New Roman" w:hAnsi="Times New Roman"/>
          <w:color w:val="000000"/>
          <w:sz w:val="24"/>
          <w:szCs w:val="24"/>
          <w:highlight w:val="none"/>
        </w:rPr>
        <w:t>。</w:t>
      </w:r>
    </w:p>
    <w:p w14:paraId="16E6100B">
      <w:pPr>
        <w:spacing w:line="420" w:lineRule="exact"/>
        <w:ind w:firstLine="425"/>
        <w:rPr>
          <w:rFonts w:ascii="Times New Roman" w:hAnsi="Times New Roman"/>
          <w:color w:val="000000"/>
          <w:sz w:val="24"/>
          <w:szCs w:val="24"/>
          <w:highlight w:val="none"/>
        </w:rPr>
      </w:pPr>
      <w:r>
        <w:rPr>
          <w:rFonts w:hint="eastAsia" w:ascii="Times New Roman" w:hAnsi="Times New Roman"/>
          <w:color w:val="000000"/>
          <w:sz w:val="24"/>
          <w:szCs w:val="24"/>
          <w:highlight w:val="none"/>
        </w:rPr>
        <w:t>1.3</w:t>
      </w:r>
      <w:r>
        <w:rPr>
          <w:rFonts w:ascii="Times New Roman" w:hAnsi="Times New Roman"/>
          <w:color w:val="000000"/>
          <w:sz w:val="24"/>
          <w:szCs w:val="24"/>
          <w:highlight w:val="none"/>
        </w:rPr>
        <w:t>卫星影像采用定制拍摄，根据需要全年不少于</w:t>
      </w:r>
      <w:r>
        <w:rPr>
          <w:rFonts w:hint="eastAsia" w:ascii="Times New Roman" w:hAnsi="Times New Roman"/>
          <w:color w:val="000000"/>
          <w:sz w:val="24"/>
          <w:szCs w:val="24"/>
          <w:highlight w:val="none"/>
        </w:rPr>
        <w:t>4</w:t>
      </w:r>
      <w:r>
        <w:rPr>
          <w:rFonts w:ascii="Times New Roman" w:hAnsi="Times New Roman"/>
          <w:color w:val="000000"/>
          <w:sz w:val="24"/>
          <w:szCs w:val="24"/>
          <w:highlight w:val="none"/>
        </w:rPr>
        <w:t>次，具有快速编程定制拍摄服务能力。</w:t>
      </w:r>
    </w:p>
    <w:p w14:paraId="6720F9E8">
      <w:pPr>
        <w:spacing w:line="420" w:lineRule="exact"/>
        <w:ind w:firstLine="425"/>
        <w:rPr>
          <w:rFonts w:ascii="Times New Roman" w:hAnsi="Times New Roman"/>
          <w:color w:val="000000"/>
          <w:sz w:val="24"/>
          <w:szCs w:val="24"/>
          <w:highlight w:val="none"/>
        </w:rPr>
      </w:pPr>
      <w:r>
        <w:rPr>
          <w:rFonts w:hint="eastAsia" w:ascii="Times New Roman" w:hAnsi="Times New Roman"/>
          <w:color w:val="000000"/>
          <w:sz w:val="24"/>
          <w:szCs w:val="24"/>
          <w:highlight w:val="none"/>
        </w:rPr>
        <w:t>1.4在夏季臭氧污染高发阶段，运用卫星遥感对本地连续甲醛、NOx等因子热点提取，空间分辨率不低于1km。</w:t>
      </w:r>
    </w:p>
    <w:p w14:paraId="47B59A69">
      <w:pPr>
        <w:autoSpaceDE w:val="0"/>
        <w:autoSpaceDN w:val="0"/>
        <w:adjustRightInd w:val="0"/>
        <w:spacing w:line="420" w:lineRule="exact"/>
        <w:ind w:firstLine="425"/>
        <w:rPr>
          <w:rFonts w:ascii="宋体" w:hAnsi="宋体" w:cs="宋体"/>
          <w:b/>
          <w:bCs/>
          <w:sz w:val="24"/>
          <w:szCs w:val="24"/>
          <w:highlight w:val="none"/>
        </w:rPr>
      </w:pPr>
      <w:r>
        <w:rPr>
          <w:rFonts w:hint="eastAsia" w:ascii="宋体" w:hAnsi="宋体" w:cs="宋体"/>
          <w:b/>
          <w:bCs/>
          <w:sz w:val="24"/>
          <w:szCs w:val="24"/>
          <w:highlight w:val="none"/>
        </w:rPr>
        <w:t>2、重点区域重点时段走航监测、评估</w:t>
      </w:r>
    </w:p>
    <w:p w14:paraId="1E60A553">
      <w:pPr>
        <w:spacing w:line="42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2.1 </w:t>
      </w:r>
      <w:r>
        <w:rPr>
          <w:rFonts w:ascii="Times New Roman" w:hAnsi="Times New Roman"/>
          <w:color w:val="000000"/>
          <w:sz w:val="24"/>
          <w:szCs w:val="24"/>
          <w:highlight w:val="none"/>
        </w:rPr>
        <w:t>VOCs走航技术规范要求</w:t>
      </w:r>
    </w:p>
    <w:p w14:paraId="2BA253CA">
      <w:pPr>
        <w:spacing w:line="420" w:lineRule="exact"/>
        <w:ind w:firstLine="240"/>
        <w:rPr>
          <w:rFonts w:ascii="Times New Roman" w:hAnsi="Times New Roman"/>
          <w:color w:val="000000"/>
          <w:sz w:val="24"/>
          <w:szCs w:val="24"/>
          <w:highlight w:val="none"/>
        </w:rPr>
      </w:pPr>
      <w:r>
        <w:rPr>
          <w:rFonts w:ascii="Times New Roman" w:hAnsi="Times New Roman"/>
          <w:color w:val="000000"/>
          <w:sz w:val="24"/>
          <w:szCs w:val="24"/>
          <w:highlight w:val="none"/>
        </w:rPr>
        <w:t>（1）VOCs走航监测服务不少于</w:t>
      </w:r>
      <w:r>
        <w:rPr>
          <w:rFonts w:hint="eastAsia" w:ascii="Times New Roman" w:hAnsi="Times New Roman"/>
          <w:color w:val="000000"/>
          <w:sz w:val="24"/>
          <w:szCs w:val="24"/>
          <w:highlight w:val="none"/>
        </w:rPr>
        <w:t>10</w:t>
      </w:r>
      <w:r>
        <w:rPr>
          <w:rFonts w:ascii="Times New Roman" w:hAnsi="Times New Roman"/>
          <w:color w:val="000000"/>
          <w:sz w:val="24"/>
          <w:szCs w:val="24"/>
          <w:highlight w:val="none"/>
        </w:rPr>
        <w:t>次，每次走航时间不少于6小时。</w:t>
      </w:r>
    </w:p>
    <w:p w14:paraId="7EED6A9F">
      <w:pPr>
        <w:spacing w:line="420" w:lineRule="exact"/>
        <w:ind w:firstLine="240"/>
        <w:rPr>
          <w:rFonts w:ascii="Times New Roman" w:hAnsi="Times New Roman"/>
          <w:color w:val="000000"/>
          <w:sz w:val="24"/>
          <w:szCs w:val="24"/>
          <w:highlight w:val="none"/>
        </w:rPr>
      </w:pPr>
      <w:r>
        <w:rPr>
          <w:rFonts w:ascii="Times New Roman" w:hAnsi="Times New Roman"/>
          <w:color w:val="000000"/>
          <w:sz w:val="24"/>
          <w:szCs w:val="24"/>
          <w:highlight w:val="none"/>
        </w:rPr>
        <w:t>（2）</w:t>
      </w:r>
      <w:r>
        <w:rPr>
          <w:rFonts w:hint="eastAsia" w:ascii="Times New Roman" w:hAnsi="Times New Roman"/>
          <w:color w:val="000000"/>
          <w:sz w:val="24"/>
          <w:szCs w:val="24"/>
          <w:highlight w:val="none"/>
        </w:rPr>
        <w:t>使用专业</w:t>
      </w:r>
      <w:r>
        <w:rPr>
          <w:rFonts w:ascii="Times New Roman" w:hAnsi="Times New Roman"/>
          <w:color w:val="000000"/>
          <w:sz w:val="24"/>
          <w:szCs w:val="24"/>
          <w:highlight w:val="none"/>
        </w:rPr>
        <w:t>VOCs走航监测车</w:t>
      </w:r>
      <w:r>
        <w:rPr>
          <w:rFonts w:hint="eastAsia" w:ascii="Times New Roman" w:hAnsi="Times New Roman"/>
          <w:color w:val="000000"/>
          <w:sz w:val="24"/>
          <w:szCs w:val="24"/>
          <w:highlight w:val="none"/>
        </w:rPr>
        <w:t>，</w:t>
      </w:r>
      <w:r>
        <w:rPr>
          <w:rFonts w:ascii="Times New Roman" w:hAnsi="Times New Roman"/>
          <w:color w:val="000000"/>
          <w:sz w:val="24"/>
          <w:szCs w:val="24"/>
          <w:highlight w:val="none"/>
        </w:rPr>
        <w:t>走航监测车应搭载VOCs质谱仪器、PM2.5监测仪、PM10监测仪、太阳总辐射监测仪和动态气体校准仪各1台，配套气象五参数仪、大气采样总管、北斗定位系统、UPS供电系统。</w:t>
      </w:r>
    </w:p>
    <w:p w14:paraId="05987C3D">
      <w:pPr>
        <w:spacing w:line="420" w:lineRule="exact"/>
        <w:ind w:firstLine="240"/>
        <w:rPr>
          <w:rFonts w:ascii="Times New Roman" w:hAnsi="Times New Roman"/>
          <w:color w:val="000000"/>
          <w:sz w:val="24"/>
          <w:szCs w:val="24"/>
          <w:highlight w:val="none"/>
        </w:rPr>
      </w:pPr>
      <w:r>
        <w:rPr>
          <w:rFonts w:ascii="Times New Roman" w:hAnsi="Times New Roman"/>
          <w:color w:val="000000"/>
          <w:sz w:val="24"/>
          <w:szCs w:val="24"/>
          <w:highlight w:val="none"/>
        </w:rPr>
        <w:t>（3）可实时在线分析大气中VOCs组分，准确监测的挥发性有机物物种应在100种以上（包括但不限于芳香烃类，烷烃类，烯烃类，苯系物，卤代烃类，酮类物质、酯类物质，醇类物质，醚类物质等）。</w:t>
      </w:r>
    </w:p>
    <w:p w14:paraId="55319500">
      <w:pPr>
        <w:spacing w:line="42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2</w:t>
      </w:r>
      <w:r>
        <w:rPr>
          <w:rFonts w:hint="eastAsia" w:ascii="Times New Roman" w:hAnsi="Times New Roman"/>
          <w:color w:val="000000"/>
          <w:sz w:val="24"/>
          <w:szCs w:val="24"/>
          <w:highlight w:val="none"/>
        </w:rPr>
        <w:t xml:space="preserve">.2 </w:t>
      </w:r>
      <w:r>
        <w:rPr>
          <w:rFonts w:ascii="Times New Roman" w:hAnsi="Times New Roman"/>
          <w:color w:val="000000"/>
          <w:sz w:val="24"/>
          <w:szCs w:val="24"/>
          <w:highlight w:val="none"/>
        </w:rPr>
        <w:t>道路积尘走航技术规范要求</w:t>
      </w:r>
    </w:p>
    <w:p w14:paraId="55B8017E">
      <w:pPr>
        <w:spacing w:line="420" w:lineRule="exact"/>
        <w:ind w:firstLine="240"/>
        <w:rPr>
          <w:rFonts w:ascii="Times New Roman" w:hAnsi="Times New Roman"/>
          <w:color w:val="000000"/>
          <w:sz w:val="24"/>
          <w:szCs w:val="24"/>
          <w:highlight w:val="none"/>
        </w:rPr>
      </w:pPr>
      <w:r>
        <w:rPr>
          <w:rFonts w:ascii="Times New Roman" w:hAnsi="Times New Roman"/>
          <w:color w:val="000000"/>
          <w:sz w:val="24"/>
          <w:szCs w:val="24"/>
          <w:highlight w:val="none"/>
        </w:rPr>
        <w:t>（1）</w:t>
      </w:r>
      <w:r>
        <w:rPr>
          <w:rFonts w:hint="eastAsia" w:ascii="Times New Roman" w:hAnsi="Times New Roman"/>
          <w:color w:val="000000"/>
          <w:sz w:val="24"/>
          <w:szCs w:val="24"/>
          <w:highlight w:val="none"/>
        </w:rPr>
        <w:t>使用专业</w:t>
      </w:r>
      <w:r>
        <w:rPr>
          <w:rFonts w:ascii="Times New Roman" w:hAnsi="Times New Roman"/>
          <w:color w:val="000000"/>
          <w:sz w:val="24"/>
          <w:szCs w:val="24"/>
          <w:highlight w:val="none"/>
        </w:rPr>
        <w:t>积尘走航监测车</w:t>
      </w:r>
      <w:r>
        <w:rPr>
          <w:rFonts w:hint="eastAsia" w:ascii="Times New Roman" w:hAnsi="Times New Roman"/>
          <w:color w:val="000000"/>
          <w:sz w:val="24"/>
          <w:szCs w:val="24"/>
          <w:highlight w:val="none"/>
        </w:rPr>
        <w:t>，</w:t>
      </w:r>
      <w:r>
        <w:rPr>
          <w:rFonts w:ascii="Times New Roman" w:hAnsi="Times New Roman"/>
          <w:color w:val="000000"/>
          <w:sz w:val="24"/>
          <w:szCs w:val="24"/>
          <w:highlight w:val="none"/>
        </w:rPr>
        <w:t>道路积尘走航监测服务不少于</w:t>
      </w:r>
      <w:r>
        <w:rPr>
          <w:rFonts w:hint="eastAsia" w:ascii="Times New Roman" w:hAnsi="Times New Roman"/>
          <w:color w:val="000000"/>
          <w:sz w:val="24"/>
          <w:szCs w:val="24"/>
          <w:highlight w:val="none"/>
        </w:rPr>
        <w:t>6</w:t>
      </w:r>
      <w:r>
        <w:rPr>
          <w:rFonts w:ascii="Times New Roman" w:hAnsi="Times New Roman"/>
          <w:color w:val="000000"/>
          <w:sz w:val="24"/>
          <w:szCs w:val="24"/>
          <w:highlight w:val="none"/>
        </w:rPr>
        <w:t>次，每次时间不少于6小时，每次走航里程总数</w:t>
      </w:r>
      <w:r>
        <w:rPr>
          <w:rFonts w:hint="eastAsia" w:ascii="Times New Roman" w:hAnsi="Times New Roman"/>
          <w:color w:val="000000"/>
          <w:sz w:val="24"/>
          <w:szCs w:val="24"/>
          <w:highlight w:val="none"/>
        </w:rPr>
        <w:t>不少于</w:t>
      </w:r>
      <w:r>
        <w:rPr>
          <w:rFonts w:ascii="Times New Roman" w:hAnsi="Times New Roman"/>
          <w:color w:val="000000"/>
          <w:sz w:val="24"/>
          <w:szCs w:val="24"/>
          <w:highlight w:val="none"/>
        </w:rPr>
        <w:t>140公里，根据情况安排市区和重点乡镇进行走航。</w:t>
      </w:r>
    </w:p>
    <w:p w14:paraId="1AA1929E">
      <w:pPr>
        <w:spacing w:line="420" w:lineRule="exact"/>
        <w:ind w:firstLine="240"/>
        <w:rPr>
          <w:rFonts w:ascii="宋体" w:hAnsi="宋体" w:cs="宋体"/>
          <w:b/>
          <w:bCs/>
          <w:sz w:val="24"/>
          <w:szCs w:val="24"/>
          <w:highlight w:val="none"/>
        </w:rPr>
      </w:pPr>
      <w:r>
        <w:rPr>
          <w:rFonts w:ascii="Times New Roman" w:hAnsi="Times New Roman"/>
          <w:color w:val="000000"/>
          <w:sz w:val="24"/>
          <w:szCs w:val="24"/>
          <w:highlight w:val="none"/>
        </w:rPr>
        <w:t>（2）能够实时分析道路积尘走航浓度值，快速对道路积尘较高区域进行定位。</w:t>
      </w:r>
    </w:p>
    <w:p w14:paraId="68F78C6B">
      <w:pPr>
        <w:spacing w:line="420" w:lineRule="exact"/>
        <w:ind w:firstLine="425"/>
        <w:rPr>
          <w:rFonts w:ascii="宋体" w:hAnsi="宋体" w:cs="宋体"/>
          <w:b/>
          <w:bCs/>
          <w:sz w:val="24"/>
          <w:szCs w:val="24"/>
          <w:highlight w:val="none"/>
        </w:rPr>
      </w:pPr>
      <w:r>
        <w:rPr>
          <w:rFonts w:hint="eastAsia" w:ascii="宋体" w:hAnsi="宋体" w:cs="宋体"/>
          <w:b/>
          <w:bCs/>
          <w:sz w:val="24"/>
          <w:szCs w:val="24"/>
          <w:highlight w:val="none"/>
        </w:rPr>
        <w:t>3、环境空气、大气污染物等大数据融合智慧分析</w:t>
      </w:r>
    </w:p>
    <w:p w14:paraId="4D715438">
      <w:pPr>
        <w:spacing w:line="42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3.1 基于最新监测数据动态更新本地 EKMA 曲线模型，辅助优化臭氧污染综合分析与管控措施，提升臭氧污染问题定位精度与管控针对性。</w:t>
      </w:r>
    </w:p>
    <w:p w14:paraId="4F7EA38C">
      <w:pPr>
        <w:spacing w:line="42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3.2 投标人运用空气质量数值预报模型（如WRF-Chem, NAQPMS等）</w:t>
      </w:r>
      <w:r>
        <w:rPr>
          <w:rFonts w:ascii="Times New Roman" w:hAnsi="Times New Roman"/>
          <w:color w:val="000000"/>
          <w:sz w:val="24"/>
          <w:szCs w:val="24"/>
          <w:highlight w:val="none"/>
        </w:rPr>
        <w:t>实现每日、每周、每月空气质量预报，</w:t>
      </w:r>
      <w:r>
        <w:rPr>
          <w:rFonts w:ascii="Times New Roman" w:hAnsi="Times New Roman"/>
          <w:sz w:val="24"/>
          <w:szCs w:val="24"/>
          <w:highlight w:val="none"/>
        </w:rPr>
        <w:t>O</w:t>
      </w:r>
      <w:r>
        <w:rPr>
          <w:rFonts w:ascii="Times New Roman" w:hAnsi="Times New Roman"/>
          <w:sz w:val="24"/>
          <w:szCs w:val="24"/>
          <w:highlight w:val="none"/>
          <w:vertAlign w:val="subscript"/>
        </w:rPr>
        <w:t>3</w:t>
      </w:r>
      <w:r>
        <w:rPr>
          <w:rFonts w:ascii="Times New Roman" w:hAnsi="Times New Roman"/>
          <w:color w:val="000000"/>
          <w:sz w:val="24"/>
          <w:szCs w:val="24"/>
          <w:highlight w:val="none"/>
        </w:rPr>
        <w:t>浓度预测准确率</w:t>
      </w:r>
      <w:r>
        <w:rPr>
          <w:rFonts w:hint="eastAsia" w:ascii="Times New Roman" w:hAnsi="Times New Roman"/>
          <w:color w:val="000000"/>
          <w:sz w:val="24"/>
          <w:szCs w:val="24"/>
          <w:highlight w:val="none"/>
        </w:rPr>
        <w:t>≥</w:t>
      </w:r>
      <w:r>
        <w:rPr>
          <w:rFonts w:ascii="Times New Roman" w:hAnsi="Times New Roman"/>
          <w:color w:val="000000"/>
          <w:sz w:val="24"/>
          <w:szCs w:val="24"/>
          <w:highlight w:val="none"/>
        </w:rPr>
        <w:t>70%</w:t>
      </w:r>
      <w:r>
        <w:rPr>
          <w:rFonts w:hint="eastAsia" w:ascii="Times New Roman" w:hAnsi="Times New Roman"/>
          <w:color w:val="000000"/>
          <w:sz w:val="24"/>
          <w:szCs w:val="24"/>
          <w:highlight w:val="none"/>
        </w:rPr>
        <w:t>，</w:t>
      </w:r>
      <w:r>
        <w:rPr>
          <w:rFonts w:ascii="Times New Roman" w:hAnsi="Times New Roman"/>
          <w:color w:val="000000"/>
          <w:sz w:val="24"/>
          <w:szCs w:val="24"/>
          <w:highlight w:val="none"/>
        </w:rPr>
        <w:t>颗粒物预测准确率</w:t>
      </w:r>
      <w:r>
        <w:rPr>
          <w:rFonts w:hint="eastAsia" w:ascii="Times New Roman" w:hAnsi="Times New Roman"/>
          <w:color w:val="000000"/>
          <w:sz w:val="24"/>
          <w:szCs w:val="24"/>
          <w:highlight w:val="none"/>
        </w:rPr>
        <w:t>≥</w:t>
      </w:r>
      <w:r>
        <w:rPr>
          <w:rFonts w:ascii="Times New Roman" w:hAnsi="Times New Roman"/>
          <w:color w:val="000000"/>
          <w:sz w:val="24"/>
          <w:szCs w:val="24"/>
          <w:highlight w:val="none"/>
        </w:rPr>
        <w:t>80%</w:t>
      </w:r>
      <w:r>
        <w:rPr>
          <w:rFonts w:hint="eastAsia" w:ascii="Times New Roman" w:hAnsi="Times New Roman"/>
          <w:color w:val="000000"/>
          <w:sz w:val="24"/>
          <w:szCs w:val="24"/>
          <w:highlight w:val="none"/>
        </w:rPr>
        <w:t>；</w:t>
      </w:r>
    </w:p>
    <w:p w14:paraId="39ED7618">
      <w:pPr>
        <w:spacing w:line="42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3.3 对达预警级别的污染过程及时开展复盘，过程结束后24小时内形成复盘分析笔记，内容涵盖气象形势、污染特征与来源构成，支撑应急经验积累。</w:t>
      </w:r>
    </w:p>
    <w:p w14:paraId="11F65F24">
      <w:pPr>
        <w:spacing w:line="42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3.4建立本地化工园区小型站高频盯控制度，高值时段触发特征物种—VOCs源清单比对分析，形成可复核的溯源结论，并结合外业实勘校核。</w:t>
      </w:r>
    </w:p>
    <w:p w14:paraId="736FEE2F">
      <w:pPr>
        <w:spacing w:line="42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3.5每周开展周度达标余量预测与追赶分析，编制周追赶分析报告，明确"以周保月"管控路径，支撑年度目标可控。</w:t>
      </w:r>
    </w:p>
    <w:p w14:paraId="0636DC15">
      <w:pPr>
        <w:spacing w:line="42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3.6 按季节、气象条件、污染类型等维度补充案例档案，形成可检索、可复用的污染过程知识库，并随业务持续更新。</w:t>
      </w:r>
    </w:p>
    <w:p w14:paraId="70B26FE2">
      <w:pPr>
        <w:spacing w:line="42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3.7 采用微信或者小程序自动化推送站点数据变化，能够及时对站点差异数据识别判断。</w:t>
      </w:r>
    </w:p>
    <w:p w14:paraId="1612091F">
      <w:pPr>
        <w:spacing w:line="42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3.8 对走航、飞航高值区域或问题线索企业，开展专项分析，形成问题分析报告，对企业问题整改提供技术帮扶。</w:t>
      </w:r>
    </w:p>
    <w:p w14:paraId="551E5039">
      <w:pPr>
        <w:spacing w:line="42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3.9 重点企业、一般企业分别按照一定比例抽取形成帮扶清单，完成企业源清单填报技术指导、数据审实与减排潜力分析。</w:t>
      </w:r>
    </w:p>
    <w:p w14:paraId="53C29E2C">
      <w:pPr>
        <w:spacing w:line="420" w:lineRule="exact"/>
        <w:ind w:firstLine="425"/>
        <w:rPr>
          <w:rFonts w:ascii="宋体" w:hAnsi="宋体" w:cs="宋体"/>
          <w:b/>
          <w:bCs/>
          <w:sz w:val="24"/>
          <w:szCs w:val="24"/>
          <w:highlight w:val="none"/>
        </w:rPr>
      </w:pPr>
      <w:r>
        <w:rPr>
          <w:rFonts w:hint="eastAsia" w:ascii="宋体" w:hAnsi="宋体" w:cs="宋体"/>
          <w:b/>
          <w:bCs/>
          <w:sz w:val="24"/>
          <w:szCs w:val="24"/>
          <w:highlight w:val="none"/>
        </w:rPr>
        <w:t>4、污染天气应急管控数据更新与分析应用</w:t>
      </w:r>
    </w:p>
    <w:p w14:paraId="2749AC44">
      <w:pPr>
        <w:spacing w:line="42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（1）结合污染态势研判，及时更新污染天气应急减排措施，提出符合本地污染特征的应对建议，保障应急响应及时有效。</w:t>
      </w:r>
    </w:p>
    <w:p w14:paraId="73A81132">
      <w:pPr>
        <w:spacing w:line="42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（2）依托年度VOCs源清单成果，分析、筛查企业潜在污染贡献比例等要素，提出精准管控建议，支撑污染天气应对与问题溯源工作。</w:t>
      </w:r>
    </w:p>
    <w:p w14:paraId="34D29361">
      <w:pPr>
        <w:numPr>
          <w:ilvl w:val="0"/>
          <w:numId w:val="5"/>
        </w:numPr>
        <w:autoSpaceDE w:val="0"/>
        <w:autoSpaceDN w:val="0"/>
        <w:adjustRightInd w:val="0"/>
        <w:spacing w:line="420" w:lineRule="exact"/>
        <w:rPr>
          <w:rFonts w:ascii="宋体" w:hAnsi="宋体" w:cs="宋体"/>
          <w:b/>
          <w:bCs/>
          <w:sz w:val="24"/>
          <w:szCs w:val="24"/>
          <w:highlight w:val="none"/>
        </w:rPr>
      </w:pPr>
      <w:r>
        <w:rPr>
          <w:rFonts w:hint="eastAsia" w:ascii="宋体" w:hAnsi="宋体" w:cs="宋体"/>
          <w:b/>
          <w:bCs/>
          <w:sz w:val="24"/>
          <w:szCs w:val="24"/>
          <w:highlight w:val="none"/>
        </w:rPr>
        <w:t>人员及设备要求</w:t>
      </w:r>
    </w:p>
    <w:p w14:paraId="78AC88E5">
      <w:pPr>
        <w:spacing w:line="420" w:lineRule="exact"/>
        <w:ind w:firstLine="425"/>
        <w:rPr>
          <w:rFonts w:ascii="Times New Roman" w:hAnsi="Times New Roman"/>
          <w:b/>
          <w:bCs/>
          <w:color w:val="000000"/>
          <w:sz w:val="24"/>
          <w:szCs w:val="24"/>
          <w:highlight w:val="none"/>
        </w:rPr>
      </w:pPr>
      <w:r>
        <w:rPr>
          <w:rFonts w:hint="eastAsia" w:ascii="宋体" w:hAnsi="宋体" w:cs="宋体"/>
          <w:b/>
          <w:bCs/>
          <w:sz w:val="24"/>
          <w:szCs w:val="24"/>
          <w:highlight w:val="none"/>
        </w:rPr>
        <w:t>★1、</w:t>
      </w:r>
      <w:r>
        <w:rPr>
          <w:rFonts w:hint="eastAsia" w:ascii="Times New Roman" w:hAnsi="Times New Roman"/>
          <w:b/>
          <w:bCs/>
          <w:color w:val="000000"/>
          <w:sz w:val="24"/>
          <w:szCs w:val="24"/>
          <w:highlight w:val="none"/>
        </w:rPr>
        <w:t>人员要求：</w:t>
      </w:r>
    </w:p>
    <w:p w14:paraId="2D8F3DE3">
      <w:pPr>
        <w:spacing w:line="420" w:lineRule="exact"/>
        <w:ind w:firstLine="425"/>
        <w:rPr>
          <w:rFonts w:ascii="Times New Roman" w:hAnsi="Times New Roman"/>
          <w:color w:val="000000"/>
          <w:sz w:val="24"/>
          <w:szCs w:val="24"/>
          <w:highlight w:val="none"/>
        </w:rPr>
      </w:pPr>
      <w:r>
        <w:rPr>
          <w:rFonts w:hint="eastAsia" w:ascii="Times New Roman" w:hAnsi="Times New Roman"/>
          <w:color w:val="000000"/>
          <w:sz w:val="24"/>
          <w:szCs w:val="24"/>
          <w:highlight w:val="none"/>
        </w:rPr>
        <w:t>1.1</w:t>
      </w:r>
      <w:r>
        <w:rPr>
          <w:rFonts w:ascii="Times New Roman" w:hAnsi="Times New Roman"/>
          <w:color w:val="000000"/>
          <w:sz w:val="24"/>
          <w:szCs w:val="24"/>
          <w:highlight w:val="none"/>
        </w:rPr>
        <w:t>投标人应为本项目配备</w:t>
      </w:r>
      <w:r>
        <w:rPr>
          <w:rFonts w:hint="eastAsia" w:ascii="Times New Roman" w:hAnsi="Times New Roman"/>
          <w:color w:val="000000"/>
          <w:sz w:val="24"/>
          <w:szCs w:val="24"/>
          <w:highlight w:val="none"/>
        </w:rPr>
        <w:t>项目经理</w:t>
      </w:r>
      <w:r>
        <w:rPr>
          <w:rFonts w:ascii="Times New Roman" w:hAnsi="Times New Roman"/>
          <w:color w:val="000000"/>
          <w:sz w:val="24"/>
          <w:szCs w:val="24"/>
          <w:highlight w:val="none"/>
        </w:rPr>
        <w:t>1人、</w:t>
      </w:r>
      <w:r>
        <w:rPr>
          <w:rFonts w:hint="eastAsia" w:ascii="Times New Roman" w:hAnsi="Times New Roman"/>
          <w:color w:val="000000"/>
          <w:sz w:val="24"/>
          <w:szCs w:val="24"/>
          <w:highlight w:val="none"/>
        </w:rPr>
        <w:t>技术负责人</w:t>
      </w:r>
      <w:r>
        <w:rPr>
          <w:rFonts w:ascii="Times New Roman" w:hAnsi="Times New Roman"/>
          <w:color w:val="000000"/>
          <w:sz w:val="24"/>
          <w:szCs w:val="24"/>
          <w:highlight w:val="none"/>
        </w:rPr>
        <w:t>1人，以及承担下列岗位职责的专职人员若干：（1）数据分析岗位——负责多源数据融合分析、污染成因溯源与报告编制；（2）外业巡查与走航岗位——负责走航、无人机航拍巡查及现场核查</w:t>
      </w:r>
      <w:r>
        <w:rPr>
          <w:rFonts w:hint="eastAsia" w:ascii="Times New Roman" w:hAnsi="Times New Roman"/>
          <w:color w:val="000000"/>
          <w:sz w:val="24"/>
          <w:szCs w:val="24"/>
          <w:highlight w:val="none"/>
        </w:rPr>
        <w:t>，具备民用无人驾驶航空器操控员执照无人机驾驶证</w:t>
      </w:r>
      <w:r>
        <w:rPr>
          <w:rFonts w:ascii="Times New Roman" w:hAnsi="Times New Roman"/>
          <w:color w:val="000000"/>
          <w:sz w:val="24"/>
          <w:szCs w:val="24"/>
          <w:highlight w:val="none"/>
        </w:rPr>
        <w:t>。上述岗位人员不得相互兼任，</w:t>
      </w:r>
      <w:r>
        <w:rPr>
          <w:rFonts w:hint="eastAsia" w:ascii="Times New Roman" w:hAnsi="Times New Roman"/>
          <w:color w:val="000000"/>
          <w:sz w:val="24"/>
          <w:szCs w:val="24"/>
          <w:highlight w:val="none"/>
        </w:rPr>
        <w:t>技术负责人</w:t>
      </w:r>
      <w:r>
        <w:rPr>
          <w:rFonts w:ascii="Times New Roman" w:hAnsi="Times New Roman"/>
          <w:color w:val="000000"/>
          <w:sz w:val="24"/>
          <w:szCs w:val="24"/>
          <w:highlight w:val="none"/>
        </w:rPr>
        <w:t>、</w:t>
      </w:r>
      <w:r>
        <w:rPr>
          <w:rFonts w:hint="eastAsia" w:ascii="Times New Roman" w:hAnsi="Times New Roman"/>
          <w:color w:val="000000"/>
          <w:sz w:val="24"/>
          <w:szCs w:val="24"/>
          <w:highlight w:val="none"/>
        </w:rPr>
        <w:t>项目经理</w:t>
      </w:r>
      <w:r>
        <w:rPr>
          <w:rFonts w:ascii="Times New Roman" w:hAnsi="Times New Roman"/>
          <w:color w:val="000000"/>
          <w:sz w:val="24"/>
          <w:szCs w:val="24"/>
          <w:highlight w:val="none"/>
        </w:rPr>
        <w:t>亦不得兼任</w:t>
      </w:r>
      <w:r>
        <w:rPr>
          <w:rFonts w:hint="eastAsia" w:ascii="Times New Roman" w:hAnsi="Times New Roman"/>
          <w:color w:val="000000"/>
          <w:sz w:val="24"/>
          <w:szCs w:val="24"/>
          <w:highlight w:val="none"/>
        </w:rPr>
        <w:t>，</w:t>
      </w:r>
      <w:r>
        <w:rPr>
          <w:rFonts w:ascii="Times New Roman" w:hAnsi="Times New Roman"/>
          <w:color w:val="000000"/>
          <w:sz w:val="24"/>
          <w:szCs w:val="24"/>
          <w:highlight w:val="none"/>
        </w:rPr>
        <w:t>团队人员应分工明确，组织合理，能够对日常工作和大气的内业分析和外业巡查工作快速响应。</w:t>
      </w:r>
    </w:p>
    <w:p w14:paraId="5A8F3DB4">
      <w:pPr>
        <w:spacing w:line="420" w:lineRule="exact"/>
        <w:ind w:firstLine="425"/>
        <w:rPr>
          <w:rFonts w:ascii="Times New Roman" w:hAnsi="Times New Roman"/>
          <w:color w:val="000000"/>
          <w:sz w:val="24"/>
          <w:szCs w:val="24"/>
          <w:highlight w:val="none"/>
        </w:rPr>
      </w:pPr>
      <w:r>
        <w:rPr>
          <w:rFonts w:hint="eastAsia" w:ascii="Times New Roman" w:hAnsi="Times New Roman"/>
          <w:color w:val="000000"/>
          <w:sz w:val="24"/>
          <w:szCs w:val="24"/>
          <w:highlight w:val="none"/>
        </w:rPr>
        <w:t>1.2服务期间，落实已建立的问题发现交办闭环机制。对根据大数据分析溯源和走航现场勘察监测等手段发现的问题，及时反馈提供建议。</w:t>
      </w:r>
    </w:p>
    <w:p w14:paraId="08C82192">
      <w:pPr>
        <w:spacing w:line="420" w:lineRule="exact"/>
        <w:ind w:firstLine="425"/>
        <w:rPr>
          <w:rFonts w:ascii="Times New Roman" w:hAnsi="Times New Roman"/>
          <w:color w:val="000000"/>
          <w:sz w:val="24"/>
          <w:szCs w:val="24"/>
          <w:highlight w:val="none"/>
        </w:rPr>
      </w:pPr>
      <w:r>
        <w:rPr>
          <w:rFonts w:hint="eastAsia" w:ascii="Times New Roman" w:hAnsi="Times New Roman"/>
          <w:color w:val="000000"/>
          <w:sz w:val="24"/>
          <w:szCs w:val="24"/>
          <w:highlight w:val="none"/>
        </w:rPr>
        <w:t>1.3本项目实施过程中人员不得随意更换。如遇特殊情况确需更换的，必须征得采购人同意，并确保人员的执业资质等要求不低于原投入人员。</w:t>
      </w:r>
    </w:p>
    <w:p w14:paraId="67D8EE62">
      <w:pPr>
        <w:spacing w:line="420" w:lineRule="exact"/>
        <w:ind w:firstLine="425"/>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2、设备配置要求：</w:t>
      </w:r>
    </w:p>
    <w:p w14:paraId="287D6DFC">
      <w:pPr>
        <w:spacing w:line="420" w:lineRule="exact"/>
        <w:ind w:firstLine="480"/>
        <w:jc w:val="left"/>
        <w:rPr>
          <w:rFonts w:ascii="Times New Roman" w:hAnsi="Times New Roman"/>
          <w:color w:val="000000"/>
          <w:sz w:val="24"/>
          <w:szCs w:val="24"/>
          <w:highlight w:val="none"/>
        </w:rPr>
      </w:pPr>
      <w:r>
        <w:rPr>
          <w:rFonts w:hint="eastAsia" w:ascii="Times New Roman" w:hAnsi="Times New Roman"/>
          <w:color w:val="000000"/>
          <w:sz w:val="24"/>
          <w:szCs w:val="24"/>
          <w:highlight w:val="none"/>
        </w:rPr>
        <w:t>2.1 数量要求：VOCs质谱仪1台、VOCs走航车1台、颗粒物激光雷达1台、</w:t>
      </w:r>
      <w:r>
        <w:rPr>
          <w:rFonts w:ascii="Times New Roman" w:hAnsi="Times New Roman"/>
          <w:color w:val="000000"/>
          <w:sz w:val="24"/>
          <w:szCs w:val="24"/>
          <w:highlight w:val="none"/>
        </w:rPr>
        <w:t>无人机</w:t>
      </w:r>
      <w:r>
        <w:rPr>
          <w:rFonts w:hint="eastAsia" w:ascii="Times New Roman" w:hAnsi="Times New Roman"/>
          <w:color w:val="000000"/>
          <w:sz w:val="24"/>
          <w:szCs w:val="24"/>
          <w:highlight w:val="none"/>
        </w:rPr>
        <w:t>3架、微型空气站设备3台。</w:t>
      </w:r>
    </w:p>
    <w:p w14:paraId="3E3DF113">
      <w:pPr>
        <w:spacing w:line="42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2</w:t>
      </w:r>
      <w:r>
        <w:rPr>
          <w:rFonts w:hint="eastAsia" w:ascii="Times New Roman" w:hAnsi="Times New Roman"/>
          <w:color w:val="000000"/>
          <w:sz w:val="24"/>
          <w:szCs w:val="24"/>
          <w:highlight w:val="none"/>
        </w:rPr>
        <w:t>.2 服务保障设备配置要求</w:t>
      </w:r>
      <w:r>
        <w:rPr>
          <w:rFonts w:ascii="Times New Roman" w:hAnsi="Times New Roman"/>
          <w:color w:val="000000"/>
          <w:sz w:val="24"/>
          <w:szCs w:val="24"/>
          <w:highlight w:val="none"/>
        </w:rPr>
        <w:t>：</w:t>
      </w:r>
    </w:p>
    <w:p w14:paraId="3FB01261">
      <w:pPr>
        <w:spacing w:line="42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（1）VOCs质谱仪：膜富集-真空紫外光电离、反射式飞行时间质谱；可在线分析烷烃、烯烃、炔烃、苯系物、卤代物等，支持 TO14、PAMS、有机硫等标气，可实现 100 多种物质在线分析，支持 VOCs 及恶臭气体定性定量、溯源分析；聚甲基硅氧烷膜富集进样，配备恒温加热装置；干泵+分子泵组合，可实现 5×10⁻³Pa 以上高真空；运行模式支持固定监测、车载走航秒级实时在线检测，无需样品采样、存储、运输前处理环节。</w:t>
      </w:r>
    </w:p>
    <w:p w14:paraId="1720FD18">
      <w:pPr>
        <w:spacing w:line="42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（2）VOCs走航车：商用厢式底盘改装，配置减振加固结构，集成车载供配电、UPS 稳压、隔离变压器、车载空调通风系统，行驶、驻车均可保障设备稳定运行。商用厢式底盘改装，配置减振加固结构，集成车载供配电、UPS 稳压、隔离变压器、车载空调通风系统，行驶、驻车均可保障设备稳定运行。定位与数据融合：GPS 定位，监测数据与车辆航迹绑定；支持 GIS 可视化，生成污染热力图、时间‑高度图谱，完成污染溯源定位。数据采集传输：本地存储全部监测数据，支持 4G远程上传，Web 端可查看设备状态、调取历史数据。</w:t>
      </w:r>
    </w:p>
    <w:p w14:paraId="22CF651A">
      <w:pPr>
        <w:spacing w:line="42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（3）颗粒物激光雷达：RayAL-GB型</w:t>
      </w:r>
    </w:p>
    <w:p w14:paraId="40B4F9E7">
      <w:pPr>
        <w:spacing w:line="420" w:lineRule="exact"/>
        <w:ind w:firstLine="1330"/>
        <w:rPr>
          <w:rFonts w:ascii="Times New Roman" w:hAnsi="Times New Roman"/>
          <w:color w:val="000000"/>
          <w:sz w:val="24"/>
          <w:szCs w:val="24"/>
          <w:highlight w:val="none"/>
        </w:rPr>
      </w:pPr>
      <w:r>
        <w:rPr>
          <w:rFonts w:hint="eastAsia" w:ascii="Times New Roman" w:hAnsi="Times New Roman"/>
          <w:color w:val="000000"/>
          <w:sz w:val="24"/>
          <w:szCs w:val="24"/>
          <w:highlight w:val="none"/>
        </w:rPr>
        <w:t>激光器：全固态 Nd:YAG 激光器</w:t>
      </w:r>
    </w:p>
    <w:p w14:paraId="6572DA53">
      <w:pPr>
        <w:spacing w:line="420" w:lineRule="exact"/>
        <w:ind w:firstLine="1330"/>
        <w:rPr>
          <w:rFonts w:ascii="Times New Roman" w:hAnsi="Times New Roman"/>
          <w:color w:val="000000"/>
          <w:sz w:val="24"/>
          <w:szCs w:val="24"/>
          <w:highlight w:val="none"/>
        </w:rPr>
      </w:pPr>
      <w:r>
        <w:rPr>
          <w:rFonts w:hint="eastAsia" w:ascii="Times New Roman" w:hAnsi="Times New Roman"/>
          <w:color w:val="000000"/>
          <w:sz w:val="24"/>
          <w:szCs w:val="24"/>
          <w:highlight w:val="none"/>
        </w:rPr>
        <w:t>波长 532nm，单脉冲输出能量≥1mJ，脉冲频率 2000Hz</w:t>
      </w:r>
    </w:p>
    <w:p w14:paraId="16101F89">
      <w:pPr>
        <w:spacing w:line="420" w:lineRule="exact"/>
        <w:ind w:firstLine="1330"/>
        <w:rPr>
          <w:rFonts w:ascii="Times New Roman" w:hAnsi="Times New Roman"/>
          <w:color w:val="000000"/>
          <w:sz w:val="24"/>
          <w:szCs w:val="24"/>
          <w:highlight w:val="none"/>
        </w:rPr>
      </w:pPr>
      <w:r>
        <w:rPr>
          <w:rFonts w:hint="eastAsia" w:ascii="Times New Roman" w:hAnsi="Times New Roman"/>
          <w:color w:val="000000"/>
          <w:sz w:val="24"/>
          <w:szCs w:val="24"/>
          <w:highlight w:val="none"/>
        </w:rPr>
        <w:t>接收望远镜：反射式光学系统，口径≥130mm</w:t>
      </w:r>
    </w:p>
    <w:p w14:paraId="45BC9116">
      <w:pPr>
        <w:spacing w:line="420" w:lineRule="exact"/>
        <w:ind w:firstLine="1330"/>
        <w:rPr>
          <w:rFonts w:ascii="Times New Roman" w:hAnsi="Times New Roman"/>
          <w:color w:val="000000"/>
          <w:sz w:val="24"/>
          <w:szCs w:val="24"/>
          <w:highlight w:val="none"/>
        </w:rPr>
      </w:pPr>
      <w:r>
        <w:rPr>
          <w:rFonts w:hint="eastAsia" w:ascii="Times New Roman" w:hAnsi="Times New Roman"/>
          <w:color w:val="000000"/>
          <w:sz w:val="24"/>
          <w:szCs w:val="24"/>
          <w:highlight w:val="none"/>
        </w:rPr>
        <w:t>探测能力：垂直探测高度≥10km，水平探测距离≥5km（受大气条件影响）</w:t>
      </w:r>
    </w:p>
    <w:p w14:paraId="49242AB6">
      <w:pPr>
        <w:spacing w:line="420" w:lineRule="exact"/>
        <w:ind w:firstLine="1330"/>
        <w:rPr>
          <w:rFonts w:ascii="Times New Roman" w:hAnsi="Times New Roman"/>
          <w:color w:val="000000"/>
          <w:sz w:val="24"/>
          <w:szCs w:val="24"/>
          <w:highlight w:val="none"/>
        </w:rPr>
      </w:pPr>
      <w:r>
        <w:rPr>
          <w:rFonts w:hint="eastAsia" w:ascii="Times New Roman" w:hAnsi="Times New Roman"/>
          <w:color w:val="000000"/>
          <w:sz w:val="24"/>
          <w:szCs w:val="24"/>
          <w:highlight w:val="none"/>
        </w:rPr>
        <w:t>扫描范围：方位角 360°，天顶角 0‑90°，软件可调角度与速度</w:t>
      </w:r>
    </w:p>
    <w:p w14:paraId="63802367">
      <w:pPr>
        <w:spacing w:line="42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（4）无人机：赶赴目标区域开展联动溯源，支撑管理部门快速响应处置。园区污染源排查、污染热点溯源、突发污染应急巡检，完成无人机核实的监测业务。</w:t>
      </w:r>
    </w:p>
    <w:p w14:paraId="09DBDFE8">
      <w:pPr>
        <w:spacing w:line="420" w:lineRule="exact"/>
        <w:ind w:firstLine="425"/>
        <w:rPr>
          <w:rFonts w:ascii="Times New Roman" w:hAnsi="Times New Roman"/>
          <w:color w:val="000000"/>
          <w:sz w:val="24"/>
          <w:szCs w:val="24"/>
          <w:highlight w:val="none"/>
        </w:rPr>
      </w:pPr>
      <w:r>
        <w:rPr>
          <w:rFonts w:hint="eastAsia" w:ascii="Times New Roman" w:hAnsi="Times New Roman"/>
          <w:color w:val="000000"/>
          <w:sz w:val="24"/>
          <w:szCs w:val="24"/>
          <w:highlight w:val="none"/>
        </w:rPr>
        <w:t>（5）微型空气站设备：可监测PM2.5、PM10、SO2、NO2、O3、CO等因子</w:t>
      </w:r>
    </w:p>
    <w:p w14:paraId="14F9891C">
      <w:pPr>
        <w:numPr>
          <w:ilvl w:val="0"/>
          <w:numId w:val="5"/>
        </w:numPr>
        <w:autoSpaceDE w:val="0"/>
        <w:autoSpaceDN w:val="0"/>
        <w:adjustRightInd w:val="0"/>
        <w:spacing w:line="420" w:lineRule="exact"/>
        <w:rPr>
          <w:rFonts w:ascii="宋体" w:hAnsi="宋体" w:cs="宋体"/>
          <w:b/>
          <w:bCs/>
          <w:sz w:val="24"/>
          <w:szCs w:val="24"/>
          <w:highlight w:val="none"/>
        </w:rPr>
      </w:pPr>
      <w:r>
        <w:rPr>
          <w:rFonts w:ascii="宋体" w:hAnsi="宋体" w:cs="宋体"/>
          <w:b/>
          <w:bCs/>
          <w:sz w:val="24"/>
          <w:szCs w:val="24"/>
          <w:highlight w:val="none"/>
        </w:rPr>
        <w:t>验收要求</w:t>
      </w:r>
    </w:p>
    <w:p w14:paraId="28007F6F">
      <w:pPr>
        <w:spacing w:line="420" w:lineRule="exact"/>
        <w:ind w:firstLine="425"/>
        <w:rPr>
          <w:rFonts w:ascii="Times New Roman" w:hAnsi="Times New Roman"/>
          <w:color w:val="000000"/>
          <w:sz w:val="24"/>
          <w:szCs w:val="24"/>
          <w:highlight w:val="none"/>
        </w:rPr>
      </w:pPr>
      <w:r>
        <w:rPr>
          <w:rFonts w:ascii="Times New Roman" w:hAnsi="Times New Roman"/>
          <w:color w:val="000000"/>
          <w:sz w:val="24"/>
          <w:szCs w:val="24"/>
          <w:highlight w:val="none"/>
        </w:rPr>
        <w:t>1、中标人必须在规定的时间内，保质保量完成各阶段的服务工作。</w:t>
      </w:r>
    </w:p>
    <w:p w14:paraId="5F839FB5">
      <w:pPr>
        <w:spacing w:line="420" w:lineRule="exact"/>
        <w:ind w:firstLine="425"/>
        <w:rPr>
          <w:rFonts w:ascii="Times New Roman" w:hAnsi="Times New Roman"/>
          <w:color w:val="000000"/>
          <w:sz w:val="24"/>
          <w:szCs w:val="24"/>
          <w:highlight w:val="none"/>
        </w:rPr>
      </w:pPr>
      <w:r>
        <w:rPr>
          <w:rFonts w:ascii="Times New Roman" w:hAnsi="Times New Roman"/>
          <w:color w:val="000000"/>
          <w:sz w:val="24"/>
          <w:szCs w:val="24"/>
          <w:highlight w:val="none"/>
        </w:rPr>
        <w:t>2、验收标准：根据招标文件、中标人的投标文件、双方签订的合同文件及其附件；</w:t>
      </w:r>
      <w:r>
        <w:rPr>
          <w:rFonts w:hint="eastAsia" w:ascii="Times New Roman" w:hAnsi="Times New Roman"/>
          <w:color w:val="000000"/>
          <w:sz w:val="24"/>
          <w:szCs w:val="24"/>
          <w:highlight w:val="none"/>
        </w:rPr>
        <w:t>中标人需提交服务工作报告、国家级或省级专家评审意见（签字）。</w:t>
      </w:r>
    </w:p>
    <w:p w14:paraId="14FECD4A">
      <w:pPr>
        <w:numPr>
          <w:ilvl w:val="0"/>
          <w:numId w:val="6"/>
        </w:numPr>
        <w:spacing w:line="420" w:lineRule="exact"/>
        <w:rPr>
          <w:rFonts w:ascii="宋体" w:hAnsi="宋体" w:cs="宋体"/>
          <w:b/>
          <w:bCs/>
          <w:sz w:val="28"/>
          <w:szCs w:val="28"/>
          <w:highlight w:val="none"/>
        </w:rPr>
      </w:pPr>
      <w:r>
        <w:rPr>
          <w:rFonts w:hint="eastAsia" w:ascii="宋体" w:hAnsi="宋体" w:cs="宋体"/>
          <w:b/>
          <w:bCs/>
          <w:sz w:val="28"/>
          <w:szCs w:val="28"/>
          <w:highlight w:val="none"/>
        </w:rPr>
        <w:t>投标报价要求：</w:t>
      </w:r>
    </w:p>
    <w:p w14:paraId="2A3280A6">
      <w:pPr>
        <w:numPr>
          <w:ilvl w:val="0"/>
          <w:numId w:val="7"/>
        </w:numPr>
        <w:spacing w:line="420" w:lineRule="exact"/>
        <w:ind w:firstLine="480" w:firstLineChars="200"/>
        <w:rPr>
          <w:rFonts w:ascii="宋体" w:hAnsi="宋体" w:cs="宋体"/>
          <w:b/>
          <w:sz w:val="24"/>
          <w:szCs w:val="24"/>
          <w:highlight w:val="none"/>
          <w:lang w:val="zh-CN"/>
        </w:rPr>
      </w:pPr>
      <w:r>
        <w:rPr>
          <w:rFonts w:hint="eastAsia" w:ascii="宋体" w:hAnsi="宋体" w:cs="宋体"/>
          <w:sz w:val="24"/>
          <w:szCs w:val="24"/>
          <w:highlight w:val="none"/>
        </w:rPr>
        <w:t>投标人须对本项目中要求的所有服务进行投报，不得拆开投报或只投其中的部分内容，否则作无效投标处理。</w:t>
      </w:r>
    </w:p>
    <w:p w14:paraId="1CFF9D48">
      <w:pPr>
        <w:numPr>
          <w:ilvl w:val="0"/>
          <w:numId w:val="7"/>
        </w:numPr>
        <w:spacing w:line="420" w:lineRule="exact"/>
        <w:ind w:firstLine="482" w:firstLineChars="200"/>
        <w:rPr>
          <w:rFonts w:hint="eastAsia" w:ascii="宋体" w:hAnsi="宋体" w:cs="宋体"/>
          <w:b/>
          <w:sz w:val="24"/>
          <w:szCs w:val="24"/>
          <w:highlight w:val="none"/>
          <w:lang w:val="zh-CN"/>
        </w:rPr>
      </w:pPr>
      <w:r>
        <w:rPr>
          <w:rFonts w:hint="eastAsia" w:ascii="宋体" w:hAnsi="宋体" w:cs="宋体"/>
          <w:b/>
          <w:sz w:val="24"/>
          <w:szCs w:val="24"/>
          <w:highlight w:val="none"/>
          <w:lang w:val="zh-CN"/>
        </w:rPr>
        <w:t>本项目采购预算为¥</w:t>
      </w:r>
      <w:r>
        <w:rPr>
          <w:rFonts w:hint="eastAsia" w:ascii="宋体" w:hAnsi="宋体" w:cs="宋体"/>
          <w:b/>
          <w:sz w:val="24"/>
          <w:szCs w:val="24"/>
          <w:highlight w:val="none"/>
        </w:rPr>
        <w:t>1800000</w:t>
      </w:r>
      <w:r>
        <w:rPr>
          <w:rFonts w:hint="eastAsia" w:ascii="宋体" w:hAnsi="宋体" w:cs="宋体"/>
          <w:b/>
          <w:sz w:val="24"/>
          <w:szCs w:val="24"/>
          <w:highlight w:val="none"/>
          <w:lang w:val="zh-CN"/>
        </w:rPr>
        <w:t>.00元（人民币</w:t>
      </w:r>
      <w:r>
        <w:rPr>
          <w:rFonts w:hint="eastAsia" w:ascii="宋体" w:hAnsi="宋体" w:cs="宋体"/>
          <w:b/>
          <w:sz w:val="24"/>
          <w:szCs w:val="24"/>
          <w:highlight w:val="none"/>
        </w:rPr>
        <w:t>壹佰捌拾万</w:t>
      </w:r>
      <w:r>
        <w:rPr>
          <w:rFonts w:hint="eastAsia" w:ascii="宋体" w:hAnsi="宋体" w:cs="宋体"/>
          <w:b/>
          <w:sz w:val="24"/>
          <w:szCs w:val="24"/>
          <w:highlight w:val="none"/>
          <w:lang w:val="zh-CN"/>
        </w:rPr>
        <w:t>元整），</w:t>
      </w:r>
      <w:r>
        <w:rPr>
          <w:rFonts w:hint="eastAsia" w:ascii="宋体" w:hAnsi="宋体" w:cs="宋体"/>
          <w:b/>
          <w:sz w:val="24"/>
          <w:szCs w:val="24"/>
          <w:highlight w:val="none"/>
          <w:lang w:val="en-US" w:eastAsia="zh-CN"/>
        </w:rPr>
        <w:t>最高限价为</w:t>
      </w:r>
      <w:r>
        <w:rPr>
          <w:rFonts w:hint="eastAsia" w:ascii="宋体" w:hAnsi="宋体" w:cs="宋体"/>
          <w:b/>
          <w:sz w:val="24"/>
          <w:szCs w:val="24"/>
          <w:highlight w:val="none"/>
          <w:lang w:val="zh-CN"/>
        </w:rPr>
        <w:t>¥</w:t>
      </w:r>
      <w:r>
        <w:rPr>
          <w:rFonts w:hint="eastAsia" w:ascii="宋体" w:hAnsi="宋体" w:cs="宋体"/>
          <w:b/>
          <w:sz w:val="24"/>
          <w:szCs w:val="24"/>
          <w:highlight w:val="none"/>
        </w:rPr>
        <w:t>1</w:t>
      </w:r>
      <w:r>
        <w:rPr>
          <w:rFonts w:hint="eastAsia" w:ascii="宋体" w:hAnsi="宋体" w:cs="宋体"/>
          <w:b/>
          <w:sz w:val="24"/>
          <w:szCs w:val="24"/>
          <w:highlight w:val="none"/>
          <w:lang w:val="en-US" w:eastAsia="zh-CN"/>
        </w:rPr>
        <w:t>785</w:t>
      </w:r>
      <w:r>
        <w:rPr>
          <w:rFonts w:hint="eastAsia" w:ascii="宋体" w:hAnsi="宋体" w:cs="宋体"/>
          <w:b/>
          <w:sz w:val="24"/>
          <w:szCs w:val="24"/>
          <w:highlight w:val="none"/>
        </w:rPr>
        <w:t>000</w:t>
      </w:r>
      <w:r>
        <w:rPr>
          <w:rFonts w:hint="eastAsia" w:ascii="宋体" w:hAnsi="宋体" w:cs="宋体"/>
          <w:b/>
          <w:sz w:val="24"/>
          <w:szCs w:val="24"/>
          <w:highlight w:val="none"/>
          <w:lang w:val="zh-CN"/>
        </w:rPr>
        <w:t>.00元（人民币</w:t>
      </w:r>
      <w:r>
        <w:rPr>
          <w:rFonts w:hint="eastAsia" w:ascii="宋体" w:hAnsi="宋体" w:cs="宋体"/>
          <w:b/>
          <w:sz w:val="24"/>
          <w:szCs w:val="24"/>
          <w:highlight w:val="none"/>
          <w:lang w:val="en-US" w:eastAsia="zh-CN"/>
        </w:rPr>
        <w:t>壹佰柒拾捌万伍仟</w:t>
      </w:r>
      <w:r>
        <w:rPr>
          <w:rFonts w:hint="eastAsia" w:ascii="宋体" w:hAnsi="宋体" w:cs="宋体"/>
          <w:b/>
          <w:sz w:val="24"/>
          <w:szCs w:val="24"/>
          <w:highlight w:val="none"/>
          <w:lang w:val="zh-CN"/>
        </w:rPr>
        <w:t>元整），投标总价不得超过</w:t>
      </w:r>
      <w:r>
        <w:rPr>
          <w:rFonts w:hint="eastAsia" w:ascii="宋体" w:hAnsi="宋体" w:cs="宋体"/>
          <w:b/>
          <w:sz w:val="24"/>
          <w:szCs w:val="24"/>
          <w:highlight w:val="none"/>
          <w:lang w:val="en-US" w:eastAsia="zh-CN"/>
        </w:rPr>
        <w:t>最高限价</w:t>
      </w:r>
      <w:r>
        <w:rPr>
          <w:rFonts w:hint="eastAsia" w:ascii="宋体" w:hAnsi="宋体" w:cs="宋体"/>
          <w:b/>
          <w:sz w:val="24"/>
          <w:szCs w:val="24"/>
          <w:highlight w:val="none"/>
          <w:lang w:val="zh-CN"/>
        </w:rPr>
        <w:t>，否则将作无效投标处理。</w:t>
      </w:r>
    </w:p>
    <w:p w14:paraId="4CF1E89E">
      <w:pPr>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3、本项目投标报价应以人民币报价，投标总价包括人工费（包括人员工资、福利费、加班费、社会保险费用等）、平台费、服务费、设备工具费、报告编制费（含印刷费）、数据更新费、通讯费、交通费、差旅费、风险费、后续服务费、利润、税费及政策性文件规定和合同所包含的所有风险、责任等各项应有费用。</w:t>
      </w:r>
    </w:p>
    <w:p w14:paraId="2D47B6D4">
      <w:pPr>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4、</w:t>
      </w:r>
      <w:r>
        <w:rPr>
          <w:rFonts w:hint="eastAsia" w:ascii="宋体" w:hAnsi="宋体" w:cs="宋体"/>
          <w:sz w:val="24"/>
          <w:highlight w:val="none"/>
        </w:rPr>
        <w:t>请投标人根据自身经验，充分考虑本项目的潜在风险，并自行承担由此而产生的一切费用，采购人不因项目不可预见的情况而支付任何费用</w:t>
      </w:r>
      <w:r>
        <w:rPr>
          <w:rFonts w:hint="eastAsia" w:ascii="宋体" w:hAnsi="宋体" w:cs="宋体"/>
          <w:sz w:val="24"/>
          <w:szCs w:val="24"/>
          <w:highlight w:val="none"/>
        </w:rPr>
        <w:t>。</w:t>
      </w:r>
    </w:p>
    <w:p w14:paraId="35B59A9E">
      <w:pPr>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5、</w:t>
      </w:r>
      <w:bookmarkEnd w:id="277"/>
      <w:bookmarkEnd w:id="278"/>
      <w:r>
        <w:rPr>
          <w:rFonts w:hint="eastAsia" w:ascii="宋体" w:hAnsi="宋体" w:cs="宋体"/>
          <w:sz w:val="24"/>
          <w:szCs w:val="24"/>
          <w:highlight w:val="none"/>
        </w:rPr>
        <w:t>采购文件未列明，而投标人认为其他必需的费用也需列入报价，采购人不再为本项目支付其他任何费用。</w:t>
      </w:r>
    </w:p>
    <w:p w14:paraId="20BC1059">
      <w:pPr>
        <w:spacing w:line="420" w:lineRule="exact"/>
        <w:ind w:firstLine="420" w:firstLineChars="200"/>
        <w:rPr>
          <w:rFonts w:ascii="宋体" w:hAnsi="宋体" w:cs="宋体"/>
          <w:b/>
          <w:sz w:val="36"/>
          <w:highlight w:val="none"/>
        </w:rPr>
      </w:pPr>
      <w:r>
        <w:rPr>
          <w:rFonts w:hint="eastAsia" w:ascii="宋体" w:hAnsi="宋体" w:cs="宋体"/>
          <w:highlight w:val="none"/>
        </w:rPr>
        <w:br w:type="page"/>
      </w:r>
    </w:p>
    <w:p w14:paraId="5B2F3A33">
      <w:pPr>
        <w:pStyle w:val="2"/>
        <w:spacing w:line="440" w:lineRule="exact"/>
        <w:rPr>
          <w:rFonts w:cs="宋体"/>
          <w:highlight w:val="none"/>
        </w:rPr>
      </w:pPr>
      <w:bookmarkStart w:id="279" w:name="_Toc28175"/>
      <w:r>
        <w:rPr>
          <w:rFonts w:hint="eastAsia" w:cs="宋体"/>
          <w:highlight w:val="none"/>
        </w:rPr>
        <w:t>第五章 评审方法与评审标准</w:t>
      </w:r>
      <w:bookmarkEnd w:id="276"/>
      <w:bookmarkEnd w:id="279"/>
    </w:p>
    <w:p w14:paraId="6D8DBEA0">
      <w:pPr>
        <w:spacing w:line="420" w:lineRule="exact"/>
        <w:rPr>
          <w:rFonts w:ascii="宋体" w:hAnsi="宋体" w:cs="宋体"/>
          <w:b/>
          <w:bCs/>
          <w:sz w:val="28"/>
          <w:highlight w:val="none"/>
        </w:rPr>
      </w:pPr>
      <w:r>
        <w:rPr>
          <w:rFonts w:hint="eastAsia" w:ascii="宋体" w:hAnsi="宋体" w:cs="宋体"/>
          <w:b/>
          <w:bCs/>
          <w:sz w:val="28"/>
          <w:highlight w:val="none"/>
        </w:rPr>
        <w:t>一、评标方法</w:t>
      </w:r>
    </w:p>
    <w:p w14:paraId="326DEBC6">
      <w:pPr>
        <w:spacing w:line="420" w:lineRule="exact"/>
        <w:ind w:firstLine="420"/>
        <w:rPr>
          <w:rFonts w:ascii="宋体" w:hAnsi="宋体" w:cs="宋体"/>
          <w:sz w:val="24"/>
          <w:szCs w:val="24"/>
          <w:highlight w:val="none"/>
        </w:rPr>
      </w:pPr>
      <w:r>
        <w:rPr>
          <w:rFonts w:hint="eastAsia" w:ascii="宋体" w:hAnsi="宋体" w:cs="宋体"/>
          <w:sz w:val="24"/>
          <w:szCs w:val="24"/>
          <w:highlight w:val="none"/>
        </w:rPr>
        <w:t>评标办法采用</w:t>
      </w:r>
      <w:r>
        <w:rPr>
          <w:rFonts w:hint="eastAsia" w:ascii="宋体" w:hAnsi="宋体" w:cs="宋体"/>
          <w:b/>
          <w:sz w:val="24"/>
          <w:szCs w:val="24"/>
          <w:highlight w:val="none"/>
        </w:rPr>
        <w:t>综合评分法</w:t>
      </w:r>
      <w:r>
        <w:rPr>
          <w:rFonts w:hint="eastAsia" w:ascii="宋体" w:hAnsi="宋体" w:cs="宋体"/>
          <w:sz w:val="24"/>
          <w:szCs w:val="24"/>
          <w:highlight w:val="none"/>
        </w:rPr>
        <w:t>。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14:paraId="28B9D80F">
      <w:pPr>
        <w:spacing w:line="420" w:lineRule="exact"/>
        <w:rPr>
          <w:rFonts w:ascii="宋体" w:hAnsi="宋体" w:cs="宋体"/>
          <w:b/>
          <w:bCs/>
          <w:sz w:val="28"/>
          <w:highlight w:val="none"/>
        </w:rPr>
      </w:pPr>
      <w:r>
        <w:rPr>
          <w:rFonts w:hint="eastAsia" w:ascii="宋体" w:hAnsi="宋体" w:cs="宋体"/>
          <w:b/>
          <w:bCs/>
          <w:sz w:val="28"/>
          <w:highlight w:val="none"/>
        </w:rPr>
        <w:t>二、评审因素、权值及评分标准</w:t>
      </w:r>
    </w:p>
    <w:p w14:paraId="4633B67D">
      <w:pPr>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注：每部分的得分保留小数点后两位，合计得分保留小数点后两位。</w:t>
      </w:r>
    </w:p>
    <w:p w14:paraId="176731C9">
      <w:pPr>
        <w:spacing w:line="420" w:lineRule="exact"/>
        <w:ind w:firstLine="241" w:firstLineChars="100"/>
        <w:rPr>
          <w:rFonts w:ascii="宋体" w:hAnsi="宋体" w:cs="宋体"/>
          <w:b/>
          <w:sz w:val="24"/>
          <w:szCs w:val="24"/>
          <w:highlight w:val="none"/>
        </w:rPr>
      </w:pPr>
      <w:r>
        <w:rPr>
          <w:rFonts w:hint="eastAsia" w:ascii="宋体" w:hAnsi="宋体" w:cs="宋体"/>
          <w:b/>
          <w:sz w:val="24"/>
          <w:szCs w:val="24"/>
          <w:highlight w:val="none"/>
        </w:rPr>
        <w:t>1、报价得分25分</w:t>
      </w:r>
    </w:p>
    <w:p w14:paraId="2AD3CF5F">
      <w:pPr>
        <w:spacing w:line="420" w:lineRule="exact"/>
        <w:ind w:firstLine="480" w:firstLineChars="200"/>
        <w:rPr>
          <w:rFonts w:ascii="宋体" w:hAnsi="宋体" w:cs="宋体"/>
          <w:sz w:val="24"/>
          <w:highlight w:val="none"/>
        </w:rPr>
      </w:pPr>
      <w:bookmarkStart w:id="280" w:name="_Toc29724"/>
      <w:r>
        <w:rPr>
          <w:rFonts w:hint="eastAsia" w:ascii="宋体" w:hAnsi="宋体" w:cs="宋体"/>
          <w:sz w:val="24"/>
          <w:highlight w:val="none"/>
        </w:rPr>
        <w:t>满足招标文件要求且投标价格最低的投标报价为评标基准价，其价格分为25分；其他投标人的价格分按下列公式计算：投标报价得分＝（评标基准价／投标报价）×25分。</w:t>
      </w:r>
    </w:p>
    <w:p w14:paraId="737A98A2">
      <w:pPr>
        <w:tabs>
          <w:tab w:val="left" w:pos="0"/>
        </w:tabs>
        <w:spacing w:line="420" w:lineRule="exact"/>
        <w:ind w:right="-27" w:rightChars="-13" w:firstLine="482" w:firstLineChars="200"/>
        <w:rPr>
          <w:rFonts w:ascii="宋体" w:hAnsi="宋体" w:cs="宋体"/>
          <w:b/>
          <w:sz w:val="24"/>
          <w:szCs w:val="24"/>
          <w:highlight w:val="none"/>
        </w:rPr>
      </w:pPr>
      <w:r>
        <w:rPr>
          <w:rFonts w:hint="eastAsia" w:ascii="宋体" w:hAnsi="宋体" w:cs="宋体"/>
          <w:b/>
          <w:sz w:val="24"/>
          <w:szCs w:val="24"/>
          <w:highlight w:val="none"/>
        </w:rPr>
        <w:t xml:space="preserve">注：（一）采购人应当在采购文件中明确，政府采购评审中出现下列情形之一的，评审委员会应当启动异常低价投标（响应）审查程序： </w:t>
      </w:r>
    </w:p>
    <w:p w14:paraId="5D46A7D2">
      <w:pPr>
        <w:tabs>
          <w:tab w:val="left" w:pos="0"/>
        </w:tabs>
        <w:spacing w:line="420" w:lineRule="exact"/>
        <w:ind w:right="-27" w:rightChars="-13" w:firstLine="482" w:firstLineChars="200"/>
        <w:rPr>
          <w:rFonts w:ascii="宋体" w:hAnsi="宋体" w:cs="宋体"/>
          <w:b/>
          <w:sz w:val="24"/>
          <w:szCs w:val="24"/>
          <w:highlight w:val="none"/>
        </w:rPr>
      </w:pPr>
      <w:r>
        <w:rPr>
          <w:rFonts w:hint="eastAsia" w:ascii="宋体" w:hAnsi="宋体" w:cs="宋体"/>
          <w:b/>
          <w:sz w:val="24"/>
          <w:szCs w:val="24"/>
          <w:highlight w:val="none"/>
        </w:rPr>
        <w:t xml:space="preserve">1.投标（响应）报价低于全部通过符合性审查供应商投标（响应）报价平均值50%的，即投标（响应）报价&lt;全部通过符合性审查供应商投标（响应）报价平均值×50%； </w:t>
      </w:r>
    </w:p>
    <w:p w14:paraId="7EF3B54E">
      <w:pPr>
        <w:tabs>
          <w:tab w:val="left" w:pos="0"/>
        </w:tabs>
        <w:spacing w:line="420" w:lineRule="exact"/>
        <w:ind w:right="-27" w:rightChars="-13" w:firstLine="482" w:firstLineChars="200"/>
        <w:rPr>
          <w:rFonts w:ascii="宋体" w:hAnsi="宋体" w:cs="宋体"/>
          <w:b/>
          <w:sz w:val="24"/>
          <w:szCs w:val="24"/>
          <w:highlight w:val="none"/>
        </w:rPr>
      </w:pPr>
      <w:r>
        <w:rPr>
          <w:rFonts w:hint="eastAsia" w:ascii="宋体" w:hAnsi="宋体" w:cs="宋体"/>
          <w:b/>
          <w:sz w:val="24"/>
          <w:szCs w:val="24"/>
          <w:highlight w:val="none"/>
        </w:rPr>
        <w:t xml:space="preserve">2.投标（响应）报价低于通过符合性审查的次低报价供应商投标（响应）报价50%的，即投标（响应）报价&lt;通过符合性审查的次低报价供应商投标（响应）报价×50%； </w:t>
      </w:r>
    </w:p>
    <w:p w14:paraId="38E17881">
      <w:pPr>
        <w:tabs>
          <w:tab w:val="left" w:pos="0"/>
        </w:tabs>
        <w:spacing w:line="420" w:lineRule="exact"/>
        <w:ind w:right="-27" w:rightChars="-13" w:firstLine="482" w:firstLineChars="200"/>
        <w:rPr>
          <w:rFonts w:ascii="宋体" w:hAnsi="宋体" w:cs="宋体"/>
          <w:b/>
          <w:sz w:val="24"/>
          <w:szCs w:val="24"/>
          <w:highlight w:val="none"/>
        </w:rPr>
      </w:pPr>
      <w:r>
        <w:rPr>
          <w:rFonts w:hint="eastAsia" w:ascii="宋体" w:hAnsi="宋体" w:cs="宋体"/>
          <w:b/>
          <w:sz w:val="24"/>
          <w:szCs w:val="24"/>
          <w:highlight w:val="none"/>
        </w:rPr>
        <w:t xml:space="preserve">3.投标（响应）报价低于采购项目最高限价45%的，即投标（响应）报价&lt;采购项目最高限价×45%； </w:t>
      </w:r>
    </w:p>
    <w:p w14:paraId="33E61AF7">
      <w:pPr>
        <w:tabs>
          <w:tab w:val="left" w:pos="0"/>
        </w:tabs>
        <w:spacing w:line="420" w:lineRule="exact"/>
        <w:ind w:right="-27" w:rightChars="-13" w:firstLine="482" w:firstLineChars="200"/>
        <w:rPr>
          <w:rFonts w:ascii="宋体" w:hAnsi="宋体" w:cs="宋体"/>
          <w:b/>
          <w:sz w:val="24"/>
          <w:szCs w:val="24"/>
          <w:highlight w:val="none"/>
        </w:rPr>
      </w:pPr>
      <w:r>
        <w:rPr>
          <w:rFonts w:hint="eastAsia" w:ascii="宋体" w:hAnsi="宋体" w:cs="宋体"/>
          <w:b/>
          <w:sz w:val="24"/>
          <w:szCs w:val="24"/>
          <w:highlight w:val="none"/>
        </w:rPr>
        <w:t>4.评审委员会基于专业判断，认为供应商报价过低，有可能影响产品质量或者不能诚信履约的其他情形。</w:t>
      </w:r>
    </w:p>
    <w:p w14:paraId="12E6040D">
      <w:pPr>
        <w:tabs>
          <w:tab w:val="left" w:pos="0"/>
        </w:tabs>
        <w:spacing w:line="420" w:lineRule="exact"/>
        <w:ind w:right="-27" w:rightChars="-13" w:firstLine="482" w:firstLineChars="200"/>
        <w:rPr>
          <w:rFonts w:ascii="宋体" w:hAnsi="宋体" w:cs="宋体"/>
          <w:b/>
          <w:sz w:val="24"/>
          <w:szCs w:val="24"/>
          <w:highlight w:val="none"/>
        </w:rPr>
      </w:pPr>
      <w:r>
        <w:rPr>
          <w:rFonts w:hint="eastAsia" w:ascii="宋体" w:hAnsi="宋体" w:cs="宋体"/>
          <w:b/>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内）。其中，属于第3项情形，供应商已随投标（响应）文件一并提交相关书面说明及必要的证明材料的，在评审现场可不再重复提交。 </w:t>
      </w:r>
    </w:p>
    <w:p w14:paraId="6B46CF9D">
      <w:pPr>
        <w:tabs>
          <w:tab w:val="left" w:pos="0"/>
        </w:tabs>
        <w:spacing w:line="420" w:lineRule="exact"/>
        <w:ind w:right="-27" w:rightChars="-13" w:firstLine="482" w:firstLineChars="200"/>
        <w:rPr>
          <w:rFonts w:ascii="宋体" w:hAnsi="宋体" w:cs="宋体"/>
          <w:b/>
          <w:sz w:val="24"/>
          <w:szCs w:val="24"/>
          <w:highlight w:val="none"/>
        </w:rPr>
      </w:pPr>
      <w:r>
        <w:rPr>
          <w:rFonts w:hint="eastAsia" w:ascii="宋体" w:hAnsi="宋体" w:cs="宋体"/>
          <w:b/>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BF5FB00">
      <w:pPr>
        <w:spacing w:line="440" w:lineRule="exact"/>
        <w:ind w:firstLine="482"/>
        <w:rPr>
          <w:rFonts w:ascii="宋体" w:hAnsi="宋体"/>
          <w:b/>
          <w:bCs/>
          <w:sz w:val="24"/>
          <w:szCs w:val="24"/>
          <w:highlight w:val="none"/>
        </w:rPr>
      </w:pPr>
      <w:r>
        <w:rPr>
          <w:rFonts w:ascii="宋体" w:hAnsi="宋体"/>
          <w:b/>
          <w:bCs/>
          <w:sz w:val="24"/>
          <w:szCs w:val="24"/>
          <w:highlight w:val="none"/>
        </w:rPr>
        <w:t>2、</w:t>
      </w:r>
      <w:r>
        <w:rPr>
          <w:rFonts w:hint="eastAsia" w:ascii="宋体" w:hAnsi="宋体"/>
          <w:b/>
          <w:bCs/>
          <w:sz w:val="24"/>
          <w:szCs w:val="24"/>
          <w:highlight w:val="none"/>
        </w:rPr>
        <w:t>技术服务</w:t>
      </w:r>
      <w:r>
        <w:rPr>
          <w:rFonts w:ascii="宋体" w:hAnsi="宋体"/>
          <w:b/>
          <w:bCs/>
          <w:sz w:val="24"/>
          <w:szCs w:val="24"/>
          <w:highlight w:val="none"/>
        </w:rPr>
        <w:t>36分</w:t>
      </w:r>
    </w:p>
    <w:tbl>
      <w:tblPr>
        <w:tblStyle w:val="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2045"/>
        <w:gridCol w:w="846"/>
        <w:gridCol w:w="5988"/>
      </w:tblGrid>
      <w:tr w14:paraId="5B28E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50" w:type="dxa"/>
            <w:vAlign w:val="center"/>
          </w:tcPr>
          <w:p w14:paraId="5A3314D7">
            <w:pPr>
              <w:spacing w:line="440" w:lineRule="exact"/>
              <w:jc w:val="center"/>
              <w:rPr>
                <w:rFonts w:ascii="宋体" w:hAnsi="宋体"/>
                <w:sz w:val="24"/>
                <w:szCs w:val="24"/>
                <w:highlight w:val="none"/>
              </w:rPr>
            </w:pPr>
            <w:r>
              <w:rPr>
                <w:rFonts w:ascii="宋体" w:hAnsi="宋体"/>
                <w:sz w:val="24"/>
                <w:szCs w:val="24"/>
                <w:highlight w:val="none"/>
              </w:rPr>
              <w:t>序号</w:t>
            </w:r>
          </w:p>
        </w:tc>
        <w:tc>
          <w:tcPr>
            <w:tcW w:w="2045" w:type="dxa"/>
            <w:vAlign w:val="center"/>
          </w:tcPr>
          <w:p w14:paraId="2364BE97">
            <w:pPr>
              <w:spacing w:line="440" w:lineRule="exact"/>
              <w:jc w:val="center"/>
              <w:rPr>
                <w:rFonts w:ascii="宋体" w:hAnsi="宋体"/>
                <w:sz w:val="24"/>
                <w:szCs w:val="24"/>
                <w:highlight w:val="none"/>
              </w:rPr>
            </w:pPr>
            <w:r>
              <w:rPr>
                <w:rFonts w:ascii="宋体" w:hAnsi="宋体"/>
                <w:sz w:val="24"/>
                <w:szCs w:val="24"/>
                <w:highlight w:val="none"/>
              </w:rPr>
              <w:t>评审因素</w:t>
            </w:r>
          </w:p>
        </w:tc>
        <w:tc>
          <w:tcPr>
            <w:tcW w:w="846" w:type="dxa"/>
            <w:vAlign w:val="center"/>
          </w:tcPr>
          <w:p w14:paraId="05FF22BE">
            <w:pPr>
              <w:spacing w:line="440" w:lineRule="exact"/>
              <w:jc w:val="center"/>
              <w:rPr>
                <w:rFonts w:ascii="宋体" w:hAnsi="宋体"/>
                <w:sz w:val="24"/>
                <w:szCs w:val="24"/>
                <w:highlight w:val="none"/>
              </w:rPr>
            </w:pPr>
            <w:r>
              <w:rPr>
                <w:rFonts w:ascii="宋体" w:hAnsi="宋体"/>
                <w:sz w:val="24"/>
                <w:szCs w:val="24"/>
                <w:highlight w:val="none"/>
              </w:rPr>
              <w:t>权值</w:t>
            </w:r>
          </w:p>
        </w:tc>
        <w:tc>
          <w:tcPr>
            <w:tcW w:w="5988" w:type="dxa"/>
            <w:vAlign w:val="center"/>
          </w:tcPr>
          <w:p w14:paraId="36B5BD6D">
            <w:pPr>
              <w:spacing w:line="440" w:lineRule="exact"/>
              <w:jc w:val="center"/>
              <w:rPr>
                <w:rFonts w:ascii="宋体" w:hAnsi="宋体"/>
                <w:sz w:val="24"/>
                <w:szCs w:val="24"/>
                <w:highlight w:val="none"/>
              </w:rPr>
            </w:pPr>
            <w:r>
              <w:rPr>
                <w:rFonts w:ascii="宋体" w:hAnsi="宋体"/>
                <w:sz w:val="24"/>
                <w:szCs w:val="24"/>
                <w:highlight w:val="none"/>
              </w:rPr>
              <w:t>评分标准</w:t>
            </w:r>
          </w:p>
        </w:tc>
      </w:tr>
      <w:tr w14:paraId="62AEC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6" w:hRule="atLeast"/>
          <w:jc w:val="center"/>
        </w:trPr>
        <w:tc>
          <w:tcPr>
            <w:tcW w:w="750" w:type="dxa"/>
            <w:vAlign w:val="center"/>
          </w:tcPr>
          <w:p w14:paraId="5D80908F">
            <w:pPr>
              <w:spacing w:line="440" w:lineRule="exact"/>
              <w:jc w:val="center"/>
              <w:rPr>
                <w:rFonts w:ascii="宋体" w:hAnsi="宋体"/>
                <w:sz w:val="24"/>
                <w:szCs w:val="24"/>
                <w:highlight w:val="none"/>
              </w:rPr>
            </w:pPr>
            <w:r>
              <w:rPr>
                <w:rFonts w:ascii="宋体" w:hAnsi="宋体"/>
                <w:sz w:val="24"/>
                <w:szCs w:val="24"/>
                <w:highlight w:val="none"/>
              </w:rPr>
              <w:t>1</w:t>
            </w:r>
          </w:p>
        </w:tc>
        <w:tc>
          <w:tcPr>
            <w:tcW w:w="2045" w:type="dxa"/>
            <w:vAlign w:val="center"/>
          </w:tcPr>
          <w:p w14:paraId="2EC6884F">
            <w:pPr>
              <w:spacing w:line="440" w:lineRule="exact"/>
              <w:jc w:val="center"/>
              <w:rPr>
                <w:rFonts w:ascii="宋体" w:hAnsi="宋体"/>
                <w:sz w:val="24"/>
                <w:szCs w:val="24"/>
                <w:highlight w:val="none"/>
              </w:rPr>
            </w:pPr>
            <w:r>
              <w:rPr>
                <w:rFonts w:ascii="宋体" w:hAnsi="宋体"/>
                <w:sz w:val="24"/>
                <w:szCs w:val="24"/>
                <w:highlight w:val="none"/>
              </w:rPr>
              <w:t>服务响应情况</w:t>
            </w:r>
          </w:p>
        </w:tc>
        <w:tc>
          <w:tcPr>
            <w:tcW w:w="846" w:type="dxa"/>
            <w:vAlign w:val="center"/>
          </w:tcPr>
          <w:p w14:paraId="3868E2EC">
            <w:pPr>
              <w:spacing w:line="440" w:lineRule="exact"/>
              <w:jc w:val="center"/>
              <w:rPr>
                <w:rFonts w:ascii="宋体" w:hAnsi="宋体"/>
                <w:sz w:val="24"/>
                <w:szCs w:val="24"/>
                <w:highlight w:val="none"/>
              </w:rPr>
            </w:pPr>
            <w:r>
              <w:rPr>
                <w:rFonts w:hint="eastAsia" w:ascii="宋体" w:hAnsi="宋体"/>
                <w:sz w:val="24"/>
                <w:szCs w:val="24"/>
                <w:highlight w:val="none"/>
              </w:rPr>
              <w:t>10</w:t>
            </w:r>
          </w:p>
        </w:tc>
        <w:tc>
          <w:tcPr>
            <w:tcW w:w="5988" w:type="dxa"/>
            <w:vAlign w:val="center"/>
          </w:tcPr>
          <w:p w14:paraId="42D3F9C3">
            <w:pPr>
              <w:spacing w:line="440" w:lineRule="exact"/>
              <w:rPr>
                <w:rFonts w:ascii="宋体" w:hAnsi="宋体"/>
                <w:sz w:val="24"/>
                <w:szCs w:val="24"/>
                <w:highlight w:val="none"/>
              </w:rPr>
            </w:pPr>
            <w:r>
              <w:rPr>
                <w:rFonts w:hint="eastAsia" w:ascii="宋体" w:hAnsi="宋体"/>
                <w:sz w:val="24"/>
                <w:szCs w:val="24"/>
                <w:highlight w:val="none"/>
              </w:rPr>
              <w:t>投标人承诺提供的服务全部满足招标文件要求（共4条）的得基本分10分；有负偏离条款的，每条扣</w:t>
            </w:r>
            <w:r>
              <w:rPr>
                <w:rFonts w:hint="eastAsia" w:ascii="宋体" w:hAnsi="宋体"/>
                <w:sz w:val="24"/>
                <w:szCs w:val="24"/>
                <w:highlight w:val="none"/>
                <w:lang w:val="en-US" w:eastAsia="zh-CN"/>
              </w:rPr>
              <w:t>2.5</w:t>
            </w:r>
            <w:r>
              <w:rPr>
                <w:rFonts w:hint="eastAsia" w:ascii="宋体" w:hAnsi="宋体"/>
                <w:sz w:val="24"/>
                <w:szCs w:val="24"/>
                <w:highlight w:val="none"/>
              </w:rPr>
              <w:t>分。</w:t>
            </w:r>
            <w:r>
              <w:rPr>
                <w:rFonts w:ascii="宋体" w:hAnsi="宋体"/>
                <w:b/>
                <w:bCs/>
                <w:color w:val="000000"/>
                <w:sz w:val="24"/>
                <w:szCs w:val="24"/>
                <w:highlight w:val="none"/>
              </w:rPr>
              <w:t>注：</w:t>
            </w:r>
            <w:r>
              <w:rPr>
                <w:rFonts w:hint="eastAsia" w:ascii="宋体" w:hAnsi="宋体"/>
                <w:b/>
                <w:bCs/>
                <w:color w:val="000000"/>
                <w:sz w:val="24"/>
                <w:szCs w:val="24"/>
                <w:highlight w:val="none"/>
              </w:rPr>
              <w:t>任何一项实质性要求未满足的，</w:t>
            </w:r>
            <w:r>
              <w:rPr>
                <w:rFonts w:hint="eastAsia" w:ascii="宋体" w:hAnsi="宋体" w:cs="宋体"/>
                <w:b/>
                <w:bCs/>
                <w:color w:val="000000"/>
                <w:sz w:val="24"/>
                <w:szCs w:val="24"/>
                <w:highlight w:val="none"/>
              </w:rPr>
              <w:t>将</w:t>
            </w:r>
            <w:r>
              <w:rPr>
                <w:rFonts w:ascii="宋体" w:hAnsi="宋体"/>
                <w:b/>
                <w:bCs/>
                <w:color w:val="000000"/>
                <w:sz w:val="24"/>
                <w:szCs w:val="24"/>
                <w:highlight w:val="none"/>
              </w:rPr>
              <w:t>按无效投标处理</w:t>
            </w:r>
            <w:r>
              <w:rPr>
                <w:rFonts w:hint="eastAsia" w:ascii="宋体" w:hAnsi="宋体"/>
                <w:b/>
                <w:bCs/>
                <w:color w:val="000000"/>
                <w:sz w:val="24"/>
                <w:szCs w:val="24"/>
                <w:highlight w:val="none"/>
              </w:rPr>
              <w:t>。</w:t>
            </w:r>
          </w:p>
        </w:tc>
      </w:tr>
      <w:tr w14:paraId="118D8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35" w:hRule="atLeast"/>
          <w:jc w:val="center"/>
        </w:trPr>
        <w:tc>
          <w:tcPr>
            <w:tcW w:w="750" w:type="dxa"/>
            <w:vAlign w:val="center"/>
          </w:tcPr>
          <w:p w14:paraId="5ED6D1F7">
            <w:pPr>
              <w:spacing w:line="440" w:lineRule="exact"/>
              <w:jc w:val="center"/>
              <w:rPr>
                <w:rFonts w:ascii="宋体" w:hAnsi="宋体"/>
                <w:sz w:val="24"/>
                <w:szCs w:val="24"/>
                <w:highlight w:val="none"/>
              </w:rPr>
            </w:pPr>
            <w:r>
              <w:rPr>
                <w:rFonts w:hint="eastAsia" w:ascii="宋体" w:hAnsi="宋体"/>
                <w:sz w:val="24"/>
                <w:szCs w:val="24"/>
                <w:highlight w:val="none"/>
              </w:rPr>
              <w:t>2</w:t>
            </w:r>
          </w:p>
        </w:tc>
        <w:tc>
          <w:tcPr>
            <w:tcW w:w="2045" w:type="dxa"/>
            <w:vAlign w:val="center"/>
          </w:tcPr>
          <w:p w14:paraId="492D8963">
            <w:pPr>
              <w:spacing w:line="440" w:lineRule="exact"/>
              <w:jc w:val="center"/>
              <w:rPr>
                <w:rFonts w:ascii="宋体" w:hAnsi="宋体"/>
                <w:sz w:val="24"/>
                <w:szCs w:val="24"/>
                <w:highlight w:val="none"/>
              </w:rPr>
            </w:pPr>
            <w:r>
              <w:rPr>
                <w:rFonts w:ascii="宋体" w:hAnsi="宋体"/>
                <w:sz w:val="24"/>
                <w:szCs w:val="24"/>
                <w:highlight w:val="none"/>
              </w:rPr>
              <w:t>高分辨率卫星遥感对地观测</w:t>
            </w:r>
            <w:r>
              <w:rPr>
                <w:rFonts w:hint="eastAsia" w:ascii="宋体" w:hAnsi="宋体"/>
                <w:sz w:val="24"/>
                <w:szCs w:val="24"/>
                <w:highlight w:val="none"/>
              </w:rPr>
              <w:t>、分析方案</w:t>
            </w:r>
          </w:p>
        </w:tc>
        <w:tc>
          <w:tcPr>
            <w:tcW w:w="846" w:type="dxa"/>
            <w:vAlign w:val="center"/>
          </w:tcPr>
          <w:p w14:paraId="28BFBCC9">
            <w:pPr>
              <w:spacing w:line="440" w:lineRule="exact"/>
              <w:jc w:val="center"/>
              <w:rPr>
                <w:rFonts w:ascii="宋体" w:hAnsi="宋体"/>
                <w:sz w:val="24"/>
                <w:szCs w:val="24"/>
                <w:highlight w:val="none"/>
              </w:rPr>
            </w:pPr>
            <w:r>
              <w:rPr>
                <w:rFonts w:hint="eastAsia" w:ascii="宋体" w:hAnsi="宋体"/>
                <w:b w:val="0"/>
                <w:bCs w:val="0"/>
                <w:sz w:val="24"/>
                <w:szCs w:val="24"/>
                <w:highlight w:val="none"/>
              </w:rPr>
              <w:t>6</w:t>
            </w:r>
          </w:p>
        </w:tc>
        <w:tc>
          <w:tcPr>
            <w:tcW w:w="5988" w:type="dxa"/>
            <w:vAlign w:val="center"/>
          </w:tcPr>
          <w:p w14:paraId="5FA022FC">
            <w:pPr>
              <w:spacing w:line="440" w:lineRule="exact"/>
              <w:rPr>
                <w:rFonts w:ascii="宋体" w:hAnsi="宋体"/>
                <w:sz w:val="24"/>
                <w:szCs w:val="24"/>
                <w:highlight w:val="none"/>
                <w:lang w:val="zh-CN"/>
              </w:rPr>
            </w:pPr>
            <w:r>
              <w:rPr>
                <w:rFonts w:hint="eastAsia" w:ascii="宋体" w:hAnsi="宋体"/>
                <w:sz w:val="24"/>
                <w:szCs w:val="24"/>
                <w:highlight w:val="none"/>
              </w:rPr>
              <w:t>根据投标人提供的</w:t>
            </w:r>
            <w:r>
              <w:rPr>
                <w:rFonts w:ascii="宋体" w:hAnsi="宋体"/>
                <w:sz w:val="24"/>
                <w:szCs w:val="24"/>
                <w:highlight w:val="none"/>
              </w:rPr>
              <w:t>高分辨率卫星遥感对地观测</w:t>
            </w:r>
            <w:r>
              <w:rPr>
                <w:rFonts w:hint="eastAsia" w:ascii="宋体" w:hAnsi="宋体"/>
                <w:sz w:val="24"/>
                <w:szCs w:val="24"/>
                <w:highlight w:val="none"/>
              </w:rPr>
              <w:t>、分析方案进行评定</w:t>
            </w:r>
            <w:r>
              <w:rPr>
                <w:rFonts w:hint="eastAsia" w:ascii="宋体" w:hAnsi="宋体"/>
                <w:sz w:val="24"/>
                <w:szCs w:val="24"/>
                <w:highlight w:val="none"/>
                <w:lang w:val="zh-CN"/>
              </w:rPr>
              <w:t>。</w:t>
            </w:r>
          </w:p>
          <w:p w14:paraId="2058CDD2">
            <w:pPr>
              <w:spacing w:line="440" w:lineRule="exact"/>
              <w:rPr>
                <w:rFonts w:ascii="宋体" w:hAnsi="宋体"/>
                <w:sz w:val="24"/>
                <w:szCs w:val="24"/>
                <w:highlight w:val="none"/>
              </w:rPr>
            </w:pPr>
            <w:r>
              <w:rPr>
                <w:rFonts w:hint="eastAsia" w:ascii="宋体" w:hAnsi="宋体"/>
                <w:sz w:val="24"/>
                <w:szCs w:val="24"/>
                <w:highlight w:val="none"/>
              </w:rPr>
              <w:t>方案明确卫星数据源（如卫星类型、影像分辨率）、监测范围（重点关注城区及城郊结合部裸土区域）、裸土识别内容（如裸土类型、裸露面积）的，得</w:t>
            </w:r>
            <w:r>
              <w:rPr>
                <w:rFonts w:ascii="宋体" w:hAnsi="宋体"/>
                <w:sz w:val="24"/>
                <w:szCs w:val="24"/>
                <w:highlight w:val="none"/>
              </w:rPr>
              <w:t>3</w:t>
            </w:r>
            <w:r>
              <w:rPr>
                <w:rFonts w:hint="eastAsia" w:ascii="宋体" w:hAnsi="宋体"/>
                <w:sz w:val="24"/>
                <w:szCs w:val="24"/>
                <w:highlight w:val="none"/>
              </w:rPr>
              <w:t>分；有涉及但未明确数据源或监测范围的，得1</w:t>
            </w:r>
            <w:r>
              <w:rPr>
                <w:rFonts w:ascii="宋体" w:hAnsi="宋体"/>
                <w:sz w:val="24"/>
                <w:szCs w:val="24"/>
                <w:highlight w:val="none"/>
              </w:rPr>
              <w:t>.5</w:t>
            </w:r>
            <w:r>
              <w:rPr>
                <w:rFonts w:hint="eastAsia" w:ascii="宋体" w:hAnsi="宋体"/>
                <w:sz w:val="24"/>
                <w:szCs w:val="24"/>
                <w:highlight w:val="none"/>
              </w:rPr>
              <w:t>分；未提供不得分。</w:t>
            </w:r>
          </w:p>
          <w:p w14:paraId="04556314">
            <w:pPr>
              <w:spacing w:line="440" w:lineRule="exact"/>
              <w:rPr>
                <w:rFonts w:ascii="宋体" w:hAnsi="宋体"/>
                <w:sz w:val="24"/>
                <w:szCs w:val="24"/>
                <w:highlight w:val="none"/>
              </w:rPr>
            </w:pPr>
            <w:r>
              <w:rPr>
                <w:rFonts w:hint="eastAsia" w:ascii="宋体" w:hAnsi="宋体"/>
                <w:sz w:val="24"/>
                <w:szCs w:val="24"/>
                <w:highlight w:val="none"/>
              </w:rPr>
              <w:t>方案中针对</w:t>
            </w:r>
            <w:r>
              <w:rPr>
                <w:rFonts w:hint="eastAsia" w:ascii="宋体" w:hAnsi="宋体" w:cs="宋体"/>
                <w:sz w:val="24"/>
                <w:szCs w:val="24"/>
                <w:highlight w:val="none"/>
              </w:rPr>
              <w:t>甲醛、NOx等因子热点提取及溯源分析方案</w:t>
            </w:r>
            <w:r>
              <w:rPr>
                <w:rFonts w:hint="eastAsia" w:ascii="宋体" w:hAnsi="宋体" w:cs="宋体"/>
                <w:sz w:val="24"/>
                <w:szCs w:val="24"/>
                <w:highlight w:val="none"/>
                <w:lang w:val="en-US" w:eastAsia="zh-CN"/>
              </w:rPr>
              <w:t>内容</w:t>
            </w:r>
            <w:r>
              <w:rPr>
                <w:rFonts w:hint="eastAsia" w:ascii="宋体" w:hAnsi="宋体" w:cs="宋体"/>
                <w:sz w:val="24"/>
                <w:szCs w:val="24"/>
                <w:highlight w:val="none"/>
              </w:rPr>
              <w:t>完善的</w:t>
            </w:r>
            <w:r>
              <w:rPr>
                <w:rFonts w:hint="eastAsia" w:ascii="宋体" w:hAnsi="宋体" w:cs="宋体"/>
                <w:sz w:val="24"/>
                <w:szCs w:val="24"/>
                <w:highlight w:val="none"/>
                <w:lang w:eastAsia="zh-CN"/>
              </w:rPr>
              <w:t>，</w:t>
            </w:r>
            <w:r>
              <w:rPr>
                <w:rFonts w:hint="eastAsia" w:ascii="宋体" w:hAnsi="宋体"/>
                <w:sz w:val="24"/>
                <w:szCs w:val="24"/>
                <w:highlight w:val="none"/>
              </w:rPr>
              <w:t>得</w:t>
            </w:r>
            <w:r>
              <w:rPr>
                <w:rFonts w:ascii="宋体" w:hAnsi="宋体"/>
                <w:sz w:val="24"/>
                <w:szCs w:val="24"/>
                <w:highlight w:val="none"/>
              </w:rPr>
              <w:t>3</w:t>
            </w:r>
            <w:r>
              <w:rPr>
                <w:rFonts w:hint="eastAsia" w:ascii="宋体" w:hAnsi="宋体"/>
                <w:sz w:val="24"/>
                <w:szCs w:val="24"/>
                <w:highlight w:val="none"/>
              </w:rPr>
              <w:t>分；有涉及但不全面的，得1</w:t>
            </w:r>
            <w:r>
              <w:rPr>
                <w:rFonts w:ascii="宋体" w:hAnsi="宋体"/>
                <w:sz w:val="24"/>
                <w:szCs w:val="24"/>
                <w:highlight w:val="none"/>
              </w:rPr>
              <w:t>.5</w:t>
            </w:r>
            <w:r>
              <w:rPr>
                <w:rFonts w:hint="eastAsia" w:ascii="宋体" w:hAnsi="宋体"/>
                <w:sz w:val="24"/>
                <w:szCs w:val="24"/>
                <w:highlight w:val="none"/>
              </w:rPr>
              <w:t>分；未提供不得分。</w:t>
            </w:r>
          </w:p>
        </w:tc>
      </w:tr>
      <w:tr w14:paraId="6C888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50" w:type="dxa"/>
            <w:vAlign w:val="center"/>
          </w:tcPr>
          <w:p w14:paraId="3002E6B4">
            <w:pPr>
              <w:spacing w:line="440" w:lineRule="exact"/>
              <w:jc w:val="center"/>
              <w:rPr>
                <w:rFonts w:ascii="宋体" w:hAnsi="宋体"/>
                <w:sz w:val="24"/>
                <w:szCs w:val="24"/>
                <w:highlight w:val="none"/>
              </w:rPr>
            </w:pPr>
            <w:r>
              <w:rPr>
                <w:rFonts w:hint="eastAsia" w:ascii="宋体" w:hAnsi="宋体"/>
                <w:sz w:val="24"/>
                <w:szCs w:val="24"/>
                <w:highlight w:val="none"/>
              </w:rPr>
              <w:t>3</w:t>
            </w:r>
          </w:p>
        </w:tc>
        <w:tc>
          <w:tcPr>
            <w:tcW w:w="2045" w:type="dxa"/>
            <w:vAlign w:val="center"/>
          </w:tcPr>
          <w:p w14:paraId="0FD0A2C4">
            <w:pPr>
              <w:spacing w:line="440" w:lineRule="exact"/>
              <w:jc w:val="center"/>
              <w:rPr>
                <w:rFonts w:ascii="宋体" w:hAnsi="宋体"/>
                <w:sz w:val="24"/>
                <w:szCs w:val="24"/>
                <w:highlight w:val="none"/>
              </w:rPr>
            </w:pPr>
            <w:r>
              <w:rPr>
                <w:rFonts w:ascii="宋体" w:hAnsi="宋体"/>
                <w:sz w:val="24"/>
                <w:szCs w:val="24"/>
                <w:highlight w:val="none"/>
              </w:rPr>
              <w:t>重点区域重点时段走航监测</w:t>
            </w:r>
            <w:r>
              <w:rPr>
                <w:rFonts w:hint="eastAsia" w:ascii="宋体" w:hAnsi="宋体"/>
                <w:sz w:val="24"/>
                <w:szCs w:val="24"/>
                <w:highlight w:val="none"/>
              </w:rPr>
              <w:t>方案</w:t>
            </w:r>
          </w:p>
        </w:tc>
        <w:tc>
          <w:tcPr>
            <w:tcW w:w="846" w:type="dxa"/>
            <w:vAlign w:val="center"/>
          </w:tcPr>
          <w:p w14:paraId="6A92DB1A">
            <w:pPr>
              <w:spacing w:line="440" w:lineRule="exact"/>
              <w:jc w:val="center"/>
              <w:rPr>
                <w:rFonts w:ascii="宋体" w:hAnsi="宋体"/>
                <w:sz w:val="24"/>
                <w:szCs w:val="24"/>
                <w:highlight w:val="none"/>
              </w:rPr>
            </w:pPr>
            <w:r>
              <w:rPr>
                <w:rFonts w:hint="eastAsia" w:ascii="宋体" w:hAnsi="宋体"/>
                <w:sz w:val="24"/>
                <w:szCs w:val="24"/>
                <w:highlight w:val="none"/>
              </w:rPr>
              <w:t>6</w:t>
            </w:r>
          </w:p>
        </w:tc>
        <w:tc>
          <w:tcPr>
            <w:tcW w:w="5988" w:type="dxa"/>
            <w:vAlign w:val="center"/>
          </w:tcPr>
          <w:p w14:paraId="1DC6BE6C">
            <w:pPr>
              <w:spacing w:line="440" w:lineRule="exact"/>
              <w:rPr>
                <w:rFonts w:ascii="宋体" w:hAnsi="宋体"/>
                <w:sz w:val="24"/>
                <w:szCs w:val="24"/>
                <w:highlight w:val="none"/>
                <w:lang w:val="zh-CN"/>
              </w:rPr>
            </w:pPr>
            <w:r>
              <w:rPr>
                <w:rFonts w:hint="eastAsia" w:ascii="宋体" w:hAnsi="宋体"/>
                <w:sz w:val="24"/>
                <w:szCs w:val="24"/>
                <w:highlight w:val="none"/>
              </w:rPr>
              <w:t>根据投标人提供的</w:t>
            </w:r>
            <w:r>
              <w:rPr>
                <w:rFonts w:ascii="宋体" w:hAnsi="宋体"/>
                <w:sz w:val="24"/>
                <w:szCs w:val="24"/>
                <w:highlight w:val="none"/>
              </w:rPr>
              <w:t>重点区域重点时段走航监测</w:t>
            </w:r>
            <w:r>
              <w:rPr>
                <w:rFonts w:hint="eastAsia" w:ascii="宋体" w:hAnsi="宋体"/>
                <w:sz w:val="24"/>
                <w:szCs w:val="24"/>
                <w:highlight w:val="none"/>
              </w:rPr>
              <w:t>方案进行评定</w:t>
            </w:r>
            <w:r>
              <w:rPr>
                <w:rFonts w:hint="eastAsia" w:ascii="宋体" w:hAnsi="宋体"/>
                <w:sz w:val="24"/>
                <w:szCs w:val="24"/>
                <w:highlight w:val="none"/>
                <w:lang w:val="zh-CN"/>
              </w:rPr>
              <w:t>。</w:t>
            </w:r>
          </w:p>
          <w:p w14:paraId="14235E0A">
            <w:pPr>
              <w:spacing w:line="440" w:lineRule="exact"/>
              <w:rPr>
                <w:rFonts w:ascii="宋体" w:hAnsi="宋体"/>
                <w:sz w:val="24"/>
                <w:szCs w:val="24"/>
                <w:highlight w:val="none"/>
              </w:rPr>
            </w:pPr>
            <w:r>
              <w:rPr>
                <w:rFonts w:hint="eastAsia" w:ascii="宋体" w:hAnsi="宋体"/>
                <w:sz w:val="24"/>
                <w:szCs w:val="24"/>
                <w:highlight w:val="none"/>
              </w:rPr>
              <w:t>VOCs走航方案技术路线清晰（明确监测区域、走航监测设备技术原理）、分析内容（包含 VOCs 污染特征、高污染区域识别、污染来源）</w:t>
            </w:r>
            <w:r>
              <w:rPr>
                <w:rFonts w:hint="eastAsia" w:ascii="宋体" w:hAnsi="宋体"/>
                <w:sz w:val="24"/>
                <w:szCs w:val="24"/>
                <w:highlight w:val="none"/>
                <w:lang w:val="en-US" w:eastAsia="zh-CN"/>
              </w:rPr>
              <w:t>完善合理的，</w:t>
            </w:r>
            <w:r>
              <w:rPr>
                <w:rFonts w:hint="eastAsia" w:ascii="宋体" w:hAnsi="宋体"/>
                <w:sz w:val="24"/>
                <w:szCs w:val="24"/>
                <w:highlight w:val="none"/>
              </w:rPr>
              <w:t>得3分；有涉及但不</w:t>
            </w:r>
            <w:r>
              <w:rPr>
                <w:rFonts w:hint="eastAsia" w:ascii="宋体" w:hAnsi="宋体"/>
                <w:sz w:val="24"/>
                <w:szCs w:val="24"/>
                <w:highlight w:val="none"/>
                <w:lang w:val="en-US" w:eastAsia="zh-CN"/>
              </w:rPr>
              <w:t>全面</w:t>
            </w:r>
            <w:r>
              <w:rPr>
                <w:rFonts w:hint="eastAsia" w:ascii="宋体" w:hAnsi="宋体"/>
                <w:sz w:val="24"/>
                <w:szCs w:val="24"/>
                <w:highlight w:val="none"/>
              </w:rPr>
              <w:t>的，得1.5分；未提供不得分。</w:t>
            </w:r>
          </w:p>
          <w:p w14:paraId="5B06E8E4">
            <w:pPr>
              <w:spacing w:line="440" w:lineRule="exact"/>
              <w:rPr>
                <w:rFonts w:ascii="宋体" w:hAnsi="宋体"/>
                <w:sz w:val="24"/>
                <w:szCs w:val="24"/>
                <w:highlight w:val="none"/>
              </w:rPr>
            </w:pPr>
            <w:r>
              <w:rPr>
                <w:rFonts w:hint="eastAsia" w:ascii="宋体" w:hAnsi="宋体"/>
                <w:sz w:val="24"/>
                <w:szCs w:val="24"/>
                <w:highlight w:val="none"/>
              </w:rPr>
              <w:t>积尘走航方案技术路线清晰（明确监测区域、走航监测设备技术原理）、成果应用清晰（能实时分析道路积尘浓度值，快速定位积尘较高区域，并指导扬尘管控及环卫抑尘作业的）</w:t>
            </w:r>
            <w:r>
              <w:rPr>
                <w:rFonts w:hint="eastAsia" w:ascii="宋体" w:hAnsi="宋体"/>
                <w:sz w:val="24"/>
                <w:szCs w:val="24"/>
                <w:highlight w:val="none"/>
                <w:lang w:val="en-US" w:eastAsia="zh-CN"/>
              </w:rPr>
              <w:t>的，</w:t>
            </w:r>
            <w:r>
              <w:rPr>
                <w:rFonts w:hint="eastAsia" w:ascii="宋体" w:hAnsi="宋体"/>
                <w:sz w:val="24"/>
                <w:szCs w:val="24"/>
                <w:highlight w:val="none"/>
              </w:rPr>
              <w:t>得3分；有涉及但不完整的，得1.5分；未提供不得分。</w:t>
            </w:r>
          </w:p>
        </w:tc>
      </w:tr>
      <w:tr w14:paraId="3562E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750" w:type="dxa"/>
            <w:vAlign w:val="center"/>
          </w:tcPr>
          <w:p w14:paraId="3414D245">
            <w:pPr>
              <w:spacing w:line="440" w:lineRule="exact"/>
              <w:jc w:val="center"/>
              <w:rPr>
                <w:rFonts w:ascii="宋体" w:hAnsi="宋体"/>
                <w:sz w:val="24"/>
                <w:szCs w:val="24"/>
                <w:highlight w:val="none"/>
              </w:rPr>
            </w:pPr>
            <w:r>
              <w:rPr>
                <w:rFonts w:hint="eastAsia" w:ascii="宋体" w:hAnsi="宋体"/>
                <w:sz w:val="24"/>
                <w:szCs w:val="24"/>
                <w:highlight w:val="none"/>
              </w:rPr>
              <w:t>4</w:t>
            </w:r>
          </w:p>
        </w:tc>
        <w:tc>
          <w:tcPr>
            <w:tcW w:w="2045" w:type="dxa"/>
            <w:vAlign w:val="center"/>
          </w:tcPr>
          <w:p w14:paraId="2C56042B">
            <w:pPr>
              <w:spacing w:line="440" w:lineRule="exact"/>
              <w:jc w:val="center"/>
              <w:rPr>
                <w:rFonts w:ascii="宋体" w:hAnsi="宋体"/>
                <w:sz w:val="24"/>
                <w:szCs w:val="24"/>
                <w:highlight w:val="none"/>
              </w:rPr>
            </w:pPr>
            <w:r>
              <w:rPr>
                <w:rFonts w:hint="eastAsia" w:ascii="宋体" w:hAnsi="宋体"/>
                <w:sz w:val="24"/>
                <w:szCs w:val="24"/>
                <w:highlight w:val="none"/>
              </w:rPr>
              <w:t>环境空气、大气污染物等大数据融合智慧分析方案</w:t>
            </w:r>
          </w:p>
        </w:tc>
        <w:tc>
          <w:tcPr>
            <w:tcW w:w="846" w:type="dxa"/>
            <w:vAlign w:val="center"/>
          </w:tcPr>
          <w:p w14:paraId="637EEBA8">
            <w:pPr>
              <w:spacing w:line="440" w:lineRule="exact"/>
              <w:jc w:val="center"/>
              <w:rPr>
                <w:rFonts w:ascii="宋体" w:hAnsi="宋体"/>
                <w:sz w:val="24"/>
                <w:szCs w:val="24"/>
                <w:highlight w:val="none"/>
              </w:rPr>
            </w:pPr>
            <w:r>
              <w:rPr>
                <w:rFonts w:hint="eastAsia" w:ascii="宋体" w:hAnsi="宋体"/>
                <w:sz w:val="24"/>
                <w:szCs w:val="24"/>
                <w:highlight w:val="none"/>
              </w:rPr>
              <w:t>6</w:t>
            </w:r>
          </w:p>
        </w:tc>
        <w:tc>
          <w:tcPr>
            <w:tcW w:w="5988" w:type="dxa"/>
            <w:vAlign w:val="center"/>
          </w:tcPr>
          <w:p w14:paraId="466A55B6">
            <w:pPr>
              <w:spacing w:line="440" w:lineRule="exact"/>
              <w:rPr>
                <w:rFonts w:ascii="宋体" w:hAnsi="宋体"/>
                <w:sz w:val="24"/>
                <w:szCs w:val="24"/>
                <w:highlight w:val="none"/>
              </w:rPr>
            </w:pPr>
            <w:r>
              <w:rPr>
                <w:rFonts w:hint="eastAsia" w:ascii="宋体" w:hAnsi="宋体"/>
                <w:sz w:val="24"/>
                <w:szCs w:val="24"/>
                <w:highlight w:val="none"/>
              </w:rPr>
              <w:t>根据投标人提供的环境空气、大气污染物等大数据融合智慧分析方案进行评定。</w:t>
            </w:r>
          </w:p>
          <w:p w14:paraId="4F82C2E0">
            <w:pPr>
              <w:spacing w:line="440" w:lineRule="exact"/>
              <w:rPr>
                <w:rFonts w:ascii="宋体" w:hAnsi="宋体"/>
                <w:sz w:val="24"/>
                <w:szCs w:val="24"/>
                <w:highlight w:val="none"/>
              </w:rPr>
            </w:pPr>
            <w:r>
              <w:rPr>
                <w:rFonts w:hint="eastAsia" w:ascii="宋体" w:hAnsi="宋体"/>
                <w:sz w:val="24"/>
                <w:szCs w:val="24"/>
                <w:highlight w:val="none"/>
              </w:rPr>
              <w:t>污染防控方案明确EKMA曲线模型和空气质量数值预报模型的技术方法，且化工园区高值溯源流程清晰的，得3分；有涉及但未明确方法原理和具体流程，得1.5分；未提供不得分。</w:t>
            </w:r>
          </w:p>
          <w:p w14:paraId="70C88724">
            <w:pPr>
              <w:spacing w:line="440" w:lineRule="exact"/>
              <w:rPr>
                <w:rFonts w:ascii="宋体" w:hAnsi="宋体"/>
                <w:sz w:val="24"/>
                <w:szCs w:val="24"/>
                <w:highlight w:val="none"/>
              </w:rPr>
            </w:pPr>
            <w:r>
              <w:rPr>
                <w:rFonts w:hint="eastAsia" w:ascii="宋体" w:hAnsi="宋体"/>
                <w:sz w:val="24"/>
                <w:szCs w:val="24"/>
                <w:highlight w:val="none"/>
              </w:rPr>
              <w:t>PM2.5污染防控方案对污染物分析评估的核心维度（如污染成因溯源、重点源识别）、应急响应的核心流程（如预警启动条件、处置措施）均有明确阐述</w:t>
            </w:r>
            <w:r>
              <w:rPr>
                <w:rFonts w:hint="eastAsia" w:ascii="宋体" w:hAnsi="宋体"/>
                <w:sz w:val="24"/>
                <w:szCs w:val="24"/>
                <w:highlight w:val="none"/>
                <w:lang w:val="en-US" w:eastAsia="zh-CN"/>
              </w:rPr>
              <w:t>的，</w:t>
            </w:r>
            <w:r>
              <w:rPr>
                <w:rFonts w:ascii="宋体" w:hAnsi="宋体"/>
                <w:sz w:val="24"/>
                <w:szCs w:val="24"/>
                <w:highlight w:val="none"/>
              </w:rPr>
              <w:t>得</w:t>
            </w:r>
            <w:r>
              <w:rPr>
                <w:rFonts w:hint="eastAsia" w:ascii="宋体" w:hAnsi="宋体"/>
                <w:sz w:val="24"/>
                <w:szCs w:val="24"/>
                <w:highlight w:val="none"/>
              </w:rPr>
              <w:t>3</w:t>
            </w:r>
            <w:r>
              <w:rPr>
                <w:rFonts w:ascii="宋体" w:hAnsi="宋体"/>
                <w:sz w:val="24"/>
                <w:szCs w:val="24"/>
                <w:highlight w:val="none"/>
              </w:rPr>
              <w:t>分</w:t>
            </w:r>
            <w:r>
              <w:rPr>
                <w:rFonts w:hint="eastAsia" w:ascii="宋体" w:hAnsi="宋体"/>
                <w:sz w:val="24"/>
                <w:szCs w:val="24"/>
                <w:highlight w:val="none"/>
                <w:lang w:val="zh-CN"/>
              </w:rPr>
              <w:t>；有涉</w:t>
            </w:r>
            <w:r>
              <w:rPr>
                <w:rFonts w:ascii="宋体" w:hAnsi="宋体"/>
                <w:sz w:val="24"/>
                <w:szCs w:val="24"/>
                <w:highlight w:val="none"/>
                <w:lang w:val="zh-CN"/>
              </w:rPr>
              <w:t>及但不全面的</w:t>
            </w:r>
            <w:r>
              <w:rPr>
                <w:rFonts w:hint="eastAsia" w:ascii="宋体" w:hAnsi="宋体"/>
                <w:sz w:val="24"/>
                <w:szCs w:val="24"/>
                <w:highlight w:val="none"/>
                <w:lang w:val="zh-CN"/>
              </w:rPr>
              <w:t>，</w:t>
            </w:r>
            <w:r>
              <w:rPr>
                <w:rFonts w:ascii="宋体" w:hAnsi="宋体"/>
                <w:sz w:val="24"/>
                <w:szCs w:val="24"/>
                <w:highlight w:val="none"/>
                <w:lang w:val="zh-CN"/>
              </w:rPr>
              <w:t>得</w:t>
            </w:r>
            <w:r>
              <w:rPr>
                <w:rFonts w:hint="eastAsia" w:ascii="宋体" w:hAnsi="宋体"/>
                <w:sz w:val="24"/>
                <w:szCs w:val="24"/>
                <w:highlight w:val="none"/>
              </w:rPr>
              <w:t>1.5</w:t>
            </w:r>
            <w:r>
              <w:rPr>
                <w:rFonts w:ascii="宋体" w:hAnsi="宋体"/>
                <w:sz w:val="24"/>
                <w:szCs w:val="24"/>
                <w:highlight w:val="none"/>
                <w:lang w:val="zh-CN"/>
              </w:rPr>
              <w:t>分，未提供不得分。</w:t>
            </w:r>
          </w:p>
        </w:tc>
      </w:tr>
      <w:tr w14:paraId="5CF0F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50" w:type="dxa"/>
            <w:vAlign w:val="center"/>
          </w:tcPr>
          <w:p w14:paraId="2DD9F1E0">
            <w:pPr>
              <w:spacing w:line="440" w:lineRule="exact"/>
              <w:jc w:val="center"/>
              <w:rPr>
                <w:rFonts w:ascii="宋体" w:hAnsi="宋体"/>
                <w:sz w:val="24"/>
                <w:szCs w:val="24"/>
                <w:highlight w:val="none"/>
              </w:rPr>
            </w:pPr>
            <w:r>
              <w:rPr>
                <w:rFonts w:hint="eastAsia" w:ascii="宋体" w:hAnsi="宋体"/>
                <w:sz w:val="24"/>
                <w:szCs w:val="24"/>
                <w:highlight w:val="none"/>
              </w:rPr>
              <w:t>5</w:t>
            </w:r>
          </w:p>
        </w:tc>
        <w:tc>
          <w:tcPr>
            <w:tcW w:w="2045" w:type="dxa"/>
            <w:vAlign w:val="center"/>
          </w:tcPr>
          <w:p w14:paraId="4F76BEB6">
            <w:pPr>
              <w:spacing w:line="440" w:lineRule="exact"/>
              <w:jc w:val="center"/>
              <w:rPr>
                <w:rFonts w:ascii="宋体" w:hAnsi="宋体"/>
                <w:sz w:val="24"/>
                <w:szCs w:val="24"/>
                <w:highlight w:val="none"/>
              </w:rPr>
            </w:pPr>
            <w:r>
              <w:rPr>
                <w:rFonts w:ascii="宋体" w:hAnsi="宋体"/>
                <w:sz w:val="24"/>
                <w:szCs w:val="24"/>
                <w:highlight w:val="none"/>
              </w:rPr>
              <w:t>污染天气应急管控</w:t>
            </w:r>
            <w:r>
              <w:rPr>
                <w:rFonts w:hint="eastAsia" w:ascii="宋体" w:hAnsi="宋体"/>
                <w:sz w:val="24"/>
                <w:szCs w:val="24"/>
                <w:highlight w:val="none"/>
              </w:rPr>
              <w:t>数据更新与分析应用</w:t>
            </w:r>
          </w:p>
        </w:tc>
        <w:tc>
          <w:tcPr>
            <w:tcW w:w="846" w:type="dxa"/>
            <w:vAlign w:val="center"/>
          </w:tcPr>
          <w:p w14:paraId="1A6C37D7">
            <w:pPr>
              <w:spacing w:line="440" w:lineRule="exact"/>
              <w:jc w:val="center"/>
              <w:rPr>
                <w:rFonts w:ascii="宋体" w:hAnsi="宋体"/>
                <w:sz w:val="24"/>
                <w:szCs w:val="24"/>
                <w:highlight w:val="none"/>
              </w:rPr>
            </w:pPr>
            <w:r>
              <w:rPr>
                <w:rFonts w:hint="eastAsia" w:ascii="宋体" w:hAnsi="宋体"/>
                <w:sz w:val="24"/>
                <w:szCs w:val="24"/>
                <w:highlight w:val="none"/>
              </w:rPr>
              <w:t>6</w:t>
            </w:r>
          </w:p>
        </w:tc>
        <w:tc>
          <w:tcPr>
            <w:tcW w:w="5988" w:type="dxa"/>
            <w:vAlign w:val="center"/>
          </w:tcPr>
          <w:p w14:paraId="44FE96AD">
            <w:pPr>
              <w:spacing w:line="440" w:lineRule="exact"/>
              <w:rPr>
                <w:rFonts w:hint="default" w:ascii="宋体" w:hAnsi="宋体" w:eastAsia="宋体"/>
                <w:sz w:val="24"/>
                <w:szCs w:val="24"/>
                <w:highlight w:val="none"/>
                <w:lang w:val="en-US" w:eastAsia="zh-CN"/>
              </w:rPr>
            </w:pPr>
            <w:r>
              <w:rPr>
                <w:rFonts w:hint="eastAsia" w:ascii="宋体" w:hAnsi="宋体"/>
                <w:sz w:val="24"/>
                <w:szCs w:val="24"/>
                <w:highlight w:val="none"/>
              </w:rPr>
              <w:t>根据投标人提供的</w:t>
            </w:r>
            <w:r>
              <w:rPr>
                <w:rFonts w:ascii="宋体" w:hAnsi="宋体"/>
                <w:sz w:val="24"/>
                <w:szCs w:val="24"/>
                <w:highlight w:val="none"/>
              </w:rPr>
              <w:t>污染天气应急管控</w:t>
            </w:r>
            <w:r>
              <w:rPr>
                <w:rFonts w:hint="eastAsia" w:ascii="宋体" w:hAnsi="宋体"/>
                <w:sz w:val="24"/>
                <w:szCs w:val="24"/>
                <w:highlight w:val="none"/>
              </w:rPr>
              <w:t>数据更新与分析应用</w:t>
            </w:r>
            <w:r>
              <w:rPr>
                <w:rFonts w:hint="eastAsia" w:ascii="宋体" w:hAnsi="宋体"/>
                <w:sz w:val="24"/>
                <w:szCs w:val="24"/>
                <w:highlight w:val="none"/>
                <w:lang w:val="en-US" w:eastAsia="zh-CN"/>
              </w:rPr>
              <w:t>方案进行判定。</w:t>
            </w:r>
          </w:p>
          <w:p w14:paraId="2BF149AF">
            <w:pPr>
              <w:spacing w:line="440" w:lineRule="exact"/>
              <w:rPr>
                <w:rFonts w:ascii="宋体" w:hAnsi="宋体"/>
                <w:sz w:val="24"/>
                <w:szCs w:val="24"/>
                <w:highlight w:val="none"/>
                <w:lang w:val="zh-CN"/>
              </w:rPr>
            </w:pPr>
            <w:r>
              <w:rPr>
                <w:rFonts w:hint="eastAsia" w:ascii="宋体" w:hAnsi="宋体"/>
                <w:sz w:val="24"/>
                <w:szCs w:val="24"/>
                <w:highlight w:val="none"/>
              </w:rPr>
              <w:t>秋冬季污染天气应急管控数据更新与分析</w:t>
            </w:r>
            <w:r>
              <w:rPr>
                <w:rFonts w:hint="eastAsia" w:ascii="宋体" w:hAnsi="宋体"/>
                <w:sz w:val="24"/>
                <w:szCs w:val="24"/>
                <w:highlight w:val="none"/>
                <w:lang w:val="zh-CN"/>
              </w:rPr>
              <w:t>内容完善合理的，得</w:t>
            </w:r>
            <w:r>
              <w:rPr>
                <w:rFonts w:hint="eastAsia" w:ascii="宋体" w:hAnsi="宋体"/>
                <w:sz w:val="24"/>
                <w:szCs w:val="24"/>
                <w:highlight w:val="none"/>
              </w:rPr>
              <w:t>3</w:t>
            </w:r>
            <w:r>
              <w:rPr>
                <w:rFonts w:ascii="宋体" w:hAnsi="宋体"/>
                <w:sz w:val="24"/>
                <w:szCs w:val="24"/>
                <w:highlight w:val="none"/>
                <w:lang w:val="zh-CN"/>
              </w:rPr>
              <w:t>分；有涉及但不全面的</w:t>
            </w:r>
            <w:r>
              <w:rPr>
                <w:rFonts w:hint="eastAsia" w:ascii="宋体" w:hAnsi="宋体"/>
                <w:sz w:val="24"/>
                <w:szCs w:val="24"/>
                <w:highlight w:val="none"/>
                <w:lang w:val="zh-CN"/>
              </w:rPr>
              <w:t>，</w:t>
            </w:r>
            <w:r>
              <w:rPr>
                <w:rFonts w:ascii="宋体" w:hAnsi="宋体"/>
                <w:sz w:val="24"/>
                <w:szCs w:val="24"/>
                <w:highlight w:val="none"/>
                <w:lang w:val="zh-CN"/>
              </w:rPr>
              <w:t>得</w:t>
            </w:r>
            <w:r>
              <w:rPr>
                <w:rFonts w:hint="eastAsia" w:ascii="宋体" w:hAnsi="宋体"/>
                <w:sz w:val="24"/>
                <w:szCs w:val="24"/>
                <w:highlight w:val="none"/>
              </w:rPr>
              <w:t>1.5</w:t>
            </w:r>
            <w:r>
              <w:rPr>
                <w:rFonts w:ascii="宋体" w:hAnsi="宋体"/>
                <w:sz w:val="24"/>
                <w:szCs w:val="24"/>
                <w:highlight w:val="none"/>
                <w:lang w:val="zh-CN"/>
              </w:rPr>
              <w:t>分，未提供不得分。</w:t>
            </w:r>
          </w:p>
          <w:p w14:paraId="260F05E1">
            <w:pPr>
              <w:spacing w:line="440" w:lineRule="exact"/>
              <w:rPr>
                <w:rFonts w:ascii="宋体" w:hAnsi="宋体"/>
                <w:sz w:val="24"/>
                <w:szCs w:val="24"/>
                <w:highlight w:val="none"/>
                <w:lang w:val="zh-CN"/>
              </w:rPr>
            </w:pPr>
            <w:r>
              <w:rPr>
                <w:rFonts w:hint="eastAsia" w:ascii="宋体" w:hAnsi="宋体"/>
                <w:sz w:val="24"/>
                <w:szCs w:val="24"/>
                <w:highlight w:val="none"/>
              </w:rPr>
              <w:t>夏季</w:t>
            </w:r>
            <w:r>
              <w:rPr>
                <w:rFonts w:hint="eastAsia" w:ascii="宋体" w:hAnsi="宋体" w:cs="宋体"/>
                <w:sz w:val="24"/>
                <w:szCs w:val="24"/>
                <w:highlight w:val="none"/>
              </w:rPr>
              <w:t>臭氧污染应对及精准溯源</w:t>
            </w:r>
            <w:r>
              <w:rPr>
                <w:rFonts w:hint="eastAsia" w:ascii="宋体" w:hAnsi="宋体"/>
                <w:sz w:val="24"/>
                <w:szCs w:val="24"/>
                <w:highlight w:val="none"/>
                <w:lang w:val="zh-CN"/>
              </w:rPr>
              <w:t>内容完善合理的，得</w:t>
            </w:r>
            <w:r>
              <w:rPr>
                <w:rFonts w:hint="eastAsia" w:ascii="宋体" w:hAnsi="宋体"/>
                <w:sz w:val="24"/>
                <w:szCs w:val="24"/>
                <w:highlight w:val="none"/>
              </w:rPr>
              <w:t>3</w:t>
            </w:r>
            <w:r>
              <w:rPr>
                <w:rFonts w:ascii="宋体" w:hAnsi="宋体"/>
                <w:sz w:val="24"/>
                <w:szCs w:val="24"/>
                <w:highlight w:val="none"/>
                <w:lang w:val="zh-CN"/>
              </w:rPr>
              <w:t>分；有涉及但不全面的</w:t>
            </w:r>
            <w:r>
              <w:rPr>
                <w:rFonts w:hint="eastAsia" w:ascii="宋体" w:hAnsi="宋体"/>
                <w:sz w:val="24"/>
                <w:szCs w:val="24"/>
                <w:highlight w:val="none"/>
                <w:lang w:val="zh-CN"/>
              </w:rPr>
              <w:t>，</w:t>
            </w:r>
            <w:r>
              <w:rPr>
                <w:rFonts w:ascii="宋体" w:hAnsi="宋体"/>
                <w:sz w:val="24"/>
                <w:szCs w:val="24"/>
                <w:highlight w:val="none"/>
                <w:lang w:val="zh-CN"/>
              </w:rPr>
              <w:t>得</w:t>
            </w:r>
            <w:r>
              <w:rPr>
                <w:rFonts w:hint="eastAsia" w:ascii="宋体" w:hAnsi="宋体"/>
                <w:sz w:val="24"/>
                <w:szCs w:val="24"/>
                <w:highlight w:val="none"/>
              </w:rPr>
              <w:t>1.5</w:t>
            </w:r>
            <w:r>
              <w:rPr>
                <w:rFonts w:ascii="宋体" w:hAnsi="宋体"/>
                <w:sz w:val="24"/>
                <w:szCs w:val="24"/>
                <w:highlight w:val="none"/>
                <w:lang w:val="zh-CN"/>
              </w:rPr>
              <w:t>分，未提供不得分。</w:t>
            </w:r>
          </w:p>
        </w:tc>
      </w:tr>
      <w:tr w14:paraId="76F76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50" w:type="dxa"/>
            <w:vAlign w:val="center"/>
          </w:tcPr>
          <w:p w14:paraId="49F4FE30">
            <w:pPr>
              <w:spacing w:line="440" w:lineRule="exact"/>
              <w:jc w:val="center"/>
              <w:rPr>
                <w:rFonts w:ascii="宋体" w:hAnsi="宋体"/>
                <w:sz w:val="24"/>
                <w:szCs w:val="24"/>
                <w:highlight w:val="none"/>
              </w:rPr>
            </w:pPr>
            <w:r>
              <w:rPr>
                <w:rFonts w:hint="eastAsia" w:ascii="宋体" w:hAnsi="宋体"/>
                <w:sz w:val="24"/>
                <w:szCs w:val="24"/>
                <w:highlight w:val="none"/>
              </w:rPr>
              <w:t>6</w:t>
            </w:r>
          </w:p>
        </w:tc>
        <w:tc>
          <w:tcPr>
            <w:tcW w:w="2045" w:type="dxa"/>
            <w:vAlign w:val="center"/>
          </w:tcPr>
          <w:p w14:paraId="7433F8A4">
            <w:pPr>
              <w:spacing w:line="440" w:lineRule="exact"/>
              <w:jc w:val="center"/>
              <w:rPr>
                <w:rFonts w:ascii="宋体" w:hAnsi="宋体"/>
                <w:sz w:val="24"/>
                <w:szCs w:val="24"/>
                <w:highlight w:val="none"/>
              </w:rPr>
            </w:pPr>
            <w:r>
              <w:rPr>
                <w:rFonts w:hint="eastAsia" w:ascii="宋体" w:hAnsi="宋体"/>
                <w:sz w:val="24"/>
                <w:szCs w:val="24"/>
                <w:highlight w:val="none"/>
              </w:rPr>
              <w:t>服务保障措施</w:t>
            </w:r>
          </w:p>
        </w:tc>
        <w:tc>
          <w:tcPr>
            <w:tcW w:w="846" w:type="dxa"/>
            <w:vAlign w:val="center"/>
          </w:tcPr>
          <w:p w14:paraId="27559497">
            <w:pPr>
              <w:spacing w:line="440" w:lineRule="exact"/>
              <w:jc w:val="center"/>
              <w:rPr>
                <w:rFonts w:ascii="宋体" w:hAnsi="宋体"/>
                <w:sz w:val="24"/>
                <w:szCs w:val="24"/>
                <w:highlight w:val="none"/>
              </w:rPr>
            </w:pPr>
            <w:r>
              <w:rPr>
                <w:rFonts w:ascii="宋体" w:hAnsi="宋体"/>
                <w:sz w:val="24"/>
                <w:szCs w:val="24"/>
                <w:highlight w:val="none"/>
              </w:rPr>
              <w:t>2</w:t>
            </w:r>
          </w:p>
        </w:tc>
        <w:tc>
          <w:tcPr>
            <w:tcW w:w="5988" w:type="dxa"/>
            <w:vAlign w:val="center"/>
          </w:tcPr>
          <w:p w14:paraId="4E9718AC">
            <w:pPr>
              <w:spacing w:line="440" w:lineRule="exact"/>
              <w:rPr>
                <w:rFonts w:ascii="宋体" w:hAnsi="宋体"/>
                <w:sz w:val="24"/>
                <w:szCs w:val="24"/>
                <w:highlight w:val="none"/>
              </w:rPr>
            </w:pPr>
            <w:r>
              <w:rPr>
                <w:rFonts w:hint="eastAsia" w:ascii="宋体" w:hAnsi="宋体"/>
                <w:sz w:val="24"/>
                <w:szCs w:val="24"/>
                <w:highlight w:val="none"/>
              </w:rPr>
              <w:t>根据投标人提供的服务保障措施</w:t>
            </w:r>
            <w:r>
              <w:rPr>
                <w:rFonts w:hint="eastAsia" w:ascii="宋体" w:hAnsi="宋体" w:eastAsia="宋体" w:cs="Times New Roman"/>
                <w:sz w:val="24"/>
                <w:szCs w:val="24"/>
                <w:highlight w:val="none"/>
              </w:rPr>
              <w:t>（包括质量保障、进度保障）进行评定</w:t>
            </w:r>
            <w:r>
              <w:rPr>
                <w:rFonts w:hint="eastAsia" w:ascii="宋体" w:hAnsi="宋体" w:eastAsia="宋体" w:cs="Times New Roman"/>
                <w:sz w:val="24"/>
                <w:szCs w:val="24"/>
                <w:highlight w:val="none"/>
                <w:lang w:val="zh-CN"/>
              </w:rPr>
              <w:t>。</w:t>
            </w:r>
            <w:r>
              <w:rPr>
                <w:rFonts w:hint="eastAsia" w:ascii="宋体" w:hAnsi="宋体"/>
                <w:sz w:val="24"/>
                <w:szCs w:val="24"/>
                <w:highlight w:val="none"/>
                <w:lang w:val="zh-CN"/>
              </w:rPr>
              <w:t>有一项内容完善合理的得</w:t>
            </w:r>
            <w:r>
              <w:rPr>
                <w:rFonts w:ascii="宋体" w:hAnsi="宋体"/>
                <w:sz w:val="24"/>
                <w:szCs w:val="24"/>
                <w:highlight w:val="none"/>
              </w:rPr>
              <w:t>1</w:t>
            </w:r>
            <w:r>
              <w:rPr>
                <w:rFonts w:ascii="宋体" w:hAnsi="宋体"/>
                <w:sz w:val="24"/>
                <w:szCs w:val="24"/>
                <w:highlight w:val="none"/>
                <w:lang w:val="zh-CN"/>
              </w:rPr>
              <w:t>分；有涉及但不全面的得</w:t>
            </w:r>
            <w:r>
              <w:rPr>
                <w:rFonts w:ascii="宋体" w:hAnsi="宋体"/>
                <w:sz w:val="24"/>
                <w:szCs w:val="24"/>
                <w:highlight w:val="none"/>
              </w:rPr>
              <w:t>0.5</w:t>
            </w:r>
            <w:r>
              <w:rPr>
                <w:rFonts w:ascii="宋体" w:hAnsi="宋体"/>
                <w:sz w:val="24"/>
                <w:szCs w:val="24"/>
                <w:highlight w:val="none"/>
                <w:lang w:val="zh-CN"/>
              </w:rPr>
              <w:t>分，未提供不得分。</w:t>
            </w:r>
          </w:p>
        </w:tc>
      </w:tr>
    </w:tbl>
    <w:p w14:paraId="4A7F4E3D">
      <w:pPr>
        <w:spacing w:line="440" w:lineRule="exact"/>
        <w:ind w:firstLine="482"/>
        <w:rPr>
          <w:highlight w:val="none"/>
        </w:rPr>
      </w:pPr>
      <w:r>
        <w:rPr>
          <w:rFonts w:ascii="宋体" w:hAnsi="宋体"/>
          <w:b/>
          <w:bCs/>
          <w:sz w:val="24"/>
          <w:szCs w:val="24"/>
          <w:highlight w:val="none"/>
        </w:rPr>
        <w:t>3、</w:t>
      </w:r>
      <w:r>
        <w:rPr>
          <w:rFonts w:hint="eastAsia" w:ascii="宋体" w:hAnsi="宋体"/>
          <w:b/>
          <w:bCs/>
          <w:sz w:val="24"/>
          <w:szCs w:val="24"/>
          <w:highlight w:val="none"/>
        </w:rPr>
        <w:t>设备及人员情况3</w:t>
      </w:r>
      <w:r>
        <w:rPr>
          <w:rFonts w:ascii="宋体" w:hAnsi="宋体"/>
          <w:b/>
          <w:bCs/>
          <w:sz w:val="24"/>
          <w:szCs w:val="24"/>
          <w:highlight w:val="none"/>
        </w:rPr>
        <w:t>0分</w:t>
      </w:r>
    </w:p>
    <w:tbl>
      <w:tblPr>
        <w:tblStyle w:val="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2045"/>
        <w:gridCol w:w="846"/>
        <w:gridCol w:w="5988"/>
      </w:tblGrid>
      <w:tr w14:paraId="10936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50" w:type="dxa"/>
            <w:vAlign w:val="center"/>
          </w:tcPr>
          <w:p w14:paraId="155F3EBA">
            <w:pPr>
              <w:spacing w:line="440" w:lineRule="exact"/>
              <w:jc w:val="center"/>
              <w:rPr>
                <w:rFonts w:ascii="宋体" w:hAnsi="宋体"/>
                <w:sz w:val="24"/>
                <w:szCs w:val="24"/>
                <w:highlight w:val="none"/>
              </w:rPr>
            </w:pPr>
            <w:r>
              <w:rPr>
                <w:rFonts w:ascii="宋体" w:hAnsi="宋体"/>
                <w:sz w:val="24"/>
                <w:szCs w:val="24"/>
                <w:highlight w:val="none"/>
              </w:rPr>
              <w:t>1</w:t>
            </w:r>
          </w:p>
        </w:tc>
        <w:tc>
          <w:tcPr>
            <w:tcW w:w="2045" w:type="dxa"/>
            <w:vAlign w:val="center"/>
          </w:tcPr>
          <w:p w14:paraId="62AD7E81">
            <w:pPr>
              <w:spacing w:line="440" w:lineRule="exact"/>
              <w:jc w:val="center"/>
              <w:rPr>
                <w:rFonts w:ascii="宋体" w:hAnsi="宋体"/>
                <w:sz w:val="24"/>
                <w:szCs w:val="24"/>
                <w:highlight w:val="none"/>
              </w:rPr>
            </w:pPr>
            <w:r>
              <w:rPr>
                <w:rFonts w:hint="eastAsia" w:ascii="宋体" w:hAnsi="宋体"/>
                <w:sz w:val="24"/>
                <w:szCs w:val="24"/>
                <w:highlight w:val="none"/>
              </w:rPr>
              <w:t>服务保障设备配置</w:t>
            </w:r>
          </w:p>
        </w:tc>
        <w:tc>
          <w:tcPr>
            <w:tcW w:w="846" w:type="dxa"/>
            <w:vAlign w:val="center"/>
          </w:tcPr>
          <w:p w14:paraId="39A9B863">
            <w:pPr>
              <w:spacing w:line="440" w:lineRule="exact"/>
              <w:jc w:val="center"/>
              <w:rPr>
                <w:rFonts w:ascii="宋体" w:hAnsi="宋体"/>
                <w:sz w:val="24"/>
                <w:szCs w:val="24"/>
                <w:highlight w:val="none"/>
              </w:rPr>
            </w:pPr>
            <w:r>
              <w:rPr>
                <w:rFonts w:hint="eastAsia" w:ascii="宋体" w:hAnsi="宋体"/>
                <w:color w:val="000000"/>
                <w:sz w:val="24"/>
                <w:szCs w:val="24"/>
                <w:highlight w:val="none"/>
              </w:rPr>
              <w:t>14</w:t>
            </w:r>
          </w:p>
        </w:tc>
        <w:tc>
          <w:tcPr>
            <w:tcW w:w="5988" w:type="dxa"/>
            <w:vAlign w:val="center"/>
          </w:tcPr>
          <w:p w14:paraId="57F078D8">
            <w:pPr>
              <w:spacing w:line="440" w:lineRule="exact"/>
              <w:rPr>
                <w:rFonts w:ascii="宋体" w:hAnsi="宋体"/>
                <w:sz w:val="24"/>
                <w:szCs w:val="24"/>
                <w:highlight w:val="none"/>
              </w:rPr>
            </w:pPr>
            <w:r>
              <w:rPr>
                <w:rFonts w:hint="eastAsia" w:ascii="宋体" w:hAnsi="宋体"/>
                <w:sz w:val="24"/>
                <w:szCs w:val="24"/>
                <w:highlight w:val="none"/>
              </w:rPr>
              <w:t>根据</w:t>
            </w:r>
            <w:r>
              <w:rPr>
                <w:rFonts w:ascii="宋体" w:hAnsi="宋体"/>
                <w:sz w:val="24"/>
                <w:szCs w:val="24"/>
                <w:highlight w:val="none"/>
              </w:rPr>
              <w:t>投标人拟投入本项目的</w:t>
            </w:r>
            <w:r>
              <w:rPr>
                <w:rFonts w:hint="eastAsia" w:ascii="宋体" w:hAnsi="宋体"/>
                <w:sz w:val="24"/>
                <w:szCs w:val="24"/>
                <w:highlight w:val="none"/>
              </w:rPr>
              <w:t>服务保障</w:t>
            </w:r>
            <w:r>
              <w:rPr>
                <w:rFonts w:hint="eastAsia" w:ascii="宋体" w:hAnsi="宋体"/>
                <w:color w:val="000000"/>
                <w:sz w:val="24"/>
                <w:szCs w:val="24"/>
                <w:highlight w:val="none"/>
              </w:rPr>
              <w:t>设备情况进行评定</w:t>
            </w:r>
            <w:r>
              <w:rPr>
                <w:rFonts w:hint="eastAsia" w:ascii="宋体" w:hAnsi="宋体"/>
                <w:sz w:val="24"/>
                <w:szCs w:val="24"/>
                <w:highlight w:val="none"/>
              </w:rPr>
              <w:t>：</w:t>
            </w:r>
          </w:p>
          <w:p w14:paraId="17139910">
            <w:pPr>
              <w:spacing w:line="440" w:lineRule="exact"/>
              <w:rPr>
                <w:rFonts w:ascii="宋体" w:hAnsi="宋体"/>
                <w:color w:val="000000"/>
                <w:sz w:val="24"/>
                <w:szCs w:val="24"/>
                <w:highlight w:val="none"/>
              </w:rPr>
            </w:pPr>
            <w:r>
              <w:rPr>
                <w:rFonts w:hint="eastAsia" w:ascii="宋体" w:hAnsi="宋体"/>
                <w:color w:val="000000"/>
                <w:sz w:val="24"/>
                <w:szCs w:val="24"/>
                <w:highlight w:val="none"/>
              </w:rPr>
              <w:t>投标人拟投入本项目的服务保障设备（自有或租赁）满足招标文件服务保障设备数量及技术规格要求【即VOCs质谱仪1台（3分）、VOCs走航车1台（3分）、颗粒物激光雷达1台（2分）、无人机3架（3分，</w:t>
            </w:r>
            <w:r>
              <w:rPr>
                <w:rFonts w:ascii="宋体" w:hAnsi="宋体"/>
                <w:color w:val="000000"/>
                <w:sz w:val="24"/>
                <w:szCs w:val="24"/>
                <w:highlight w:val="none"/>
              </w:rPr>
              <w:t>1</w:t>
            </w:r>
            <w:r>
              <w:rPr>
                <w:rFonts w:hint="eastAsia" w:ascii="宋体" w:hAnsi="宋体"/>
                <w:color w:val="000000"/>
                <w:sz w:val="24"/>
                <w:szCs w:val="24"/>
                <w:highlight w:val="none"/>
              </w:rPr>
              <w:t>分/架）、微型空气站设备</w:t>
            </w:r>
            <w:r>
              <w:rPr>
                <w:rFonts w:ascii="宋体" w:hAnsi="宋体"/>
                <w:color w:val="000000"/>
                <w:sz w:val="24"/>
                <w:szCs w:val="24"/>
                <w:highlight w:val="none"/>
              </w:rPr>
              <w:t>（</w:t>
            </w:r>
            <w:r>
              <w:rPr>
                <w:rFonts w:hint="eastAsia" w:ascii="宋体" w:hAnsi="宋体"/>
                <w:color w:val="000000"/>
                <w:sz w:val="24"/>
                <w:szCs w:val="24"/>
                <w:highlight w:val="none"/>
              </w:rPr>
              <w:t>3</w:t>
            </w:r>
            <w:r>
              <w:rPr>
                <w:rFonts w:ascii="宋体" w:hAnsi="宋体"/>
                <w:color w:val="000000"/>
                <w:sz w:val="24"/>
                <w:szCs w:val="24"/>
                <w:highlight w:val="none"/>
              </w:rPr>
              <w:t>分，</w:t>
            </w:r>
            <w:r>
              <w:rPr>
                <w:rFonts w:hint="eastAsia" w:ascii="宋体" w:hAnsi="宋体"/>
                <w:color w:val="000000"/>
                <w:sz w:val="24"/>
                <w:szCs w:val="24"/>
                <w:highlight w:val="none"/>
              </w:rPr>
              <w:t>1</w:t>
            </w:r>
            <w:r>
              <w:rPr>
                <w:rFonts w:ascii="宋体" w:hAnsi="宋体"/>
                <w:color w:val="000000"/>
                <w:sz w:val="24"/>
                <w:szCs w:val="24"/>
                <w:highlight w:val="none"/>
              </w:rPr>
              <w:t>分/台）</w:t>
            </w:r>
            <w:r>
              <w:rPr>
                <w:rFonts w:hint="eastAsia" w:ascii="宋体" w:hAnsi="宋体"/>
                <w:color w:val="000000"/>
                <w:sz w:val="24"/>
                <w:szCs w:val="24"/>
                <w:highlight w:val="none"/>
              </w:rPr>
              <w:t>】的得基本分14分，每少1台/架的，扣除对应分值</w:t>
            </w:r>
            <w:r>
              <w:rPr>
                <w:rFonts w:hint="eastAsia" w:ascii="宋体" w:hAnsi="宋体"/>
                <w:sz w:val="24"/>
                <w:szCs w:val="24"/>
                <w:highlight w:val="none"/>
              </w:rPr>
              <w:t>，扣完为止。</w:t>
            </w:r>
          </w:p>
          <w:p w14:paraId="7043C172">
            <w:pPr>
              <w:spacing w:line="440" w:lineRule="exact"/>
              <w:rPr>
                <w:rFonts w:ascii="宋体" w:hAnsi="宋体"/>
                <w:color w:val="000000"/>
                <w:sz w:val="24"/>
                <w:szCs w:val="24"/>
                <w:highlight w:val="none"/>
              </w:rPr>
            </w:pPr>
            <w:r>
              <w:rPr>
                <w:rFonts w:ascii="宋体" w:hAnsi="宋体"/>
                <w:b/>
                <w:bCs/>
                <w:sz w:val="24"/>
                <w:szCs w:val="24"/>
                <w:highlight w:val="none"/>
              </w:rPr>
              <w:t>注：</w:t>
            </w:r>
            <w:r>
              <w:rPr>
                <w:rFonts w:hint="eastAsia" w:ascii="宋体" w:hAnsi="宋体"/>
                <w:b/>
                <w:bCs/>
                <w:sz w:val="24"/>
                <w:szCs w:val="24"/>
                <w:highlight w:val="none"/>
              </w:rPr>
              <w:t>1、</w:t>
            </w:r>
            <w:r>
              <w:rPr>
                <w:rFonts w:ascii="宋体" w:hAnsi="宋体"/>
                <w:b/>
                <w:bCs/>
                <w:sz w:val="24"/>
                <w:szCs w:val="24"/>
                <w:highlight w:val="none"/>
              </w:rPr>
              <w:t>本大项最高得</w:t>
            </w:r>
            <w:r>
              <w:rPr>
                <w:rFonts w:hint="eastAsia" w:ascii="宋体" w:hAnsi="宋体"/>
                <w:color w:val="000000"/>
                <w:sz w:val="24"/>
                <w:szCs w:val="24"/>
                <w:highlight w:val="none"/>
              </w:rPr>
              <w:t>14分。</w:t>
            </w:r>
          </w:p>
          <w:p w14:paraId="56FB665B">
            <w:pPr>
              <w:spacing w:line="440" w:lineRule="exact"/>
              <w:ind w:firstLine="482"/>
              <w:rPr>
                <w:rFonts w:ascii="宋体" w:hAnsi="宋体"/>
                <w:sz w:val="24"/>
                <w:szCs w:val="24"/>
                <w:highlight w:val="none"/>
              </w:rPr>
            </w:pPr>
            <w:r>
              <w:rPr>
                <w:rFonts w:hint="eastAsia" w:ascii="宋体" w:hAnsi="宋体"/>
                <w:b/>
                <w:bCs/>
                <w:color w:val="000000"/>
                <w:sz w:val="24"/>
                <w:szCs w:val="24"/>
                <w:highlight w:val="none"/>
              </w:rPr>
              <w:t>2、</w:t>
            </w:r>
            <w:r>
              <w:rPr>
                <w:rFonts w:ascii="宋体" w:hAnsi="宋体"/>
                <w:b/>
                <w:bCs/>
                <w:color w:val="000000"/>
                <w:sz w:val="24"/>
                <w:szCs w:val="24"/>
                <w:highlight w:val="none"/>
              </w:rPr>
              <w:t>对于自有的</w:t>
            </w:r>
            <w:r>
              <w:rPr>
                <w:rFonts w:hint="eastAsia" w:ascii="宋体" w:hAnsi="宋体"/>
                <w:b/>
                <w:bCs/>
                <w:color w:val="000000"/>
                <w:sz w:val="24"/>
                <w:szCs w:val="24"/>
                <w:highlight w:val="none"/>
              </w:rPr>
              <w:t>服务保障设备</w:t>
            </w:r>
            <w:r>
              <w:rPr>
                <w:rFonts w:ascii="宋体" w:hAnsi="宋体"/>
                <w:b/>
                <w:bCs/>
                <w:color w:val="000000"/>
                <w:sz w:val="24"/>
                <w:szCs w:val="24"/>
                <w:highlight w:val="none"/>
                <w:lang w:val="zh-CN"/>
              </w:rPr>
              <w:t>，</w:t>
            </w:r>
            <w:r>
              <w:rPr>
                <w:rFonts w:ascii="宋体" w:hAnsi="宋体"/>
                <w:b/>
                <w:bCs/>
                <w:color w:val="000000"/>
                <w:sz w:val="24"/>
                <w:szCs w:val="24"/>
                <w:highlight w:val="none"/>
              </w:rPr>
              <w:t>需在投标文件中提供设备购置发票</w:t>
            </w:r>
            <w:r>
              <w:rPr>
                <w:rFonts w:hint="eastAsia" w:ascii="宋体" w:hAnsi="宋体"/>
                <w:b/>
                <w:bCs/>
                <w:color w:val="000000"/>
                <w:sz w:val="24"/>
                <w:szCs w:val="24"/>
                <w:highlight w:val="none"/>
              </w:rPr>
              <w:t>、</w:t>
            </w:r>
            <w:r>
              <w:rPr>
                <w:rFonts w:ascii="宋体" w:hAnsi="宋体"/>
                <w:b/>
                <w:bCs/>
                <w:color w:val="000000"/>
                <w:sz w:val="24"/>
                <w:szCs w:val="24"/>
                <w:highlight w:val="none"/>
              </w:rPr>
              <w:t>设备照片</w:t>
            </w:r>
            <w:r>
              <w:rPr>
                <w:rFonts w:hint="eastAsia" w:ascii="宋体" w:hAnsi="宋体"/>
                <w:b/>
                <w:bCs/>
                <w:color w:val="000000"/>
                <w:sz w:val="24"/>
                <w:szCs w:val="24"/>
                <w:highlight w:val="none"/>
              </w:rPr>
              <w:t>（须与相关设备一一对应）、设备技术规格证明（需体现招标文件要求的技术规格）；如为租赁的，除上提供设备购置发票、设备照片（须与相关设备一一对应）、设备技术规格证明（需体现招标文件要求的技术规格）外，还需提供租赁协议（合同），</w:t>
            </w:r>
            <w:r>
              <w:rPr>
                <w:rFonts w:ascii="宋体" w:hAnsi="宋体"/>
                <w:b/>
                <w:bCs/>
                <w:color w:val="000000"/>
                <w:sz w:val="24"/>
                <w:szCs w:val="24"/>
                <w:highlight w:val="none"/>
              </w:rPr>
              <w:t>否则不得分。</w:t>
            </w:r>
          </w:p>
        </w:tc>
      </w:tr>
      <w:tr w14:paraId="4E8E9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5" w:hRule="atLeast"/>
          <w:jc w:val="center"/>
        </w:trPr>
        <w:tc>
          <w:tcPr>
            <w:tcW w:w="750" w:type="dxa"/>
            <w:shd w:val="clear" w:color="auto" w:fill="auto"/>
            <w:vAlign w:val="center"/>
          </w:tcPr>
          <w:p w14:paraId="7197DB94">
            <w:pPr>
              <w:spacing w:line="440" w:lineRule="exact"/>
              <w:jc w:val="center"/>
              <w:rPr>
                <w:rFonts w:ascii="宋体" w:hAnsi="宋体"/>
                <w:sz w:val="24"/>
                <w:szCs w:val="24"/>
                <w:highlight w:val="none"/>
              </w:rPr>
            </w:pPr>
            <w:r>
              <w:rPr>
                <w:rFonts w:hint="eastAsia" w:ascii="宋体" w:hAnsi="宋体"/>
                <w:sz w:val="24"/>
                <w:szCs w:val="24"/>
                <w:highlight w:val="none"/>
              </w:rPr>
              <w:t>3</w:t>
            </w:r>
          </w:p>
        </w:tc>
        <w:tc>
          <w:tcPr>
            <w:tcW w:w="2045" w:type="dxa"/>
            <w:shd w:val="clear" w:color="auto" w:fill="auto"/>
            <w:vAlign w:val="center"/>
          </w:tcPr>
          <w:p w14:paraId="1AC534EB">
            <w:pPr>
              <w:spacing w:line="440" w:lineRule="exact"/>
              <w:jc w:val="center"/>
              <w:rPr>
                <w:rFonts w:ascii="宋体" w:hAnsi="宋体"/>
                <w:sz w:val="24"/>
                <w:szCs w:val="24"/>
                <w:highlight w:val="none"/>
              </w:rPr>
            </w:pPr>
            <w:r>
              <w:rPr>
                <w:rFonts w:hint="eastAsia" w:ascii="宋体" w:hAnsi="宋体"/>
                <w:sz w:val="24"/>
                <w:szCs w:val="24"/>
                <w:highlight w:val="none"/>
              </w:rPr>
              <w:t>技术负责人</w:t>
            </w:r>
          </w:p>
        </w:tc>
        <w:tc>
          <w:tcPr>
            <w:tcW w:w="846" w:type="dxa"/>
            <w:shd w:val="clear" w:color="auto" w:fill="auto"/>
            <w:vAlign w:val="center"/>
          </w:tcPr>
          <w:p w14:paraId="501C62D5">
            <w:pPr>
              <w:spacing w:line="440" w:lineRule="exact"/>
              <w:jc w:val="center"/>
              <w:rPr>
                <w:rFonts w:ascii="宋体" w:hAnsi="宋体"/>
                <w:sz w:val="24"/>
                <w:szCs w:val="24"/>
                <w:highlight w:val="none"/>
              </w:rPr>
            </w:pPr>
            <w:r>
              <w:rPr>
                <w:rFonts w:hint="eastAsia" w:ascii="宋体" w:hAnsi="宋体"/>
                <w:sz w:val="24"/>
                <w:szCs w:val="24"/>
                <w:highlight w:val="none"/>
              </w:rPr>
              <w:t>5</w:t>
            </w:r>
          </w:p>
        </w:tc>
        <w:tc>
          <w:tcPr>
            <w:tcW w:w="5988" w:type="dxa"/>
            <w:shd w:val="clear" w:color="auto" w:fill="auto"/>
            <w:vAlign w:val="center"/>
          </w:tcPr>
          <w:p w14:paraId="0E8AA3D6">
            <w:pPr>
              <w:widowControl/>
              <w:spacing w:line="440" w:lineRule="exact"/>
              <w:jc w:val="left"/>
              <w:rPr>
                <w:rFonts w:ascii="宋体" w:hAnsi="宋体"/>
                <w:color w:val="000000"/>
                <w:sz w:val="24"/>
                <w:szCs w:val="24"/>
                <w:highlight w:val="none"/>
              </w:rPr>
            </w:pPr>
            <w:r>
              <w:rPr>
                <w:rFonts w:hint="eastAsia" w:ascii="宋体" w:hAnsi="宋体"/>
                <w:color w:val="000000"/>
                <w:sz w:val="24"/>
                <w:szCs w:val="24"/>
                <w:highlight w:val="none"/>
              </w:rPr>
              <w:t>根据投标人拟投入本项目的技术负责人（1人，不可兼任，否则不得分）情况进行评定。</w:t>
            </w:r>
          </w:p>
          <w:p w14:paraId="4EAB707E">
            <w:pPr>
              <w:widowControl/>
              <w:numPr>
                <w:ilvl w:val="0"/>
                <w:numId w:val="8"/>
              </w:numPr>
              <w:spacing w:line="440" w:lineRule="exact"/>
              <w:jc w:val="left"/>
              <w:rPr>
                <w:rFonts w:ascii="宋体" w:hAnsi="宋体"/>
                <w:color w:val="000000"/>
                <w:sz w:val="24"/>
                <w:szCs w:val="24"/>
                <w:highlight w:val="none"/>
              </w:rPr>
            </w:pPr>
            <w:r>
              <w:rPr>
                <w:rFonts w:hint="eastAsia" w:ascii="宋体" w:hAnsi="宋体"/>
                <w:color w:val="000000"/>
                <w:sz w:val="24"/>
                <w:szCs w:val="24"/>
                <w:highlight w:val="none"/>
              </w:rPr>
              <w:t>技术负责人具有</w:t>
            </w:r>
            <w:r>
              <w:rPr>
                <w:rFonts w:hint="eastAsia" w:ascii="宋体" w:hAnsi="宋体"/>
                <w:b/>
                <w:bCs/>
                <w:color w:val="000000"/>
                <w:sz w:val="24"/>
                <w:szCs w:val="24"/>
                <w:highlight w:val="none"/>
              </w:rPr>
              <w:t>环境专业学士</w:t>
            </w:r>
            <w:r>
              <w:rPr>
                <w:rFonts w:hint="eastAsia" w:ascii="宋体" w:hAnsi="宋体"/>
                <w:color w:val="000000"/>
                <w:sz w:val="24"/>
                <w:szCs w:val="24"/>
                <w:highlight w:val="none"/>
              </w:rPr>
              <w:t>学位（含以上）的，得1分，本小项最高得1分；</w:t>
            </w:r>
          </w:p>
          <w:p w14:paraId="6EB1FC6A">
            <w:pPr>
              <w:widowControl/>
              <w:numPr>
                <w:ilvl w:val="0"/>
                <w:numId w:val="8"/>
              </w:numPr>
              <w:spacing w:line="440" w:lineRule="exact"/>
              <w:jc w:val="left"/>
              <w:rPr>
                <w:rFonts w:ascii="宋体" w:hAnsi="宋体"/>
                <w:sz w:val="24"/>
                <w:szCs w:val="24"/>
                <w:highlight w:val="none"/>
              </w:rPr>
            </w:pPr>
            <w:r>
              <w:rPr>
                <w:rFonts w:hint="eastAsia" w:ascii="宋体" w:hAnsi="宋体"/>
                <w:color w:val="000000"/>
                <w:sz w:val="24"/>
                <w:szCs w:val="24"/>
                <w:highlight w:val="none"/>
              </w:rPr>
              <w:t>技术负责人具有环境相关专业高级职称得4分，具有环境相关专业中级职称得2分，具有环境相关专业初级职称得1分，本小项最高得4分。</w:t>
            </w:r>
          </w:p>
          <w:p w14:paraId="50BB2AC1">
            <w:pPr>
              <w:spacing w:line="440" w:lineRule="exact"/>
              <w:ind w:firstLine="482"/>
              <w:rPr>
                <w:rFonts w:ascii="宋体" w:hAnsi="宋体"/>
                <w:sz w:val="24"/>
                <w:szCs w:val="24"/>
                <w:highlight w:val="none"/>
                <w:lang w:val="zh-CN"/>
              </w:rPr>
            </w:pPr>
            <w:r>
              <w:rPr>
                <w:rFonts w:hint="eastAsia" w:ascii="宋体" w:hAnsi="宋体"/>
                <w:b/>
                <w:bCs/>
                <w:color w:val="000000"/>
                <w:sz w:val="24"/>
                <w:szCs w:val="24"/>
                <w:highlight w:val="none"/>
                <w:lang w:val="zh-CN"/>
              </w:rPr>
              <w:t>注：</w:t>
            </w:r>
            <w:r>
              <w:rPr>
                <w:rFonts w:hint="eastAsia" w:ascii="宋体" w:hAnsi="宋体"/>
                <w:b/>
                <w:bCs/>
                <w:color w:val="000000"/>
                <w:sz w:val="24"/>
                <w:szCs w:val="24"/>
                <w:highlight w:val="none"/>
              </w:rPr>
              <w:t>投标文件</w:t>
            </w:r>
            <w:r>
              <w:rPr>
                <w:rFonts w:ascii="宋体" w:hAnsi="宋体"/>
                <w:b/>
                <w:color w:val="000000"/>
                <w:sz w:val="24"/>
                <w:szCs w:val="24"/>
                <w:highlight w:val="none"/>
              </w:rPr>
              <w:t>中需</w:t>
            </w:r>
            <w:r>
              <w:rPr>
                <w:rFonts w:hint="eastAsia" w:ascii="宋体" w:hAnsi="宋体"/>
                <w:b/>
                <w:color w:val="000000"/>
                <w:sz w:val="24"/>
                <w:szCs w:val="24"/>
                <w:highlight w:val="none"/>
              </w:rPr>
              <w:t>同时</w:t>
            </w:r>
            <w:r>
              <w:rPr>
                <w:rFonts w:ascii="宋体" w:hAnsi="宋体"/>
                <w:b/>
                <w:color w:val="000000"/>
                <w:sz w:val="24"/>
                <w:szCs w:val="24"/>
                <w:highlight w:val="none"/>
              </w:rPr>
              <w:t>提供上述人员</w:t>
            </w:r>
            <w:r>
              <w:rPr>
                <w:rFonts w:hint="eastAsia" w:ascii="宋体" w:hAnsi="宋体"/>
                <w:b/>
                <w:color w:val="000000"/>
                <w:sz w:val="24"/>
                <w:szCs w:val="24"/>
                <w:highlight w:val="none"/>
              </w:rPr>
              <w:t>学位证明材料、职称证书以及投标人为其缴纳社保（近三个月内任意一个月）的证明</w:t>
            </w:r>
            <w:r>
              <w:rPr>
                <w:rFonts w:ascii="宋体" w:hAnsi="宋体"/>
                <w:b/>
                <w:bCs/>
                <w:color w:val="000000"/>
                <w:sz w:val="24"/>
                <w:szCs w:val="24"/>
                <w:highlight w:val="none"/>
              </w:rPr>
              <w:t>，</w:t>
            </w:r>
            <w:r>
              <w:rPr>
                <w:rFonts w:hint="eastAsia" w:ascii="宋体" w:hAnsi="宋体"/>
                <w:b/>
                <w:bCs/>
                <w:color w:val="000000"/>
                <w:sz w:val="24"/>
                <w:szCs w:val="24"/>
                <w:highlight w:val="none"/>
              </w:rPr>
              <w:t>否则</w:t>
            </w:r>
            <w:r>
              <w:rPr>
                <w:rFonts w:ascii="宋体" w:hAnsi="宋体"/>
                <w:b/>
                <w:bCs/>
                <w:color w:val="000000"/>
                <w:sz w:val="24"/>
                <w:szCs w:val="24"/>
                <w:highlight w:val="none"/>
              </w:rPr>
              <w:t>不得分</w:t>
            </w:r>
            <w:r>
              <w:rPr>
                <w:rFonts w:ascii="宋体" w:hAnsi="宋体"/>
                <w:b/>
                <w:color w:val="000000"/>
                <w:sz w:val="24"/>
                <w:szCs w:val="24"/>
                <w:highlight w:val="none"/>
              </w:rPr>
              <w:t>。</w:t>
            </w:r>
          </w:p>
        </w:tc>
      </w:tr>
      <w:tr w14:paraId="1585C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5" w:hRule="atLeast"/>
          <w:jc w:val="center"/>
        </w:trPr>
        <w:tc>
          <w:tcPr>
            <w:tcW w:w="750" w:type="dxa"/>
            <w:vAlign w:val="center"/>
          </w:tcPr>
          <w:p w14:paraId="1A210239">
            <w:pPr>
              <w:spacing w:line="440" w:lineRule="exact"/>
              <w:jc w:val="center"/>
              <w:rPr>
                <w:rFonts w:ascii="宋体" w:hAnsi="宋体"/>
                <w:sz w:val="24"/>
                <w:szCs w:val="24"/>
                <w:highlight w:val="none"/>
              </w:rPr>
            </w:pPr>
            <w:r>
              <w:rPr>
                <w:rFonts w:hint="eastAsia" w:ascii="宋体" w:hAnsi="宋体"/>
                <w:sz w:val="24"/>
                <w:szCs w:val="24"/>
                <w:highlight w:val="none"/>
              </w:rPr>
              <w:t>4</w:t>
            </w:r>
          </w:p>
        </w:tc>
        <w:tc>
          <w:tcPr>
            <w:tcW w:w="2045" w:type="dxa"/>
            <w:vAlign w:val="center"/>
          </w:tcPr>
          <w:p w14:paraId="0C452DB5">
            <w:pPr>
              <w:spacing w:line="440" w:lineRule="exact"/>
              <w:jc w:val="center"/>
              <w:rPr>
                <w:rFonts w:ascii="宋体" w:hAnsi="宋体"/>
                <w:sz w:val="24"/>
                <w:szCs w:val="24"/>
                <w:highlight w:val="none"/>
              </w:rPr>
            </w:pPr>
            <w:r>
              <w:rPr>
                <w:rFonts w:hint="eastAsia" w:ascii="宋体" w:hAnsi="宋体"/>
                <w:sz w:val="24"/>
                <w:szCs w:val="24"/>
                <w:highlight w:val="none"/>
              </w:rPr>
              <w:t>项目经理</w:t>
            </w:r>
          </w:p>
        </w:tc>
        <w:tc>
          <w:tcPr>
            <w:tcW w:w="846" w:type="dxa"/>
            <w:vAlign w:val="center"/>
          </w:tcPr>
          <w:p w14:paraId="45B5AEAF">
            <w:pPr>
              <w:spacing w:line="440" w:lineRule="exact"/>
              <w:jc w:val="center"/>
              <w:rPr>
                <w:rFonts w:ascii="宋体" w:hAnsi="宋体"/>
                <w:sz w:val="24"/>
                <w:szCs w:val="24"/>
                <w:highlight w:val="none"/>
              </w:rPr>
            </w:pPr>
            <w:r>
              <w:rPr>
                <w:rFonts w:hint="eastAsia" w:ascii="宋体" w:hAnsi="宋体"/>
                <w:sz w:val="24"/>
                <w:szCs w:val="24"/>
                <w:highlight w:val="none"/>
              </w:rPr>
              <w:t>3</w:t>
            </w:r>
          </w:p>
        </w:tc>
        <w:tc>
          <w:tcPr>
            <w:tcW w:w="5988" w:type="dxa"/>
            <w:vAlign w:val="center"/>
          </w:tcPr>
          <w:p w14:paraId="5C271513">
            <w:pPr>
              <w:widowControl/>
              <w:spacing w:line="440" w:lineRule="exact"/>
              <w:jc w:val="left"/>
              <w:rPr>
                <w:rFonts w:ascii="宋体" w:hAnsi="宋体"/>
                <w:color w:val="000000"/>
                <w:sz w:val="24"/>
                <w:szCs w:val="24"/>
                <w:highlight w:val="none"/>
              </w:rPr>
            </w:pPr>
            <w:r>
              <w:rPr>
                <w:rFonts w:hint="eastAsia" w:ascii="宋体" w:hAnsi="宋体"/>
                <w:color w:val="000000"/>
                <w:sz w:val="24"/>
                <w:szCs w:val="24"/>
                <w:highlight w:val="none"/>
              </w:rPr>
              <w:t>根据投标人拟投入本项目的项目经理（1人，不可兼任，否则不得分）情况进行评定。</w:t>
            </w:r>
          </w:p>
          <w:p w14:paraId="6474406C">
            <w:pPr>
              <w:widowControl/>
              <w:numPr>
                <w:ilvl w:val="0"/>
                <w:numId w:val="9"/>
              </w:numPr>
              <w:spacing w:line="440" w:lineRule="exact"/>
              <w:jc w:val="left"/>
              <w:rPr>
                <w:rFonts w:ascii="宋体" w:hAnsi="宋体"/>
                <w:color w:val="000000"/>
                <w:sz w:val="24"/>
                <w:szCs w:val="24"/>
                <w:highlight w:val="none"/>
              </w:rPr>
            </w:pPr>
            <w:r>
              <w:rPr>
                <w:rFonts w:hint="eastAsia" w:ascii="宋体" w:hAnsi="宋体"/>
                <w:color w:val="000000"/>
                <w:sz w:val="24"/>
                <w:szCs w:val="24"/>
                <w:highlight w:val="none"/>
              </w:rPr>
              <w:t>项目经理具有环境专业学士学位（含以上）的，得1分，本小项最高得1分；</w:t>
            </w:r>
          </w:p>
          <w:p w14:paraId="0D0CB533">
            <w:pPr>
              <w:widowControl/>
              <w:numPr>
                <w:ilvl w:val="0"/>
                <w:numId w:val="9"/>
              </w:numPr>
              <w:spacing w:line="440" w:lineRule="exact"/>
              <w:jc w:val="left"/>
              <w:rPr>
                <w:rFonts w:ascii="宋体" w:hAnsi="宋体"/>
                <w:sz w:val="24"/>
                <w:szCs w:val="24"/>
                <w:highlight w:val="none"/>
              </w:rPr>
            </w:pPr>
            <w:r>
              <w:rPr>
                <w:rFonts w:hint="eastAsia" w:ascii="宋体" w:hAnsi="宋体"/>
                <w:color w:val="000000"/>
                <w:sz w:val="24"/>
                <w:szCs w:val="24"/>
                <w:highlight w:val="none"/>
              </w:rPr>
              <w:t>项目经理具有环境相</w:t>
            </w:r>
            <w:r>
              <w:rPr>
                <w:rFonts w:hint="eastAsia" w:ascii="宋体" w:hAnsi="宋体"/>
                <w:b w:val="0"/>
                <w:bCs w:val="0"/>
                <w:color w:val="000000"/>
                <w:sz w:val="24"/>
                <w:szCs w:val="24"/>
                <w:highlight w:val="none"/>
              </w:rPr>
              <w:t>关专业中级及以上职</w:t>
            </w:r>
            <w:r>
              <w:rPr>
                <w:rFonts w:hint="eastAsia" w:ascii="宋体" w:hAnsi="宋体"/>
                <w:color w:val="000000"/>
                <w:sz w:val="24"/>
                <w:szCs w:val="24"/>
                <w:highlight w:val="none"/>
              </w:rPr>
              <w:t>称的得2分，具有环境相关专业初级职称得1分，本小项最高得2分；</w:t>
            </w:r>
          </w:p>
          <w:p w14:paraId="13287007">
            <w:pPr>
              <w:widowControl/>
              <w:spacing w:line="440" w:lineRule="exact"/>
              <w:jc w:val="left"/>
              <w:rPr>
                <w:rFonts w:ascii="宋体" w:hAnsi="宋体"/>
                <w:sz w:val="24"/>
                <w:szCs w:val="24"/>
                <w:highlight w:val="none"/>
              </w:rPr>
            </w:pPr>
            <w:r>
              <w:rPr>
                <w:rFonts w:ascii="宋体" w:hAnsi="宋体"/>
                <w:b/>
                <w:bCs/>
                <w:color w:val="000000"/>
                <w:sz w:val="24"/>
                <w:szCs w:val="24"/>
                <w:highlight w:val="none"/>
                <w:lang w:val="zh-CN"/>
              </w:rPr>
              <w:t>注：</w:t>
            </w:r>
            <w:r>
              <w:rPr>
                <w:rFonts w:hint="eastAsia" w:ascii="宋体" w:hAnsi="宋体"/>
                <w:b/>
                <w:bCs/>
                <w:color w:val="000000"/>
                <w:sz w:val="24"/>
                <w:szCs w:val="24"/>
                <w:highlight w:val="none"/>
              </w:rPr>
              <w:t>投标文件中需同时提供上述人员学位证明材料、职称证书以及投标人为其缴纳社保（近三个月内任意一个月）的证明，否则不得分。</w:t>
            </w:r>
          </w:p>
        </w:tc>
      </w:tr>
      <w:tr w14:paraId="3E49D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5" w:hRule="atLeast"/>
          <w:jc w:val="center"/>
        </w:trPr>
        <w:tc>
          <w:tcPr>
            <w:tcW w:w="750" w:type="dxa"/>
            <w:vAlign w:val="center"/>
          </w:tcPr>
          <w:p w14:paraId="4562C63E">
            <w:pPr>
              <w:spacing w:line="440" w:lineRule="exact"/>
              <w:jc w:val="center"/>
              <w:rPr>
                <w:rFonts w:ascii="宋体" w:hAnsi="宋体"/>
                <w:sz w:val="24"/>
                <w:szCs w:val="24"/>
                <w:highlight w:val="none"/>
              </w:rPr>
            </w:pPr>
            <w:r>
              <w:rPr>
                <w:rFonts w:hint="eastAsia" w:ascii="宋体" w:hAnsi="宋体"/>
                <w:sz w:val="24"/>
                <w:szCs w:val="24"/>
                <w:highlight w:val="none"/>
              </w:rPr>
              <w:t>5</w:t>
            </w:r>
          </w:p>
        </w:tc>
        <w:tc>
          <w:tcPr>
            <w:tcW w:w="2045" w:type="dxa"/>
            <w:vAlign w:val="center"/>
          </w:tcPr>
          <w:p w14:paraId="04C1DEBB">
            <w:pPr>
              <w:spacing w:line="440" w:lineRule="exact"/>
              <w:jc w:val="center"/>
              <w:rPr>
                <w:rFonts w:ascii="宋体" w:hAnsi="宋体"/>
                <w:sz w:val="24"/>
                <w:szCs w:val="24"/>
                <w:highlight w:val="none"/>
              </w:rPr>
            </w:pPr>
            <w:r>
              <w:rPr>
                <w:rFonts w:hint="eastAsia" w:ascii="宋体" w:hAnsi="宋体"/>
                <w:sz w:val="24"/>
                <w:szCs w:val="24"/>
                <w:highlight w:val="none"/>
              </w:rPr>
              <w:t>项目组成员</w:t>
            </w:r>
          </w:p>
        </w:tc>
        <w:tc>
          <w:tcPr>
            <w:tcW w:w="846" w:type="dxa"/>
            <w:vAlign w:val="center"/>
          </w:tcPr>
          <w:p w14:paraId="1E2577F9">
            <w:pPr>
              <w:spacing w:line="440" w:lineRule="exact"/>
              <w:jc w:val="center"/>
              <w:rPr>
                <w:rFonts w:ascii="宋体" w:hAnsi="宋体"/>
                <w:sz w:val="24"/>
                <w:szCs w:val="24"/>
                <w:highlight w:val="none"/>
              </w:rPr>
            </w:pPr>
            <w:r>
              <w:rPr>
                <w:rFonts w:hint="eastAsia" w:ascii="宋体" w:hAnsi="宋体"/>
                <w:color w:val="000000"/>
                <w:sz w:val="24"/>
                <w:szCs w:val="24"/>
                <w:highlight w:val="none"/>
              </w:rPr>
              <w:t>8</w:t>
            </w:r>
          </w:p>
        </w:tc>
        <w:tc>
          <w:tcPr>
            <w:tcW w:w="5988" w:type="dxa"/>
            <w:vAlign w:val="center"/>
          </w:tcPr>
          <w:p w14:paraId="76001A40">
            <w:pPr>
              <w:spacing w:line="440" w:lineRule="exact"/>
              <w:jc w:val="left"/>
              <w:rPr>
                <w:highlight w:val="none"/>
              </w:rPr>
            </w:pPr>
            <w:r>
              <w:rPr>
                <w:rFonts w:hint="eastAsia" w:ascii="宋体" w:hAnsi="宋体"/>
                <w:color w:val="000000"/>
                <w:sz w:val="24"/>
                <w:szCs w:val="24"/>
                <w:highlight w:val="none"/>
              </w:rPr>
              <w:t>拟投入本项目</w:t>
            </w:r>
            <w:r>
              <w:rPr>
                <w:rFonts w:hint="eastAsia" w:ascii="宋体" w:hAnsi="宋体"/>
                <w:b w:val="0"/>
                <w:bCs w:val="0"/>
                <w:color w:val="000000"/>
                <w:sz w:val="24"/>
                <w:szCs w:val="24"/>
                <w:highlight w:val="none"/>
              </w:rPr>
              <w:t>的</w:t>
            </w:r>
            <w:r>
              <w:rPr>
                <w:rFonts w:hint="eastAsia" w:ascii="宋体" w:hAnsi="宋体"/>
                <w:b w:val="0"/>
                <w:bCs w:val="0"/>
                <w:color w:val="000000"/>
                <w:sz w:val="24"/>
                <w:szCs w:val="24"/>
                <w:highlight w:val="none"/>
                <w:lang w:val="en-US" w:eastAsia="zh-CN"/>
              </w:rPr>
              <w:t>专职人员</w:t>
            </w:r>
            <w:r>
              <w:rPr>
                <w:rFonts w:hint="eastAsia" w:ascii="宋体" w:hAnsi="宋体"/>
                <w:b w:val="0"/>
                <w:bCs w:val="0"/>
                <w:color w:val="000000"/>
                <w:sz w:val="24"/>
                <w:szCs w:val="24"/>
                <w:highlight w:val="none"/>
              </w:rPr>
              <w:t>（不包括</w:t>
            </w:r>
            <w:r>
              <w:rPr>
                <w:rFonts w:hint="eastAsia" w:ascii="宋体" w:hAnsi="宋体"/>
                <w:color w:val="000000"/>
                <w:sz w:val="24"/>
                <w:szCs w:val="24"/>
                <w:highlight w:val="none"/>
              </w:rPr>
              <w:t>项目经理、技术负责人）具有环境专业学士学位（含以上）的</w:t>
            </w:r>
            <w:r>
              <w:rPr>
                <w:rFonts w:ascii="宋体" w:hAnsi="宋体"/>
                <w:color w:val="000000"/>
                <w:sz w:val="24"/>
                <w:szCs w:val="24"/>
                <w:highlight w:val="none"/>
              </w:rPr>
              <w:t>，</w:t>
            </w:r>
            <w:r>
              <w:rPr>
                <w:rFonts w:hint="eastAsia" w:ascii="宋体" w:hAnsi="宋体"/>
                <w:color w:val="000000"/>
                <w:sz w:val="24"/>
                <w:szCs w:val="24"/>
                <w:highlight w:val="none"/>
              </w:rPr>
              <w:t>且具有初级及以上职称的，有一人</w:t>
            </w:r>
            <w:r>
              <w:rPr>
                <w:rFonts w:ascii="宋体" w:hAnsi="宋体"/>
                <w:color w:val="000000"/>
                <w:sz w:val="24"/>
                <w:szCs w:val="24"/>
                <w:highlight w:val="none"/>
              </w:rPr>
              <w:t>得</w:t>
            </w:r>
            <w:r>
              <w:rPr>
                <w:rFonts w:hint="eastAsia" w:ascii="宋体" w:hAnsi="宋体"/>
                <w:color w:val="000000"/>
                <w:sz w:val="24"/>
                <w:szCs w:val="24"/>
                <w:highlight w:val="none"/>
              </w:rPr>
              <w:t>2分，</w:t>
            </w:r>
            <w:r>
              <w:rPr>
                <w:rFonts w:ascii="宋体" w:hAnsi="宋体"/>
                <w:color w:val="000000"/>
                <w:sz w:val="24"/>
                <w:szCs w:val="24"/>
                <w:highlight w:val="none"/>
              </w:rPr>
              <w:t>最高得</w:t>
            </w:r>
            <w:r>
              <w:rPr>
                <w:rFonts w:hint="eastAsia" w:ascii="宋体" w:hAnsi="宋体"/>
                <w:color w:val="000000"/>
                <w:sz w:val="24"/>
                <w:szCs w:val="24"/>
                <w:highlight w:val="none"/>
              </w:rPr>
              <w:t>8</w:t>
            </w:r>
            <w:r>
              <w:rPr>
                <w:rFonts w:ascii="宋体" w:hAnsi="宋体"/>
                <w:color w:val="000000"/>
                <w:sz w:val="24"/>
                <w:szCs w:val="24"/>
                <w:highlight w:val="none"/>
              </w:rPr>
              <w:t>分。</w:t>
            </w:r>
          </w:p>
          <w:p w14:paraId="7CC87481">
            <w:pPr>
              <w:widowControl/>
              <w:spacing w:line="440" w:lineRule="exact"/>
              <w:jc w:val="left"/>
              <w:rPr>
                <w:rFonts w:ascii="宋体" w:hAnsi="宋体"/>
                <w:sz w:val="24"/>
                <w:szCs w:val="24"/>
                <w:highlight w:val="none"/>
              </w:rPr>
            </w:pPr>
            <w:r>
              <w:rPr>
                <w:rFonts w:hint="eastAsia" w:ascii="宋体" w:hAnsi="宋体"/>
                <w:b/>
                <w:bCs/>
                <w:color w:val="000000"/>
                <w:sz w:val="24"/>
                <w:szCs w:val="24"/>
                <w:highlight w:val="none"/>
              </w:rPr>
              <w:t>注：</w:t>
            </w:r>
            <w:r>
              <w:rPr>
                <w:rFonts w:ascii="宋体" w:hAnsi="宋体"/>
                <w:b/>
                <w:bCs/>
                <w:color w:val="000000"/>
                <w:sz w:val="24"/>
                <w:szCs w:val="24"/>
                <w:highlight w:val="none"/>
              </w:rPr>
              <w:t>1</w:t>
            </w:r>
            <w:r>
              <w:rPr>
                <w:rFonts w:hint="eastAsia" w:ascii="宋体" w:hAnsi="宋体"/>
                <w:b/>
                <w:bCs/>
                <w:color w:val="000000"/>
                <w:sz w:val="24"/>
                <w:szCs w:val="24"/>
                <w:highlight w:val="none"/>
              </w:rPr>
              <w:t>、投标文件</w:t>
            </w:r>
            <w:r>
              <w:rPr>
                <w:rFonts w:ascii="宋体" w:hAnsi="宋体"/>
                <w:b/>
                <w:color w:val="000000"/>
                <w:sz w:val="24"/>
                <w:szCs w:val="24"/>
                <w:highlight w:val="none"/>
              </w:rPr>
              <w:t>中需</w:t>
            </w:r>
            <w:r>
              <w:rPr>
                <w:rFonts w:hint="eastAsia" w:ascii="宋体" w:hAnsi="宋体"/>
                <w:b/>
                <w:color w:val="000000"/>
                <w:sz w:val="24"/>
                <w:szCs w:val="24"/>
                <w:highlight w:val="none"/>
              </w:rPr>
              <w:t>同时</w:t>
            </w:r>
            <w:r>
              <w:rPr>
                <w:rFonts w:ascii="宋体" w:hAnsi="宋体"/>
                <w:b/>
                <w:color w:val="000000"/>
                <w:sz w:val="24"/>
                <w:szCs w:val="24"/>
                <w:highlight w:val="none"/>
              </w:rPr>
              <w:t>提供上述人员</w:t>
            </w:r>
            <w:r>
              <w:rPr>
                <w:rFonts w:hint="eastAsia" w:ascii="宋体" w:hAnsi="宋体"/>
                <w:b/>
                <w:color w:val="000000"/>
                <w:sz w:val="24"/>
                <w:szCs w:val="24"/>
                <w:highlight w:val="none"/>
              </w:rPr>
              <w:t>学位证明材料、职称证书以及投标人为其缴纳社保（近三个月内任意一个月）的证明</w:t>
            </w:r>
            <w:r>
              <w:rPr>
                <w:rFonts w:ascii="宋体" w:hAnsi="宋体"/>
                <w:b/>
                <w:bCs/>
                <w:color w:val="000000"/>
                <w:sz w:val="24"/>
                <w:szCs w:val="24"/>
                <w:highlight w:val="none"/>
              </w:rPr>
              <w:t>，</w:t>
            </w:r>
            <w:r>
              <w:rPr>
                <w:rFonts w:hint="eastAsia" w:ascii="宋体" w:hAnsi="宋体"/>
                <w:b/>
                <w:bCs/>
                <w:color w:val="000000"/>
                <w:sz w:val="24"/>
                <w:szCs w:val="24"/>
                <w:highlight w:val="none"/>
              </w:rPr>
              <w:t>否则</w:t>
            </w:r>
            <w:r>
              <w:rPr>
                <w:rFonts w:ascii="宋体" w:hAnsi="宋体"/>
                <w:b/>
                <w:bCs/>
                <w:color w:val="000000"/>
                <w:sz w:val="24"/>
                <w:szCs w:val="24"/>
                <w:highlight w:val="none"/>
              </w:rPr>
              <w:t>不得分</w:t>
            </w:r>
            <w:r>
              <w:rPr>
                <w:rFonts w:ascii="宋体" w:hAnsi="宋体"/>
                <w:b/>
                <w:color w:val="000000"/>
                <w:sz w:val="24"/>
                <w:szCs w:val="24"/>
                <w:highlight w:val="none"/>
              </w:rPr>
              <w:t>。</w:t>
            </w:r>
            <w:r>
              <w:rPr>
                <w:rFonts w:ascii="宋体" w:hAnsi="宋体"/>
                <w:b/>
                <w:bCs/>
                <w:color w:val="000000"/>
                <w:sz w:val="24"/>
                <w:szCs w:val="24"/>
                <w:highlight w:val="none"/>
              </w:rPr>
              <w:t>2</w:t>
            </w:r>
            <w:r>
              <w:rPr>
                <w:rFonts w:hint="eastAsia" w:ascii="宋体" w:hAnsi="宋体"/>
                <w:b/>
                <w:bCs/>
                <w:color w:val="000000"/>
                <w:sz w:val="24"/>
                <w:szCs w:val="24"/>
                <w:highlight w:val="none"/>
              </w:rPr>
              <w:t>、</w:t>
            </w:r>
            <w:r>
              <w:rPr>
                <w:rFonts w:ascii="宋体" w:hAnsi="宋体"/>
                <w:b/>
                <w:bCs/>
                <w:color w:val="000000"/>
                <w:sz w:val="24"/>
                <w:szCs w:val="24"/>
                <w:highlight w:val="none"/>
              </w:rPr>
              <w:t>同一人员</w:t>
            </w:r>
            <w:r>
              <w:rPr>
                <w:rFonts w:hint="eastAsia" w:ascii="宋体" w:hAnsi="宋体"/>
                <w:b/>
                <w:bCs/>
                <w:color w:val="000000"/>
                <w:sz w:val="24"/>
                <w:szCs w:val="24"/>
                <w:highlight w:val="none"/>
              </w:rPr>
              <w:t>如同时满足本</w:t>
            </w:r>
            <w:r>
              <w:rPr>
                <w:rFonts w:hint="eastAsia" w:ascii="宋体" w:hAnsi="宋体"/>
                <w:b/>
                <w:color w:val="000000"/>
                <w:sz w:val="24"/>
                <w:szCs w:val="24"/>
                <w:highlight w:val="none"/>
              </w:rPr>
              <w:t>评审项</w:t>
            </w:r>
            <w:r>
              <w:rPr>
                <w:rFonts w:hint="eastAsia" w:ascii="宋体" w:hAnsi="宋体"/>
                <w:b/>
                <w:bCs/>
                <w:color w:val="000000"/>
                <w:sz w:val="24"/>
                <w:szCs w:val="24"/>
                <w:highlight w:val="none"/>
              </w:rPr>
              <w:t>多个得分要求的，只可计入一次，不</w:t>
            </w:r>
            <w:r>
              <w:rPr>
                <w:rFonts w:ascii="宋体" w:hAnsi="宋体"/>
                <w:b/>
                <w:bCs/>
                <w:color w:val="000000"/>
                <w:sz w:val="24"/>
                <w:szCs w:val="24"/>
                <w:highlight w:val="none"/>
              </w:rPr>
              <w:t>累计加分</w:t>
            </w:r>
            <w:r>
              <w:rPr>
                <w:rFonts w:hint="eastAsia" w:ascii="宋体" w:hAnsi="宋体"/>
                <w:b/>
                <w:color w:val="000000"/>
                <w:sz w:val="24"/>
                <w:szCs w:val="24"/>
                <w:highlight w:val="none"/>
              </w:rPr>
              <w:t>。</w:t>
            </w:r>
          </w:p>
        </w:tc>
      </w:tr>
    </w:tbl>
    <w:p w14:paraId="49C64471">
      <w:pPr>
        <w:spacing w:line="440" w:lineRule="exact"/>
        <w:ind w:firstLine="482"/>
        <w:rPr>
          <w:rFonts w:ascii="宋体" w:hAnsi="宋体"/>
          <w:b/>
          <w:bCs/>
          <w:sz w:val="24"/>
          <w:szCs w:val="24"/>
          <w:highlight w:val="none"/>
        </w:rPr>
      </w:pPr>
      <w:r>
        <w:rPr>
          <w:rFonts w:hint="eastAsia" w:ascii="宋体" w:hAnsi="宋体"/>
          <w:b/>
          <w:bCs/>
          <w:sz w:val="24"/>
          <w:szCs w:val="24"/>
          <w:highlight w:val="none"/>
        </w:rPr>
        <w:t>3</w:t>
      </w:r>
      <w:r>
        <w:rPr>
          <w:rFonts w:ascii="宋体" w:hAnsi="宋体"/>
          <w:b/>
          <w:bCs/>
          <w:sz w:val="24"/>
          <w:szCs w:val="24"/>
          <w:highlight w:val="none"/>
        </w:rPr>
        <w:t>、</w:t>
      </w:r>
      <w:r>
        <w:rPr>
          <w:rFonts w:hint="eastAsia" w:ascii="宋体" w:hAnsi="宋体"/>
          <w:b/>
          <w:bCs/>
          <w:color w:val="000000"/>
          <w:sz w:val="24"/>
          <w:szCs w:val="24"/>
          <w:highlight w:val="none"/>
        </w:rPr>
        <w:t>商务部分</w:t>
      </w:r>
      <w:r>
        <w:rPr>
          <w:rFonts w:hint="eastAsia" w:ascii="宋体" w:hAnsi="宋体"/>
          <w:b/>
          <w:bCs/>
          <w:sz w:val="24"/>
          <w:szCs w:val="24"/>
          <w:highlight w:val="none"/>
        </w:rPr>
        <w:t>9</w:t>
      </w:r>
      <w:r>
        <w:rPr>
          <w:rFonts w:ascii="宋体" w:hAnsi="宋体"/>
          <w:b/>
          <w:bCs/>
          <w:sz w:val="24"/>
          <w:szCs w:val="24"/>
          <w:highlight w:val="none"/>
        </w:rPr>
        <w:t>分</w:t>
      </w:r>
    </w:p>
    <w:tbl>
      <w:tblPr>
        <w:tblStyle w:val="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0"/>
        <w:gridCol w:w="2017"/>
        <w:gridCol w:w="846"/>
        <w:gridCol w:w="6000"/>
      </w:tblGrid>
      <w:tr w14:paraId="04C16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760" w:type="dxa"/>
            <w:vAlign w:val="center"/>
          </w:tcPr>
          <w:p w14:paraId="576AB754">
            <w:pPr>
              <w:spacing w:line="440" w:lineRule="exact"/>
              <w:jc w:val="center"/>
              <w:rPr>
                <w:rFonts w:ascii="宋体" w:hAnsi="宋体"/>
                <w:sz w:val="24"/>
                <w:szCs w:val="24"/>
                <w:highlight w:val="none"/>
              </w:rPr>
            </w:pPr>
            <w:r>
              <w:rPr>
                <w:rFonts w:ascii="宋体" w:hAnsi="宋体"/>
                <w:sz w:val="24"/>
                <w:szCs w:val="24"/>
                <w:highlight w:val="none"/>
              </w:rPr>
              <w:t>序号</w:t>
            </w:r>
          </w:p>
        </w:tc>
        <w:tc>
          <w:tcPr>
            <w:tcW w:w="2017" w:type="dxa"/>
            <w:vAlign w:val="center"/>
          </w:tcPr>
          <w:p w14:paraId="446C7E5E">
            <w:pPr>
              <w:spacing w:line="440" w:lineRule="exact"/>
              <w:jc w:val="center"/>
              <w:rPr>
                <w:rFonts w:ascii="宋体" w:hAnsi="宋体"/>
                <w:sz w:val="24"/>
                <w:szCs w:val="24"/>
                <w:highlight w:val="none"/>
              </w:rPr>
            </w:pPr>
            <w:r>
              <w:rPr>
                <w:rFonts w:ascii="宋体" w:hAnsi="宋体"/>
                <w:sz w:val="24"/>
                <w:szCs w:val="24"/>
                <w:highlight w:val="none"/>
              </w:rPr>
              <w:t>评审因素</w:t>
            </w:r>
          </w:p>
        </w:tc>
        <w:tc>
          <w:tcPr>
            <w:tcW w:w="846" w:type="dxa"/>
            <w:vAlign w:val="center"/>
          </w:tcPr>
          <w:p w14:paraId="2ABB3644">
            <w:pPr>
              <w:spacing w:line="440" w:lineRule="exact"/>
              <w:jc w:val="center"/>
              <w:rPr>
                <w:rFonts w:ascii="宋体" w:hAnsi="宋体"/>
                <w:sz w:val="24"/>
                <w:szCs w:val="24"/>
                <w:highlight w:val="none"/>
              </w:rPr>
            </w:pPr>
            <w:r>
              <w:rPr>
                <w:rFonts w:ascii="宋体" w:hAnsi="宋体"/>
                <w:sz w:val="24"/>
                <w:szCs w:val="24"/>
                <w:highlight w:val="none"/>
              </w:rPr>
              <w:t>权值</w:t>
            </w:r>
          </w:p>
        </w:tc>
        <w:tc>
          <w:tcPr>
            <w:tcW w:w="6000" w:type="dxa"/>
            <w:vAlign w:val="center"/>
          </w:tcPr>
          <w:p w14:paraId="53750985">
            <w:pPr>
              <w:spacing w:line="440" w:lineRule="exact"/>
              <w:jc w:val="center"/>
              <w:rPr>
                <w:rFonts w:ascii="宋体" w:hAnsi="宋体"/>
                <w:sz w:val="24"/>
                <w:szCs w:val="24"/>
                <w:highlight w:val="none"/>
              </w:rPr>
            </w:pPr>
            <w:r>
              <w:rPr>
                <w:rFonts w:ascii="宋体" w:hAnsi="宋体"/>
                <w:sz w:val="24"/>
                <w:szCs w:val="24"/>
                <w:highlight w:val="none"/>
              </w:rPr>
              <w:t>评分标准</w:t>
            </w:r>
          </w:p>
        </w:tc>
      </w:tr>
      <w:tr w14:paraId="45E5C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atLeast"/>
          <w:jc w:val="center"/>
        </w:trPr>
        <w:tc>
          <w:tcPr>
            <w:tcW w:w="760" w:type="dxa"/>
            <w:vAlign w:val="center"/>
          </w:tcPr>
          <w:p w14:paraId="33ED3D4B">
            <w:pPr>
              <w:spacing w:line="440" w:lineRule="exact"/>
              <w:jc w:val="center"/>
              <w:rPr>
                <w:rFonts w:ascii="宋体" w:hAnsi="宋体"/>
                <w:sz w:val="24"/>
                <w:szCs w:val="24"/>
                <w:highlight w:val="none"/>
              </w:rPr>
            </w:pPr>
            <w:r>
              <w:rPr>
                <w:rFonts w:ascii="宋体" w:hAnsi="宋体"/>
                <w:sz w:val="24"/>
                <w:szCs w:val="24"/>
                <w:highlight w:val="none"/>
              </w:rPr>
              <w:t>1</w:t>
            </w:r>
          </w:p>
        </w:tc>
        <w:tc>
          <w:tcPr>
            <w:tcW w:w="2017" w:type="dxa"/>
            <w:vAlign w:val="center"/>
          </w:tcPr>
          <w:p w14:paraId="464B83B2">
            <w:pPr>
              <w:suppressAutoHyphens/>
              <w:jc w:val="center"/>
              <w:rPr>
                <w:rFonts w:ascii="宋体" w:hAnsi="宋体"/>
                <w:sz w:val="24"/>
                <w:szCs w:val="24"/>
                <w:highlight w:val="none"/>
              </w:rPr>
            </w:pPr>
            <w:r>
              <w:rPr>
                <w:rFonts w:hint="eastAsia" w:ascii="宋体" w:hAnsi="宋体" w:cs="宋体"/>
                <w:sz w:val="24"/>
                <w:szCs w:val="24"/>
                <w:highlight w:val="none"/>
              </w:rPr>
              <w:t>商务条件响应性</w:t>
            </w:r>
          </w:p>
        </w:tc>
        <w:tc>
          <w:tcPr>
            <w:tcW w:w="846" w:type="dxa"/>
            <w:vAlign w:val="center"/>
          </w:tcPr>
          <w:p w14:paraId="7666CD27">
            <w:pPr>
              <w:suppressAutoHyphens/>
              <w:spacing w:line="240" w:lineRule="atLeast"/>
              <w:jc w:val="center"/>
              <w:rPr>
                <w:rFonts w:ascii="宋体" w:hAnsi="宋体"/>
                <w:sz w:val="24"/>
                <w:szCs w:val="24"/>
                <w:highlight w:val="none"/>
              </w:rPr>
            </w:pPr>
            <w:r>
              <w:rPr>
                <w:rFonts w:hint="eastAsia" w:ascii="宋体" w:hAnsi="宋体" w:cs="宋体"/>
                <w:sz w:val="24"/>
                <w:szCs w:val="24"/>
                <w:highlight w:val="none"/>
              </w:rPr>
              <w:t>3分</w:t>
            </w:r>
          </w:p>
        </w:tc>
        <w:tc>
          <w:tcPr>
            <w:tcW w:w="6000" w:type="dxa"/>
            <w:vAlign w:val="center"/>
          </w:tcPr>
          <w:p w14:paraId="5F6FDE68">
            <w:pPr>
              <w:suppressAutoHyphens/>
              <w:spacing w:line="240" w:lineRule="atLeast"/>
              <w:rPr>
                <w:rFonts w:ascii="宋体" w:hAnsi="宋体"/>
                <w:sz w:val="24"/>
                <w:szCs w:val="24"/>
                <w:highlight w:val="none"/>
              </w:rPr>
            </w:pPr>
            <w:r>
              <w:rPr>
                <w:rFonts w:hint="eastAsia" w:ascii="宋体" w:hAnsi="宋体" w:cs="宋体"/>
                <w:sz w:val="24"/>
                <w:szCs w:val="24"/>
                <w:highlight w:val="none"/>
              </w:rPr>
              <w:t>投标人对招标文件中合同条款等商务条件完全响应的得3分（共25条）；有负偏离条款，每项扣0.12分；扣完为止。</w:t>
            </w:r>
            <w:r>
              <w:rPr>
                <w:rFonts w:hint="eastAsia" w:ascii="宋体" w:hAnsi="宋体" w:cs="宋体"/>
                <w:b/>
                <w:bCs/>
                <w:sz w:val="24"/>
                <w:szCs w:val="24"/>
                <w:highlight w:val="none"/>
              </w:rPr>
              <w:t>（付款方式必须完全响应，</w:t>
            </w:r>
            <w:r>
              <w:rPr>
                <w:rFonts w:hint="eastAsia" w:ascii="宋体" w:hAnsi="宋体" w:cs="宋体"/>
                <w:b/>
                <w:sz w:val="24"/>
                <w:szCs w:val="24"/>
                <w:highlight w:val="none"/>
              </w:rPr>
              <w:t>否则将作</w:t>
            </w:r>
            <w:r>
              <w:rPr>
                <w:rFonts w:hint="eastAsia" w:ascii="宋体" w:hAnsi="宋体" w:cs="宋体"/>
                <w:b/>
                <w:sz w:val="24"/>
                <w:szCs w:val="24"/>
                <w:highlight w:val="none"/>
                <w:lang w:val="zh-CN"/>
              </w:rPr>
              <w:t>无效投标处理</w:t>
            </w:r>
            <w:r>
              <w:rPr>
                <w:rFonts w:hint="eastAsia" w:ascii="宋体" w:hAnsi="宋体" w:cs="宋体"/>
                <w:b/>
                <w:bCs/>
                <w:sz w:val="24"/>
                <w:szCs w:val="24"/>
                <w:highlight w:val="none"/>
              </w:rPr>
              <w:t>）</w:t>
            </w:r>
          </w:p>
        </w:tc>
      </w:tr>
      <w:tr w14:paraId="03B8A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60" w:type="dxa"/>
            <w:vAlign w:val="center"/>
          </w:tcPr>
          <w:p w14:paraId="4E377D7A">
            <w:pPr>
              <w:spacing w:line="440" w:lineRule="exact"/>
              <w:jc w:val="center"/>
              <w:rPr>
                <w:rFonts w:ascii="宋体" w:hAnsi="宋体"/>
                <w:sz w:val="24"/>
                <w:szCs w:val="24"/>
                <w:highlight w:val="none"/>
              </w:rPr>
            </w:pPr>
            <w:r>
              <w:rPr>
                <w:rFonts w:hint="eastAsia" w:ascii="宋体" w:hAnsi="宋体"/>
                <w:sz w:val="24"/>
                <w:szCs w:val="24"/>
                <w:highlight w:val="none"/>
              </w:rPr>
              <w:t>2</w:t>
            </w:r>
          </w:p>
        </w:tc>
        <w:tc>
          <w:tcPr>
            <w:tcW w:w="2017" w:type="dxa"/>
            <w:vAlign w:val="center"/>
          </w:tcPr>
          <w:p w14:paraId="46B78170">
            <w:pPr>
              <w:spacing w:line="440" w:lineRule="exact"/>
              <w:jc w:val="center"/>
              <w:rPr>
                <w:rFonts w:ascii="宋体" w:hAnsi="宋体"/>
                <w:sz w:val="24"/>
                <w:szCs w:val="24"/>
                <w:highlight w:val="none"/>
              </w:rPr>
            </w:pPr>
            <w:r>
              <w:rPr>
                <w:rFonts w:ascii="宋体" w:hAnsi="宋体"/>
                <w:sz w:val="24"/>
                <w:szCs w:val="24"/>
                <w:highlight w:val="none"/>
              </w:rPr>
              <w:t>业绩情况</w:t>
            </w:r>
          </w:p>
        </w:tc>
        <w:tc>
          <w:tcPr>
            <w:tcW w:w="846" w:type="dxa"/>
            <w:vAlign w:val="center"/>
          </w:tcPr>
          <w:p w14:paraId="2B024E82">
            <w:pPr>
              <w:spacing w:line="440" w:lineRule="exact"/>
              <w:jc w:val="center"/>
              <w:rPr>
                <w:rFonts w:ascii="宋体" w:hAnsi="宋体"/>
                <w:sz w:val="24"/>
                <w:szCs w:val="24"/>
                <w:highlight w:val="none"/>
              </w:rPr>
            </w:pPr>
            <w:r>
              <w:rPr>
                <w:rFonts w:hint="eastAsia" w:ascii="宋体" w:hAnsi="宋体"/>
                <w:sz w:val="24"/>
                <w:szCs w:val="24"/>
                <w:highlight w:val="none"/>
              </w:rPr>
              <w:t>6分</w:t>
            </w:r>
          </w:p>
        </w:tc>
        <w:tc>
          <w:tcPr>
            <w:tcW w:w="6000" w:type="dxa"/>
            <w:vAlign w:val="center"/>
          </w:tcPr>
          <w:p w14:paraId="173F5CA7">
            <w:pPr>
              <w:spacing w:line="440" w:lineRule="exact"/>
              <w:jc w:val="left"/>
              <w:rPr>
                <w:rFonts w:ascii="宋体" w:hAnsi="宋体"/>
                <w:sz w:val="24"/>
                <w:szCs w:val="24"/>
                <w:highlight w:val="none"/>
              </w:rPr>
            </w:pPr>
            <w:r>
              <w:rPr>
                <w:rFonts w:hint="eastAsia" w:ascii="宋体" w:hAnsi="宋体"/>
                <w:sz w:val="24"/>
                <w:szCs w:val="24"/>
                <w:highlight w:val="none"/>
              </w:rPr>
              <w:t>2023年1月1日以来，投标人承接过大气污染防治或环境空气监测类服务业绩，每提供一个业绩得2分，最高得6分。</w:t>
            </w:r>
          </w:p>
          <w:p w14:paraId="089972D2">
            <w:pPr>
              <w:spacing w:line="440" w:lineRule="exact"/>
              <w:rPr>
                <w:rFonts w:ascii="宋体" w:hAnsi="宋体"/>
                <w:b/>
                <w:bCs/>
                <w:sz w:val="24"/>
                <w:szCs w:val="24"/>
                <w:highlight w:val="none"/>
              </w:rPr>
            </w:pPr>
            <w:r>
              <w:rPr>
                <w:rFonts w:hint="eastAsia" w:ascii="宋体" w:hAnsi="宋体"/>
                <w:b/>
                <w:bCs/>
                <w:color w:val="000000"/>
                <w:sz w:val="24"/>
                <w:szCs w:val="24"/>
                <w:highlight w:val="none"/>
              </w:rPr>
              <w:t>注：</w:t>
            </w:r>
            <w:r>
              <w:rPr>
                <w:rFonts w:hint="eastAsia" w:ascii="宋体" w:hAnsi="宋体"/>
                <w:b/>
                <w:bCs/>
                <w:sz w:val="24"/>
                <w:szCs w:val="24"/>
                <w:highlight w:val="none"/>
                <w:lang w:bidi="ar"/>
              </w:rPr>
              <w:t>需在投标文件中</w:t>
            </w:r>
            <w:r>
              <w:rPr>
                <w:rFonts w:ascii="爱奇艺黑体 Medium" w:hAnsi="爱奇艺黑体 Medium" w:cs="爱奇艺黑体 Medium"/>
                <w:b/>
                <w:bCs/>
                <w:color w:val="000000"/>
                <w:sz w:val="24"/>
                <w:szCs w:val="24"/>
                <w:highlight w:val="none"/>
              </w:rPr>
              <w:t>提供相对应的项目合同或协议证明材料</w:t>
            </w:r>
            <w:r>
              <w:rPr>
                <w:rFonts w:ascii="爱奇艺黑体 Medium" w:hAnsi="爱奇艺黑体 Medium" w:cs="爱奇艺黑体 Medium"/>
                <w:b/>
                <w:bCs/>
                <w:sz w:val="24"/>
                <w:szCs w:val="24"/>
                <w:highlight w:val="none"/>
              </w:rPr>
              <w:t>（至少包括：首</w:t>
            </w:r>
            <w:r>
              <w:rPr>
                <w:rFonts w:hint="eastAsia" w:ascii="宋体" w:hAnsi="宋体"/>
                <w:b/>
                <w:bCs/>
                <w:sz w:val="24"/>
                <w:szCs w:val="24"/>
                <w:highlight w:val="none"/>
              </w:rPr>
              <w:t>页、项目内容页、签字盖章页）</w:t>
            </w:r>
            <w:r>
              <w:rPr>
                <w:rFonts w:hint="eastAsia" w:ascii="宋体" w:hAnsi="宋体"/>
                <w:b/>
                <w:bCs/>
                <w:color w:val="000000"/>
                <w:sz w:val="24"/>
                <w:szCs w:val="24"/>
                <w:highlight w:val="none"/>
              </w:rPr>
              <w:t>，未提供</w:t>
            </w:r>
            <w:r>
              <w:rPr>
                <w:rFonts w:ascii="宋体" w:hAnsi="宋体"/>
                <w:b/>
                <w:bCs/>
                <w:sz w:val="24"/>
                <w:szCs w:val="24"/>
                <w:highlight w:val="none"/>
              </w:rPr>
              <w:t>或提供不全</w:t>
            </w:r>
            <w:r>
              <w:rPr>
                <w:rFonts w:hint="eastAsia" w:ascii="宋体" w:hAnsi="宋体"/>
                <w:b/>
                <w:bCs/>
                <w:color w:val="000000"/>
                <w:sz w:val="24"/>
                <w:szCs w:val="24"/>
                <w:highlight w:val="none"/>
              </w:rPr>
              <w:t>或提供的证明材料无法佐证的，对应评分项不得分</w:t>
            </w:r>
            <w:r>
              <w:rPr>
                <w:rFonts w:ascii="宋体" w:hAnsi="宋体"/>
                <w:b/>
                <w:color w:val="000000"/>
                <w:sz w:val="24"/>
                <w:szCs w:val="24"/>
                <w:highlight w:val="none"/>
              </w:rPr>
              <w:t>。</w:t>
            </w:r>
          </w:p>
        </w:tc>
      </w:tr>
    </w:tbl>
    <w:p w14:paraId="22823E20">
      <w:pPr>
        <w:spacing w:line="420" w:lineRule="exact"/>
        <w:rPr>
          <w:rFonts w:ascii="宋体" w:hAnsi="宋体" w:cs="宋体"/>
          <w:b/>
          <w:bCs/>
          <w:sz w:val="24"/>
          <w:szCs w:val="24"/>
          <w:highlight w:val="none"/>
        </w:rPr>
      </w:pPr>
      <w:r>
        <w:rPr>
          <w:rFonts w:hint="eastAsia" w:ascii="宋体" w:hAnsi="宋体" w:cs="宋体"/>
          <w:b/>
          <w:bCs/>
          <w:sz w:val="24"/>
          <w:szCs w:val="24"/>
          <w:highlight w:val="none"/>
        </w:rPr>
        <w:t>注：（1）上述投标文件中提供的相关证明材料需为清晰完整的彩色扫描件（照片），如存在扫描件（照片）无效、不清晰、不完整等情形使得评委会无法准确评审的，相关评审风险由投标人自行承担。</w:t>
      </w:r>
    </w:p>
    <w:p w14:paraId="2A106257">
      <w:pPr>
        <w:spacing w:line="42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（2）投标人在制作投标文件时请按投标文件规定的顺序编制，要求简洁、明了，并添加投标文件目录、页码、书签，便于评标委员会评审查阅。</w:t>
      </w:r>
    </w:p>
    <w:p w14:paraId="773998A9">
      <w:pPr>
        <w:spacing w:line="420" w:lineRule="exact"/>
        <w:rPr>
          <w:rFonts w:ascii="宋体" w:hAnsi="宋体" w:cs="宋体"/>
          <w:b/>
          <w:bCs/>
          <w:sz w:val="28"/>
          <w:highlight w:val="none"/>
        </w:rPr>
      </w:pPr>
      <w:r>
        <w:rPr>
          <w:rFonts w:hint="eastAsia" w:ascii="宋体" w:hAnsi="宋体" w:cs="宋体"/>
          <w:b/>
          <w:bCs/>
          <w:sz w:val="28"/>
          <w:highlight w:val="none"/>
        </w:rPr>
        <w:t>三、政府采购政策：</w:t>
      </w:r>
      <w:bookmarkEnd w:id="280"/>
    </w:p>
    <w:p w14:paraId="72500A01">
      <w:pPr>
        <w:spacing w:line="420" w:lineRule="exact"/>
        <w:ind w:firstLine="482" w:firstLineChars="200"/>
        <w:rPr>
          <w:rFonts w:ascii="宋体" w:hAnsi="宋体" w:cs="宋体"/>
          <w:b/>
          <w:bCs/>
          <w:sz w:val="24"/>
          <w:szCs w:val="24"/>
          <w:highlight w:val="none"/>
        </w:rPr>
      </w:pPr>
      <w:bookmarkStart w:id="281" w:name="_Toc22323"/>
      <w:r>
        <w:rPr>
          <w:rFonts w:hint="eastAsia" w:ascii="宋体" w:hAnsi="宋体" w:cs="宋体"/>
          <w:b/>
          <w:bCs/>
          <w:sz w:val="24"/>
          <w:szCs w:val="24"/>
          <w:highlight w:val="none"/>
        </w:rPr>
        <w:t>1、落实政府采购政策需满足的资格要求：</w:t>
      </w:r>
    </w:p>
    <w:p w14:paraId="604E5553">
      <w:pPr>
        <w:spacing w:line="42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（1）本项目专门面向中小企业采购，所属行业为其他未列明行业。</w:t>
      </w:r>
    </w:p>
    <w:p w14:paraId="5FEB0C1A">
      <w:pPr>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（2）在投标文件中须提供《中小企业声明函》。（填报严格按工信部联企业〔2011〕300号通知中的《中小企业划型标准规定》进行）。</w:t>
      </w:r>
    </w:p>
    <w:p w14:paraId="0E41FFCC">
      <w:pPr>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608A7FE7">
      <w:pPr>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（4）享受政府采购支持政策的残疾人福利性单位应当同时满足以下条件：</w:t>
      </w:r>
    </w:p>
    <w:p w14:paraId="4499D97E">
      <w:pPr>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安置的残疾人占本单位在职职工人数的比例不低于25%（含25%），并且安置的残疾人人数不少于10人（含10人）；依法与安置的每位残疾人签订了一年以上（含一年）的劳动合同或服务协议；</w:t>
      </w:r>
    </w:p>
    <w:p w14:paraId="288A6626">
      <w:pPr>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1DA84E71">
      <w:pPr>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提供本单位制造的货物、承担的工程或者服务，或者提供其他残疾人福利性单位制造的货物（不包括使用非残疾人福利性单位注册商标的货物）。</w:t>
      </w:r>
    </w:p>
    <w:p w14:paraId="44711F81">
      <w:pPr>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7E24915">
      <w:pPr>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5）中标、中标人享受中小企业扶持政策或者为残疾人福利性单位的，应当随中标、成交结果同时公告其《中小企业声明函》或《残疾人福利性单位声明函》，接受社会监督。若投标人提供的上述声明函为虚假声明则视同提供虚假材料，按“政府采购法”相关规定处理并报请政府监管部门给予行政处罚。</w:t>
      </w:r>
    </w:p>
    <w:bookmarkEnd w:id="281"/>
    <w:p w14:paraId="16B30BD4">
      <w:pPr>
        <w:spacing w:line="420" w:lineRule="exact"/>
        <w:ind w:firstLine="241" w:firstLineChars="100"/>
        <w:rPr>
          <w:rFonts w:ascii="宋体" w:hAnsi="宋体" w:cs="宋体"/>
          <w:b/>
          <w:sz w:val="24"/>
          <w:szCs w:val="24"/>
          <w:highlight w:val="none"/>
        </w:rPr>
      </w:pPr>
      <w:r>
        <w:rPr>
          <w:rFonts w:hint="eastAsia" w:ascii="宋体" w:hAnsi="宋体" w:cs="宋体"/>
          <w:b/>
          <w:sz w:val="24"/>
          <w:szCs w:val="24"/>
          <w:highlight w:val="none"/>
        </w:rPr>
        <w:t>2、信用信息查询</w:t>
      </w:r>
    </w:p>
    <w:p w14:paraId="1289E504">
      <w:pPr>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根据政府采购法及相关法规，以及《国务院关于建立完善守信联合激励和失信联合惩戒制度加快推进社会诚信体系建设的指导意见》（国发〔2016〕33 号）、财政部《关于在政府采购活动中查询及使用信用记录有关问题的通知》（财库〔2016〕125 号）、江苏省财政厅《关于做好政府采购信用信息查询使用及登记等工作的通知》（苏财购〔2016〕50 号）等文件的规定，我们将依法对投标人进行信用查询，凡经评标小组确认不符合政府采购相关法律法规规定的，将拒绝其参与政府采购活动。</w:t>
      </w:r>
    </w:p>
    <w:p w14:paraId="6F4FA952">
      <w:pPr>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1、查询截止时点：投标文件递交截止时间。</w:t>
      </w:r>
    </w:p>
    <w:p w14:paraId="5768B4F9">
      <w:pPr>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 xml:space="preserve">2、查询渠道：信用中国 （ https://www.creditchina.gov.cn/ ）查询相关主体信用记录，并采取必要方式做好信用信息报告等查询记录留存，信用信息报告等查询记录应当与其他招标文件一并保存。 </w:t>
      </w:r>
    </w:p>
    <w:p w14:paraId="1549432C">
      <w:pPr>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3、查询证据留存方式：</w:t>
      </w:r>
    </w:p>
    <w:p w14:paraId="3F648419">
      <w:pPr>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对存在失信信息的投标人，评标委员会应填写《苏州市级政府采购投标人失信信息确认函》，由失信投标人确认。同时，采购代理机构工作人员应根据评标委员会确认的失信信息，登陆到来源网站页面进行复核并打印，作为证据留存。</w:t>
      </w:r>
    </w:p>
    <w:p w14:paraId="4D5C86B4">
      <w:pPr>
        <w:spacing w:line="420" w:lineRule="exact"/>
        <w:ind w:firstLine="480" w:firstLineChars="200"/>
        <w:rPr>
          <w:rFonts w:ascii="宋体" w:hAnsi="宋体" w:cs="宋体"/>
          <w:sz w:val="24"/>
          <w:szCs w:val="24"/>
          <w:highlight w:val="none"/>
        </w:rPr>
      </w:pPr>
      <w:r>
        <w:rPr>
          <w:rFonts w:hint="eastAsia" w:ascii="宋体" w:hAnsi="宋体" w:cs="宋体"/>
          <w:sz w:val="24"/>
          <w:szCs w:val="24"/>
          <w:highlight w:val="none"/>
        </w:rPr>
        <w:t>4、信用记录使用规则：</w:t>
      </w:r>
    </w:p>
    <w:p w14:paraId="3369276D">
      <w:pPr>
        <w:spacing w:line="420" w:lineRule="exact"/>
        <w:ind w:firstLine="480" w:firstLineChars="200"/>
        <w:rPr>
          <w:rFonts w:ascii="宋体" w:hAnsi="宋体" w:cs="宋体"/>
          <w:b/>
          <w:sz w:val="36"/>
          <w:highlight w:val="none"/>
        </w:rPr>
      </w:pPr>
      <w:r>
        <w:rPr>
          <w:rFonts w:hint="eastAsia" w:ascii="宋体" w:hAnsi="宋体" w:cs="宋体"/>
          <w:sz w:val="24"/>
          <w:szCs w:val="24"/>
          <w:highlight w:val="none"/>
        </w:rPr>
        <w:t>评标委员会在对投标人进行资格性审查时，应根据查询结果对投标人的不良信用记录逐项甄别确认</w:t>
      </w:r>
      <w:bookmarkEnd w:id="273"/>
      <w:bookmarkEnd w:id="274"/>
      <w:bookmarkEnd w:id="275"/>
      <w:bookmarkStart w:id="282" w:name="_Toc158691777"/>
      <w:bookmarkStart w:id="283" w:name="_Toc315868063"/>
      <w:bookmarkStart w:id="284" w:name="_Toc315875326"/>
      <w:r>
        <w:rPr>
          <w:rFonts w:hint="eastAsia" w:ascii="宋体" w:hAnsi="宋体" w:cs="宋体"/>
          <w:sz w:val="24"/>
          <w:szCs w:val="24"/>
          <w:highlight w:val="none"/>
        </w:rPr>
        <w:t>。</w:t>
      </w:r>
    </w:p>
    <w:p w14:paraId="19741F9E">
      <w:pPr>
        <w:spacing w:line="440" w:lineRule="exact"/>
        <w:ind w:firstLine="241" w:firstLineChars="100"/>
        <w:rPr>
          <w:rFonts w:ascii="宋体" w:hAnsi="宋体" w:cs="宋体"/>
          <w:b/>
          <w:sz w:val="24"/>
          <w:szCs w:val="24"/>
          <w:highlight w:val="none"/>
        </w:rPr>
      </w:pPr>
      <w:r>
        <w:rPr>
          <w:rFonts w:hint="eastAsia" w:ascii="宋体" w:hAnsi="宋体" w:cs="宋体"/>
          <w:b/>
          <w:sz w:val="24"/>
          <w:szCs w:val="24"/>
          <w:highlight w:val="none"/>
        </w:rPr>
        <w:t>3、采购本国产品的支持政策</w:t>
      </w:r>
    </w:p>
    <w:p w14:paraId="2DF0A65D">
      <w:pP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本项目政府采购活动中既有本国产品又有非本国产品参与竞争的，依法对本国产品给予价格评审优惠，对本国产品的报价给予20%的价格扣除，用扣除后的价格参与评审。</w:t>
      </w:r>
    </w:p>
    <w:p w14:paraId="67AEA8B7">
      <w:pP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78DCEA3">
      <w:pP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 xml:space="preserve"> 供应商需按照招标文件的要求提供《关于符合本国产品标准的声明函》（以下简称《声明函》），如不提供将不享受本国产品价格评审优惠。</w:t>
      </w:r>
    </w:p>
    <w:p w14:paraId="4B4283C3">
      <w:pP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4A5CF40">
      <w:pPr>
        <w:spacing w:line="440" w:lineRule="exact"/>
        <w:ind w:firstLine="480" w:firstLineChars="200"/>
        <w:rPr>
          <w:rFonts w:ascii="宋体" w:hAnsi="宋体" w:cs="宋体"/>
          <w:b/>
          <w:sz w:val="36"/>
          <w:highlight w:val="none"/>
        </w:rPr>
      </w:pPr>
      <w:r>
        <w:rPr>
          <w:rFonts w:hint="eastAsia" w:ascii="宋体" w:hAnsi="宋体" w:cs="宋体"/>
          <w:sz w:val="24"/>
          <w:szCs w:val="24"/>
          <w:highlight w:val="none"/>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sz w:val="36"/>
          <w:highlight w:val="none"/>
        </w:rPr>
        <w:br w:type="page"/>
      </w:r>
    </w:p>
    <w:p w14:paraId="63EFCC62">
      <w:pPr>
        <w:spacing w:line="360" w:lineRule="auto"/>
        <w:jc w:val="center"/>
        <w:outlineLvl w:val="0"/>
        <w:rPr>
          <w:rFonts w:ascii="宋体" w:hAnsi="宋体" w:cs="宋体"/>
          <w:b/>
          <w:sz w:val="36"/>
          <w:highlight w:val="none"/>
        </w:rPr>
      </w:pPr>
      <w:bookmarkStart w:id="285" w:name="_Toc24216"/>
      <w:r>
        <w:rPr>
          <w:rFonts w:hint="eastAsia" w:ascii="宋体" w:hAnsi="宋体" w:cs="宋体"/>
          <w:b/>
          <w:sz w:val="36"/>
          <w:highlight w:val="none"/>
        </w:rPr>
        <w:t>第六章 投标文件格式</w:t>
      </w:r>
      <w:bookmarkEnd w:id="285"/>
    </w:p>
    <w:p w14:paraId="40962DD2">
      <w:pPr>
        <w:rPr>
          <w:rFonts w:ascii="宋体" w:hAnsi="宋体" w:cs="宋体"/>
          <w:b/>
          <w:sz w:val="44"/>
          <w:szCs w:val="44"/>
          <w:highlight w:val="none"/>
        </w:rPr>
      </w:pPr>
      <w:r>
        <w:rPr>
          <w:rFonts w:hint="eastAsia" w:ascii="宋体" w:hAnsi="宋体" w:cs="宋体"/>
          <w:b/>
          <w:sz w:val="44"/>
          <w:szCs w:val="44"/>
          <w:highlight w:val="none"/>
        </w:rPr>
        <w:t>封面：</w:t>
      </w:r>
    </w:p>
    <w:p w14:paraId="726E127E">
      <w:pPr>
        <w:jc w:val="center"/>
        <w:rPr>
          <w:rFonts w:ascii="宋体" w:hAnsi="宋体" w:cs="宋体"/>
          <w:b/>
          <w:sz w:val="72"/>
          <w:szCs w:val="72"/>
          <w:highlight w:val="none"/>
        </w:rPr>
      </w:pPr>
    </w:p>
    <w:p w14:paraId="6B7D0B93">
      <w:pPr>
        <w:jc w:val="center"/>
        <w:rPr>
          <w:rFonts w:ascii="宋体" w:hAnsi="宋体" w:cs="宋体"/>
          <w:b/>
          <w:sz w:val="72"/>
          <w:szCs w:val="72"/>
          <w:highlight w:val="none"/>
        </w:rPr>
      </w:pPr>
    </w:p>
    <w:p w14:paraId="258F7A1D">
      <w:pPr>
        <w:jc w:val="center"/>
        <w:rPr>
          <w:rFonts w:ascii="宋体" w:hAnsi="宋体" w:cs="宋体"/>
          <w:b/>
          <w:sz w:val="72"/>
          <w:szCs w:val="72"/>
          <w:highlight w:val="none"/>
        </w:rPr>
      </w:pPr>
      <w:r>
        <w:rPr>
          <w:rFonts w:hint="eastAsia" w:ascii="宋体" w:hAnsi="宋体" w:cs="宋体"/>
          <w:b/>
          <w:sz w:val="72"/>
          <w:szCs w:val="72"/>
          <w:highlight w:val="none"/>
        </w:rPr>
        <w:t>投标文件</w:t>
      </w:r>
    </w:p>
    <w:p w14:paraId="4D5E65F8">
      <w:pPr>
        <w:rPr>
          <w:rFonts w:ascii="宋体" w:hAnsi="宋体" w:cs="宋体"/>
          <w:b/>
          <w:sz w:val="36"/>
          <w:szCs w:val="36"/>
          <w:highlight w:val="none"/>
        </w:rPr>
      </w:pPr>
    </w:p>
    <w:p w14:paraId="0486E749">
      <w:pPr>
        <w:rPr>
          <w:rFonts w:ascii="宋体" w:hAnsi="宋体" w:cs="宋体"/>
          <w:b/>
          <w:sz w:val="36"/>
          <w:szCs w:val="36"/>
          <w:highlight w:val="none"/>
        </w:rPr>
      </w:pPr>
    </w:p>
    <w:p w14:paraId="6F263576">
      <w:pPr>
        <w:rPr>
          <w:rFonts w:ascii="宋体" w:hAnsi="宋体" w:cs="宋体"/>
          <w:b/>
          <w:sz w:val="36"/>
          <w:szCs w:val="36"/>
          <w:highlight w:val="none"/>
        </w:rPr>
      </w:pPr>
    </w:p>
    <w:p w14:paraId="3ECC50C9">
      <w:pPr>
        <w:rPr>
          <w:rFonts w:ascii="宋体" w:hAnsi="宋体" w:cs="宋体"/>
          <w:b/>
          <w:sz w:val="36"/>
          <w:szCs w:val="36"/>
          <w:highlight w:val="none"/>
        </w:rPr>
      </w:pPr>
    </w:p>
    <w:p w14:paraId="70508CAA">
      <w:pPr>
        <w:jc w:val="center"/>
        <w:rPr>
          <w:rFonts w:ascii="宋体" w:hAnsi="宋体" w:cs="宋体"/>
          <w:b/>
          <w:sz w:val="36"/>
          <w:szCs w:val="36"/>
          <w:highlight w:val="none"/>
        </w:rPr>
      </w:pPr>
      <w:r>
        <w:rPr>
          <w:rFonts w:hint="eastAsia" w:ascii="宋体" w:hAnsi="宋体" w:cs="宋体"/>
          <w:b/>
          <w:w w:val="90"/>
          <w:sz w:val="36"/>
          <w:szCs w:val="36"/>
          <w:highlight w:val="none"/>
        </w:rPr>
        <w:t>项目名称：大气污染防治技术支撑服务</w:t>
      </w:r>
    </w:p>
    <w:p w14:paraId="39095856">
      <w:pPr>
        <w:ind w:firstLine="1084" w:firstLineChars="300"/>
        <w:jc w:val="center"/>
        <w:rPr>
          <w:rFonts w:ascii="宋体" w:hAnsi="宋体" w:cs="宋体"/>
          <w:b/>
          <w:sz w:val="36"/>
          <w:szCs w:val="36"/>
          <w:highlight w:val="none"/>
        </w:rPr>
      </w:pPr>
    </w:p>
    <w:p w14:paraId="1510B6D2">
      <w:pPr>
        <w:jc w:val="center"/>
        <w:rPr>
          <w:rFonts w:hint="eastAsia" w:ascii="宋体" w:hAnsi="宋体" w:eastAsia="宋体" w:cs="宋体"/>
          <w:b/>
          <w:sz w:val="10"/>
          <w:szCs w:val="10"/>
          <w:highlight w:val="none"/>
          <w:lang w:eastAsia="zh-CN"/>
        </w:rPr>
      </w:pPr>
      <w:r>
        <w:rPr>
          <w:rFonts w:hint="eastAsia" w:ascii="宋体" w:hAnsi="宋体" w:cs="宋体"/>
          <w:b/>
          <w:sz w:val="36"/>
          <w:szCs w:val="36"/>
          <w:highlight w:val="none"/>
        </w:rPr>
        <w:t>项目编号：</w:t>
      </w:r>
      <w:r>
        <w:rPr>
          <w:rFonts w:hint="eastAsia" w:ascii="宋体" w:hAnsi="宋体" w:cs="宋体"/>
          <w:b/>
          <w:sz w:val="36"/>
          <w:szCs w:val="36"/>
          <w:highlight w:val="none"/>
          <w:lang w:eastAsia="zh-CN"/>
        </w:rPr>
        <w:t>JSZC-320581-HXGW-G2026-0035</w:t>
      </w:r>
    </w:p>
    <w:p w14:paraId="2648C773">
      <w:pPr>
        <w:ind w:firstLine="2530" w:firstLineChars="700"/>
        <w:rPr>
          <w:rFonts w:ascii="宋体" w:hAnsi="宋体" w:cs="宋体"/>
          <w:b/>
          <w:sz w:val="36"/>
          <w:szCs w:val="36"/>
          <w:highlight w:val="none"/>
        </w:rPr>
      </w:pPr>
    </w:p>
    <w:p w14:paraId="2231521E">
      <w:pPr>
        <w:rPr>
          <w:rFonts w:ascii="宋体" w:hAnsi="宋体" w:cs="宋体"/>
          <w:sz w:val="36"/>
          <w:szCs w:val="36"/>
          <w:highlight w:val="none"/>
        </w:rPr>
      </w:pPr>
    </w:p>
    <w:p w14:paraId="6955173B">
      <w:pPr>
        <w:rPr>
          <w:rFonts w:ascii="宋体" w:hAnsi="宋体" w:cs="宋体"/>
          <w:b/>
          <w:sz w:val="36"/>
          <w:szCs w:val="36"/>
          <w:highlight w:val="none"/>
        </w:rPr>
      </w:pPr>
    </w:p>
    <w:p w14:paraId="73043930">
      <w:pPr>
        <w:ind w:firstLine="1084" w:firstLineChars="300"/>
        <w:jc w:val="center"/>
        <w:rPr>
          <w:rFonts w:ascii="宋体" w:hAnsi="宋体" w:cs="宋体"/>
          <w:b/>
          <w:sz w:val="36"/>
          <w:szCs w:val="36"/>
          <w:highlight w:val="none"/>
        </w:rPr>
      </w:pPr>
    </w:p>
    <w:p w14:paraId="4BCC14F9">
      <w:pPr>
        <w:jc w:val="center"/>
        <w:rPr>
          <w:rFonts w:ascii="宋体" w:hAnsi="宋体" w:cs="宋体"/>
          <w:b/>
          <w:sz w:val="36"/>
          <w:szCs w:val="36"/>
          <w:highlight w:val="none"/>
        </w:rPr>
      </w:pPr>
      <w:r>
        <w:rPr>
          <w:rFonts w:hint="eastAsia" w:ascii="宋体" w:hAnsi="宋体" w:cs="宋体"/>
          <w:b/>
          <w:sz w:val="36"/>
          <w:szCs w:val="21"/>
          <w:highlight w:val="none"/>
        </w:rPr>
        <w:t>投标人名称</w:t>
      </w:r>
      <w:r>
        <w:rPr>
          <w:rFonts w:hint="eastAsia" w:ascii="宋体" w:hAnsi="宋体" w:cs="宋体"/>
          <w:b/>
          <w:sz w:val="36"/>
          <w:szCs w:val="36"/>
          <w:highlight w:val="none"/>
        </w:rPr>
        <w:t>：</w:t>
      </w:r>
      <w:r>
        <w:rPr>
          <w:rFonts w:hint="eastAsia" w:ascii="宋体" w:hAnsi="宋体" w:cs="宋体"/>
          <w:b/>
          <w:sz w:val="36"/>
          <w:szCs w:val="21"/>
          <w:highlight w:val="none"/>
          <w:u w:val="single"/>
        </w:rPr>
        <w:t>（加盖CA电子公章）</w:t>
      </w:r>
    </w:p>
    <w:p w14:paraId="45F48761">
      <w:pPr>
        <w:ind w:firstLine="1988" w:firstLineChars="550"/>
        <w:jc w:val="center"/>
        <w:rPr>
          <w:rFonts w:ascii="宋体" w:hAnsi="宋体" w:cs="宋体"/>
          <w:b/>
          <w:sz w:val="36"/>
          <w:szCs w:val="36"/>
          <w:highlight w:val="none"/>
        </w:rPr>
      </w:pPr>
    </w:p>
    <w:p w14:paraId="379DC731">
      <w:pPr>
        <w:jc w:val="center"/>
        <w:rPr>
          <w:rFonts w:ascii="宋体" w:hAnsi="宋体" w:cs="宋体"/>
          <w:b/>
          <w:sz w:val="36"/>
          <w:szCs w:val="36"/>
          <w:highlight w:val="none"/>
        </w:rPr>
      </w:pPr>
      <w:r>
        <w:rPr>
          <w:rFonts w:hint="eastAsia" w:ascii="宋体" w:hAnsi="宋体" w:cs="宋体"/>
          <w:b/>
          <w:sz w:val="36"/>
          <w:szCs w:val="36"/>
          <w:highlight w:val="none"/>
        </w:rPr>
        <w:t>日期：   年   月    日</w:t>
      </w:r>
    </w:p>
    <w:p w14:paraId="3AEA00FF">
      <w:pPr>
        <w:ind w:firstLine="482" w:firstLineChars="200"/>
        <w:rPr>
          <w:rFonts w:ascii="宋体" w:hAnsi="宋体" w:cs="宋体"/>
          <w:b/>
          <w:sz w:val="24"/>
          <w:szCs w:val="24"/>
          <w:highlight w:val="none"/>
        </w:rPr>
      </w:pPr>
    </w:p>
    <w:p w14:paraId="76F7525F">
      <w:pPr>
        <w:jc w:val="center"/>
        <w:rPr>
          <w:rFonts w:ascii="宋体" w:hAnsi="宋体" w:cs="宋体"/>
          <w:b/>
          <w:sz w:val="48"/>
          <w:szCs w:val="48"/>
          <w:highlight w:val="none"/>
        </w:rPr>
      </w:pPr>
      <w:r>
        <w:rPr>
          <w:rFonts w:hint="eastAsia" w:ascii="宋体" w:hAnsi="宋体" w:cs="宋体"/>
          <w:b/>
          <w:sz w:val="48"/>
          <w:szCs w:val="48"/>
          <w:highlight w:val="none"/>
        </w:rPr>
        <w:t>目录</w:t>
      </w:r>
    </w:p>
    <w:p w14:paraId="3817464D">
      <w:pPr>
        <w:spacing w:line="400" w:lineRule="exact"/>
        <w:ind w:firstLine="482" w:firstLineChars="200"/>
        <w:rPr>
          <w:rFonts w:ascii="宋体" w:hAnsi="宋体" w:cs="宋体"/>
          <w:b/>
          <w:bCs/>
          <w:sz w:val="24"/>
          <w:szCs w:val="24"/>
          <w:highlight w:val="none"/>
        </w:rPr>
      </w:pPr>
      <w:bookmarkStart w:id="286" w:name="_Toc511680880"/>
      <w:r>
        <w:rPr>
          <w:rFonts w:hint="eastAsia" w:ascii="宋体" w:hAnsi="宋体" w:cs="宋体"/>
          <w:b/>
          <w:bCs/>
          <w:sz w:val="24"/>
          <w:szCs w:val="24"/>
          <w:highlight w:val="none"/>
        </w:rPr>
        <w:t>一、基本目录</w:t>
      </w:r>
    </w:p>
    <w:p w14:paraId="01E149ED">
      <w:pPr>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highlight w:val="none"/>
        </w:rPr>
        <w:t>开标一览表</w:t>
      </w:r>
      <w:r>
        <w:rPr>
          <w:rFonts w:hint="eastAsia" w:ascii="宋体" w:hAnsi="宋体" w:cs="宋体"/>
          <w:sz w:val="24"/>
          <w:szCs w:val="24"/>
          <w:highlight w:val="none"/>
        </w:rPr>
        <w:t>（格式见附件）</w:t>
      </w:r>
    </w:p>
    <w:p w14:paraId="0898701F">
      <w:pPr>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highlight w:val="none"/>
        </w:rPr>
        <w:t>报价明细表</w:t>
      </w:r>
      <w:r>
        <w:rPr>
          <w:rFonts w:hint="eastAsia" w:ascii="宋体" w:hAnsi="宋体" w:cs="宋体"/>
          <w:sz w:val="24"/>
          <w:szCs w:val="24"/>
          <w:highlight w:val="none"/>
        </w:rPr>
        <w:t>（格式见附件）</w:t>
      </w:r>
    </w:p>
    <w:p w14:paraId="5B9919CA">
      <w:pPr>
        <w:spacing w:line="40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二、资格审查内容</w:t>
      </w:r>
    </w:p>
    <w:p w14:paraId="365A3CE1">
      <w:pPr>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*1、满足《中华人民共和国政府采购法》第二十二条规定，并提供下列材料：</w:t>
      </w:r>
    </w:p>
    <w:p w14:paraId="25703C31">
      <w:pPr>
        <w:spacing w:line="400" w:lineRule="exact"/>
        <w:ind w:firstLine="720" w:firstLineChars="300"/>
        <w:rPr>
          <w:rFonts w:ascii="宋体" w:hAnsi="宋体" w:cs="宋体"/>
          <w:sz w:val="24"/>
          <w:szCs w:val="24"/>
          <w:highlight w:val="none"/>
        </w:rPr>
      </w:pPr>
      <w:r>
        <w:rPr>
          <w:rFonts w:hint="eastAsia" w:ascii="宋体" w:hAnsi="宋体" w:cs="宋体"/>
          <w:sz w:val="24"/>
          <w:szCs w:val="24"/>
          <w:highlight w:val="none"/>
        </w:rPr>
        <w:t>1.1 法人或者其他组织的营业执照等证明文件；</w:t>
      </w:r>
    </w:p>
    <w:p w14:paraId="6B65916D">
      <w:pPr>
        <w:spacing w:line="400" w:lineRule="exact"/>
        <w:ind w:firstLine="720" w:firstLineChars="300"/>
        <w:rPr>
          <w:rFonts w:ascii="宋体" w:hAnsi="宋体" w:cs="宋体"/>
          <w:sz w:val="24"/>
          <w:szCs w:val="24"/>
          <w:highlight w:val="none"/>
        </w:rPr>
      </w:pPr>
      <w:r>
        <w:rPr>
          <w:rFonts w:hint="eastAsia" w:ascii="宋体" w:hAnsi="宋体" w:cs="宋体"/>
          <w:sz w:val="24"/>
          <w:szCs w:val="24"/>
          <w:highlight w:val="none"/>
        </w:rPr>
        <w:t>1.2 提供2024年至今任意一期经会计事务所审计的财务报告（成立不满一年需提供资产负债表和利润表）或银行（金融机构）出具的资信证明</w:t>
      </w:r>
      <w:r>
        <w:rPr>
          <w:rFonts w:hint="eastAsia" w:ascii="宋体" w:hAnsi="宋体" w:cs="宋体"/>
          <w:b/>
          <w:bCs/>
          <w:sz w:val="24"/>
          <w:szCs w:val="24"/>
          <w:highlight w:val="none"/>
        </w:rPr>
        <w:t>（距开标时间六个月内开具的资信证明）</w:t>
      </w:r>
    </w:p>
    <w:p w14:paraId="37C75E2F">
      <w:pPr>
        <w:spacing w:line="400" w:lineRule="exact"/>
        <w:ind w:firstLine="720" w:firstLineChars="300"/>
        <w:rPr>
          <w:rFonts w:ascii="宋体" w:hAnsi="宋体" w:cs="宋体"/>
          <w:sz w:val="24"/>
          <w:szCs w:val="24"/>
          <w:highlight w:val="none"/>
        </w:rPr>
      </w:pPr>
      <w:r>
        <w:rPr>
          <w:rFonts w:hint="eastAsia" w:ascii="宋体" w:hAnsi="宋体" w:cs="宋体"/>
          <w:sz w:val="24"/>
          <w:szCs w:val="24"/>
          <w:highlight w:val="none"/>
        </w:rPr>
        <w:t>1.3 依法缴纳税收和社会保障资金</w:t>
      </w:r>
      <w:bookmarkStart w:id="334" w:name="_GoBack"/>
      <w:bookmarkEnd w:id="334"/>
      <w:r>
        <w:rPr>
          <w:rFonts w:hint="eastAsia" w:ascii="宋体" w:hAnsi="宋体" w:cs="宋体"/>
          <w:sz w:val="24"/>
          <w:szCs w:val="24"/>
          <w:highlight w:val="none"/>
        </w:rPr>
        <w:t>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p>
    <w:p w14:paraId="30F5FDEB">
      <w:pPr>
        <w:spacing w:line="400" w:lineRule="exact"/>
        <w:ind w:firstLine="720" w:firstLineChars="300"/>
        <w:rPr>
          <w:rFonts w:ascii="宋体" w:hAnsi="宋体" w:cs="宋体"/>
          <w:sz w:val="24"/>
          <w:szCs w:val="24"/>
          <w:highlight w:val="none"/>
        </w:rPr>
      </w:pPr>
      <w:r>
        <w:rPr>
          <w:rFonts w:hint="eastAsia" w:ascii="宋体" w:hAnsi="宋体" w:cs="宋体"/>
          <w:sz w:val="24"/>
          <w:szCs w:val="24"/>
          <w:highlight w:val="none"/>
        </w:rPr>
        <w:t>1.4 具备履行合同所必需的设备和专业技术能力的书面声明（格式见附件）</w:t>
      </w:r>
    </w:p>
    <w:p w14:paraId="4B3EB2ED">
      <w:pPr>
        <w:spacing w:line="400" w:lineRule="exact"/>
        <w:ind w:firstLine="720" w:firstLineChars="300"/>
        <w:rPr>
          <w:rFonts w:ascii="宋体" w:hAnsi="宋体" w:cs="宋体"/>
          <w:sz w:val="24"/>
          <w:szCs w:val="24"/>
          <w:highlight w:val="none"/>
        </w:rPr>
      </w:pPr>
      <w:r>
        <w:rPr>
          <w:rFonts w:hint="eastAsia" w:ascii="宋体" w:hAnsi="宋体" w:cs="宋体"/>
          <w:sz w:val="24"/>
          <w:szCs w:val="24"/>
          <w:highlight w:val="none"/>
        </w:rPr>
        <w:t>1.5 参加政府采购活动前 3 年内在经营活动中没有重大违法记录的书面声明（格式见附件）</w:t>
      </w:r>
    </w:p>
    <w:p w14:paraId="4EA3875B">
      <w:pPr>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*2、中小企业声明函（格式见附件）或残疾人福利性单位声明函（格式见附件）或省级以上监狱管理局、戒毒管理局（含新疆生产建设兵团）出具的属于监狱企业的证明文件</w:t>
      </w:r>
    </w:p>
    <w:p w14:paraId="1E3DEAE4">
      <w:pPr>
        <w:spacing w:line="40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注：其中加“*”项目若有缺失或无效，将导致其投标文件无效且不允许在投标文件开启时间后补正。</w:t>
      </w:r>
    </w:p>
    <w:p w14:paraId="4B6462F8">
      <w:pPr>
        <w:spacing w:line="40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三、符合性审查内容</w:t>
      </w:r>
    </w:p>
    <w:p w14:paraId="6C7D1397">
      <w:pPr>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1、法人授权书（格式见附件）（如法定代表人签署投标文件的，法人授权书无需提供）</w:t>
      </w:r>
    </w:p>
    <w:p w14:paraId="47C361D5">
      <w:pPr>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2、投标函（格式见附件）</w:t>
      </w:r>
    </w:p>
    <w:p w14:paraId="7FFC5F5F">
      <w:pPr>
        <w:spacing w:line="400" w:lineRule="exact"/>
        <w:ind w:firstLine="480" w:firstLineChars="200"/>
        <w:rPr>
          <w:rFonts w:ascii="宋体" w:hAnsi="宋体" w:cs="宋体"/>
          <w:sz w:val="24"/>
          <w:szCs w:val="24"/>
          <w:highlight w:val="none"/>
        </w:rPr>
      </w:pPr>
      <w:r>
        <w:rPr>
          <w:rFonts w:hint="eastAsia" w:ascii="宋体" w:hAnsi="宋体" w:cs="宋体"/>
          <w:sz w:val="24"/>
          <w:highlight w:val="none"/>
        </w:rPr>
        <w:t>3、</w:t>
      </w:r>
      <w:r>
        <w:rPr>
          <w:rFonts w:hint="eastAsia" w:ascii="宋体" w:hAnsi="宋体" w:cs="宋体"/>
          <w:sz w:val="24"/>
          <w:szCs w:val="24"/>
          <w:highlight w:val="none"/>
        </w:rPr>
        <w:t>实质性要求响应及偏离表（格式见附件）</w:t>
      </w:r>
    </w:p>
    <w:p w14:paraId="4B548D28">
      <w:pPr>
        <w:spacing w:line="400" w:lineRule="exact"/>
        <w:ind w:firstLine="480" w:firstLineChars="200"/>
        <w:rPr>
          <w:rFonts w:ascii="宋体" w:hAnsi="宋体" w:cs="宋体"/>
          <w:sz w:val="24"/>
          <w:highlight w:val="none"/>
        </w:rPr>
      </w:pPr>
      <w:r>
        <w:rPr>
          <w:rFonts w:hint="eastAsia" w:ascii="宋体" w:hAnsi="宋体" w:cs="宋体"/>
          <w:sz w:val="24"/>
          <w:highlight w:val="none"/>
        </w:rPr>
        <w:t>4、服务要求响应及偏离表（格式见附件）</w:t>
      </w:r>
    </w:p>
    <w:p w14:paraId="78B57066">
      <w:pPr>
        <w:spacing w:line="400" w:lineRule="exact"/>
        <w:ind w:firstLine="480" w:firstLineChars="200"/>
        <w:rPr>
          <w:rFonts w:ascii="宋体" w:hAnsi="宋体" w:cs="宋体"/>
          <w:sz w:val="24"/>
          <w:szCs w:val="24"/>
          <w:highlight w:val="none"/>
        </w:rPr>
      </w:pPr>
      <w:r>
        <w:rPr>
          <w:rFonts w:hint="eastAsia" w:ascii="宋体" w:hAnsi="宋体" w:cs="宋体"/>
          <w:sz w:val="24"/>
          <w:highlight w:val="none"/>
        </w:rPr>
        <w:t>5、商务要求响应及偏离表</w:t>
      </w:r>
      <w:r>
        <w:rPr>
          <w:rFonts w:hint="eastAsia" w:ascii="宋体" w:hAnsi="宋体" w:cs="宋体"/>
          <w:sz w:val="24"/>
          <w:szCs w:val="24"/>
          <w:highlight w:val="none"/>
        </w:rPr>
        <w:t>（格式见附件）</w:t>
      </w:r>
    </w:p>
    <w:p w14:paraId="371DC71A">
      <w:pPr>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6、供应商与其他单位存在直接控股、管理关系情况表（格式见附件）</w:t>
      </w:r>
    </w:p>
    <w:p w14:paraId="4D9F4A54">
      <w:pPr>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7、关于符合本国产品标准的声明函（格式见附件）</w:t>
      </w:r>
    </w:p>
    <w:p w14:paraId="5548B10A">
      <w:pPr>
        <w:spacing w:line="40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四、综合评审文件</w:t>
      </w:r>
    </w:p>
    <w:p w14:paraId="79967909">
      <w:pPr>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1、项目实施方案（格式见附件）</w:t>
      </w:r>
    </w:p>
    <w:p w14:paraId="113D8079">
      <w:pPr>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highlight w:val="none"/>
        </w:rPr>
        <w:t>项目组人员一览表</w:t>
      </w:r>
      <w:r>
        <w:rPr>
          <w:rFonts w:hint="eastAsia" w:ascii="宋体" w:hAnsi="宋体" w:cs="宋体"/>
          <w:sz w:val="24"/>
          <w:szCs w:val="24"/>
          <w:highlight w:val="none"/>
        </w:rPr>
        <w:t>（格式见附件）</w:t>
      </w:r>
    </w:p>
    <w:p w14:paraId="47257FA7">
      <w:pPr>
        <w:spacing w:line="400" w:lineRule="exact"/>
        <w:ind w:firstLine="480" w:firstLineChars="200"/>
        <w:rPr>
          <w:rFonts w:ascii="宋体" w:hAnsi="宋体" w:cs="宋体"/>
          <w:sz w:val="24"/>
          <w:szCs w:val="24"/>
          <w:highlight w:val="none"/>
        </w:rPr>
      </w:pPr>
      <w:r>
        <w:rPr>
          <w:rFonts w:hint="eastAsia" w:ascii="宋体" w:hAnsi="宋体" w:cs="宋体"/>
          <w:sz w:val="24"/>
          <w:szCs w:val="24"/>
          <w:highlight w:val="none"/>
        </w:rPr>
        <w:t>3、业绩一览表（格式见附件）</w:t>
      </w:r>
    </w:p>
    <w:p w14:paraId="5AF0DF9E">
      <w:pPr>
        <w:spacing w:line="40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备注：针对“二、资格审查内容”和“三、符合性审查内容”，投标人必须在投标文件中提供相关材料，若有缺失或无效的，将导致其投标无效。</w:t>
      </w:r>
    </w:p>
    <w:bookmarkEnd w:id="286"/>
    <w:p w14:paraId="5AFB461C">
      <w:pPr>
        <w:pStyle w:val="3"/>
        <w:rPr>
          <w:rFonts w:ascii="宋体" w:hAnsi="宋体" w:eastAsia="宋体" w:cs="宋体"/>
          <w:highlight w:val="none"/>
        </w:rPr>
      </w:pPr>
      <w:bookmarkStart w:id="287" w:name="_Toc26369"/>
      <w:bookmarkStart w:id="288" w:name="_Toc511680881"/>
      <w:bookmarkStart w:id="289" w:name="_Toc472326799"/>
      <w:r>
        <w:rPr>
          <w:rFonts w:hint="eastAsia" w:ascii="宋体" w:hAnsi="宋体" w:eastAsia="宋体" w:cs="宋体"/>
          <w:highlight w:val="none"/>
        </w:rPr>
        <w:t>附件1 开标一览表</w:t>
      </w:r>
      <w:bookmarkEnd w:id="287"/>
      <w:bookmarkEnd w:id="288"/>
      <w:bookmarkEnd w:id="289"/>
    </w:p>
    <w:bookmarkEnd w:id="282"/>
    <w:bookmarkEnd w:id="283"/>
    <w:bookmarkEnd w:id="284"/>
    <w:p w14:paraId="57A20FC1">
      <w:pPr>
        <w:spacing w:line="400" w:lineRule="exact"/>
        <w:ind w:firstLine="482"/>
        <w:rPr>
          <w:rFonts w:ascii="宋体" w:hAnsi="宋体" w:cs="宋体"/>
          <w:sz w:val="24"/>
          <w:szCs w:val="24"/>
          <w:highlight w:val="none"/>
        </w:rPr>
      </w:pPr>
      <w:bookmarkStart w:id="290" w:name="_Toc13333"/>
      <w:bookmarkStart w:id="291" w:name="_Toc504487339"/>
      <w:bookmarkStart w:id="292" w:name="_Toc501026326"/>
      <w:bookmarkStart w:id="293" w:name="_Toc10210"/>
      <w:bookmarkStart w:id="294" w:name="_Toc500969519"/>
      <w:bookmarkStart w:id="295" w:name="_Toc507155725"/>
      <w:r>
        <w:rPr>
          <w:rFonts w:hint="eastAsia" w:ascii="宋体" w:hAnsi="宋体" w:cs="宋体"/>
          <w:sz w:val="24"/>
          <w:szCs w:val="24"/>
          <w:highlight w:val="none"/>
        </w:rPr>
        <w:t>投标人全称（加盖CA电子签章）：</w:t>
      </w:r>
    </w:p>
    <w:p w14:paraId="217C78FF">
      <w:pPr>
        <w:spacing w:line="400" w:lineRule="exact"/>
        <w:ind w:firstLine="482"/>
        <w:rPr>
          <w:rFonts w:ascii="宋体" w:hAnsi="宋体" w:cs="宋体"/>
          <w:sz w:val="24"/>
          <w:szCs w:val="24"/>
          <w:highlight w:val="none"/>
        </w:rPr>
      </w:pPr>
      <w:r>
        <w:rPr>
          <w:rFonts w:hint="eastAsia" w:ascii="宋体" w:hAnsi="宋体" w:cs="宋体"/>
          <w:sz w:val="24"/>
          <w:szCs w:val="24"/>
          <w:highlight w:val="none"/>
        </w:rPr>
        <w:t>项目名称：大气污染防治技术支撑服务</w:t>
      </w:r>
    </w:p>
    <w:p w14:paraId="07CB13B7">
      <w:pPr>
        <w:spacing w:line="400" w:lineRule="exact"/>
        <w:ind w:firstLine="482"/>
        <w:rPr>
          <w:rFonts w:hint="eastAsia" w:ascii="宋体" w:hAnsi="宋体" w:eastAsia="宋体" w:cs="宋体"/>
          <w:sz w:val="24"/>
          <w:szCs w:val="24"/>
          <w:highlight w:val="none"/>
          <w:lang w:eastAsia="zh-CN"/>
        </w:rPr>
      </w:pPr>
      <w:r>
        <w:rPr>
          <w:rFonts w:hint="eastAsia" w:ascii="宋体" w:hAnsi="宋体" w:cs="宋体"/>
          <w:sz w:val="24"/>
          <w:szCs w:val="24"/>
          <w:highlight w:val="none"/>
        </w:rPr>
        <w:t>项目编号：</w:t>
      </w:r>
      <w:r>
        <w:rPr>
          <w:rFonts w:hint="eastAsia" w:ascii="宋体" w:hAnsi="宋体" w:cs="宋体"/>
          <w:bCs/>
          <w:sz w:val="24"/>
          <w:szCs w:val="24"/>
          <w:highlight w:val="none"/>
          <w:lang w:eastAsia="zh-CN"/>
        </w:rPr>
        <w:t>JSZC-320581-HXGW-G2026-0035</w:t>
      </w:r>
    </w:p>
    <w:tbl>
      <w:tblPr>
        <w:tblStyle w:val="55"/>
        <w:tblpPr w:leftFromText="180" w:rightFromText="180" w:vertAnchor="text" w:horzAnchor="page" w:tblpX="1318" w:tblpY="279"/>
        <w:tblOverlap w:val="never"/>
        <w:tblW w:w="95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5"/>
        <w:gridCol w:w="3764"/>
      </w:tblGrid>
      <w:tr w14:paraId="7BB31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5835" w:type="dxa"/>
            <w:vAlign w:val="center"/>
          </w:tcPr>
          <w:p w14:paraId="358488F7">
            <w:pPr>
              <w:jc w:val="center"/>
              <w:rPr>
                <w:rFonts w:ascii="宋体" w:hAnsi="宋体" w:cs="宋体"/>
                <w:bCs/>
                <w:sz w:val="24"/>
                <w:szCs w:val="24"/>
                <w:highlight w:val="none"/>
              </w:rPr>
            </w:pPr>
            <w:r>
              <w:rPr>
                <w:rFonts w:hint="eastAsia" w:ascii="宋体" w:hAnsi="宋体" w:cs="宋体"/>
                <w:bCs/>
                <w:sz w:val="24"/>
                <w:szCs w:val="24"/>
                <w:highlight w:val="none"/>
              </w:rPr>
              <w:t>项目名称</w:t>
            </w:r>
          </w:p>
        </w:tc>
        <w:tc>
          <w:tcPr>
            <w:tcW w:w="3764" w:type="dxa"/>
            <w:vAlign w:val="center"/>
          </w:tcPr>
          <w:p w14:paraId="2DE6E5E2">
            <w:pPr>
              <w:jc w:val="center"/>
              <w:rPr>
                <w:rFonts w:ascii="宋体" w:hAnsi="宋体" w:cs="宋体"/>
                <w:bCs/>
                <w:sz w:val="24"/>
                <w:szCs w:val="24"/>
                <w:highlight w:val="none"/>
              </w:rPr>
            </w:pPr>
            <w:r>
              <w:rPr>
                <w:rFonts w:hint="eastAsia" w:ascii="宋体" w:hAnsi="宋体" w:cs="宋体"/>
                <w:bCs/>
                <w:sz w:val="24"/>
                <w:szCs w:val="24"/>
                <w:highlight w:val="none"/>
              </w:rPr>
              <w:t>投标总报价</w:t>
            </w:r>
          </w:p>
        </w:tc>
      </w:tr>
      <w:tr w14:paraId="3BE88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5835" w:type="dxa"/>
            <w:vAlign w:val="center"/>
          </w:tcPr>
          <w:p w14:paraId="37F19E17">
            <w:pPr>
              <w:jc w:val="center"/>
              <w:rPr>
                <w:rFonts w:ascii="宋体" w:hAnsi="宋体" w:cs="宋体"/>
                <w:b/>
                <w:sz w:val="24"/>
                <w:szCs w:val="24"/>
                <w:highlight w:val="none"/>
              </w:rPr>
            </w:pPr>
            <w:r>
              <w:rPr>
                <w:rFonts w:hint="eastAsia" w:ascii="宋体" w:hAnsi="宋体" w:cs="宋体"/>
                <w:sz w:val="24"/>
                <w:szCs w:val="24"/>
                <w:highlight w:val="none"/>
              </w:rPr>
              <w:t>大气污染防治技术支撑服务</w:t>
            </w:r>
          </w:p>
        </w:tc>
        <w:tc>
          <w:tcPr>
            <w:tcW w:w="3764" w:type="dxa"/>
            <w:vAlign w:val="center"/>
          </w:tcPr>
          <w:p w14:paraId="6D9CD5F5">
            <w:pPr>
              <w:rPr>
                <w:rFonts w:ascii="宋体" w:hAnsi="宋体" w:cs="宋体"/>
                <w:b/>
                <w:sz w:val="24"/>
                <w:szCs w:val="24"/>
                <w:highlight w:val="none"/>
              </w:rPr>
            </w:pPr>
            <w:r>
              <w:rPr>
                <w:rFonts w:hint="eastAsia" w:ascii="宋体" w:hAnsi="宋体" w:cs="宋体"/>
                <w:bCs/>
                <w:sz w:val="24"/>
                <w:szCs w:val="24"/>
                <w:highlight w:val="none"/>
              </w:rPr>
              <w:t>小写：          （元人民币）</w:t>
            </w:r>
          </w:p>
        </w:tc>
      </w:tr>
      <w:tr w14:paraId="5A67A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5835" w:type="dxa"/>
            <w:vAlign w:val="center"/>
          </w:tcPr>
          <w:p w14:paraId="6B50DCF8">
            <w:pPr>
              <w:jc w:val="center"/>
              <w:rPr>
                <w:rFonts w:ascii="宋体" w:hAnsi="宋体" w:cs="宋体"/>
                <w:sz w:val="24"/>
                <w:szCs w:val="24"/>
                <w:highlight w:val="none"/>
              </w:rPr>
            </w:pPr>
            <w:r>
              <w:rPr>
                <w:rFonts w:hint="eastAsia" w:ascii="宋体" w:hAnsi="宋体" w:cs="宋体"/>
                <w:bCs/>
                <w:sz w:val="24"/>
                <w:szCs w:val="24"/>
                <w:highlight w:val="none"/>
              </w:rPr>
              <w:t>投标报价</w:t>
            </w:r>
          </w:p>
        </w:tc>
        <w:tc>
          <w:tcPr>
            <w:tcW w:w="3764" w:type="dxa"/>
            <w:vAlign w:val="center"/>
          </w:tcPr>
          <w:p w14:paraId="3208D7C5">
            <w:pPr>
              <w:rPr>
                <w:rFonts w:ascii="宋体" w:hAnsi="宋体" w:cs="宋体"/>
                <w:bCs/>
                <w:sz w:val="24"/>
                <w:szCs w:val="24"/>
                <w:highlight w:val="none"/>
              </w:rPr>
            </w:pPr>
            <w:r>
              <w:rPr>
                <w:rFonts w:hint="eastAsia" w:ascii="宋体" w:hAnsi="宋体" w:cs="宋体"/>
                <w:bCs/>
                <w:sz w:val="24"/>
                <w:szCs w:val="24"/>
                <w:highlight w:val="none"/>
              </w:rPr>
              <w:t>大写金额：</w:t>
            </w:r>
          </w:p>
        </w:tc>
      </w:tr>
    </w:tbl>
    <w:p w14:paraId="680738DD">
      <w:pPr>
        <w:spacing w:line="440" w:lineRule="exact"/>
        <w:ind w:firstLine="482"/>
        <w:rPr>
          <w:rFonts w:ascii="宋体" w:hAnsi="宋体" w:cs="宋体"/>
          <w:sz w:val="24"/>
          <w:szCs w:val="24"/>
          <w:highlight w:val="none"/>
        </w:rPr>
      </w:pPr>
      <w:r>
        <w:rPr>
          <w:rFonts w:hint="eastAsia" w:ascii="宋体" w:hAnsi="宋体" w:cs="宋体"/>
          <w:sz w:val="24"/>
          <w:szCs w:val="24"/>
          <w:highlight w:val="none"/>
        </w:rPr>
        <w:t>填写说明:</w:t>
      </w:r>
    </w:p>
    <w:p w14:paraId="0702A792">
      <w:pPr>
        <w:spacing w:line="440" w:lineRule="exact"/>
        <w:ind w:firstLine="482"/>
        <w:rPr>
          <w:rFonts w:ascii="宋体" w:hAnsi="宋体" w:cs="宋体"/>
          <w:sz w:val="24"/>
          <w:szCs w:val="24"/>
          <w:highlight w:val="none"/>
        </w:rPr>
      </w:pPr>
      <w:r>
        <w:rPr>
          <w:rFonts w:hint="eastAsia" w:ascii="宋体" w:hAnsi="宋体" w:cs="宋体"/>
          <w:sz w:val="24"/>
          <w:szCs w:val="24"/>
          <w:highlight w:val="none"/>
        </w:rPr>
        <w:t>1、开标一览表必须加盖投标人公章(复印件无效)。</w:t>
      </w:r>
    </w:p>
    <w:p w14:paraId="7E3855DB">
      <w:pPr>
        <w:spacing w:line="440" w:lineRule="exact"/>
        <w:ind w:firstLine="482"/>
        <w:rPr>
          <w:rFonts w:ascii="宋体" w:hAnsi="宋体" w:cs="宋体"/>
          <w:sz w:val="24"/>
          <w:szCs w:val="24"/>
          <w:highlight w:val="none"/>
        </w:rPr>
      </w:pPr>
      <w:r>
        <w:rPr>
          <w:rFonts w:hint="eastAsia" w:ascii="宋体" w:hAnsi="宋体" w:cs="宋体"/>
          <w:sz w:val="24"/>
          <w:szCs w:val="24"/>
          <w:highlight w:val="none"/>
        </w:rPr>
        <w:t>2、如有分包，投标人投任何一个包的标的，都需单独填写开标一览表。</w:t>
      </w:r>
    </w:p>
    <w:p w14:paraId="51824321">
      <w:pPr>
        <w:ind w:firstLine="482"/>
        <w:rPr>
          <w:rFonts w:ascii="宋体" w:hAnsi="宋体" w:cs="宋体"/>
          <w:b/>
          <w:sz w:val="24"/>
          <w:szCs w:val="24"/>
          <w:highlight w:val="none"/>
        </w:rPr>
      </w:pPr>
    </w:p>
    <w:p w14:paraId="31FA9586">
      <w:pPr>
        <w:spacing w:line="440" w:lineRule="exact"/>
        <w:rPr>
          <w:rFonts w:ascii="宋体" w:hAnsi="宋体" w:cs="宋体"/>
          <w:sz w:val="24"/>
          <w:szCs w:val="24"/>
          <w:highlight w:val="none"/>
        </w:rPr>
      </w:pPr>
      <w:r>
        <w:rPr>
          <w:rFonts w:hint="eastAsia" w:ascii="宋体" w:hAnsi="宋体" w:cs="宋体"/>
          <w:sz w:val="24"/>
          <w:szCs w:val="24"/>
          <w:highlight w:val="none"/>
        </w:rPr>
        <w:t>注：“投标总报价”请保留小数点后两位。</w:t>
      </w:r>
    </w:p>
    <w:p w14:paraId="5C64054C">
      <w:pPr>
        <w:spacing w:line="440" w:lineRule="exact"/>
        <w:rPr>
          <w:rFonts w:ascii="宋体" w:hAnsi="宋体" w:cs="宋体"/>
          <w:b/>
          <w:bCs/>
          <w:sz w:val="24"/>
          <w:szCs w:val="24"/>
          <w:highlight w:val="none"/>
        </w:rPr>
      </w:pPr>
    </w:p>
    <w:p w14:paraId="63611E07">
      <w:pPr>
        <w:jc w:val="right"/>
        <w:rPr>
          <w:rFonts w:ascii="宋体" w:hAnsi="宋体" w:cs="宋体"/>
          <w:sz w:val="24"/>
          <w:szCs w:val="24"/>
          <w:highlight w:val="none"/>
        </w:rPr>
      </w:pPr>
    </w:p>
    <w:p w14:paraId="3D607A98">
      <w:pPr>
        <w:rPr>
          <w:rFonts w:ascii="宋体" w:hAnsi="宋体" w:cs="宋体"/>
          <w:highlight w:val="none"/>
        </w:rPr>
      </w:pPr>
      <w:r>
        <w:rPr>
          <w:rFonts w:hint="eastAsia" w:ascii="宋体" w:hAnsi="宋体" w:cs="宋体"/>
          <w:highlight w:val="none"/>
        </w:rPr>
        <w:br w:type="page"/>
      </w:r>
    </w:p>
    <w:p w14:paraId="2BF7A4E0">
      <w:pPr>
        <w:spacing w:line="440" w:lineRule="exact"/>
        <w:ind w:firstLine="482"/>
        <w:jc w:val="center"/>
        <w:outlineLvl w:val="1"/>
        <w:rPr>
          <w:rFonts w:ascii="宋体" w:hAnsi="宋体" w:cs="宋体"/>
          <w:b/>
          <w:bCs/>
          <w:sz w:val="28"/>
          <w:szCs w:val="28"/>
          <w:highlight w:val="none"/>
        </w:rPr>
      </w:pPr>
      <w:bookmarkStart w:id="296" w:name="_Toc29098"/>
      <w:bookmarkStart w:id="297" w:name="_Toc20000"/>
      <w:bookmarkStart w:id="298" w:name="_Toc1320"/>
      <w:r>
        <w:rPr>
          <w:rFonts w:hint="eastAsia" w:ascii="宋体" w:hAnsi="宋体" w:cs="宋体"/>
          <w:b/>
          <w:bCs/>
          <w:sz w:val="28"/>
          <w:szCs w:val="28"/>
          <w:highlight w:val="none"/>
        </w:rPr>
        <w:t>附件2 报价明细表</w:t>
      </w:r>
      <w:bookmarkEnd w:id="296"/>
      <w:bookmarkEnd w:id="297"/>
      <w:bookmarkEnd w:id="298"/>
    </w:p>
    <w:tbl>
      <w:tblPr>
        <w:tblStyle w:val="54"/>
        <w:tblW w:w="10237"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53"/>
        <w:gridCol w:w="2103"/>
        <w:gridCol w:w="1560"/>
        <w:gridCol w:w="1440"/>
        <w:gridCol w:w="1365"/>
        <w:gridCol w:w="1685"/>
        <w:gridCol w:w="1331"/>
      </w:tblGrid>
      <w:tr w14:paraId="472720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80" w:hRule="atLeast"/>
        </w:trPr>
        <w:tc>
          <w:tcPr>
            <w:tcW w:w="753" w:type="dxa"/>
            <w:tcBorders>
              <w:top w:val="single" w:color="auto" w:sz="4" w:space="0"/>
              <w:left w:val="single" w:color="auto" w:sz="4" w:space="0"/>
              <w:bottom w:val="single" w:color="auto" w:sz="4" w:space="0"/>
              <w:right w:val="single" w:color="auto" w:sz="4" w:space="0"/>
            </w:tcBorders>
            <w:vAlign w:val="center"/>
          </w:tcPr>
          <w:p w14:paraId="22A2D597">
            <w:pPr>
              <w:jc w:val="center"/>
              <w:rPr>
                <w:rFonts w:ascii="宋体" w:hAnsi="宋体" w:cs="宋体"/>
                <w:sz w:val="24"/>
                <w:szCs w:val="24"/>
                <w:highlight w:val="none"/>
              </w:rPr>
            </w:pPr>
            <w:r>
              <w:rPr>
                <w:rFonts w:hint="eastAsia" w:ascii="宋体" w:hAnsi="宋体" w:cs="宋体"/>
                <w:sz w:val="24"/>
                <w:szCs w:val="24"/>
                <w:highlight w:val="none"/>
              </w:rPr>
              <w:t>序号</w:t>
            </w:r>
          </w:p>
        </w:tc>
        <w:tc>
          <w:tcPr>
            <w:tcW w:w="2103" w:type="dxa"/>
            <w:tcBorders>
              <w:top w:val="single" w:color="auto" w:sz="4" w:space="0"/>
              <w:left w:val="nil"/>
              <w:bottom w:val="single" w:color="auto" w:sz="4" w:space="0"/>
              <w:right w:val="single" w:color="auto" w:sz="4" w:space="0"/>
            </w:tcBorders>
            <w:vAlign w:val="center"/>
          </w:tcPr>
          <w:p w14:paraId="27A6C506">
            <w:pPr>
              <w:jc w:val="center"/>
              <w:rPr>
                <w:rFonts w:ascii="宋体" w:hAnsi="宋体" w:cs="宋体"/>
                <w:sz w:val="24"/>
                <w:szCs w:val="24"/>
                <w:highlight w:val="none"/>
              </w:rPr>
            </w:pPr>
            <w:r>
              <w:rPr>
                <w:rFonts w:hint="eastAsia" w:ascii="宋体" w:hAnsi="宋体" w:cs="宋体"/>
                <w:sz w:val="24"/>
                <w:szCs w:val="24"/>
                <w:highlight w:val="none"/>
              </w:rPr>
              <w:t>费用名称</w:t>
            </w:r>
          </w:p>
        </w:tc>
        <w:tc>
          <w:tcPr>
            <w:tcW w:w="1560" w:type="dxa"/>
            <w:tcBorders>
              <w:top w:val="single" w:color="auto" w:sz="4" w:space="0"/>
              <w:left w:val="nil"/>
              <w:bottom w:val="single" w:color="auto" w:sz="4" w:space="0"/>
              <w:right w:val="single" w:color="auto" w:sz="4" w:space="0"/>
            </w:tcBorders>
            <w:vAlign w:val="center"/>
          </w:tcPr>
          <w:p w14:paraId="2DB6D082">
            <w:pPr>
              <w:jc w:val="center"/>
              <w:rPr>
                <w:rFonts w:ascii="宋体" w:hAnsi="宋体" w:cs="宋体"/>
                <w:sz w:val="24"/>
                <w:szCs w:val="24"/>
                <w:highlight w:val="none"/>
              </w:rPr>
            </w:pPr>
            <w:r>
              <w:rPr>
                <w:rFonts w:hint="eastAsia" w:ascii="宋体" w:hAnsi="宋体" w:cs="宋体"/>
                <w:sz w:val="24"/>
                <w:szCs w:val="24"/>
                <w:highlight w:val="none"/>
              </w:rPr>
              <w:t>特征描述</w:t>
            </w:r>
          </w:p>
        </w:tc>
        <w:tc>
          <w:tcPr>
            <w:tcW w:w="1440" w:type="dxa"/>
            <w:tcBorders>
              <w:top w:val="single" w:color="auto" w:sz="4" w:space="0"/>
              <w:left w:val="nil"/>
              <w:bottom w:val="single" w:color="auto" w:sz="4" w:space="0"/>
              <w:right w:val="single" w:color="auto" w:sz="4" w:space="0"/>
            </w:tcBorders>
            <w:vAlign w:val="center"/>
          </w:tcPr>
          <w:p w14:paraId="489C2EB1">
            <w:pPr>
              <w:jc w:val="center"/>
              <w:rPr>
                <w:rFonts w:ascii="宋体" w:hAnsi="宋体" w:cs="宋体"/>
                <w:sz w:val="24"/>
                <w:szCs w:val="24"/>
                <w:highlight w:val="none"/>
              </w:rPr>
            </w:pPr>
            <w:r>
              <w:rPr>
                <w:rFonts w:hint="eastAsia" w:ascii="宋体" w:hAnsi="宋体" w:cs="宋体"/>
                <w:sz w:val="24"/>
                <w:szCs w:val="24"/>
                <w:highlight w:val="none"/>
              </w:rPr>
              <w:t>数量</w:t>
            </w:r>
          </w:p>
        </w:tc>
        <w:tc>
          <w:tcPr>
            <w:tcW w:w="1365" w:type="dxa"/>
            <w:tcBorders>
              <w:top w:val="single" w:color="auto" w:sz="4" w:space="0"/>
              <w:left w:val="nil"/>
              <w:bottom w:val="single" w:color="auto" w:sz="4" w:space="0"/>
              <w:right w:val="single" w:color="auto" w:sz="4" w:space="0"/>
            </w:tcBorders>
            <w:vAlign w:val="center"/>
          </w:tcPr>
          <w:p w14:paraId="5EC6DF98">
            <w:pPr>
              <w:jc w:val="center"/>
              <w:rPr>
                <w:rFonts w:ascii="宋体" w:hAnsi="宋体" w:cs="宋体"/>
                <w:sz w:val="24"/>
                <w:szCs w:val="24"/>
                <w:highlight w:val="none"/>
              </w:rPr>
            </w:pPr>
            <w:r>
              <w:rPr>
                <w:rFonts w:hint="eastAsia" w:ascii="宋体" w:hAnsi="宋体" w:cs="宋体"/>
                <w:sz w:val="24"/>
                <w:szCs w:val="24"/>
                <w:highlight w:val="none"/>
              </w:rPr>
              <w:t>单价（元）</w:t>
            </w:r>
          </w:p>
        </w:tc>
        <w:tc>
          <w:tcPr>
            <w:tcW w:w="1685" w:type="dxa"/>
            <w:tcBorders>
              <w:top w:val="single" w:color="auto" w:sz="4" w:space="0"/>
              <w:left w:val="nil"/>
              <w:bottom w:val="single" w:color="auto" w:sz="4" w:space="0"/>
              <w:right w:val="single" w:color="auto" w:sz="4" w:space="0"/>
            </w:tcBorders>
            <w:vAlign w:val="center"/>
          </w:tcPr>
          <w:p w14:paraId="724B29AB">
            <w:pPr>
              <w:jc w:val="center"/>
              <w:rPr>
                <w:rFonts w:ascii="宋体" w:hAnsi="宋体" w:cs="宋体"/>
                <w:sz w:val="24"/>
                <w:szCs w:val="24"/>
                <w:highlight w:val="none"/>
              </w:rPr>
            </w:pPr>
            <w:r>
              <w:rPr>
                <w:rFonts w:hint="eastAsia" w:ascii="宋体" w:hAnsi="宋体" w:cs="宋体"/>
                <w:sz w:val="24"/>
                <w:szCs w:val="24"/>
                <w:highlight w:val="none"/>
              </w:rPr>
              <w:t>分类总价（元）</w:t>
            </w:r>
          </w:p>
        </w:tc>
        <w:tc>
          <w:tcPr>
            <w:tcW w:w="1331" w:type="dxa"/>
            <w:tcBorders>
              <w:top w:val="single" w:color="auto" w:sz="4" w:space="0"/>
              <w:left w:val="nil"/>
              <w:bottom w:val="single" w:color="auto" w:sz="4" w:space="0"/>
              <w:right w:val="single" w:color="auto" w:sz="4" w:space="0"/>
            </w:tcBorders>
            <w:vAlign w:val="center"/>
          </w:tcPr>
          <w:p w14:paraId="4A1EAAEE">
            <w:pPr>
              <w:jc w:val="center"/>
              <w:rPr>
                <w:rFonts w:ascii="宋体" w:hAnsi="宋体" w:cs="宋体"/>
                <w:sz w:val="24"/>
                <w:szCs w:val="24"/>
                <w:highlight w:val="none"/>
              </w:rPr>
            </w:pPr>
            <w:r>
              <w:rPr>
                <w:rFonts w:hint="eastAsia" w:ascii="宋体" w:hAnsi="宋体" w:cs="宋体"/>
                <w:sz w:val="24"/>
                <w:szCs w:val="24"/>
                <w:highlight w:val="none"/>
              </w:rPr>
              <w:t>备注</w:t>
            </w:r>
          </w:p>
        </w:tc>
      </w:tr>
      <w:tr w14:paraId="694856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trPr>
        <w:tc>
          <w:tcPr>
            <w:tcW w:w="753" w:type="dxa"/>
            <w:tcBorders>
              <w:top w:val="single" w:color="auto" w:sz="4" w:space="0"/>
              <w:left w:val="single" w:color="auto" w:sz="4" w:space="0"/>
              <w:bottom w:val="single" w:color="auto" w:sz="4" w:space="0"/>
              <w:right w:val="single" w:color="auto" w:sz="4" w:space="0"/>
            </w:tcBorders>
            <w:vAlign w:val="center"/>
          </w:tcPr>
          <w:p w14:paraId="0740FD88">
            <w:pPr>
              <w:jc w:val="center"/>
              <w:rPr>
                <w:rFonts w:ascii="宋体" w:hAnsi="宋体" w:cs="宋体"/>
                <w:sz w:val="24"/>
                <w:szCs w:val="24"/>
                <w:highlight w:val="none"/>
              </w:rPr>
            </w:pPr>
            <w:r>
              <w:rPr>
                <w:rFonts w:hint="eastAsia" w:ascii="宋体" w:hAnsi="宋体" w:cs="宋体"/>
                <w:sz w:val="24"/>
                <w:szCs w:val="24"/>
                <w:highlight w:val="none"/>
              </w:rPr>
              <w:t>1</w:t>
            </w:r>
          </w:p>
        </w:tc>
        <w:tc>
          <w:tcPr>
            <w:tcW w:w="2103" w:type="dxa"/>
            <w:tcBorders>
              <w:top w:val="single" w:color="auto" w:sz="4" w:space="0"/>
              <w:left w:val="nil"/>
              <w:bottom w:val="single" w:color="auto" w:sz="4" w:space="0"/>
              <w:right w:val="single" w:color="auto" w:sz="4" w:space="0"/>
            </w:tcBorders>
            <w:vAlign w:val="center"/>
          </w:tcPr>
          <w:p w14:paraId="1574C881">
            <w:pPr>
              <w:jc w:val="center"/>
              <w:rPr>
                <w:rFonts w:ascii="宋体" w:hAnsi="宋体" w:cs="宋体"/>
                <w:sz w:val="24"/>
                <w:szCs w:val="24"/>
                <w:highlight w:val="none"/>
              </w:rPr>
            </w:pPr>
          </w:p>
        </w:tc>
        <w:tc>
          <w:tcPr>
            <w:tcW w:w="1560" w:type="dxa"/>
            <w:tcBorders>
              <w:top w:val="single" w:color="auto" w:sz="4" w:space="0"/>
              <w:left w:val="nil"/>
              <w:bottom w:val="single" w:color="auto" w:sz="4" w:space="0"/>
              <w:right w:val="single" w:color="auto" w:sz="4" w:space="0"/>
            </w:tcBorders>
            <w:vAlign w:val="center"/>
          </w:tcPr>
          <w:p w14:paraId="31F99763">
            <w:pPr>
              <w:jc w:val="center"/>
              <w:rPr>
                <w:rFonts w:ascii="宋体" w:hAnsi="宋体" w:cs="宋体"/>
                <w:sz w:val="24"/>
                <w:szCs w:val="24"/>
                <w:highlight w:val="none"/>
              </w:rPr>
            </w:pPr>
          </w:p>
        </w:tc>
        <w:tc>
          <w:tcPr>
            <w:tcW w:w="1440" w:type="dxa"/>
            <w:tcBorders>
              <w:top w:val="single" w:color="auto" w:sz="4" w:space="0"/>
              <w:left w:val="nil"/>
              <w:bottom w:val="single" w:color="auto" w:sz="4" w:space="0"/>
              <w:right w:val="single" w:color="auto" w:sz="4" w:space="0"/>
            </w:tcBorders>
            <w:vAlign w:val="center"/>
          </w:tcPr>
          <w:p w14:paraId="35E964A2">
            <w:pPr>
              <w:jc w:val="center"/>
              <w:rPr>
                <w:rFonts w:ascii="宋体" w:hAnsi="宋体" w:cs="宋体"/>
                <w:sz w:val="24"/>
                <w:szCs w:val="24"/>
                <w:highlight w:val="none"/>
              </w:rPr>
            </w:pPr>
          </w:p>
        </w:tc>
        <w:tc>
          <w:tcPr>
            <w:tcW w:w="1365" w:type="dxa"/>
            <w:tcBorders>
              <w:top w:val="single" w:color="auto" w:sz="4" w:space="0"/>
              <w:left w:val="nil"/>
              <w:bottom w:val="single" w:color="auto" w:sz="4" w:space="0"/>
              <w:right w:val="single" w:color="auto" w:sz="4" w:space="0"/>
            </w:tcBorders>
            <w:vAlign w:val="center"/>
          </w:tcPr>
          <w:p w14:paraId="541EDF66">
            <w:pPr>
              <w:jc w:val="center"/>
              <w:rPr>
                <w:rFonts w:ascii="宋体" w:hAnsi="宋体" w:cs="宋体"/>
                <w:sz w:val="24"/>
                <w:szCs w:val="24"/>
                <w:highlight w:val="none"/>
              </w:rPr>
            </w:pPr>
          </w:p>
        </w:tc>
        <w:tc>
          <w:tcPr>
            <w:tcW w:w="1685" w:type="dxa"/>
            <w:tcBorders>
              <w:top w:val="single" w:color="auto" w:sz="4" w:space="0"/>
              <w:left w:val="nil"/>
              <w:bottom w:val="single" w:color="auto" w:sz="4" w:space="0"/>
              <w:right w:val="single" w:color="auto" w:sz="4" w:space="0"/>
            </w:tcBorders>
            <w:vAlign w:val="center"/>
          </w:tcPr>
          <w:p w14:paraId="72E8CC84">
            <w:pPr>
              <w:jc w:val="center"/>
              <w:rPr>
                <w:rFonts w:ascii="宋体" w:hAnsi="宋体" w:cs="宋体"/>
                <w:sz w:val="24"/>
                <w:szCs w:val="24"/>
                <w:highlight w:val="none"/>
              </w:rPr>
            </w:pPr>
          </w:p>
        </w:tc>
        <w:tc>
          <w:tcPr>
            <w:tcW w:w="1331" w:type="dxa"/>
            <w:tcBorders>
              <w:top w:val="single" w:color="auto" w:sz="4" w:space="0"/>
              <w:left w:val="nil"/>
              <w:bottom w:val="single" w:color="auto" w:sz="4" w:space="0"/>
              <w:right w:val="single" w:color="auto" w:sz="4" w:space="0"/>
            </w:tcBorders>
            <w:vAlign w:val="center"/>
          </w:tcPr>
          <w:p w14:paraId="223229D7">
            <w:pPr>
              <w:jc w:val="center"/>
              <w:rPr>
                <w:rFonts w:ascii="宋体" w:hAnsi="宋体" w:cs="宋体"/>
                <w:sz w:val="24"/>
                <w:szCs w:val="24"/>
                <w:highlight w:val="none"/>
              </w:rPr>
            </w:pPr>
          </w:p>
        </w:tc>
      </w:tr>
      <w:tr w14:paraId="441DBF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trPr>
        <w:tc>
          <w:tcPr>
            <w:tcW w:w="753" w:type="dxa"/>
            <w:tcBorders>
              <w:top w:val="single" w:color="auto" w:sz="4" w:space="0"/>
              <w:left w:val="single" w:color="auto" w:sz="4" w:space="0"/>
              <w:bottom w:val="single" w:color="auto" w:sz="4" w:space="0"/>
              <w:right w:val="single" w:color="auto" w:sz="4" w:space="0"/>
            </w:tcBorders>
            <w:vAlign w:val="center"/>
          </w:tcPr>
          <w:p w14:paraId="1174BF8A">
            <w:pPr>
              <w:jc w:val="center"/>
              <w:rPr>
                <w:rFonts w:ascii="宋体" w:hAnsi="宋体" w:cs="宋体"/>
                <w:sz w:val="24"/>
                <w:szCs w:val="24"/>
                <w:highlight w:val="none"/>
              </w:rPr>
            </w:pPr>
            <w:r>
              <w:rPr>
                <w:rFonts w:hint="eastAsia" w:ascii="宋体" w:hAnsi="宋体" w:cs="宋体"/>
                <w:sz w:val="24"/>
                <w:szCs w:val="24"/>
                <w:highlight w:val="none"/>
              </w:rPr>
              <w:t>2</w:t>
            </w:r>
          </w:p>
        </w:tc>
        <w:tc>
          <w:tcPr>
            <w:tcW w:w="2103" w:type="dxa"/>
            <w:tcBorders>
              <w:top w:val="single" w:color="auto" w:sz="4" w:space="0"/>
              <w:left w:val="nil"/>
              <w:bottom w:val="single" w:color="auto" w:sz="4" w:space="0"/>
              <w:right w:val="single" w:color="auto" w:sz="4" w:space="0"/>
            </w:tcBorders>
            <w:vAlign w:val="center"/>
          </w:tcPr>
          <w:p w14:paraId="503750DD">
            <w:pPr>
              <w:jc w:val="center"/>
              <w:rPr>
                <w:rFonts w:ascii="宋体" w:hAnsi="宋体" w:cs="宋体"/>
                <w:sz w:val="24"/>
                <w:szCs w:val="24"/>
                <w:highlight w:val="none"/>
              </w:rPr>
            </w:pPr>
          </w:p>
        </w:tc>
        <w:tc>
          <w:tcPr>
            <w:tcW w:w="1560" w:type="dxa"/>
            <w:tcBorders>
              <w:top w:val="single" w:color="auto" w:sz="4" w:space="0"/>
              <w:left w:val="nil"/>
              <w:bottom w:val="single" w:color="auto" w:sz="4" w:space="0"/>
              <w:right w:val="single" w:color="auto" w:sz="4" w:space="0"/>
            </w:tcBorders>
            <w:vAlign w:val="center"/>
          </w:tcPr>
          <w:p w14:paraId="171A2DBB">
            <w:pPr>
              <w:jc w:val="center"/>
              <w:rPr>
                <w:rFonts w:ascii="宋体" w:hAnsi="宋体" w:cs="宋体"/>
                <w:sz w:val="24"/>
                <w:szCs w:val="24"/>
                <w:highlight w:val="none"/>
              </w:rPr>
            </w:pPr>
          </w:p>
        </w:tc>
        <w:tc>
          <w:tcPr>
            <w:tcW w:w="1440" w:type="dxa"/>
            <w:tcBorders>
              <w:top w:val="single" w:color="auto" w:sz="4" w:space="0"/>
              <w:left w:val="nil"/>
              <w:bottom w:val="single" w:color="auto" w:sz="4" w:space="0"/>
              <w:right w:val="single" w:color="auto" w:sz="4" w:space="0"/>
            </w:tcBorders>
            <w:vAlign w:val="center"/>
          </w:tcPr>
          <w:p w14:paraId="48055663">
            <w:pPr>
              <w:jc w:val="center"/>
              <w:rPr>
                <w:rFonts w:ascii="宋体" w:hAnsi="宋体" w:cs="宋体"/>
                <w:sz w:val="24"/>
                <w:szCs w:val="24"/>
                <w:highlight w:val="none"/>
              </w:rPr>
            </w:pPr>
          </w:p>
        </w:tc>
        <w:tc>
          <w:tcPr>
            <w:tcW w:w="1365" w:type="dxa"/>
            <w:tcBorders>
              <w:top w:val="single" w:color="auto" w:sz="4" w:space="0"/>
              <w:left w:val="nil"/>
              <w:bottom w:val="single" w:color="auto" w:sz="4" w:space="0"/>
              <w:right w:val="single" w:color="auto" w:sz="4" w:space="0"/>
            </w:tcBorders>
            <w:vAlign w:val="center"/>
          </w:tcPr>
          <w:p w14:paraId="16D71D32">
            <w:pPr>
              <w:jc w:val="center"/>
              <w:rPr>
                <w:rFonts w:ascii="宋体" w:hAnsi="宋体" w:cs="宋体"/>
                <w:sz w:val="24"/>
                <w:szCs w:val="24"/>
                <w:highlight w:val="none"/>
              </w:rPr>
            </w:pPr>
          </w:p>
        </w:tc>
        <w:tc>
          <w:tcPr>
            <w:tcW w:w="1685" w:type="dxa"/>
            <w:tcBorders>
              <w:top w:val="single" w:color="auto" w:sz="4" w:space="0"/>
              <w:left w:val="nil"/>
              <w:bottom w:val="single" w:color="auto" w:sz="4" w:space="0"/>
              <w:right w:val="single" w:color="auto" w:sz="4" w:space="0"/>
            </w:tcBorders>
            <w:vAlign w:val="center"/>
          </w:tcPr>
          <w:p w14:paraId="35E36DBC">
            <w:pPr>
              <w:jc w:val="center"/>
              <w:rPr>
                <w:rFonts w:ascii="宋体" w:hAnsi="宋体" w:cs="宋体"/>
                <w:sz w:val="24"/>
                <w:szCs w:val="24"/>
                <w:highlight w:val="none"/>
              </w:rPr>
            </w:pPr>
          </w:p>
        </w:tc>
        <w:tc>
          <w:tcPr>
            <w:tcW w:w="1331" w:type="dxa"/>
            <w:tcBorders>
              <w:top w:val="single" w:color="auto" w:sz="4" w:space="0"/>
              <w:left w:val="nil"/>
              <w:bottom w:val="single" w:color="auto" w:sz="4" w:space="0"/>
              <w:right w:val="single" w:color="auto" w:sz="4" w:space="0"/>
            </w:tcBorders>
            <w:vAlign w:val="center"/>
          </w:tcPr>
          <w:p w14:paraId="0E60189F">
            <w:pPr>
              <w:jc w:val="center"/>
              <w:rPr>
                <w:rFonts w:ascii="宋体" w:hAnsi="宋体" w:cs="宋体"/>
                <w:sz w:val="24"/>
                <w:szCs w:val="24"/>
                <w:highlight w:val="none"/>
              </w:rPr>
            </w:pPr>
          </w:p>
        </w:tc>
      </w:tr>
      <w:tr w14:paraId="736A57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trPr>
        <w:tc>
          <w:tcPr>
            <w:tcW w:w="753" w:type="dxa"/>
            <w:tcBorders>
              <w:top w:val="single" w:color="auto" w:sz="4" w:space="0"/>
              <w:left w:val="single" w:color="auto" w:sz="4" w:space="0"/>
              <w:bottom w:val="single" w:color="auto" w:sz="4" w:space="0"/>
              <w:right w:val="single" w:color="auto" w:sz="4" w:space="0"/>
            </w:tcBorders>
            <w:vAlign w:val="center"/>
          </w:tcPr>
          <w:p w14:paraId="6D942073">
            <w:pPr>
              <w:widowControl/>
              <w:jc w:val="center"/>
              <w:rPr>
                <w:rFonts w:ascii="宋体" w:hAnsi="宋体" w:cs="宋体"/>
                <w:sz w:val="24"/>
                <w:szCs w:val="24"/>
                <w:highlight w:val="none"/>
              </w:rPr>
            </w:pPr>
            <w:r>
              <w:rPr>
                <w:rFonts w:hint="eastAsia" w:ascii="宋体" w:hAnsi="宋体" w:cs="宋体"/>
                <w:sz w:val="24"/>
                <w:szCs w:val="24"/>
                <w:highlight w:val="none"/>
              </w:rPr>
              <w:t>3</w:t>
            </w:r>
          </w:p>
        </w:tc>
        <w:tc>
          <w:tcPr>
            <w:tcW w:w="2103" w:type="dxa"/>
            <w:tcBorders>
              <w:top w:val="single" w:color="auto" w:sz="4" w:space="0"/>
              <w:left w:val="nil"/>
              <w:bottom w:val="single" w:color="auto" w:sz="4" w:space="0"/>
              <w:right w:val="single" w:color="auto" w:sz="4" w:space="0"/>
            </w:tcBorders>
            <w:vAlign w:val="center"/>
          </w:tcPr>
          <w:p w14:paraId="5FF9B49C">
            <w:pPr>
              <w:jc w:val="center"/>
              <w:rPr>
                <w:rFonts w:ascii="宋体" w:hAnsi="宋体" w:cs="宋体"/>
                <w:sz w:val="24"/>
                <w:szCs w:val="24"/>
                <w:highlight w:val="none"/>
              </w:rPr>
            </w:pPr>
          </w:p>
        </w:tc>
        <w:tc>
          <w:tcPr>
            <w:tcW w:w="1560" w:type="dxa"/>
            <w:tcBorders>
              <w:top w:val="single" w:color="auto" w:sz="4" w:space="0"/>
              <w:left w:val="nil"/>
              <w:bottom w:val="single" w:color="auto" w:sz="4" w:space="0"/>
              <w:right w:val="single" w:color="auto" w:sz="4" w:space="0"/>
            </w:tcBorders>
            <w:vAlign w:val="center"/>
          </w:tcPr>
          <w:p w14:paraId="27A39466">
            <w:pPr>
              <w:jc w:val="center"/>
              <w:rPr>
                <w:rFonts w:ascii="宋体" w:hAnsi="宋体" w:cs="宋体"/>
                <w:sz w:val="24"/>
                <w:szCs w:val="24"/>
                <w:highlight w:val="none"/>
              </w:rPr>
            </w:pPr>
          </w:p>
        </w:tc>
        <w:tc>
          <w:tcPr>
            <w:tcW w:w="1440" w:type="dxa"/>
            <w:tcBorders>
              <w:top w:val="single" w:color="auto" w:sz="4" w:space="0"/>
              <w:left w:val="nil"/>
              <w:bottom w:val="single" w:color="auto" w:sz="4" w:space="0"/>
              <w:right w:val="single" w:color="auto" w:sz="4" w:space="0"/>
            </w:tcBorders>
            <w:vAlign w:val="center"/>
          </w:tcPr>
          <w:p w14:paraId="1FD91980">
            <w:pPr>
              <w:jc w:val="center"/>
              <w:rPr>
                <w:rFonts w:ascii="宋体" w:hAnsi="宋体" w:cs="宋体"/>
                <w:sz w:val="24"/>
                <w:szCs w:val="24"/>
                <w:highlight w:val="none"/>
              </w:rPr>
            </w:pPr>
          </w:p>
        </w:tc>
        <w:tc>
          <w:tcPr>
            <w:tcW w:w="1365" w:type="dxa"/>
            <w:tcBorders>
              <w:top w:val="single" w:color="auto" w:sz="4" w:space="0"/>
              <w:left w:val="nil"/>
              <w:bottom w:val="single" w:color="auto" w:sz="4" w:space="0"/>
              <w:right w:val="single" w:color="auto" w:sz="4" w:space="0"/>
            </w:tcBorders>
            <w:vAlign w:val="center"/>
          </w:tcPr>
          <w:p w14:paraId="1F728BC2">
            <w:pPr>
              <w:jc w:val="center"/>
              <w:rPr>
                <w:rFonts w:ascii="宋体" w:hAnsi="宋体" w:cs="宋体"/>
                <w:sz w:val="24"/>
                <w:szCs w:val="24"/>
                <w:highlight w:val="none"/>
              </w:rPr>
            </w:pPr>
          </w:p>
        </w:tc>
        <w:tc>
          <w:tcPr>
            <w:tcW w:w="1685" w:type="dxa"/>
            <w:tcBorders>
              <w:top w:val="single" w:color="auto" w:sz="4" w:space="0"/>
              <w:left w:val="nil"/>
              <w:bottom w:val="single" w:color="auto" w:sz="4" w:space="0"/>
              <w:right w:val="single" w:color="auto" w:sz="4" w:space="0"/>
            </w:tcBorders>
            <w:vAlign w:val="center"/>
          </w:tcPr>
          <w:p w14:paraId="517094DB">
            <w:pPr>
              <w:jc w:val="center"/>
              <w:rPr>
                <w:rFonts w:ascii="宋体" w:hAnsi="宋体" w:cs="宋体"/>
                <w:sz w:val="24"/>
                <w:szCs w:val="24"/>
                <w:highlight w:val="none"/>
              </w:rPr>
            </w:pPr>
          </w:p>
        </w:tc>
        <w:tc>
          <w:tcPr>
            <w:tcW w:w="1331" w:type="dxa"/>
            <w:tcBorders>
              <w:top w:val="single" w:color="auto" w:sz="4" w:space="0"/>
              <w:left w:val="nil"/>
              <w:bottom w:val="single" w:color="auto" w:sz="4" w:space="0"/>
              <w:right w:val="single" w:color="auto" w:sz="4" w:space="0"/>
            </w:tcBorders>
            <w:vAlign w:val="center"/>
          </w:tcPr>
          <w:p w14:paraId="04EF5E15">
            <w:pPr>
              <w:jc w:val="center"/>
              <w:rPr>
                <w:rFonts w:ascii="宋体" w:hAnsi="宋体" w:cs="宋体"/>
                <w:sz w:val="24"/>
                <w:szCs w:val="24"/>
                <w:highlight w:val="none"/>
              </w:rPr>
            </w:pPr>
          </w:p>
        </w:tc>
      </w:tr>
      <w:tr w14:paraId="0403C5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trPr>
        <w:tc>
          <w:tcPr>
            <w:tcW w:w="753" w:type="dxa"/>
            <w:tcBorders>
              <w:top w:val="single" w:color="auto" w:sz="4" w:space="0"/>
              <w:left w:val="single" w:color="auto" w:sz="4" w:space="0"/>
              <w:bottom w:val="single" w:color="auto" w:sz="4" w:space="0"/>
              <w:right w:val="single" w:color="auto" w:sz="4" w:space="0"/>
            </w:tcBorders>
            <w:vAlign w:val="center"/>
          </w:tcPr>
          <w:p w14:paraId="41B9E621">
            <w:pPr>
              <w:widowControl/>
              <w:jc w:val="center"/>
              <w:rPr>
                <w:rFonts w:ascii="宋体" w:hAnsi="宋体" w:cs="宋体"/>
                <w:sz w:val="24"/>
                <w:szCs w:val="24"/>
                <w:highlight w:val="none"/>
              </w:rPr>
            </w:pPr>
            <w:r>
              <w:rPr>
                <w:rFonts w:hint="eastAsia" w:ascii="宋体" w:hAnsi="宋体" w:cs="宋体"/>
                <w:sz w:val="24"/>
                <w:szCs w:val="24"/>
                <w:highlight w:val="none"/>
              </w:rPr>
              <w:t>4</w:t>
            </w:r>
          </w:p>
        </w:tc>
        <w:tc>
          <w:tcPr>
            <w:tcW w:w="2103" w:type="dxa"/>
            <w:tcBorders>
              <w:top w:val="single" w:color="auto" w:sz="4" w:space="0"/>
              <w:left w:val="nil"/>
              <w:bottom w:val="single" w:color="auto" w:sz="4" w:space="0"/>
              <w:right w:val="single" w:color="auto" w:sz="4" w:space="0"/>
            </w:tcBorders>
            <w:vAlign w:val="center"/>
          </w:tcPr>
          <w:p w14:paraId="5728A158">
            <w:pPr>
              <w:jc w:val="center"/>
              <w:rPr>
                <w:rFonts w:ascii="宋体" w:hAnsi="宋体" w:cs="宋体"/>
                <w:sz w:val="24"/>
                <w:szCs w:val="24"/>
                <w:highlight w:val="none"/>
              </w:rPr>
            </w:pPr>
          </w:p>
        </w:tc>
        <w:tc>
          <w:tcPr>
            <w:tcW w:w="1560" w:type="dxa"/>
            <w:tcBorders>
              <w:top w:val="single" w:color="auto" w:sz="4" w:space="0"/>
              <w:left w:val="nil"/>
              <w:bottom w:val="single" w:color="auto" w:sz="4" w:space="0"/>
              <w:right w:val="single" w:color="auto" w:sz="4" w:space="0"/>
            </w:tcBorders>
            <w:vAlign w:val="center"/>
          </w:tcPr>
          <w:p w14:paraId="22F67D53">
            <w:pPr>
              <w:jc w:val="center"/>
              <w:rPr>
                <w:rFonts w:ascii="宋体" w:hAnsi="宋体" w:cs="宋体"/>
                <w:sz w:val="24"/>
                <w:szCs w:val="24"/>
                <w:highlight w:val="none"/>
              </w:rPr>
            </w:pPr>
          </w:p>
        </w:tc>
        <w:tc>
          <w:tcPr>
            <w:tcW w:w="1440" w:type="dxa"/>
            <w:tcBorders>
              <w:top w:val="single" w:color="auto" w:sz="4" w:space="0"/>
              <w:left w:val="nil"/>
              <w:bottom w:val="single" w:color="auto" w:sz="4" w:space="0"/>
              <w:right w:val="single" w:color="auto" w:sz="4" w:space="0"/>
            </w:tcBorders>
            <w:vAlign w:val="center"/>
          </w:tcPr>
          <w:p w14:paraId="58008418">
            <w:pPr>
              <w:jc w:val="center"/>
              <w:rPr>
                <w:rFonts w:ascii="宋体" w:hAnsi="宋体" w:cs="宋体"/>
                <w:sz w:val="24"/>
                <w:szCs w:val="24"/>
                <w:highlight w:val="none"/>
              </w:rPr>
            </w:pPr>
          </w:p>
        </w:tc>
        <w:tc>
          <w:tcPr>
            <w:tcW w:w="1365" w:type="dxa"/>
            <w:tcBorders>
              <w:top w:val="single" w:color="auto" w:sz="4" w:space="0"/>
              <w:left w:val="nil"/>
              <w:bottom w:val="single" w:color="auto" w:sz="4" w:space="0"/>
              <w:right w:val="single" w:color="auto" w:sz="4" w:space="0"/>
            </w:tcBorders>
            <w:vAlign w:val="center"/>
          </w:tcPr>
          <w:p w14:paraId="62674065">
            <w:pPr>
              <w:jc w:val="center"/>
              <w:rPr>
                <w:rFonts w:ascii="宋体" w:hAnsi="宋体" w:cs="宋体"/>
                <w:sz w:val="24"/>
                <w:szCs w:val="24"/>
                <w:highlight w:val="none"/>
              </w:rPr>
            </w:pPr>
          </w:p>
        </w:tc>
        <w:tc>
          <w:tcPr>
            <w:tcW w:w="1685" w:type="dxa"/>
            <w:tcBorders>
              <w:top w:val="single" w:color="auto" w:sz="4" w:space="0"/>
              <w:left w:val="nil"/>
              <w:bottom w:val="single" w:color="auto" w:sz="4" w:space="0"/>
              <w:right w:val="single" w:color="auto" w:sz="4" w:space="0"/>
            </w:tcBorders>
            <w:vAlign w:val="center"/>
          </w:tcPr>
          <w:p w14:paraId="6C3B7E98">
            <w:pPr>
              <w:jc w:val="center"/>
              <w:rPr>
                <w:rFonts w:ascii="宋体" w:hAnsi="宋体" w:cs="宋体"/>
                <w:sz w:val="24"/>
                <w:szCs w:val="24"/>
                <w:highlight w:val="none"/>
              </w:rPr>
            </w:pPr>
          </w:p>
        </w:tc>
        <w:tc>
          <w:tcPr>
            <w:tcW w:w="1331" w:type="dxa"/>
            <w:tcBorders>
              <w:top w:val="single" w:color="auto" w:sz="4" w:space="0"/>
              <w:left w:val="nil"/>
              <w:bottom w:val="single" w:color="auto" w:sz="4" w:space="0"/>
              <w:right w:val="single" w:color="auto" w:sz="4" w:space="0"/>
            </w:tcBorders>
            <w:vAlign w:val="center"/>
          </w:tcPr>
          <w:p w14:paraId="1E84D187">
            <w:pPr>
              <w:jc w:val="center"/>
              <w:rPr>
                <w:rFonts w:ascii="宋体" w:hAnsi="宋体" w:cs="宋体"/>
                <w:sz w:val="24"/>
                <w:szCs w:val="24"/>
                <w:highlight w:val="none"/>
              </w:rPr>
            </w:pPr>
          </w:p>
        </w:tc>
      </w:tr>
      <w:tr w14:paraId="0BAFE4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trPr>
        <w:tc>
          <w:tcPr>
            <w:tcW w:w="753" w:type="dxa"/>
            <w:tcBorders>
              <w:top w:val="single" w:color="auto" w:sz="4" w:space="0"/>
              <w:left w:val="single" w:color="auto" w:sz="4" w:space="0"/>
              <w:bottom w:val="single" w:color="auto" w:sz="4" w:space="0"/>
              <w:right w:val="single" w:color="auto" w:sz="4" w:space="0"/>
            </w:tcBorders>
            <w:vAlign w:val="center"/>
          </w:tcPr>
          <w:p w14:paraId="6677D1F4">
            <w:pPr>
              <w:widowControl/>
              <w:jc w:val="center"/>
              <w:rPr>
                <w:rFonts w:ascii="宋体" w:hAnsi="宋体" w:cs="宋体"/>
                <w:sz w:val="24"/>
                <w:szCs w:val="24"/>
                <w:highlight w:val="none"/>
              </w:rPr>
            </w:pPr>
            <w:r>
              <w:rPr>
                <w:rFonts w:hint="eastAsia" w:ascii="宋体" w:hAnsi="宋体" w:cs="宋体"/>
                <w:sz w:val="24"/>
                <w:szCs w:val="24"/>
                <w:highlight w:val="none"/>
              </w:rPr>
              <w:t>……</w:t>
            </w:r>
          </w:p>
        </w:tc>
        <w:tc>
          <w:tcPr>
            <w:tcW w:w="2103" w:type="dxa"/>
            <w:tcBorders>
              <w:top w:val="single" w:color="auto" w:sz="4" w:space="0"/>
              <w:left w:val="nil"/>
              <w:bottom w:val="single" w:color="auto" w:sz="4" w:space="0"/>
              <w:right w:val="single" w:color="auto" w:sz="4" w:space="0"/>
            </w:tcBorders>
            <w:vAlign w:val="center"/>
          </w:tcPr>
          <w:p w14:paraId="06FBA4E8">
            <w:pPr>
              <w:jc w:val="center"/>
              <w:rPr>
                <w:rFonts w:ascii="宋体" w:hAnsi="宋体" w:cs="宋体"/>
                <w:sz w:val="24"/>
                <w:szCs w:val="24"/>
                <w:highlight w:val="none"/>
              </w:rPr>
            </w:pPr>
          </w:p>
        </w:tc>
        <w:tc>
          <w:tcPr>
            <w:tcW w:w="1560" w:type="dxa"/>
            <w:tcBorders>
              <w:top w:val="single" w:color="auto" w:sz="4" w:space="0"/>
              <w:left w:val="nil"/>
              <w:bottom w:val="single" w:color="auto" w:sz="4" w:space="0"/>
              <w:right w:val="single" w:color="auto" w:sz="4" w:space="0"/>
            </w:tcBorders>
            <w:vAlign w:val="center"/>
          </w:tcPr>
          <w:p w14:paraId="73185559">
            <w:pPr>
              <w:jc w:val="center"/>
              <w:rPr>
                <w:rFonts w:ascii="宋体" w:hAnsi="宋体" w:cs="宋体"/>
                <w:sz w:val="24"/>
                <w:szCs w:val="24"/>
                <w:highlight w:val="none"/>
              </w:rPr>
            </w:pPr>
          </w:p>
        </w:tc>
        <w:tc>
          <w:tcPr>
            <w:tcW w:w="1440" w:type="dxa"/>
            <w:tcBorders>
              <w:top w:val="single" w:color="auto" w:sz="4" w:space="0"/>
              <w:left w:val="nil"/>
              <w:bottom w:val="single" w:color="auto" w:sz="4" w:space="0"/>
              <w:right w:val="single" w:color="auto" w:sz="4" w:space="0"/>
            </w:tcBorders>
            <w:vAlign w:val="center"/>
          </w:tcPr>
          <w:p w14:paraId="7BF94B9D">
            <w:pPr>
              <w:jc w:val="center"/>
              <w:rPr>
                <w:rFonts w:ascii="宋体" w:hAnsi="宋体" w:cs="宋体"/>
                <w:sz w:val="24"/>
                <w:szCs w:val="24"/>
                <w:highlight w:val="none"/>
              </w:rPr>
            </w:pPr>
          </w:p>
        </w:tc>
        <w:tc>
          <w:tcPr>
            <w:tcW w:w="1365" w:type="dxa"/>
            <w:tcBorders>
              <w:top w:val="single" w:color="auto" w:sz="4" w:space="0"/>
              <w:left w:val="nil"/>
              <w:bottom w:val="single" w:color="auto" w:sz="4" w:space="0"/>
              <w:right w:val="single" w:color="auto" w:sz="4" w:space="0"/>
            </w:tcBorders>
            <w:vAlign w:val="center"/>
          </w:tcPr>
          <w:p w14:paraId="3DC67827">
            <w:pPr>
              <w:jc w:val="center"/>
              <w:rPr>
                <w:rFonts w:ascii="宋体" w:hAnsi="宋体" w:cs="宋体"/>
                <w:sz w:val="24"/>
                <w:szCs w:val="24"/>
                <w:highlight w:val="none"/>
              </w:rPr>
            </w:pPr>
          </w:p>
        </w:tc>
        <w:tc>
          <w:tcPr>
            <w:tcW w:w="1685" w:type="dxa"/>
            <w:tcBorders>
              <w:top w:val="single" w:color="auto" w:sz="4" w:space="0"/>
              <w:left w:val="nil"/>
              <w:bottom w:val="single" w:color="auto" w:sz="4" w:space="0"/>
              <w:right w:val="single" w:color="auto" w:sz="4" w:space="0"/>
            </w:tcBorders>
            <w:vAlign w:val="center"/>
          </w:tcPr>
          <w:p w14:paraId="5940AC2A">
            <w:pPr>
              <w:jc w:val="center"/>
              <w:rPr>
                <w:rFonts w:ascii="宋体" w:hAnsi="宋体" w:cs="宋体"/>
                <w:sz w:val="24"/>
                <w:szCs w:val="24"/>
                <w:highlight w:val="none"/>
              </w:rPr>
            </w:pPr>
          </w:p>
        </w:tc>
        <w:tc>
          <w:tcPr>
            <w:tcW w:w="1331" w:type="dxa"/>
            <w:tcBorders>
              <w:top w:val="single" w:color="auto" w:sz="4" w:space="0"/>
              <w:left w:val="nil"/>
              <w:bottom w:val="single" w:color="auto" w:sz="4" w:space="0"/>
              <w:right w:val="single" w:color="auto" w:sz="4" w:space="0"/>
            </w:tcBorders>
            <w:vAlign w:val="center"/>
          </w:tcPr>
          <w:p w14:paraId="078848B0">
            <w:pPr>
              <w:jc w:val="center"/>
              <w:rPr>
                <w:rFonts w:ascii="宋体" w:hAnsi="宋体" w:cs="宋体"/>
                <w:sz w:val="24"/>
                <w:szCs w:val="24"/>
                <w:highlight w:val="none"/>
              </w:rPr>
            </w:pPr>
          </w:p>
        </w:tc>
      </w:tr>
      <w:tr w14:paraId="601221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7" w:hRule="atLeast"/>
        </w:trPr>
        <w:tc>
          <w:tcPr>
            <w:tcW w:w="5856" w:type="dxa"/>
            <w:gridSpan w:val="4"/>
            <w:tcBorders>
              <w:top w:val="single" w:color="auto" w:sz="4" w:space="0"/>
              <w:left w:val="single" w:color="auto" w:sz="4" w:space="0"/>
              <w:bottom w:val="single" w:color="auto" w:sz="4" w:space="0"/>
              <w:right w:val="single" w:color="auto" w:sz="4" w:space="0"/>
            </w:tcBorders>
            <w:vAlign w:val="center"/>
          </w:tcPr>
          <w:p w14:paraId="174B8C7D">
            <w:pPr>
              <w:jc w:val="center"/>
              <w:rPr>
                <w:rFonts w:ascii="宋体" w:hAnsi="宋体" w:cs="宋体"/>
                <w:sz w:val="24"/>
                <w:szCs w:val="24"/>
                <w:highlight w:val="none"/>
              </w:rPr>
            </w:pPr>
            <w:r>
              <w:rPr>
                <w:rFonts w:hint="eastAsia" w:ascii="宋体" w:hAnsi="宋体" w:cs="宋体"/>
                <w:sz w:val="24"/>
                <w:szCs w:val="24"/>
                <w:highlight w:val="none"/>
              </w:rPr>
              <w:t>投标总报价（人民币：     元）</w:t>
            </w:r>
          </w:p>
        </w:tc>
        <w:tc>
          <w:tcPr>
            <w:tcW w:w="4381" w:type="dxa"/>
            <w:gridSpan w:val="3"/>
            <w:tcBorders>
              <w:top w:val="single" w:color="auto" w:sz="4" w:space="0"/>
              <w:left w:val="nil"/>
              <w:bottom w:val="single" w:color="auto" w:sz="4" w:space="0"/>
              <w:right w:val="single" w:color="auto" w:sz="4" w:space="0"/>
            </w:tcBorders>
            <w:vAlign w:val="center"/>
          </w:tcPr>
          <w:p w14:paraId="7F0CEA59">
            <w:pPr>
              <w:jc w:val="center"/>
              <w:rPr>
                <w:rFonts w:ascii="宋体" w:hAnsi="宋体" w:cs="宋体"/>
                <w:sz w:val="24"/>
                <w:szCs w:val="24"/>
                <w:highlight w:val="none"/>
              </w:rPr>
            </w:pPr>
          </w:p>
        </w:tc>
      </w:tr>
    </w:tbl>
    <w:p w14:paraId="2A281F2F">
      <w:pPr>
        <w:spacing w:line="440" w:lineRule="exact"/>
        <w:rPr>
          <w:rFonts w:ascii="宋体" w:hAnsi="宋体" w:cs="宋体"/>
          <w:bCs/>
          <w:sz w:val="24"/>
          <w:szCs w:val="24"/>
          <w:highlight w:val="none"/>
        </w:rPr>
      </w:pPr>
      <w:r>
        <w:rPr>
          <w:rFonts w:hint="eastAsia" w:ascii="宋体" w:hAnsi="宋体" w:cs="宋体"/>
          <w:bCs/>
          <w:sz w:val="24"/>
          <w:szCs w:val="24"/>
          <w:highlight w:val="none"/>
        </w:rPr>
        <w:t>注：1、投标人应根据本项目服务的分项价格情况填写上述表格。</w:t>
      </w:r>
    </w:p>
    <w:p w14:paraId="1906DA24">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2、所有价格用人民币表示。</w:t>
      </w:r>
    </w:p>
    <w:p w14:paraId="0AEC11EE">
      <w:pPr>
        <w:spacing w:line="440" w:lineRule="exact"/>
        <w:ind w:firstLine="480"/>
        <w:rPr>
          <w:rFonts w:ascii="宋体" w:hAnsi="宋体" w:cs="宋体"/>
          <w:sz w:val="24"/>
          <w:szCs w:val="24"/>
          <w:highlight w:val="none"/>
        </w:rPr>
      </w:pPr>
      <w:r>
        <w:rPr>
          <w:rFonts w:hint="eastAsia" w:ascii="宋体" w:hAnsi="宋体" w:cs="宋体"/>
          <w:bCs/>
          <w:sz w:val="24"/>
          <w:szCs w:val="24"/>
          <w:highlight w:val="none"/>
        </w:rPr>
        <w:t>3、表中“</w:t>
      </w:r>
      <w:r>
        <w:rPr>
          <w:rFonts w:hint="eastAsia" w:ascii="宋体" w:hAnsi="宋体" w:cs="宋体"/>
          <w:sz w:val="24"/>
          <w:szCs w:val="24"/>
          <w:highlight w:val="none"/>
        </w:rPr>
        <w:t>投标总报价</w:t>
      </w:r>
      <w:r>
        <w:rPr>
          <w:rFonts w:hint="eastAsia" w:ascii="宋体" w:hAnsi="宋体" w:cs="宋体"/>
          <w:bCs/>
          <w:sz w:val="24"/>
          <w:szCs w:val="24"/>
          <w:highlight w:val="none"/>
        </w:rPr>
        <w:t>”应与“开标一览表”中“</w:t>
      </w:r>
      <w:r>
        <w:rPr>
          <w:rFonts w:hint="eastAsia" w:ascii="宋体" w:hAnsi="宋体" w:cs="宋体"/>
          <w:sz w:val="24"/>
          <w:szCs w:val="24"/>
          <w:highlight w:val="none"/>
        </w:rPr>
        <w:t>投标总报价</w:t>
      </w:r>
      <w:r>
        <w:rPr>
          <w:rFonts w:hint="eastAsia" w:ascii="宋体" w:hAnsi="宋体" w:cs="宋体"/>
          <w:bCs/>
          <w:sz w:val="24"/>
          <w:szCs w:val="24"/>
          <w:highlight w:val="none"/>
        </w:rPr>
        <w:t>”相一致。</w:t>
      </w:r>
    </w:p>
    <w:p w14:paraId="3EBD43E7">
      <w:pPr>
        <w:spacing w:line="440" w:lineRule="exact"/>
        <w:ind w:firstLine="480"/>
        <w:rPr>
          <w:rFonts w:ascii="宋体" w:hAnsi="宋体" w:cs="宋体"/>
          <w:sz w:val="24"/>
          <w:szCs w:val="24"/>
          <w:highlight w:val="none"/>
        </w:rPr>
      </w:pPr>
      <w:r>
        <w:rPr>
          <w:rFonts w:hint="eastAsia" w:ascii="宋体" w:hAnsi="宋体" w:cs="宋体"/>
          <w:bCs/>
          <w:sz w:val="24"/>
          <w:szCs w:val="24"/>
          <w:highlight w:val="none"/>
        </w:rPr>
        <w:t>4、“</w:t>
      </w:r>
      <w:r>
        <w:rPr>
          <w:rFonts w:hint="eastAsia" w:ascii="宋体" w:hAnsi="宋体" w:cs="宋体"/>
          <w:sz w:val="24"/>
          <w:szCs w:val="24"/>
          <w:highlight w:val="none"/>
        </w:rPr>
        <w:t>投标总报价</w:t>
      </w:r>
      <w:r>
        <w:rPr>
          <w:rFonts w:hint="eastAsia" w:ascii="宋体" w:hAnsi="宋体" w:cs="宋体"/>
          <w:bCs/>
          <w:sz w:val="24"/>
          <w:szCs w:val="24"/>
          <w:highlight w:val="none"/>
        </w:rPr>
        <w:t>”请保留小数点后两位。</w:t>
      </w:r>
    </w:p>
    <w:p w14:paraId="35AD7BE6">
      <w:pPr>
        <w:pStyle w:val="3"/>
        <w:keepNext w:val="0"/>
        <w:pageBreakBefore/>
        <w:rPr>
          <w:rFonts w:ascii="宋体" w:hAnsi="宋体" w:eastAsia="宋体" w:cs="宋体"/>
          <w:highlight w:val="none"/>
        </w:rPr>
      </w:pPr>
      <w:bookmarkStart w:id="299" w:name="_Toc4144"/>
      <w:r>
        <w:rPr>
          <w:rFonts w:hint="eastAsia" w:ascii="宋体" w:hAnsi="宋体" w:eastAsia="宋体" w:cs="宋体"/>
          <w:highlight w:val="none"/>
        </w:rPr>
        <w:t>附件3具备履行合同所必需的设备和专业技术能力的书面声明</w:t>
      </w:r>
      <w:bookmarkEnd w:id="299"/>
    </w:p>
    <w:p w14:paraId="7F68FC71">
      <w:pPr>
        <w:spacing w:line="460" w:lineRule="exact"/>
        <w:ind w:firstLine="492"/>
        <w:rPr>
          <w:rFonts w:ascii="宋体" w:hAnsi="宋体" w:cs="宋体"/>
          <w:bCs/>
          <w:sz w:val="24"/>
          <w:highlight w:val="none"/>
        </w:rPr>
      </w:pPr>
      <w:r>
        <w:rPr>
          <w:rFonts w:hint="eastAsia" w:ascii="宋体" w:hAnsi="宋体" w:cs="宋体"/>
          <w:bCs/>
          <w:sz w:val="24"/>
          <w:highlight w:val="none"/>
        </w:rPr>
        <w:t>我单位郑重声明：我单位具备履行本项采购合同所必需的设备和专业技术能力，为履行本项采购合同我公司具备如下主要设备和主要专业技术能力：</w:t>
      </w:r>
    </w:p>
    <w:p w14:paraId="630989DC">
      <w:pPr>
        <w:spacing w:line="460" w:lineRule="exact"/>
        <w:ind w:firstLine="492"/>
        <w:rPr>
          <w:rFonts w:ascii="宋体" w:hAnsi="宋体" w:cs="宋体"/>
          <w:bCs/>
          <w:sz w:val="24"/>
          <w:highlight w:val="none"/>
        </w:rPr>
      </w:pPr>
      <w:r>
        <w:rPr>
          <w:rFonts w:hint="eastAsia" w:ascii="宋体" w:hAnsi="宋体" w:cs="宋体"/>
          <w:bCs/>
          <w:sz w:val="24"/>
          <w:highlight w:val="none"/>
        </w:rPr>
        <w:t>主要设备有：</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7AAB30BD">
      <w:pPr>
        <w:spacing w:line="460" w:lineRule="exact"/>
        <w:ind w:firstLine="492"/>
        <w:rPr>
          <w:rFonts w:ascii="宋体" w:hAnsi="宋体" w:cs="宋体"/>
          <w:bCs/>
          <w:sz w:val="24"/>
          <w:highlight w:val="none"/>
        </w:rPr>
      </w:pPr>
      <w:r>
        <w:rPr>
          <w:rFonts w:hint="eastAsia" w:ascii="宋体" w:hAnsi="宋体" w:cs="宋体"/>
          <w:bCs/>
          <w:sz w:val="24"/>
          <w:highlight w:val="none"/>
        </w:rPr>
        <w:t>主要专业技术能力有：</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39E52277">
      <w:pPr>
        <w:rPr>
          <w:rFonts w:ascii="宋体" w:hAnsi="宋体" w:cs="宋体"/>
          <w:bCs/>
          <w:sz w:val="24"/>
          <w:highlight w:val="none"/>
        </w:rPr>
      </w:pPr>
      <w:r>
        <w:rPr>
          <w:rFonts w:hint="eastAsia" w:ascii="宋体" w:hAnsi="宋体" w:cs="宋体"/>
          <w:bCs/>
          <w:sz w:val="24"/>
          <w:highlight w:val="none"/>
        </w:rPr>
        <w:br w:type="page"/>
      </w:r>
    </w:p>
    <w:p w14:paraId="3395EDAF">
      <w:pPr>
        <w:pStyle w:val="3"/>
        <w:rPr>
          <w:rFonts w:ascii="宋体" w:hAnsi="宋体" w:eastAsia="宋体" w:cs="宋体"/>
          <w:highlight w:val="none"/>
        </w:rPr>
      </w:pPr>
      <w:bookmarkStart w:id="300" w:name="_Toc14985"/>
      <w:r>
        <w:rPr>
          <w:rFonts w:hint="eastAsia" w:ascii="宋体" w:hAnsi="宋体" w:eastAsia="宋体" w:cs="宋体"/>
          <w:highlight w:val="none"/>
        </w:rPr>
        <w:t>附件4 参加政府采购活动前3年内在经营活动中没有重大违法记录的书面声明</w:t>
      </w:r>
      <w:bookmarkEnd w:id="300"/>
    </w:p>
    <w:p w14:paraId="76FA11C3">
      <w:pPr>
        <w:pBdr>
          <w:top w:val="none" w:color="000000" w:sz="0" w:space="0"/>
          <w:left w:val="none" w:color="000000" w:sz="0" w:space="0"/>
          <w:bottom w:val="none" w:color="000000" w:sz="0" w:space="0"/>
          <w:right w:val="none" w:color="000000" w:sz="0" w:space="0"/>
        </w:pBdr>
        <w:spacing w:line="460" w:lineRule="atLeast"/>
        <w:jc w:val="center"/>
        <w:rPr>
          <w:rFonts w:ascii="宋体" w:hAnsi="宋体" w:cs="宋体"/>
          <w:sz w:val="24"/>
          <w:szCs w:val="24"/>
          <w:highlight w:val="none"/>
        </w:rPr>
      </w:pPr>
      <w:r>
        <w:rPr>
          <w:rFonts w:hint="eastAsia" w:ascii="宋体" w:hAnsi="宋体" w:cs="宋体"/>
          <w:b/>
          <w:sz w:val="24"/>
          <w:szCs w:val="24"/>
          <w:highlight w:val="none"/>
        </w:rPr>
        <w:t> </w:t>
      </w:r>
    </w:p>
    <w:p w14:paraId="54D37FA2">
      <w:pPr>
        <w:pBdr>
          <w:top w:val="none" w:color="000000" w:sz="0" w:space="0"/>
          <w:left w:val="none" w:color="000000" w:sz="0" w:space="0"/>
          <w:bottom w:val="none" w:color="000000" w:sz="0" w:space="0"/>
          <w:right w:val="none" w:color="000000" w:sz="0" w:space="0"/>
        </w:pBdr>
        <w:spacing w:line="460" w:lineRule="atLeast"/>
        <w:jc w:val="center"/>
        <w:rPr>
          <w:rFonts w:ascii="宋体" w:hAnsi="宋体" w:cs="宋体"/>
          <w:sz w:val="24"/>
          <w:szCs w:val="24"/>
          <w:highlight w:val="none"/>
        </w:rPr>
      </w:pPr>
      <w:r>
        <w:rPr>
          <w:rFonts w:hint="eastAsia" w:ascii="宋体" w:hAnsi="宋体" w:cs="宋体"/>
          <w:b/>
          <w:sz w:val="24"/>
          <w:szCs w:val="24"/>
          <w:highlight w:val="none"/>
        </w:rPr>
        <w:t>声 明</w:t>
      </w:r>
    </w:p>
    <w:p w14:paraId="734AB777">
      <w:pPr>
        <w:pBdr>
          <w:top w:val="none" w:color="000000" w:sz="0" w:space="0"/>
          <w:left w:val="none" w:color="000000" w:sz="0" w:space="0"/>
          <w:bottom w:val="none" w:color="000000" w:sz="0" w:space="0"/>
          <w:right w:val="none" w:color="000000" w:sz="0" w:space="0"/>
        </w:pBdr>
        <w:spacing w:line="460" w:lineRule="atLeast"/>
        <w:ind w:firstLine="480"/>
        <w:rPr>
          <w:rFonts w:ascii="宋体" w:hAnsi="宋体" w:cs="宋体"/>
          <w:sz w:val="24"/>
          <w:szCs w:val="24"/>
          <w:highlight w:val="none"/>
        </w:rPr>
      </w:pPr>
      <w:r>
        <w:rPr>
          <w:rFonts w:hint="eastAsia" w:ascii="宋体" w:hAnsi="宋体" w:cs="宋体"/>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37788AAE">
      <w:pPr>
        <w:rPr>
          <w:rFonts w:ascii="宋体" w:hAnsi="宋体" w:cs="宋体"/>
          <w:highlight w:val="none"/>
        </w:rPr>
      </w:pPr>
      <w:r>
        <w:rPr>
          <w:rFonts w:hint="eastAsia" w:ascii="宋体" w:hAnsi="宋体" w:cs="宋体"/>
          <w:highlight w:val="none"/>
        </w:rPr>
        <w:br w:type="page"/>
      </w:r>
    </w:p>
    <w:p w14:paraId="6E881538">
      <w:pPr>
        <w:pStyle w:val="3"/>
        <w:spacing w:line="440" w:lineRule="exact"/>
        <w:rPr>
          <w:rFonts w:ascii="宋体" w:hAnsi="宋体" w:eastAsia="宋体" w:cs="宋体"/>
          <w:highlight w:val="none"/>
        </w:rPr>
      </w:pPr>
      <w:bookmarkStart w:id="301" w:name="_Toc961"/>
      <w:bookmarkStart w:id="302" w:name="_Toc9582"/>
      <w:r>
        <w:rPr>
          <w:rFonts w:hint="eastAsia" w:ascii="宋体" w:hAnsi="宋体" w:eastAsia="宋体" w:cs="宋体"/>
          <w:highlight w:val="none"/>
        </w:rPr>
        <w:t xml:space="preserve">附件5 </w:t>
      </w:r>
      <w:bookmarkEnd w:id="301"/>
      <w:r>
        <w:rPr>
          <w:rFonts w:hint="eastAsia" w:ascii="宋体" w:hAnsi="宋体" w:eastAsia="宋体" w:cs="宋体"/>
          <w:highlight w:val="none"/>
        </w:rPr>
        <w:t>法人授权书</w:t>
      </w:r>
      <w:bookmarkEnd w:id="302"/>
    </w:p>
    <w:p w14:paraId="07ADF732">
      <w:pPr>
        <w:spacing w:line="440" w:lineRule="exact"/>
        <w:rPr>
          <w:rFonts w:ascii="宋体" w:hAnsi="宋体" w:cs="宋体"/>
          <w:sz w:val="24"/>
          <w:szCs w:val="24"/>
          <w:highlight w:val="none"/>
        </w:rPr>
      </w:pPr>
      <w:r>
        <w:rPr>
          <w:rFonts w:hint="eastAsia" w:ascii="宋体" w:hAnsi="宋体" w:cs="宋体"/>
          <w:sz w:val="24"/>
          <w:szCs w:val="24"/>
          <w:highlight w:val="none"/>
        </w:rPr>
        <w:t>涵熙（苏州）工程顾问有限公司：</w:t>
      </w:r>
    </w:p>
    <w:p w14:paraId="4A211476">
      <w:pP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本授权委托书声明：注册于</w:t>
      </w:r>
      <w:r>
        <w:rPr>
          <w:rFonts w:hint="eastAsia" w:ascii="宋体" w:hAnsi="宋体" w:cs="宋体"/>
          <w:sz w:val="24"/>
          <w:szCs w:val="24"/>
          <w:highlight w:val="none"/>
          <w:u w:val="single"/>
        </w:rPr>
        <w:t xml:space="preserve">     （投标人地址）    </w:t>
      </w:r>
      <w:r>
        <w:rPr>
          <w:rFonts w:hint="eastAsia" w:ascii="宋体" w:hAnsi="宋体" w:cs="宋体"/>
          <w:sz w:val="24"/>
          <w:szCs w:val="24"/>
          <w:highlight w:val="none"/>
        </w:rPr>
        <w:t xml:space="preserve"> 的</w:t>
      </w:r>
      <w:r>
        <w:rPr>
          <w:rFonts w:hint="eastAsia" w:ascii="宋体" w:hAnsi="宋体" w:cs="宋体"/>
          <w:sz w:val="24"/>
          <w:szCs w:val="24"/>
          <w:highlight w:val="none"/>
          <w:u w:val="single"/>
        </w:rPr>
        <w:t xml:space="preserve">      （投标人全称）         </w:t>
      </w:r>
      <w:r>
        <w:rPr>
          <w:rFonts w:hint="eastAsia" w:ascii="宋体" w:hAnsi="宋体" w:cs="宋体"/>
          <w:sz w:val="24"/>
          <w:szCs w:val="24"/>
          <w:highlight w:val="none"/>
        </w:rPr>
        <w:t xml:space="preserve">的  </w:t>
      </w:r>
      <w:r>
        <w:rPr>
          <w:rFonts w:hint="eastAsia" w:ascii="宋体" w:hAnsi="宋体" w:cs="宋体"/>
          <w:sz w:val="24"/>
          <w:szCs w:val="24"/>
          <w:highlight w:val="none"/>
          <w:u w:val="single"/>
        </w:rPr>
        <w:t xml:space="preserve">（法定代表人姓名）  </w:t>
      </w:r>
      <w:r>
        <w:rPr>
          <w:rFonts w:hint="eastAsia" w:ascii="宋体" w:hAnsi="宋体" w:cs="宋体"/>
          <w:sz w:val="24"/>
          <w:szCs w:val="24"/>
          <w:highlight w:val="none"/>
        </w:rPr>
        <w:t>，代表本公司（工厂）授权</w:t>
      </w:r>
      <w:r>
        <w:rPr>
          <w:rFonts w:hint="eastAsia" w:ascii="宋体" w:hAnsi="宋体" w:cs="宋体"/>
          <w:sz w:val="24"/>
          <w:szCs w:val="24"/>
          <w:highlight w:val="none"/>
          <w:u w:val="single"/>
        </w:rPr>
        <w:t xml:space="preserve">   （授权代表姓名）   </w:t>
      </w:r>
      <w:r>
        <w:rPr>
          <w:rFonts w:hint="eastAsia" w:ascii="宋体" w:hAnsi="宋体" w:cs="宋体"/>
          <w:sz w:val="24"/>
          <w:szCs w:val="24"/>
          <w:highlight w:val="none"/>
        </w:rPr>
        <w:t>为本公司（工厂）的合法代理人，就贵方组织的</w:t>
      </w:r>
      <w:r>
        <w:rPr>
          <w:rFonts w:hint="eastAsia" w:ascii="宋体" w:hAnsi="宋体" w:cs="宋体"/>
          <w:sz w:val="24"/>
          <w:szCs w:val="24"/>
          <w:highlight w:val="none"/>
          <w:u w:val="single"/>
        </w:rPr>
        <w:t>大气污染防治技术支撑服务 （项目编号：</w:t>
      </w:r>
      <w:r>
        <w:rPr>
          <w:rFonts w:hint="eastAsia" w:ascii="宋体" w:hAnsi="宋体" w:cs="宋体"/>
          <w:sz w:val="24"/>
          <w:szCs w:val="24"/>
          <w:highlight w:val="none"/>
          <w:u w:val="single"/>
          <w:lang w:eastAsia="zh-CN"/>
        </w:rPr>
        <w:t>JSZC-320581-HXGW-G2026-0035</w:t>
      </w:r>
      <w:r>
        <w:rPr>
          <w:rFonts w:hint="eastAsia" w:ascii="宋体" w:hAnsi="宋体" w:cs="宋体"/>
          <w:sz w:val="24"/>
          <w:szCs w:val="24"/>
          <w:highlight w:val="none"/>
          <w:u w:val="single"/>
        </w:rPr>
        <w:t>）</w:t>
      </w:r>
      <w:r>
        <w:rPr>
          <w:rFonts w:hint="eastAsia" w:ascii="宋体" w:hAnsi="宋体" w:cs="宋体"/>
          <w:sz w:val="24"/>
          <w:szCs w:val="24"/>
          <w:highlight w:val="none"/>
        </w:rPr>
        <w:t>的采购活动，以本公司（工厂）名义处理一切与之有关的事务。，以本公司名义处理一切与之有关的事务。</w:t>
      </w:r>
    </w:p>
    <w:p w14:paraId="1198A39A">
      <w:pPr>
        <w:spacing w:line="440" w:lineRule="exact"/>
        <w:ind w:firstLine="480" w:firstLineChars="200"/>
        <w:rPr>
          <w:rFonts w:ascii="宋体" w:hAnsi="宋体" w:cs="宋体"/>
          <w:sz w:val="24"/>
          <w:szCs w:val="24"/>
          <w:highlight w:val="none"/>
        </w:rPr>
      </w:pPr>
      <w:r>
        <w:rPr>
          <w:rFonts w:hint="eastAsia" w:ascii="宋体" w:hAnsi="宋体" w:cs="宋体"/>
          <w:sz w:val="24"/>
          <w:szCs w:val="24"/>
          <w:highlight w:val="none"/>
        </w:rPr>
        <w:t>本授权书于年月日生效，被授权人无转委权。</w:t>
      </w:r>
    </w:p>
    <w:p w14:paraId="1C6A2EBE">
      <w:pPr>
        <w:spacing w:line="440" w:lineRule="exact"/>
        <w:rPr>
          <w:rFonts w:ascii="宋体" w:hAnsi="宋体" w:cs="宋体"/>
          <w:sz w:val="24"/>
          <w:szCs w:val="24"/>
          <w:highlight w:val="none"/>
        </w:rPr>
      </w:pPr>
      <w:r>
        <w:rPr>
          <w:rFonts w:hint="eastAsia" w:ascii="宋体" w:hAnsi="宋体" w:cs="宋体"/>
          <w:sz w:val="24"/>
          <w:szCs w:val="24"/>
          <w:highlight w:val="none"/>
        </w:rPr>
        <w:t xml:space="preserve">    特此声明。</w:t>
      </w:r>
    </w:p>
    <w:p w14:paraId="61E6E3C4">
      <w:pPr>
        <w:spacing w:line="440" w:lineRule="exact"/>
        <w:rPr>
          <w:rFonts w:ascii="宋体" w:hAnsi="宋体" w:cs="宋体"/>
          <w:sz w:val="24"/>
          <w:szCs w:val="24"/>
          <w:highlight w:val="none"/>
        </w:rPr>
      </w:pPr>
    </w:p>
    <w:p w14:paraId="26411A74">
      <w:pPr>
        <w:rPr>
          <w:rFonts w:ascii="宋体" w:hAnsi="宋体" w:cs="宋体"/>
          <w:sz w:val="24"/>
          <w:szCs w:val="24"/>
          <w:highlight w:val="none"/>
          <w:u w:val="single"/>
        </w:rPr>
      </w:pPr>
      <w:r>
        <w:rPr>
          <w:rFonts w:hint="eastAsia" w:ascii="宋体" w:hAnsi="宋体" w:cs="宋体"/>
          <w:sz w:val="24"/>
          <w:szCs w:val="24"/>
          <w:highlight w:val="none"/>
        </w:rPr>
        <w:t>投标人</w:t>
      </w:r>
      <w:r>
        <w:rPr>
          <w:rFonts w:hint="eastAsia" w:ascii="宋体" w:hAnsi="宋体" w:cs="宋体"/>
          <w:bCs/>
          <w:sz w:val="24"/>
          <w:szCs w:val="24"/>
          <w:highlight w:val="none"/>
        </w:rPr>
        <w:t>名称：</w:t>
      </w:r>
      <w:r>
        <w:rPr>
          <w:rFonts w:hint="eastAsia" w:ascii="宋体" w:hAnsi="宋体" w:cs="宋体"/>
          <w:sz w:val="24"/>
          <w:szCs w:val="24"/>
          <w:highlight w:val="none"/>
          <w:u w:val="single"/>
        </w:rPr>
        <w:t>（加盖CA电子公章）</w:t>
      </w:r>
    </w:p>
    <w:p w14:paraId="2A020861">
      <w:pPr>
        <w:rPr>
          <w:rFonts w:ascii="宋体" w:hAnsi="宋体" w:cs="宋体"/>
          <w:bCs/>
          <w:sz w:val="24"/>
          <w:szCs w:val="24"/>
          <w:highlight w:val="none"/>
          <w:u w:val="single"/>
        </w:rPr>
      </w:pPr>
      <w:r>
        <w:rPr>
          <w:rFonts w:hint="eastAsia" w:ascii="宋体" w:hAnsi="宋体" w:cs="宋体"/>
          <w:bCs/>
          <w:sz w:val="24"/>
          <w:szCs w:val="24"/>
          <w:highlight w:val="none"/>
        </w:rPr>
        <w:t>地      址：</w:t>
      </w:r>
      <w:r>
        <w:rPr>
          <w:rFonts w:hint="eastAsia" w:ascii="宋体" w:hAnsi="宋体" w:cs="宋体"/>
          <w:bCs/>
          <w:sz w:val="24"/>
          <w:szCs w:val="24"/>
          <w:highlight w:val="none"/>
          <w:u w:val="single"/>
        </w:rPr>
        <w:t xml:space="preserve">                   </w:t>
      </w:r>
    </w:p>
    <w:p w14:paraId="350113FA">
      <w:pPr>
        <w:rPr>
          <w:rFonts w:ascii="宋体" w:hAnsi="宋体" w:cs="宋体"/>
          <w:bCs/>
          <w:sz w:val="24"/>
          <w:szCs w:val="24"/>
          <w:highlight w:val="none"/>
        </w:rPr>
      </w:pPr>
    </w:p>
    <w:p w14:paraId="63BFFB0D">
      <w:pPr>
        <w:rPr>
          <w:rFonts w:ascii="宋体" w:hAnsi="宋体" w:cs="宋体"/>
          <w:bCs/>
          <w:sz w:val="24"/>
          <w:szCs w:val="24"/>
          <w:highlight w:val="none"/>
        </w:rPr>
      </w:pPr>
      <w:r>
        <w:rPr>
          <w:rFonts w:hint="eastAsia" w:ascii="宋体" w:hAnsi="宋体" w:cs="宋体"/>
          <w:bCs/>
          <w:sz w:val="24"/>
          <w:szCs w:val="24"/>
          <w:highlight w:val="none"/>
        </w:rPr>
        <w:t>法定代表人姓名：</w:t>
      </w:r>
      <w:r>
        <w:rPr>
          <w:rFonts w:hint="eastAsia" w:ascii="宋体" w:hAnsi="宋体" w:cs="宋体"/>
          <w:bCs/>
          <w:sz w:val="24"/>
          <w:szCs w:val="24"/>
          <w:highlight w:val="none"/>
          <w:u w:val="single"/>
        </w:rPr>
        <w:t xml:space="preserve">                   </w:t>
      </w:r>
    </w:p>
    <w:p w14:paraId="77941F9C">
      <w:pPr>
        <w:rPr>
          <w:rFonts w:ascii="宋体" w:hAnsi="宋体" w:cs="宋体"/>
          <w:bCs/>
          <w:sz w:val="24"/>
          <w:szCs w:val="24"/>
          <w:highlight w:val="none"/>
        </w:rPr>
      </w:pPr>
      <w:r>
        <w:rPr>
          <w:rFonts w:hint="eastAsia" w:ascii="宋体" w:hAnsi="宋体" w:cs="宋体"/>
          <w:bCs/>
          <w:sz w:val="24"/>
          <w:szCs w:val="24"/>
          <w:highlight w:val="none"/>
        </w:rPr>
        <w:t>公民身份号码：</w:t>
      </w:r>
      <w:r>
        <w:rPr>
          <w:rFonts w:hint="eastAsia" w:ascii="宋体" w:hAnsi="宋体" w:cs="宋体"/>
          <w:bCs/>
          <w:sz w:val="24"/>
          <w:szCs w:val="24"/>
          <w:highlight w:val="none"/>
          <w:u w:val="single"/>
        </w:rPr>
        <w:t xml:space="preserve">                   </w:t>
      </w:r>
    </w:p>
    <w:p w14:paraId="3C3E1D24">
      <w:pPr>
        <w:rPr>
          <w:rFonts w:ascii="宋体" w:hAnsi="宋体" w:cs="宋体"/>
          <w:bCs/>
          <w:sz w:val="24"/>
          <w:szCs w:val="24"/>
          <w:highlight w:val="none"/>
        </w:rPr>
      </w:pPr>
      <w:r>
        <w:rPr>
          <w:rFonts w:hint="eastAsia" w:ascii="宋体" w:hAnsi="宋体" w:cs="宋体"/>
          <w:bCs/>
          <w:sz w:val="24"/>
          <w:szCs w:val="24"/>
          <w:highlight w:val="none"/>
        </w:rPr>
        <w:t>职      务：</w:t>
      </w:r>
      <w:r>
        <w:rPr>
          <w:rFonts w:hint="eastAsia" w:ascii="宋体" w:hAnsi="宋体" w:cs="宋体"/>
          <w:bCs/>
          <w:sz w:val="24"/>
          <w:szCs w:val="24"/>
          <w:highlight w:val="none"/>
          <w:u w:val="single"/>
        </w:rPr>
        <w:t xml:space="preserve">                   </w:t>
      </w:r>
    </w:p>
    <w:p w14:paraId="7BC802F7">
      <w:pPr>
        <w:rPr>
          <w:rFonts w:ascii="宋体" w:hAnsi="宋体" w:cs="宋体"/>
          <w:bCs/>
          <w:sz w:val="24"/>
          <w:szCs w:val="24"/>
          <w:highlight w:val="none"/>
        </w:rPr>
      </w:pPr>
    </w:p>
    <w:p w14:paraId="5EEB9F02">
      <w:pPr>
        <w:rPr>
          <w:rFonts w:ascii="宋体" w:hAnsi="宋体" w:cs="宋体"/>
          <w:bCs/>
          <w:sz w:val="24"/>
          <w:szCs w:val="24"/>
          <w:highlight w:val="none"/>
        </w:rPr>
      </w:pPr>
      <w:r>
        <w:rPr>
          <w:rFonts w:hint="eastAsia" w:ascii="宋体" w:hAnsi="宋体" w:cs="宋体"/>
          <w:bCs/>
          <w:sz w:val="24"/>
          <w:szCs w:val="24"/>
          <w:highlight w:val="none"/>
        </w:rPr>
        <w:t>授权代表姓名：</w:t>
      </w:r>
      <w:r>
        <w:rPr>
          <w:rFonts w:hint="eastAsia" w:ascii="宋体" w:hAnsi="宋体" w:cs="宋体"/>
          <w:bCs/>
          <w:sz w:val="24"/>
          <w:szCs w:val="24"/>
          <w:highlight w:val="none"/>
          <w:u w:val="single"/>
        </w:rPr>
        <w:t xml:space="preserve">                   </w:t>
      </w:r>
    </w:p>
    <w:p w14:paraId="5FF87D77">
      <w:pPr>
        <w:rPr>
          <w:rFonts w:ascii="宋体" w:hAnsi="宋体" w:cs="宋体"/>
          <w:bCs/>
          <w:sz w:val="24"/>
          <w:szCs w:val="24"/>
          <w:highlight w:val="none"/>
        </w:rPr>
      </w:pPr>
      <w:r>
        <w:rPr>
          <w:rFonts w:hint="eastAsia" w:ascii="宋体" w:hAnsi="宋体" w:cs="宋体"/>
          <w:bCs/>
          <w:sz w:val="24"/>
          <w:szCs w:val="24"/>
          <w:highlight w:val="none"/>
        </w:rPr>
        <w:t>公民身份号码：</w:t>
      </w:r>
      <w:r>
        <w:rPr>
          <w:rFonts w:hint="eastAsia" w:ascii="宋体" w:hAnsi="宋体" w:cs="宋体"/>
          <w:bCs/>
          <w:sz w:val="24"/>
          <w:szCs w:val="24"/>
          <w:highlight w:val="none"/>
          <w:u w:val="single"/>
        </w:rPr>
        <w:t xml:space="preserve">                   </w:t>
      </w:r>
    </w:p>
    <w:p w14:paraId="24E641A1">
      <w:pPr>
        <w:rPr>
          <w:rFonts w:ascii="宋体" w:hAnsi="宋体" w:cs="宋体"/>
          <w:bCs/>
          <w:sz w:val="24"/>
          <w:szCs w:val="24"/>
          <w:highlight w:val="none"/>
        </w:rPr>
      </w:pPr>
      <w:r>
        <w:rPr>
          <w:rFonts w:hint="eastAsia" w:ascii="宋体" w:hAnsi="宋体" w:cs="宋体"/>
          <w:bCs/>
          <w:sz w:val="24"/>
          <w:szCs w:val="24"/>
          <w:highlight w:val="none"/>
        </w:rPr>
        <w:t>职      务：</w:t>
      </w:r>
      <w:r>
        <w:rPr>
          <w:rFonts w:hint="eastAsia" w:ascii="宋体" w:hAnsi="宋体" w:cs="宋体"/>
          <w:bCs/>
          <w:sz w:val="24"/>
          <w:szCs w:val="24"/>
          <w:highlight w:val="none"/>
          <w:u w:val="single"/>
        </w:rPr>
        <w:t xml:space="preserve">                   </w:t>
      </w:r>
    </w:p>
    <w:p w14:paraId="27C99B99">
      <w:pPr>
        <w:rPr>
          <w:rFonts w:ascii="宋体" w:hAnsi="宋体" w:cs="宋体"/>
          <w:b/>
          <w:sz w:val="24"/>
          <w:szCs w:val="24"/>
          <w:highlight w:val="none"/>
        </w:rPr>
      </w:pPr>
    </w:p>
    <w:p w14:paraId="2C400979">
      <w:pPr>
        <w:spacing w:line="440" w:lineRule="exact"/>
        <w:rPr>
          <w:rFonts w:ascii="宋体" w:hAnsi="宋体" w:cs="宋体"/>
          <w:b/>
          <w:bCs/>
          <w:sz w:val="24"/>
          <w:szCs w:val="24"/>
          <w:highlight w:val="none"/>
        </w:rPr>
      </w:pPr>
      <w:r>
        <w:rPr>
          <w:rFonts w:hint="eastAsia" w:ascii="宋体" w:hAnsi="宋体" w:cs="宋体"/>
          <w:b/>
          <w:sz w:val="24"/>
          <w:highlight w:val="none"/>
        </w:rPr>
        <w:t>注：如法定代表人签署投标文件的，“法人授权书”可不提供，但需提供法人代表人身份证正反面及营业执照扫描件。</w:t>
      </w:r>
    </w:p>
    <w:p w14:paraId="7D9DD942">
      <w:pPr>
        <w:rPr>
          <w:rFonts w:ascii="宋体" w:hAnsi="宋体" w:cs="宋体"/>
          <w:highlight w:val="none"/>
        </w:rPr>
      </w:pPr>
      <w:r>
        <w:rPr>
          <w:rFonts w:hint="eastAsia" w:ascii="宋体" w:hAnsi="宋体" w:cs="宋体"/>
          <w:highlight w:val="none"/>
        </w:rPr>
        <w:br w:type="page"/>
      </w:r>
    </w:p>
    <w:p w14:paraId="77FEBEC9">
      <w:pPr>
        <w:pStyle w:val="3"/>
        <w:rPr>
          <w:rFonts w:ascii="宋体" w:hAnsi="宋体" w:eastAsia="宋体" w:cs="宋体"/>
          <w:highlight w:val="none"/>
        </w:rPr>
      </w:pPr>
      <w:bookmarkStart w:id="303" w:name="_Toc29666"/>
      <w:r>
        <w:rPr>
          <w:rFonts w:hint="eastAsia" w:ascii="宋体" w:hAnsi="宋体" w:eastAsia="宋体" w:cs="宋体"/>
          <w:highlight w:val="none"/>
        </w:rPr>
        <w:t>附件6 投标函</w:t>
      </w:r>
      <w:bookmarkEnd w:id="303"/>
    </w:p>
    <w:p w14:paraId="4AFD2CD7">
      <w:pPr>
        <w:spacing w:line="460" w:lineRule="exact"/>
        <w:rPr>
          <w:rFonts w:ascii="宋体" w:hAnsi="宋体" w:cs="宋体"/>
          <w:sz w:val="24"/>
          <w:szCs w:val="24"/>
          <w:highlight w:val="none"/>
        </w:rPr>
      </w:pPr>
      <w:r>
        <w:rPr>
          <w:rFonts w:hint="eastAsia" w:ascii="宋体" w:hAnsi="宋体" w:cs="宋体"/>
          <w:sz w:val="24"/>
          <w:szCs w:val="24"/>
          <w:highlight w:val="none"/>
        </w:rPr>
        <w:t>致：涵熙（苏州）工程顾问有限公司</w:t>
      </w:r>
    </w:p>
    <w:p w14:paraId="31E2E13A">
      <w:pPr>
        <w:spacing w:line="440" w:lineRule="exact"/>
        <w:ind w:firstLine="480"/>
        <w:jc w:val="left"/>
        <w:rPr>
          <w:rFonts w:ascii="宋体" w:hAnsi="宋体" w:cs="宋体"/>
          <w:kern w:val="0"/>
          <w:sz w:val="24"/>
          <w:szCs w:val="24"/>
          <w:highlight w:val="none"/>
        </w:rPr>
      </w:pPr>
      <w:r>
        <w:rPr>
          <w:rFonts w:hint="eastAsia" w:ascii="宋体" w:hAnsi="宋体" w:cs="宋体"/>
          <w:sz w:val="24"/>
          <w:szCs w:val="24"/>
          <w:highlight w:val="none"/>
        </w:rPr>
        <w:t>根据贵方的</w:t>
      </w:r>
      <w:r>
        <w:rPr>
          <w:rFonts w:hint="eastAsia" w:ascii="宋体" w:hAnsi="宋体" w:cs="宋体"/>
          <w:b/>
          <w:sz w:val="24"/>
          <w:szCs w:val="24"/>
          <w:highlight w:val="none"/>
          <w:u w:val="single"/>
        </w:rPr>
        <w:t>大气污染防治技术支撑服务</w:t>
      </w:r>
      <w:r>
        <w:rPr>
          <w:rFonts w:hint="eastAsia" w:ascii="宋体" w:hAnsi="宋体" w:cs="宋体"/>
          <w:sz w:val="24"/>
          <w:szCs w:val="24"/>
          <w:highlight w:val="none"/>
        </w:rPr>
        <w:t>项目招标文件（项目编号：</w:t>
      </w:r>
      <w:r>
        <w:rPr>
          <w:rFonts w:hint="eastAsia" w:ascii="宋体" w:hAnsi="宋体" w:cs="宋体"/>
          <w:sz w:val="24"/>
          <w:szCs w:val="24"/>
          <w:highlight w:val="none"/>
          <w:lang w:eastAsia="zh-CN"/>
        </w:rPr>
        <w:t>JSZC-320581-HXGW-G2026-0035</w:t>
      </w:r>
      <w:r>
        <w:rPr>
          <w:rFonts w:hint="eastAsia" w:ascii="宋体" w:hAnsi="宋体" w:cs="宋体"/>
          <w:sz w:val="24"/>
          <w:szCs w:val="24"/>
          <w:highlight w:val="none"/>
        </w:rPr>
        <w:t>），</w:t>
      </w:r>
      <w:r>
        <w:rPr>
          <w:rFonts w:hint="eastAsia" w:ascii="宋体" w:hAnsi="宋体" w:cs="宋体"/>
          <w:kern w:val="0"/>
          <w:sz w:val="24"/>
          <w:szCs w:val="24"/>
          <w:highlight w:val="none"/>
        </w:rPr>
        <w:t>正式授权下述签字人______(姓名)代表我方______________（投标人的名称），全权处理本次项目投标的有关事宜。</w:t>
      </w:r>
    </w:p>
    <w:p w14:paraId="4E24F24A">
      <w:pPr>
        <w:spacing w:line="440" w:lineRule="exact"/>
        <w:ind w:firstLine="480"/>
        <w:jc w:val="left"/>
        <w:rPr>
          <w:rFonts w:ascii="宋体" w:hAnsi="宋体" w:cs="宋体"/>
          <w:kern w:val="0"/>
          <w:sz w:val="24"/>
          <w:szCs w:val="24"/>
          <w:highlight w:val="none"/>
        </w:rPr>
      </w:pPr>
      <w:r>
        <w:rPr>
          <w:rFonts w:hint="eastAsia" w:ascii="宋体" w:hAnsi="宋体" w:cs="宋体"/>
          <w:kern w:val="0"/>
          <w:sz w:val="24"/>
          <w:szCs w:val="24"/>
          <w:highlight w:val="none"/>
        </w:rPr>
        <w:t>据此函，__________签字人兹宣布同意如下：</w:t>
      </w:r>
    </w:p>
    <w:p w14:paraId="0D40A4FC">
      <w:pPr>
        <w:pStyle w:val="176"/>
        <w:spacing w:before="0" w:after="0" w:line="420" w:lineRule="exact"/>
        <w:rPr>
          <w:rFonts w:ascii="宋体" w:hAnsi="宋体" w:cs="宋体"/>
          <w:szCs w:val="21"/>
          <w:highlight w:val="none"/>
        </w:rPr>
      </w:pPr>
      <w:bookmarkStart w:id="304" w:name="_Toc496528251"/>
      <w:bookmarkStart w:id="305" w:name="_Toc496180957"/>
      <w:bookmarkStart w:id="306" w:name="_Toc23143"/>
      <w:bookmarkStart w:id="307" w:name="_Toc495934670"/>
      <w:bookmarkStart w:id="308" w:name="_Toc2220"/>
      <w:r>
        <w:rPr>
          <w:rFonts w:hint="eastAsia" w:ascii="宋体" w:hAnsi="宋体" w:cs="宋体"/>
          <w:szCs w:val="21"/>
          <w:highlight w:val="none"/>
        </w:rPr>
        <w:t>1.按招标文件规定的各项要求，向买方提供所需服务（包含与服务相关的货物）。</w:t>
      </w:r>
    </w:p>
    <w:p w14:paraId="46FF15A9">
      <w:pPr>
        <w:pStyle w:val="176"/>
        <w:spacing w:before="0" w:after="0" w:line="420" w:lineRule="exact"/>
        <w:rPr>
          <w:rFonts w:ascii="宋体" w:hAnsi="宋体" w:cs="宋体"/>
          <w:szCs w:val="21"/>
          <w:highlight w:val="none"/>
        </w:rPr>
      </w:pPr>
      <w:r>
        <w:rPr>
          <w:rFonts w:hint="eastAsia" w:ascii="宋体" w:hAnsi="宋体" w:cs="宋体"/>
          <w:szCs w:val="21"/>
          <w:highlight w:val="none"/>
        </w:rPr>
        <w:t>2.我们完全理解贵方不一定将合同授予最低报价的投标人。</w:t>
      </w:r>
    </w:p>
    <w:p w14:paraId="5DC5000A">
      <w:pPr>
        <w:pStyle w:val="176"/>
        <w:spacing w:before="0" w:after="0" w:line="420" w:lineRule="exact"/>
        <w:rPr>
          <w:rFonts w:ascii="宋体" w:hAnsi="宋体" w:cs="宋体"/>
          <w:szCs w:val="21"/>
          <w:highlight w:val="none"/>
        </w:rPr>
      </w:pPr>
      <w:r>
        <w:rPr>
          <w:rFonts w:hint="eastAsia" w:ascii="宋体" w:hAnsi="宋体" w:cs="宋体"/>
          <w:szCs w:val="21"/>
          <w:highlight w:val="none"/>
        </w:rPr>
        <w:t>3.我们已详细审核全部招标文件及其有效补充文件，我们知道必须放弃提出含糊不清或误解问题的权利。</w:t>
      </w:r>
    </w:p>
    <w:p w14:paraId="12A6B231">
      <w:pPr>
        <w:pStyle w:val="176"/>
        <w:spacing w:before="0" w:after="0" w:line="420" w:lineRule="exact"/>
        <w:rPr>
          <w:rFonts w:ascii="宋体" w:hAnsi="宋体" w:cs="宋体"/>
          <w:szCs w:val="21"/>
          <w:highlight w:val="none"/>
        </w:rPr>
      </w:pPr>
      <w:r>
        <w:rPr>
          <w:rFonts w:hint="eastAsia" w:ascii="宋体" w:hAnsi="宋体" w:cs="宋体"/>
          <w:szCs w:val="21"/>
          <w:highlight w:val="none"/>
        </w:rPr>
        <w:t>4.我们同意从规定的开标日期起遵循本投标文件，并在规定的投标有效期期满之前均具有约束力。</w:t>
      </w:r>
    </w:p>
    <w:p w14:paraId="1C8F4185">
      <w:pPr>
        <w:pStyle w:val="176"/>
        <w:spacing w:before="0" w:after="0" w:line="420" w:lineRule="exact"/>
        <w:rPr>
          <w:rFonts w:ascii="宋体" w:hAnsi="宋体" w:cs="宋体"/>
          <w:szCs w:val="21"/>
          <w:highlight w:val="none"/>
        </w:rPr>
      </w:pPr>
      <w:r>
        <w:rPr>
          <w:rFonts w:hint="eastAsia" w:ascii="宋体" w:hAnsi="宋体" w:cs="宋体"/>
          <w:szCs w:val="21"/>
          <w:highlight w:val="none"/>
        </w:rPr>
        <w:t>5.同意向贵方提供贵方可能另外要求的与投标有关的任何证据或资料，并保证我方已提供和将要提供的文件是真实的、准确的。</w:t>
      </w:r>
    </w:p>
    <w:p w14:paraId="02B21867">
      <w:pPr>
        <w:pStyle w:val="176"/>
        <w:spacing w:before="0" w:after="0" w:line="420" w:lineRule="exact"/>
        <w:rPr>
          <w:rFonts w:ascii="宋体" w:hAnsi="宋体" w:cs="宋体"/>
          <w:szCs w:val="21"/>
          <w:highlight w:val="none"/>
        </w:rPr>
      </w:pPr>
      <w:r>
        <w:rPr>
          <w:rFonts w:hint="eastAsia" w:ascii="宋体" w:hAnsi="宋体" w:cs="宋体"/>
          <w:szCs w:val="21"/>
          <w:highlight w:val="none"/>
        </w:rPr>
        <w:t>6.一旦我方中标,我方将根据招标文件的规定，严格履行合同的责任和义务,并保证在招标文件规定的时间完成项目，交付买方验收、使用。</w:t>
      </w:r>
    </w:p>
    <w:p w14:paraId="0BB68F2D">
      <w:pPr>
        <w:pStyle w:val="176"/>
        <w:spacing w:before="0" w:after="0" w:line="420" w:lineRule="exact"/>
        <w:rPr>
          <w:rFonts w:ascii="宋体" w:hAnsi="宋体" w:cs="宋体"/>
          <w:szCs w:val="21"/>
          <w:highlight w:val="none"/>
        </w:rPr>
      </w:pPr>
      <w:r>
        <w:rPr>
          <w:rFonts w:hint="eastAsia" w:ascii="宋体" w:hAnsi="宋体" w:cs="宋体"/>
          <w:szCs w:val="21"/>
          <w:highlight w:val="none"/>
        </w:rPr>
        <w:t>7.与本投标有关的正式通讯地址为：</w:t>
      </w:r>
    </w:p>
    <w:p w14:paraId="6B9A4BEF">
      <w:pPr>
        <w:pStyle w:val="176"/>
        <w:spacing w:before="0" w:after="0" w:line="420" w:lineRule="exact"/>
        <w:ind w:left="420"/>
        <w:rPr>
          <w:rFonts w:ascii="宋体" w:hAnsi="宋体" w:cs="宋体"/>
          <w:szCs w:val="21"/>
          <w:highlight w:val="none"/>
        </w:rPr>
      </w:pPr>
      <w:r>
        <w:rPr>
          <w:rFonts w:hint="eastAsia" w:ascii="宋体" w:hAnsi="宋体" w:cs="宋体"/>
          <w:szCs w:val="21"/>
          <w:highlight w:val="none"/>
        </w:rPr>
        <w:t>地          址：</w:t>
      </w:r>
    </w:p>
    <w:p w14:paraId="14E7FCB9">
      <w:pPr>
        <w:pStyle w:val="176"/>
        <w:spacing w:before="0" w:after="0" w:line="420" w:lineRule="exact"/>
        <w:ind w:left="420"/>
        <w:rPr>
          <w:rFonts w:ascii="宋体" w:hAnsi="宋体" w:cs="宋体"/>
          <w:szCs w:val="21"/>
          <w:highlight w:val="none"/>
        </w:rPr>
      </w:pPr>
      <w:r>
        <w:rPr>
          <w:rFonts w:hint="eastAsia" w:ascii="宋体" w:hAnsi="宋体" w:cs="宋体"/>
          <w:szCs w:val="21"/>
          <w:highlight w:val="none"/>
        </w:rPr>
        <w:t>邮          编：</w:t>
      </w:r>
    </w:p>
    <w:p w14:paraId="2800D3B8">
      <w:pPr>
        <w:pStyle w:val="176"/>
        <w:spacing w:before="0" w:after="0" w:line="420" w:lineRule="exact"/>
        <w:ind w:left="420"/>
        <w:rPr>
          <w:rFonts w:ascii="宋体" w:hAnsi="宋体" w:cs="宋体"/>
          <w:szCs w:val="21"/>
          <w:highlight w:val="none"/>
        </w:rPr>
      </w:pPr>
      <w:r>
        <w:rPr>
          <w:rFonts w:hint="eastAsia" w:ascii="宋体" w:hAnsi="宋体" w:cs="宋体"/>
          <w:szCs w:val="21"/>
          <w:highlight w:val="none"/>
        </w:rPr>
        <w:t>电          话：</w:t>
      </w:r>
    </w:p>
    <w:p w14:paraId="54E0747A">
      <w:pPr>
        <w:pStyle w:val="176"/>
        <w:spacing w:before="0" w:after="0" w:line="420" w:lineRule="exact"/>
        <w:ind w:left="420"/>
        <w:rPr>
          <w:rFonts w:ascii="宋体" w:hAnsi="宋体" w:cs="宋体"/>
          <w:szCs w:val="21"/>
          <w:highlight w:val="none"/>
        </w:rPr>
      </w:pPr>
      <w:r>
        <w:rPr>
          <w:rFonts w:hint="eastAsia" w:ascii="宋体" w:hAnsi="宋体" w:cs="宋体"/>
          <w:szCs w:val="21"/>
          <w:highlight w:val="none"/>
        </w:rPr>
        <w:t>传          真：</w:t>
      </w:r>
    </w:p>
    <w:p w14:paraId="69A8001F">
      <w:pPr>
        <w:pStyle w:val="176"/>
        <w:spacing w:before="0" w:after="0" w:line="420" w:lineRule="exact"/>
        <w:ind w:left="420"/>
        <w:rPr>
          <w:rFonts w:ascii="宋体" w:hAnsi="宋体" w:cs="宋体"/>
          <w:szCs w:val="21"/>
          <w:highlight w:val="none"/>
        </w:rPr>
      </w:pPr>
      <w:r>
        <w:rPr>
          <w:rFonts w:hint="eastAsia" w:ascii="宋体" w:hAnsi="宋体" w:cs="宋体"/>
          <w:szCs w:val="21"/>
          <w:highlight w:val="none"/>
        </w:rPr>
        <w:t>投标人开户行：</w:t>
      </w:r>
    </w:p>
    <w:p w14:paraId="60536CE1">
      <w:pPr>
        <w:pStyle w:val="176"/>
        <w:spacing w:before="0" w:after="0" w:line="420" w:lineRule="exact"/>
        <w:ind w:left="420"/>
        <w:rPr>
          <w:rFonts w:ascii="宋体" w:hAnsi="宋体" w:cs="宋体"/>
          <w:szCs w:val="21"/>
          <w:highlight w:val="none"/>
        </w:rPr>
      </w:pPr>
      <w:r>
        <w:rPr>
          <w:rFonts w:hint="eastAsia" w:ascii="宋体" w:hAnsi="宋体" w:cs="宋体"/>
          <w:szCs w:val="21"/>
          <w:highlight w:val="none"/>
        </w:rPr>
        <w:t xml:space="preserve">账          号： </w:t>
      </w:r>
    </w:p>
    <w:p w14:paraId="4ED0920C">
      <w:pPr>
        <w:pStyle w:val="176"/>
        <w:spacing w:before="0" w:after="0" w:line="420" w:lineRule="exact"/>
        <w:ind w:left="420"/>
        <w:rPr>
          <w:rFonts w:ascii="宋体" w:hAnsi="宋体" w:cs="宋体"/>
          <w:b/>
          <w:bCs/>
          <w:sz w:val="28"/>
          <w:szCs w:val="28"/>
          <w:highlight w:val="none"/>
        </w:rPr>
      </w:pPr>
      <w:r>
        <w:rPr>
          <w:rFonts w:hint="eastAsia" w:ascii="宋体" w:hAnsi="宋体" w:cs="宋体"/>
          <w:szCs w:val="21"/>
          <w:highlight w:val="none"/>
        </w:rPr>
        <w:t>日           期：________年____月____日</w:t>
      </w:r>
      <w:r>
        <w:rPr>
          <w:rFonts w:hint="eastAsia" w:ascii="宋体" w:hAnsi="宋体" w:cs="宋体"/>
          <w:b/>
          <w:bCs/>
          <w:sz w:val="28"/>
          <w:szCs w:val="28"/>
          <w:highlight w:val="none"/>
        </w:rPr>
        <w:br w:type="page"/>
      </w:r>
    </w:p>
    <w:p w14:paraId="194D3165">
      <w:pPr>
        <w:keepNext/>
        <w:jc w:val="center"/>
        <w:outlineLvl w:val="1"/>
        <w:rPr>
          <w:rFonts w:ascii="宋体" w:hAnsi="宋体" w:cs="宋体"/>
          <w:b/>
          <w:bCs/>
          <w:sz w:val="28"/>
          <w:szCs w:val="28"/>
          <w:highlight w:val="none"/>
        </w:rPr>
      </w:pPr>
      <w:bookmarkStart w:id="309" w:name="_Toc13385"/>
      <w:r>
        <w:rPr>
          <w:rFonts w:hint="eastAsia" w:ascii="宋体" w:hAnsi="宋体" w:cs="宋体"/>
          <w:b/>
          <w:bCs/>
          <w:sz w:val="28"/>
          <w:szCs w:val="28"/>
          <w:highlight w:val="none"/>
        </w:rPr>
        <w:t>附件</w:t>
      </w:r>
      <w:bookmarkEnd w:id="304"/>
      <w:bookmarkEnd w:id="305"/>
      <w:bookmarkEnd w:id="306"/>
      <w:bookmarkEnd w:id="307"/>
      <w:r>
        <w:rPr>
          <w:rFonts w:hint="eastAsia" w:ascii="宋体" w:hAnsi="宋体" w:cs="宋体"/>
          <w:b/>
          <w:bCs/>
          <w:sz w:val="28"/>
          <w:szCs w:val="28"/>
          <w:highlight w:val="none"/>
        </w:rPr>
        <w:t>7 中小企业声明函</w:t>
      </w:r>
      <w:bookmarkEnd w:id="308"/>
      <w:bookmarkEnd w:id="309"/>
    </w:p>
    <w:p w14:paraId="50E0CA8F">
      <w:pPr>
        <w:spacing w:line="360" w:lineRule="auto"/>
        <w:ind w:firstLine="480" w:firstLineChars="200"/>
        <w:rPr>
          <w:rFonts w:ascii="宋体" w:hAnsi="宋体" w:cs="宋体"/>
          <w:sz w:val="24"/>
          <w:szCs w:val="21"/>
          <w:highlight w:val="none"/>
        </w:rPr>
      </w:pPr>
      <w:r>
        <w:rPr>
          <w:rFonts w:hint="eastAsia" w:ascii="宋体" w:hAnsi="宋体" w:cs="宋体"/>
          <w:sz w:val="24"/>
          <w:szCs w:val="21"/>
          <w:highlight w:val="none"/>
        </w:rPr>
        <w:t>本公司郑重声明，根据《政府采购促进中小企业发展管理办法》（财库[2020]46号）的规定，本公司参加</w:t>
      </w:r>
      <w:r>
        <w:rPr>
          <w:rFonts w:hint="eastAsia" w:ascii="宋体" w:hAnsi="宋体" w:cs="宋体"/>
          <w:sz w:val="24"/>
          <w:szCs w:val="24"/>
          <w:highlight w:val="none"/>
          <w:u w:val="single"/>
        </w:rPr>
        <w:t>苏州市常熟生态环境局</w:t>
      </w:r>
      <w:r>
        <w:rPr>
          <w:rFonts w:hint="eastAsia" w:ascii="宋体" w:hAnsi="宋体" w:cs="宋体"/>
          <w:sz w:val="24"/>
          <w:szCs w:val="24"/>
          <w:highlight w:val="none"/>
          <w:lang w:val="zh-CN"/>
        </w:rPr>
        <w:t>的</w:t>
      </w:r>
      <w:r>
        <w:rPr>
          <w:rFonts w:hint="eastAsia" w:ascii="宋体" w:hAnsi="宋体" w:cs="宋体"/>
          <w:sz w:val="24"/>
          <w:szCs w:val="24"/>
          <w:highlight w:val="none"/>
          <w:u w:val="single"/>
        </w:rPr>
        <w:t>大气污染防治技术支撑服务</w:t>
      </w:r>
      <w:r>
        <w:rPr>
          <w:rFonts w:hint="eastAsia" w:ascii="宋体" w:hAnsi="宋体" w:cs="宋体"/>
          <w:sz w:val="24"/>
          <w:szCs w:val="21"/>
          <w:highlight w:val="none"/>
        </w:rPr>
        <w:t>采购活动，服务全部由符合政策要求的中小企业承接。相关企业的具体情况如下：</w:t>
      </w:r>
    </w:p>
    <w:p w14:paraId="63349550">
      <w:pPr>
        <w:widowControl/>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1、</w:t>
      </w:r>
      <w:r>
        <w:rPr>
          <w:rFonts w:hint="eastAsia" w:ascii="宋体" w:hAnsi="宋体" w:cs="宋体"/>
          <w:sz w:val="24"/>
          <w:szCs w:val="24"/>
          <w:highlight w:val="none"/>
          <w:u w:val="single"/>
        </w:rPr>
        <w:t>大气污染防治技术支撑服务</w:t>
      </w:r>
      <w:r>
        <w:rPr>
          <w:rFonts w:hint="eastAsia" w:ascii="宋体" w:hAnsi="宋体" w:cs="宋体"/>
          <w:kern w:val="0"/>
          <w:sz w:val="24"/>
          <w:szCs w:val="24"/>
          <w:highlight w:val="none"/>
        </w:rPr>
        <w:t>，属于</w:t>
      </w:r>
      <w:r>
        <w:rPr>
          <w:rFonts w:hint="eastAsia" w:ascii="宋体" w:hAnsi="宋体" w:cs="宋体"/>
          <w:kern w:val="0"/>
          <w:sz w:val="24"/>
          <w:szCs w:val="24"/>
          <w:highlight w:val="none"/>
          <w:u w:val="single"/>
        </w:rPr>
        <w:t xml:space="preserve"> 其他未列明 </w:t>
      </w:r>
      <w:r>
        <w:rPr>
          <w:rFonts w:hint="eastAsia" w:ascii="宋体" w:hAnsi="宋体" w:cs="宋体"/>
          <w:kern w:val="0"/>
          <w:sz w:val="24"/>
          <w:szCs w:val="24"/>
          <w:highlight w:val="none"/>
        </w:rPr>
        <w:t>行业；承接企业为</w:t>
      </w:r>
      <w:r>
        <w:rPr>
          <w:rFonts w:hint="eastAsia" w:ascii="宋体" w:hAnsi="宋体" w:cs="宋体"/>
          <w:kern w:val="0"/>
          <w:sz w:val="24"/>
          <w:szCs w:val="24"/>
          <w:highlight w:val="none"/>
          <w:u w:val="single"/>
        </w:rPr>
        <w:t>（企业名称）</w:t>
      </w:r>
      <w:r>
        <w:rPr>
          <w:rFonts w:hint="eastAsia" w:ascii="宋体" w:hAnsi="宋体" w:cs="宋体"/>
          <w:kern w:val="0"/>
          <w:sz w:val="24"/>
          <w:szCs w:val="24"/>
          <w:highlight w:val="none"/>
        </w:rPr>
        <w:t>，</w:t>
      </w:r>
      <w:r>
        <w:rPr>
          <w:rFonts w:hint="eastAsia" w:ascii="宋体" w:hAnsi="宋体" w:cs="宋体"/>
          <w:sz w:val="24"/>
          <w:szCs w:val="24"/>
          <w:highlight w:val="none"/>
        </w:rPr>
        <w:t>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万元，</w:t>
      </w:r>
      <w:r>
        <w:rPr>
          <w:rFonts w:hint="eastAsia" w:ascii="宋体" w:hAnsi="宋体" w:cs="宋体"/>
          <w:kern w:val="0"/>
          <w:sz w:val="24"/>
          <w:szCs w:val="24"/>
          <w:highlight w:val="none"/>
        </w:rPr>
        <w:t>属于</w:t>
      </w:r>
      <w:r>
        <w:rPr>
          <w:rFonts w:hint="eastAsia" w:ascii="宋体" w:hAnsi="宋体" w:cs="宋体"/>
          <w:kern w:val="0"/>
          <w:sz w:val="24"/>
          <w:szCs w:val="24"/>
          <w:highlight w:val="none"/>
          <w:u w:val="single"/>
        </w:rPr>
        <w:t>（中型企业、小型企业、微型企业）</w:t>
      </w:r>
      <w:r>
        <w:rPr>
          <w:rFonts w:hint="eastAsia" w:ascii="宋体" w:hAnsi="宋体" w:cs="宋体"/>
          <w:kern w:val="0"/>
          <w:sz w:val="24"/>
          <w:szCs w:val="24"/>
          <w:highlight w:val="none"/>
        </w:rPr>
        <w:t>。</w:t>
      </w:r>
    </w:p>
    <w:p w14:paraId="7560A182">
      <w:pPr>
        <w:widowControl/>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以上企业，不属于大企业的分支机构，不存在控股股东为大企业的情形，也不存在与大企业的负责人为同一人的情形。</w:t>
      </w:r>
    </w:p>
    <w:p w14:paraId="6AA2A973">
      <w:pPr>
        <w:widowControl/>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本企业对上述声明内容的真实性负责。如有虚假，将依法承担相应责任。</w:t>
      </w:r>
    </w:p>
    <w:p w14:paraId="7DEF5151">
      <w:pPr>
        <w:pStyle w:val="19"/>
        <w:spacing w:before="55" w:line="560" w:lineRule="exact"/>
        <w:ind w:right="414" w:firstLine="472" w:firstLineChars="200"/>
        <w:rPr>
          <w:rFonts w:ascii="宋体" w:hAnsi="宋体" w:eastAsia="宋体" w:cs="宋体"/>
          <w:spacing w:val="-2"/>
          <w:sz w:val="24"/>
          <w:szCs w:val="24"/>
          <w:highlight w:val="none"/>
        </w:rPr>
      </w:pPr>
    </w:p>
    <w:p w14:paraId="6923E5E4">
      <w:pPr>
        <w:pStyle w:val="19"/>
        <w:spacing w:before="35" w:line="440" w:lineRule="exact"/>
        <w:ind w:left="4060" w:right="2166" w:firstLine="358" w:firstLineChars="152"/>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企业名称（加盖CA电子公章）：</w:t>
      </w:r>
    </w:p>
    <w:p w14:paraId="52C3CF94">
      <w:pPr>
        <w:pStyle w:val="19"/>
        <w:spacing w:before="35" w:line="440" w:lineRule="exact"/>
        <w:ind w:left="4060" w:right="2166" w:firstLine="358" w:firstLineChars="152"/>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日期：</w:t>
      </w:r>
    </w:p>
    <w:p w14:paraId="4D976FF2">
      <w:pPr>
        <w:jc w:val="center"/>
        <w:rPr>
          <w:rFonts w:ascii="宋体" w:hAnsi="宋体" w:cs="宋体"/>
          <w:sz w:val="24"/>
          <w:szCs w:val="24"/>
          <w:highlight w:val="none"/>
        </w:rPr>
      </w:pPr>
    </w:p>
    <w:p w14:paraId="603F33E8">
      <w:pPr>
        <w:jc w:val="center"/>
        <w:rPr>
          <w:rFonts w:ascii="宋体" w:hAnsi="宋体" w:cs="宋体"/>
          <w:sz w:val="24"/>
          <w:szCs w:val="24"/>
          <w:highlight w:val="none"/>
        </w:rPr>
      </w:pPr>
    </w:p>
    <w:p w14:paraId="4A61373F">
      <w:pPr>
        <w:jc w:val="center"/>
        <w:rPr>
          <w:rFonts w:ascii="宋体" w:hAnsi="宋体" w:cs="宋体"/>
          <w:sz w:val="24"/>
          <w:szCs w:val="24"/>
          <w:highlight w:val="none"/>
        </w:rPr>
      </w:pPr>
    </w:p>
    <w:p w14:paraId="5407DD03">
      <w:pPr>
        <w:spacing w:line="440" w:lineRule="exact"/>
        <w:jc w:val="left"/>
        <w:rPr>
          <w:rFonts w:ascii="宋体" w:hAnsi="宋体" w:cs="宋体"/>
          <w:b/>
          <w:bCs/>
          <w:sz w:val="24"/>
          <w:szCs w:val="32"/>
          <w:highlight w:val="none"/>
        </w:rPr>
      </w:pPr>
      <w:r>
        <w:rPr>
          <w:rFonts w:hint="eastAsia" w:ascii="宋体" w:hAnsi="宋体" w:cs="宋体"/>
          <w:b/>
          <w:sz w:val="24"/>
          <w:szCs w:val="24"/>
          <w:highlight w:val="none"/>
        </w:rPr>
        <w:t>注：（1）从业人员、营业收入、资产总额填报上一年度数据，无上一年度数据的新成立企业</w:t>
      </w:r>
      <w:r>
        <w:rPr>
          <w:rFonts w:hint="eastAsia" w:ascii="宋体" w:hAnsi="宋体" w:cs="宋体"/>
          <w:b/>
          <w:bCs/>
          <w:sz w:val="24"/>
          <w:szCs w:val="32"/>
          <w:highlight w:val="none"/>
        </w:rPr>
        <w:t>可不填报。</w:t>
      </w:r>
    </w:p>
    <w:p w14:paraId="1A7E36E4">
      <w:pPr>
        <w:spacing w:line="44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（2）本项目所属行业为：其他未列明行业。</w:t>
      </w:r>
    </w:p>
    <w:p w14:paraId="75FEF81F">
      <w:pPr>
        <w:spacing w:line="48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（3）上述“中小企业声明函”格式原则上不得改动，因擅自改动引起的评审风险由投标人自行承担。</w:t>
      </w:r>
    </w:p>
    <w:p w14:paraId="06EDFB26">
      <w:pPr>
        <w:spacing w:line="480" w:lineRule="exact"/>
        <w:ind w:firstLine="482" w:firstLineChars="200"/>
        <w:rPr>
          <w:rFonts w:ascii="宋体" w:hAnsi="宋体" w:cs="宋体"/>
          <w:sz w:val="24"/>
          <w:szCs w:val="24"/>
          <w:highlight w:val="none"/>
        </w:rPr>
      </w:pPr>
      <w:r>
        <w:rPr>
          <w:rFonts w:hint="eastAsia" w:ascii="宋体" w:hAnsi="宋体" w:cs="宋体"/>
          <w:b/>
          <w:bCs/>
          <w:sz w:val="24"/>
          <w:szCs w:val="24"/>
          <w:highlight w:val="none"/>
        </w:rPr>
        <w:t>（4）如未对上述声明函内（中型企业、小型企业、微型企业）进行勾选或明确，引起的评审风险由投标人自行承担。</w:t>
      </w:r>
    </w:p>
    <w:p w14:paraId="43058E4A">
      <w:pPr>
        <w:spacing w:line="440" w:lineRule="exact"/>
        <w:ind w:firstLine="562" w:firstLineChars="200"/>
        <w:rPr>
          <w:rFonts w:ascii="宋体" w:hAnsi="宋体" w:cs="宋体"/>
          <w:b/>
          <w:bCs/>
          <w:sz w:val="28"/>
          <w:szCs w:val="28"/>
          <w:highlight w:val="none"/>
        </w:rPr>
        <w:sectPr>
          <w:footerReference r:id="rId11" w:type="first"/>
          <w:footerReference r:id="rId10" w:type="default"/>
          <w:pgSz w:w="11907" w:h="16840"/>
          <w:pgMar w:top="1134" w:right="882" w:bottom="1134" w:left="1365" w:header="567" w:footer="794" w:gutter="0"/>
          <w:pgNumType w:start="1"/>
          <w:cols w:space="720" w:num="1"/>
          <w:titlePg/>
          <w:docGrid w:type="lines" w:linePitch="305" w:charSpace="0"/>
        </w:sectPr>
      </w:pPr>
    </w:p>
    <w:p w14:paraId="574B6F44">
      <w:pPr>
        <w:spacing w:line="440" w:lineRule="exact"/>
        <w:jc w:val="center"/>
        <w:outlineLvl w:val="1"/>
        <w:rPr>
          <w:rFonts w:ascii="宋体" w:hAnsi="宋体" w:cs="宋体"/>
          <w:highlight w:val="none"/>
        </w:rPr>
      </w:pPr>
      <w:bookmarkStart w:id="310" w:name="_Toc9286"/>
      <w:bookmarkStart w:id="311" w:name="_Toc1913"/>
      <w:bookmarkStart w:id="312" w:name="_Toc9278"/>
      <w:r>
        <w:rPr>
          <w:rFonts w:hint="eastAsia" w:ascii="宋体" w:hAnsi="宋体" w:cs="宋体"/>
          <w:b/>
          <w:bCs/>
          <w:sz w:val="28"/>
          <w:szCs w:val="28"/>
          <w:highlight w:val="none"/>
        </w:rPr>
        <w:t>附件</w:t>
      </w:r>
      <w:bookmarkEnd w:id="310"/>
      <w:r>
        <w:rPr>
          <w:rFonts w:hint="eastAsia" w:ascii="宋体" w:hAnsi="宋体" w:cs="宋体"/>
          <w:b/>
          <w:bCs/>
          <w:sz w:val="28"/>
          <w:szCs w:val="28"/>
          <w:highlight w:val="none"/>
        </w:rPr>
        <w:t>8 残疾人福利性单位声明函</w:t>
      </w:r>
      <w:bookmarkEnd w:id="311"/>
      <w:bookmarkEnd w:id="312"/>
    </w:p>
    <w:p w14:paraId="4B8333AD">
      <w:pPr>
        <w:adjustRightInd w:val="0"/>
        <w:snapToGrid w:val="0"/>
        <w:spacing w:line="580" w:lineRule="exact"/>
        <w:ind w:firstLine="480" w:firstLineChars="200"/>
        <w:rPr>
          <w:rFonts w:ascii="宋体" w:hAnsi="宋体" w:cs="宋体"/>
          <w:sz w:val="24"/>
          <w:szCs w:val="24"/>
          <w:highlight w:val="none"/>
          <w:lang w:val="zh-CN"/>
        </w:rPr>
      </w:pPr>
      <w:r>
        <w:rPr>
          <w:rFonts w:hint="eastAsia" w:ascii="宋体" w:hAnsi="宋体" w:cs="宋体"/>
          <w:sz w:val="24"/>
          <w:szCs w:val="24"/>
          <w:highlight w:val="none"/>
          <w:lang w:val="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FCAB6D8">
      <w:pPr>
        <w:adjustRightInd w:val="0"/>
        <w:snapToGrid w:val="0"/>
        <w:spacing w:line="580" w:lineRule="exact"/>
        <w:ind w:firstLine="480" w:firstLineChars="200"/>
        <w:rPr>
          <w:rFonts w:ascii="宋体" w:hAnsi="宋体" w:cs="宋体"/>
          <w:sz w:val="24"/>
          <w:szCs w:val="24"/>
          <w:highlight w:val="none"/>
          <w:lang w:val="zh-CN"/>
        </w:rPr>
      </w:pPr>
      <w:r>
        <w:rPr>
          <w:rFonts w:hint="eastAsia" w:ascii="宋体" w:hAnsi="宋体" w:cs="宋体"/>
          <w:sz w:val="24"/>
          <w:szCs w:val="24"/>
          <w:highlight w:val="none"/>
          <w:lang w:val="zh-CN"/>
        </w:rPr>
        <w:t>本单位对上述声明的真实性负责。如有虚假，将依法承担相应责任。</w:t>
      </w:r>
    </w:p>
    <w:p w14:paraId="4DB6459B">
      <w:pPr>
        <w:adjustRightInd w:val="0"/>
        <w:snapToGrid w:val="0"/>
        <w:spacing w:line="580" w:lineRule="exact"/>
        <w:jc w:val="left"/>
        <w:rPr>
          <w:rFonts w:ascii="宋体" w:hAnsi="宋体" w:cs="宋体"/>
          <w:sz w:val="24"/>
          <w:szCs w:val="24"/>
          <w:highlight w:val="none"/>
          <w:lang w:val="zh-CN"/>
        </w:rPr>
      </w:pPr>
    </w:p>
    <w:p w14:paraId="239FD3FA">
      <w:pPr>
        <w:adjustRightInd w:val="0"/>
        <w:snapToGrid w:val="0"/>
        <w:spacing w:line="580" w:lineRule="exact"/>
        <w:ind w:firstLine="4800" w:firstLineChars="2000"/>
        <w:jc w:val="left"/>
        <w:rPr>
          <w:rFonts w:ascii="宋体" w:hAnsi="宋体" w:cs="宋体"/>
          <w:sz w:val="24"/>
          <w:szCs w:val="24"/>
          <w:highlight w:val="none"/>
          <w:lang w:val="zh-CN"/>
        </w:rPr>
      </w:pPr>
      <w:r>
        <w:rPr>
          <w:rFonts w:hint="eastAsia" w:ascii="宋体" w:hAnsi="宋体" w:cs="宋体"/>
          <w:sz w:val="24"/>
          <w:szCs w:val="24"/>
          <w:highlight w:val="none"/>
          <w:lang w:val="zh-CN"/>
        </w:rPr>
        <w:t>单位名称：</w:t>
      </w:r>
    </w:p>
    <w:p w14:paraId="78D2ED01">
      <w:pPr>
        <w:adjustRightInd w:val="0"/>
        <w:snapToGrid w:val="0"/>
        <w:spacing w:line="580" w:lineRule="exact"/>
        <w:ind w:firstLine="4800" w:firstLineChars="2000"/>
        <w:jc w:val="left"/>
        <w:rPr>
          <w:rFonts w:ascii="宋体" w:hAnsi="宋体" w:cs="宋体"/>
          <w:sz w:val="24"/>
          <w:szCs w:val="24"/>
          <w:highlight w:val="none"/>
          <w:lang w:val="zh-CN"/>
        </w:rPr>
      </w:pPr>
      <w:r>
        <w:rPr>
          <w:rFonts w:hint="eastAsia" w:ascii="宋体" w:hAnsi="宋体" w:cs="宋体"/>
          <w:sz w:val="24"/>
          <w:szCs w:val="24"/>
          <w:highlight w:val="none"/>
          <w:lang w:val="zh-CN"/>
        </w:rPr>
        <w:t>日   期：</w:t>
      </w:r>
    </w:p>
    <w:p w14:paraId="0C29E49F">
      <w:pPr>
        <w:adjustRightInd w:val="0"/>
        <w:snapToGrid w:val="0"/>
        <w:spacing w:line="580" w:lineRule="exact"/>
        <w:jc w:val="left"/>
        <w:rPr>
          <w:rFonts w:ascii="宋体" w:hAnsi="宋体" w:cs="宋体"/>
          <w:sz w:val="24"/>
          <w:szCs w:val="24"/>
          <w:highlight w:val="none"/>
          <w:lang w:val="zh-CN"/>
        </w:rPr>
      </w:pPr>
    </w:p>
    <w:p w14:paraId="40056509">
      <w:pPr>
        <w:spacing w:line="440" w:lineRule="exact"/>
        <w:rPr>
          <w:rFonts w:ascii="宋体" w:hAnsi="宋体" w:cs="宋体"/>
          <w:sz w:val="24"/>
          <w:szCs w:val="22"/>
          <w:highlight w:val="none"/>
        </w:rPr>
      </w:pPr>
      <w:r>
        <w:rPr>
          <w:rFonts w:hint="eastAsia" w:ascii="宋体" w:hAnsi="宋体" w:cs="宋体"/>
          <w:sz w:val="24"/>
          <w:szCs w:val="22"/>
          <w:highlight w:val="none"/>
        </w:rPr>
        <w:t>请投标人认真阅读如下内容：</w:t>
      </w:r>
    </w:p>
    <w:p w14:paraId="4E09DC49">
      <w:pPr>
        <w:spacing w:line="440" w:lineRule="exact"/>
        <w:rPr>
          <w:rFonts w:ascii="宋体" w:hAnsi="宋体" w:cs="宋体"/>
          <w:sz w:val="24"/>
          <w:szCs w:val="22"/>
          <w:highlight w:val="none"/>
        </w:rPr>
      </w:pPr>
      <w:r>
        <w:rPr>
          <w:rFonts w:hint="eastAsia" w:ascii="宋体" w:hAnsi="宋体" w:cs="宋体"/>
          <w:sz w:val="24"/>
          <w:szCs w:val="22"/>
          <w:highlight w:val="none"/>
        </w:rPr>
        <w:t>注：根据《财政部、民政部、中国残疾人联合会关于促进残疾人就业政府采购政策的通知》（财库〔2017〕141号）的规定的划分标准，享受政府采购支持政策的残疾人福利性单位应当同时满足以下条件：</w:t>
      </w:r>
    </w:p>
    <w:p w14:paraId="1F07AAC0">
      <w:pPr>
        <w:spacing w:line="440" w:lineRule="exact"/>
        <w:ind w:firstLine="480" w:firstLineChars="200"/>
        <w:rPr>
          <w:rFonts w:ascii="宋体" w:hAnsi="宋体" w:cs="宋体"/>
          <w:sz w:val="24"/>
          <w:szCs w:val="22"/>
          <w:highlight w:val="none"/>
        </w:rPr>
      </w:pPr>
      <w:r>
        <w:rPr>
          <w:rFonts w:hint="eastAsia" w:ascii="宋体" w:hAnsi="宋体" w:cs="宋体"/>
          <w:sz w:val="24"/>
          <w:szCs w:val="22"/>
          <w:highlight w:val="none"/>
        </w:rPr>
        <w:t>1）安置的残疾人占本单位在职职工人数的比例不低于25%（含25%），并且安置的残疾人人数不少于10人（含10人）；</w:t>
      </w:r>
    </w:p>
    <w:p w14:paraId="11E611CE">
      <w:pPr>
        <w:spacing w:line="440" w:lineRule="exact"/>
        <w:ind w:firstLine="480" w:firstLineChars="200"/>
        <w:rPr>
          <w:rFonts w:ascii="宋体" w:hAnsi="宋体" w:cs="宋体"/>
          <w:sz w:val="24"/>
          <w:szCs w:val="22"/>
          <w:highlight w:val="none"/>
        </w:rPr>
      </w:pPr>
      <w:r>
        <w:rPr>
          <w:rFonts w:hint="eastAsia" w:ascii="宋体" w:hAnsi="宋体" w:cs="宋体"/>
          <w:sz w:val="24"/>
          <w:szCs w:val="22"/>
          <w:highlight w:val="none"/>
        </w:rPr>
        <w:t>2）依法与安置的每位残疾人签订了一年以上（含一年）的劳动合同或服务协议；</w:t>
      </w:r>
    </w:p>
    <w:p w14:paraId="112027FE">
      <w:pPr>
        <w:spacing w:line="440" w:lineRule="exact"/>
        <w:ind w:firstLine="480" w:firstLineChars="200"/>
        <w:rPr>
          <w:rFonts w:ascii="宋体" w:hAnsi="宋体" w:cs="宋体"/>
          <w:sz w:val="24"/>
          <w:szCs w:val="22"/>
          <w:highlight w:val="none"/>
        </w:rPr>
      </w:pPr>
      <w:r>
        <w:rPr>
          <w:rFonts w:hint="eastAsia" w:ascii="宋体" w:hAnsi="宋体" w:cs="宋体"/>
          <w:sz w:val="24"/>
          <w:szCs w:val="22"/>
          <w:highlight w:val="none"/>
        </w:rPr>
        <w:t>3）为安置的每位残疾人按月足额缴纳了基本养老保险、基本医疗保险、失业保险、工伤保险和生育保险等社会保险费；</w:t>
      </w:r>
    </w:p>
    <w:p w14:paraId="2AE76870">
      <w:pPr>
        <w:spacing w:line="440" w:lineRule="exact"/>
        <w:ind w:firstLine="480" w:firstLineChars="200"/>
        <w:rPr>
          <w:rFonts w:ascii="宋体" w:hAnsi="宋体" w:cs="宋体"/>
          <w:sz w:val="24"/>
          <w:szCs w:val="22"/>
          <w:highlight w:val="none"/>
        </w:rPr>
      </w:pPr>
      <w:r>
        <w:rPr>
          <w:rFonts w:hint="eastAsia" w:ascii="宋体" w:hAnsi="宋体" w:cs="宋体"/>
          <w:sz w:val="24"/>
          <w:szCs w:val="22"/>
          <w:highlight w:val="none"/>
        </w:rPr>
        <w:t>4）通过银行等金融机构向安置的每位残疾人，按月支付了不低于单位所在区县适用的经省级人民政府批准的月最低工资标准的工资；</w:t>
      </w:r>
    </w:p>
    <w:p w14:paraId="71919BF7">
      <w:pPr>
        <w:spacing w:line="440" w:lineRule="exact"/>
        <w:ind w:firstLine="480" w:firstLineChars="200"/>
        <w:rPr>
          <w:rFonts w:ascii="宋体" w:hAnsi="宋体" w:cs="宋体"/>
          <w:sz w:val="24"/>
          <w:szCs w:val="22"/>
          <w:highlight w:val="none"/>
        </w:rPr>
      </w:pPr>
      <w:r>
        <w:rPr>
          <w:rFonts w:hint="eastAsia" w:ascii="宋体" w:hAnsi="宋体" w:cs="宋体"/>
          <w:sz w:val="24"/>
          <w:szCs w:val="22"/>
          <w:highlight w:val="none"/>
        </w:rPr>
        <w:t>5）提供本单位制造的货物、承担的工程或者服务（以下简称产品），或者提供其他残疾人福利性单位制造的货物（不包括使用非残疾人福利性单位注册商标的货物）。</w:t>
      </w:r>
    </w:p>
    <w:p w14:paraId="0065A094">
      <w:pPr>
        <w:spacing w:line="440" w:lineRule="exact"/>
        <w:ind w:firstLine="480" w:firstLineChars="200"/>
        <w:rPr>
          <w:rFonts w:ascii="宋体" w:hAnsi="宋体" w:cs="宋体"/>
          <w:highlight w:val="none"/>
        </w:rPr>
      </w:pPr>
      <w:r>
        <w:rPr>
          <w:rFonts w:hint="eastAsia" w:ascii="宋体" w:hAnsi="宋体" w:cs="宋体"/>
          <w:sz w:val="24"/>
          <w:szCs w:val="22"/>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C75542B">
      <w:pPr>
        <w:pStyle w:val="3"/>
        <w:keepNext w:val="0"/>
        <w:pageBreakBefore/>
        <w:rPr>
          <w:rFonts w:ascii="宋体" w:hAnsi="宋体" w:eastAsia="宋体" w:cs="宋体"/>
          <w:highlight w:val="none"/>
        </w:rPr>
      </w:pPr>
      <w:bookmarkStart w:id="313" w:name="_Toc4485"/>
      <w:bookmarkStart w:id="314" w:name="_Toc25491"/>
      <w:r>
        <w:rPr>
          <w:rFonts w:hint="eastAsia" w:ascii="宋体" w:hAnsi="宋体" w:eastAsia="宋体" w:cs="宋体"/>
          <w:highlight w:val="none"/>
        </w:rPr>
        <w:t>附件9 实质性要求响应及偏离表</w:t>
      </w:r>
      <w:bookmarkEnd w:id="313"/>
      <w:bookmarkEnd w:id="314"/>
    </w:p>
    <w:tbl>
      <w:tblPr>
        <w:tblStyle w:val="55"/>
        <w:tblW w:w="0" w:type="auto"/>
        <w:tblInd w:w="30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34"/>
        <w:gridCol w:w="4666"/>
        <w:gridCol w:w="2260"/>
        <w:gridCol w:w="1526"/>
      </w:tblGrid>
      <w:tr w14:paraId="45887D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95EB0BF">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highlight w:val="none"/>
              </w:rPr>
            </w:pPr>
            <w:r>
              <w:rPr>
                <w:rFonts w:hint="eastAsia" w:ascii="宋体" w:hAnsi="宋体" w:cs="宋体"/>
                <w:sz w:val="24"/>
                <w:highlight w:val="none"/>
              </w:rPr>
              <w:t>序号</w:t>
            </w:r>
          </w:p>
        </w:tc>
        <w:tc>
          <w:tcPr>
            <w:tcW w:w="466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5A77980">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highlight w:val="none"/>
              </w:rPr>
            </w:pPr>
            <w:r>
              <w:rPr>
                <w:rFonts w:hint="eastAsia" w:ascii="宋体" w:hAnsi="宋体" w:cs="宋体"/>
                <w:sz w:val="24"/>
                <w:highlight w:val="none"/>
              </w:rPr>
              <w:t>技术要求和商务要求中的</w:t>
            </w:r>
            <w:r>
              <w:rPr>
                <w:rFonts w:hint="eastAsia" w:ascii="宋体" w:hAnsi="宋体" w:cs="宋体"/>
                <w:b/>
                <w:sz w:val="24"/>
                <w:highlight w:val="none"/>
              </w:rPr>
              <w:t>实质性要求</w:t>
            </w:r>
          </w:p>
        </w:tc>
        <w:tc>
          <w:tcPr>
            <w:tcW w:w="226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EFDEAF4">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highlight w:val="none"/>
              </w:rPr>
            </w:pPr>
            <w:r>
              <w:rPr>
                <w:rFonts w:hint="eastAsia" w:ascii="宋体" w:hAnsi="宋体" w:cs="宋体"/>
                <w:sz w:val="24"/>
                <w:highlight w:val="none"/>
              </w:rPr>
              <w:t>响应情况</w:t>
            </w:r>
          </w:p>
        </w:tc>
        <w:tc>
          <w:tcPr>
            <w:tcW w:w="152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036F4D6">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highlight w:val="none"/>
              </w:rPr>
            </w:pPr>
            <w:r>
              <w:rPr>
                <w:rFonts w:hint="eastAsia" w:ascii="宋体" w:hAnsi="宋体" w:cs="宋体"/>
                <w:sz w:val="24"/>
                <w:highlight w:val="none"/>
              </w:rPr>
              <w:t>超出、符合或偏离</w:t>
            </w:r>
          </w:p>
        </w:tc>
      </w:tr>
      <w:tr w14:paraId="1F39AF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34"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F477C8D">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highlight w:val="none"/>
              </w:rPr>
            </w:pPr>
            <w:r>
              <w:rPr>
                <w:rFonts w:hint="eastAsia" w:ascii="宋体" w:hAnsi="宋体" w:cs="宋体"/>
                <w:sz w:val="24"/>
                <w:highlight w:val="none"/>
              </w:rPr>
              <w:t>1</w:t>
            </w:r>
          </w:p>
        </w:tc>
        <w:tc>
          <w:tcPr>
            <w:tcW w:w="4666" w:type="dxa"/>
            <w:tcBorders>
              <w:top w:val="nil"/>
              <w:left w:val="nil"/>
              <w:bottom w:val="single" w:color="000000" w:sz="8" w:space="0"/>
              <w:right w:val="single" w:color="000000" w:sz="8" w:space="0"/>
            </w:tcBorders>
            <w:tcMar>
              <w:top w:w="0" w:type="dxa"/>
              <w:left w:w="108" w:type="dxa"/>
              <w:bottom w:w="0" w:type="dxa"/>
              <w:right w:w="108" w:type="dxa"/>
            </w:tcMar>
          </w:tcPr>
          <w:p w14:paraId="0B6FA2E3">
            <w:pPr>
              <w:pBdr>
                <w:top w:val="none" w:color="000000" w:sz="0" w:space="0"/>
                <w:left w:val="none" w:color="000000" w:sz="0" w:space="0"/>
                <w:bottom w:val="none" w:color="000000" w:sz="0" w:space="0"/>
                <w:right w:val="none" w:color="000000" w:sz="0" w:space="0"/>
              </w:pBdr>
              <w:spacing w:line="439" w:lineRule="atLeast"/>
              <w:rPr>
                <w:rFonts w:ascii="宋体" w:hAnsi="宋体" w:cs="宋体"/>
                <w:highlight w:val="none"/>
              </w:rPr>
            </w:pPr>
            <w:r>
              <w:rPr>
                <w:rFonts w:hint="eastAsia" w:ascii="宋体" w:hAnsi="宋体" w:cs="宋体"/>
                <w:sz w:val="24"/>
                <w:highlight w:val="none"/>
              </w:rPr>
              <w:t> </w:t>
            </w:r>
          </w:p>
        </w:tc>
        <w:tc>
          <w:tcPr>
            <w:tcW w:w="2260" w:type="dxa"/>
            <w:tcBorders>
              <w:top w:val="nil"/>
              <w:left w:val="nil"/>
              <w:bottom w:val="single" w:color="000000" w:sz="8" w:space="0"/>
              <w:right w:val="single" w:color="000000" w:sz="8" w:space="0"/>
            </w:tcBorders>
            <w:tcMar>
              <w:top w:w="0" w:type="dxa"/>
              <w:left w:w="108" w:type="dxa"/>
              <w:bottom w:w="0" w:type="dxa"/>
              <w:right w:w="108" w:type="dxa"/>
            </w:tcMar>
          </w:tcPr>
          <w:p w14:paraId="58E8FE9E">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highlight w:val="none"/>
              </w:rPr>
            </w:pPr>
            <w:r>
              <w:rPr>
                <w:rFonts w:hint="eastAsia" w:ascii="宋体" w:hAnsi="宋体" w:cs="宋体"/>
                <w:sz w:val="24"/>
                <w:highlight w:val="none"/>
              </w:rPr>
              <w:t> </w:t>
            </w:r>
          </w:p>
        </w:tc>
        <w:tc>
          <w:tcPr>
            <w:tcW w:w="1526" w:type="dxa"/>
            <w:tcBorders>
              <w:top w:val="nil"/>
              <w:left w:val="nil"/>
              <w:bottom w:val="single" w:color="000000" w:sz="8" w:space="0"/>
              <w:right w:val="single" w:color="000000" w:sz="8" w:space="0"/>
            </w:tcBorders>
            <w:tcMar>
              <w:top w:w="0" w:type="dxa"/>
              <w:left w:w="108" w:type="dxa"/>
              <w:bottom w:w="0" w:type="dxa"/>
              <w:right w:w="108" w:type="dxa"/>
            </w:tcMar>
          </w:tcPr>
          <w:p w14:paraId="284A1E07">
            <w:pPr>
              <w:pBdr>
                <w:top w:val="none" w:color="000000" w:sz="0" w:space="0"/>
                <w:left w:val="none" w:color="000000" w:sz="0" w:space="0"/>
                <w:bottom w:val="none" w:color="000000" w:sz="0" w:space="0"/>
                <w:right w:val="none" w:color="000000" w:sz="0" w:space="0"/>
              </w:pBdr>
              <w:spacing w:line="400" w:lineRule="atLeast"/>
              <w:jc w:val="center"/>
              <w:rPr>
                <w:rFonts w:ascii="宋体" w:hAnsi="宋体" w:cs="宋体"/>
                <w:highlight w:val="none"/>
              </w:rPr>
            </w:pPr>
            <w:r>
              <w:rPr>
                <w:rFonts w:hint="eastAsia" w:ascii="宋体" w:hAnsi="宋体" w:cs="宋体"/>
                <w:sz w:val="24"/>
                <w:highlight w:val="none"/>
              </w:rPr>
              <w:t> </w:t>
            </w:r>
          </w:p>
        </w:tc>
      </w:tr>
    </w:tbl>
    <w:p w14:paraId="431E3D75">
      <w:pPr>
        <w:pBdr>
          <w:top w:val="none" w:color="000000" w:sz="0" w:space="0"/>
          <w:left w:val="none" w:color="000000" w:sz="0" w:space="0"/>
          <w:bottom w:val="none" w:color="000000" w:sz="0" w:space="0"/>
          <w:right w:val="none" w:color="000000" w:sz="0" w:space="0"/>
        </w:pBdr>
        <w:spacing w:line="400" w:lineRule="atLeast"/>
        <w:rPr>
          <w:rFonts w:ascii="宋体" w:hAnsi="宋体" w:cs="宋体"/>
          <w:sz w:val="24"/>
          <w:highlight w:val="none"/>
        </w:rPr>
      </w:pPr>
      <w:r>
        <w:rPr>
          <w:rFonts w:hint="eastAsia" w:ascii="宋体" w:hAnsi="宋体" w:cs="宋体"/>
          <w:sz w:val="24"/>
          <w:highlight w:val="none"/>
        </w:rPr>
        <w:t>备注：1.投标人必须对技术要求和商务要求中的不可实质性变动要求逐条做出明确响应，否则作无效投标处理。</w:t>
      </w:r>
    </w:p>
    <w:p w14:paraId="376AB4DA">
      <w:pPr>
        <w:pBdr>
          <w:top w:val="none" w:color="000000" w:sz="0" w:space="0"/>
          <w:left w:val="none" w:color="000000" w:sz="0" w:space="0"/>
          <w:bottom w:val="none" w:color="000000" w:sz="0" w:space="0"/>
          <w:right w:val="none" w:color="000000" w:sz="0" w:space="0"/>
        </w:pBdr>
        <w:spacing w:line="400" w:lineRule="atLeast"/>
        <w:ind w:firstLine="720" w:firstLineChars="300"/>
        <w:rPr>
          <w:rFonts w:ascii="宋体" w:hAnsi="宋体" w:cs="宋体"/>
          <w:highlight w:val="none"/>
        </w:rPr>
      </w:pPr>
      <w:r>
        <w:rPr>
          <w:rFonts w:hint="eastAsia" w:ascii="宋体" w:hAnsi="宋体" w:cs="宋体"/>
          <w:sz w:val="24"/>
          <w:highlight w:val="none"/>
        </w:rPr>
        <w:t>2.</w:t>
      </w:r>
      <w:r>
        <w:rPr>
          <w:rFonts w:hint="eastAsia" w:ascii="宋体" w:hAnsi="宋体" w:cs="宋体"/>
          <w:sz w:val="24"/>
          <w:szCs w:val="24"/>
          <w:highlight w:val="none"/>
          <w:lang w:bidi="ar"/>
        </w:rPr>
        <w:t>如果招标文件要求提供证明材料，投标人必须将证明材料列于该表之下。</w:t>
      </w:r>
    </w:p>
    <w:p w14:paraId="5CA3FA54">
      <w:pPr>
        <w:pStyle w:val="3"/>
        <w:keepNext w:val="0"/>
        <w:pageBreakBefore/>
        <w:rPr>
          <w:rFonts w:ascii="宋体" w:hAnsi="宋体" w:eastAsia="宋体" w:cs="宋体"/>
          <w:highlight w:val="none"/>
        </w:rPr>
      </w:pPr>
      <w:bookmarkStart w:id="315" w:name="_Toc20453"/>
      <w:r>
        <w:rPr>
          <w:rFonts w:hint="eastAsia" w:ascii="宋体" w:hAnsi="宋体" w:eastAsia="宋体" w:cs="宋体"/>
          <w:highlight w:val="none"/>
        </w:rPr>
        <w:t>附件10 服务要求响应及偏离表</w:t>
      </w:r>
      <w:bookmarkEnd w:id="315"/>
    </w:p>
    <w:tbl>
      <w:tblPr>
        <w:tblStyle w:val="54"/>
        <w:tblW w:w="9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
        <w:gridCol w:w="1606"/>
        <w:gridCol w:w="1623"/>
        <w:gridCol w:w="1923"/>
        <w:gridCol w:w="845"/>
        <w:gridCol w:w="805"/>
        <w:gridCol w:w="2670"/>
      </w:tblGrid>
      <w:tr w14:paraId="0CD2F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466" w:type="dxa"/>
            <w:vMerge w:val="restart"/>
            <w:vAlign w:val="center"/>
          </w:tcPr>
          <w:p w14:paraId="59C36D43">
            <w:pPr>
              <w:jc w:val="center"/>
              <w:rPr>
                <w:rFonts w:ascii="宋体" w:hAnsi="宋体" w:cs="宋体"/>
                <w:b/>
                <w:sz w:val="24"/>
                <w:szCs w:val="24"/>
                <w:highlight w:val="none"/>
              </w:rPr>
            </w:pPr>
            <w:r>
              <w:rPr>
                <w:rFonts w:hint="eastAsia" w:ascii="宋体" w:hAnsi="宋体" w:cs="宋体"/>
                <w:b/>
                <w:sz w:val="24"/>
                <w:szCs w:val="24"/>
                <w:highlight w:val="none"/>
              </w:rPr>
              <w:t>序号</w:t>
            </w:r>
          </w:p>
        </w:tc>
        <w:tc>
          <w:tcPr>
            <w:tcW w:w="1606" w:type="dxa"/>
            <w:vMerge w:val="restart"/>
            <w:vAlign w:val="center"/>
          </w:tcPr>
          <w:p w14:paraId="27B3D54E">
            <w:pPr>
              <w:jc w:val="center"/>
              <w:rPr>
                <w:rFonts w:ascii="宋体" w:hAnsi="宋体" w:cs="宋体"/>
                <w:b/>
                <w:sz w:val="24"/>
                <w:szCs w:val="24"/>
                <w:highlight w:val="none"/>
              </w:rPr>
            </w:pPr>
            <w:r>
              <w:rPr>
                <w:rFonts w:hint="eastAsia" w:ascii="宋体" w:hAnsi="宋体" w:cs="宋体"/>
                <w:b/>
                <w:sz w:val="24"/>
                <w:szCs w:val="24"/>
                <w:highlight w:val="none"/>
              </w:rPr>
              <w:t>招标文件服务要求</w:t>
            </w:r>
          </w:p>
        </w:tc>
        <w:tc>
          <w:tcPr>
            <w:tcW w:w="1623" w:type="dxa"/>
            <w:vMerge w:val="restart"/>
            <w:vAlign w:val="center"/>
          </w:tcPr>
          <w:p w14:paraId="6CFCA2F5">
            <w:pPr>
              <w:jc w:val="center"/>
              <w:rPr>
                <w:rFonts w:ascii="宋体" w:hAnsi="宋体" w:cs="宋体"/>
                <w:b/>
                <w:sz w:val="24"/>
                <w:szCs w:val="24"/>
                <w:highlight w:val="none"/>
              </w:rPr>
            </w:pPr>
            <w:r>
              <w:rPr>
                <w:rFonts w:hint="eastAsia" w:ascii="宋体" w:hAnsi="宋体" w:cs="宋体"/>
                <w:b/>
                <w:sz w:val="24"/>
                <w:szCs w:val="24"/>
                <w:highlight w:val="none"/>
              </w:rPr>
              <w:t>招标文件提供服务承诺</w:t>
            </w:r>
          </w:p>
        </w:tc>
        <w:tc>
          <w:tcPr>
            <w:tcW w:w="1923" w:type="dxa"/>
            <w:vMerge w:val="restart"/>
            <w:vAlign w:val="center"/>
          </w:tcPr>
          <w:p w14:paraId="1E351E9F">
            <w:pPr>
              <w:jc w:val="center"/>
              <w:rPr>
                <w:rFonts w:ascii="宋体" w:hAnsi="宋体" w:cs="宋体"/>
                <w:b/>
                <w:sz w:val="24"/>
                <w:szCs w:val="24"/>
                <w:highlight w:val="none"/>
              </w:rPr>
            </w:pPr>
            <w:r>
              <w:rPr>
                <w:rFonts w:hint="eastAsia" w:ascii="宋体" w:hAnsi="宋体" w:cs="宋体"/>
                <w:b/>
                <w:sz w:val="24"/>
                <w:szCs w:val="24"/>
                <w:highlight w:val="none"/>
              </w:rPr>
              <w:t>有无偏离</w:t>
            </w:r>
          </w:p>
        </w:tc>
        <w:tc>
          <w:tcPr>
            <w:tcW w:w="1650" w:type="dxa"/>
            <w:gridSpan w:val="2"/>
            <w:vAlign w:val="center"/>
          </w:tcPr>
          <w:p w14:paraId="084180D4">
            <w:pPr>
              <w:jc w:val="center"/>
              <w:rPr>
                <w:rFonts w:ascii="宋体" w:hAnsi="宋体" w:cs="宋体"/>
                <w:b/>
                <w:sz w:val="24"/>
                <w:szCs w:val="24"/>
                <w:highlight w:val="none"/>
              </w:rPr>
            </w:pPr>
            <w:r>
              <w:rPr>
                <w:rFonts w:hint="eastAsia" w:ascii="宋体" w:hAnsi="宋体" w:cs="宋体"/>
                <w:b/>
                <w:sz w:val="24"/>
                <w:szCs w:val="24"/>
                <w:highlight w:val="none"/>
              </w:rPr>
              <w:t>有偏离</w:t>
            </w:r>
          </w:p>
        </w:tc>
        <w:tc>
          <w:tcPr>
            <w:tcW w:w="2670" w:type="dxa"/>
            <w:vAlign w:val="center"/>
          </w:tcPr>
          <w:p w14:paraId="4648E8A9">
            <w:pPr>
              <w:jc w:val="center"/>
              <w:rPr>
                <w:rFonts w:ascii="宋体" w:hAnsi="宋体" w:cs="宋体"/>
                <w:b/>
                <w:sz w:val="24"/>
                <w:szCs w:val="24"/>
                <w:highlight w:val="none"/>
              </w:rPr>
            </w:pPr>
            <w:r>
              <w:rPr>
                <w:rFonts w:hint="eastAsia" w:ascii="宋体" w:hAnsi="宋体" w:cs="宋体"/>
                <w:b/>
                <w:sz w:val="24"/>
                <w:szCs w:val="24"/>
                <w:highlight w:val="none"/>
              </w:rPr>
              <w:t>偏离内容</w:t>
            </w:r>
          </w:p>
        </w:tc>
      </w:tr>
      <w:tr w14:paraId="07C43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466" w:type="dxa"/>
            <w:vMerge w:val="continue"/>
            <w:vAlign w:val="center"/>
          </w:tcPr>
          <w:p w14:paraId="05F5120D">
            <w:pPr>
              <w:jc w:val="center"/>
              <w:rPr>
                <w:rFonts w:ascii="宋体" w:hAnsi="宋体" w:cs="宋体"/>
                <w:b/>
                <w:sz w:val="24"/>
                <w:szCs w:val="24"/>
                <w:highlight w:val="none"/>
              </w:rPr>
            </w:pPr>
          </w:p>
        </w:tc>
        <w:tc>
          <w:tcPr>
            <w:tcW w:w="1606" w:type="dxa"/>
            <w:vMerge w:val="continue"/>
            <w:vAlign w:val="center"/>
          </w:tcPr>
          <w:p w14:paraId="3BFF7FAB">
            <w:pPr>
              <w:jc w:val="center"/>
              <w:rPr>
                <w:rFonts w:ascii="宋体" w:hAnsi="宋体" w:cs="宋体"/>
                <w:b/>
                <w:sz w:val="24"/>
                <w:szCs w:val="24"/>
                <w:highlight w:val="none"/>
              </w:rPr>
            </w:pPr>
          </w:p>
        </w:tc>
        <w:tc>
          <w:tcPr>
            <w:tcW w:w="1623" w:type="dxa"/>
            <w:vMerge w:val="continue"/>
            <w:vAlign w:val="center"/>
          </w:tcPr>
          <w:p w14:paraId="41E4D3C9">
            <w:pPr>
              <w:jc w:val="center"/>
              <w:rPr>
                <w:rFonts w:ascii="宋体" w:hAnsi="宋体" w:cs="宋体"/>
                <w:b/>
                <w:sz w:val="24"/>
                <w:szCs w:val="24"/>
                <w:highlight w:val="none"/>
              </w:rPr>
            </w:pPr>
          </w:p>
        </w:tc>
        <w:tc>
          <w:tcPr>
            <w:tcW w:w="1923" w:type="dxa"/>
            <w:vMerge w:val="continue"/>
            <w:vAlign w:val="center"/>
          </w:tcPr>
          <w:p w14:paraId="015269DC">
            <w:pPr>
              <w:jc w:val="center"/>
              <w:rPr>
                <w:rFonts w:ascii="宋体" w:hAnsi="宋体" w:cs="宋体"/>
                <w:b/>
                <w:sz w:val="24"/>
                <w:szCs w:val="24"/>
                <w:highlight w:val="none"/>
              </w:rPr>
            </w:pPr>
          </w:p>
        </w:tc>
        <w:tc>
          <w:tcPr>
            <w:tcW w:w="845" w:type="dxa"/>
            <w:vAlign w:val="center"/>
          </w:tcPr>
          <w:p w14:paraId="34A7397F">
            <w:pPr>
              <w:jc w:val="center"/>
              <w:rPr>
                <w:rFonts w:ascii="宋体" w:hAnsi="宋体" w:cs="宋体"/>
                <w:b/>
                <w:sz w:val="24"/>
                <w:szCs w:val="24"/>
                <w:highlight w:val="none"/>
              </w:rPr>
            </w:pPr>
            <w:r>
              <w:rPr>
                <w:rFonts w:hint="eastAsia" w:ascii="宋体" w:hAnsi="宋体" w:cs="宋体"/>
                <w:b/>
                <w:sz w:val="24"/>
                <w:szCs w:val="24"/>
                <w:highlight w:val="none"/>
              </w:rPr>
              <w:t>正</w:t>
            </w:r>
          </w:p>
        </w:tc>
        <w:tc>
          <w:tcPr>
            <w:tcW w:w="805" w:type="dxa"/>
            <w:vAlign w:val="center"/>
          </w:tcPr>
          <w:p w14:paraId="598A2B0E">
            <w:pPr>
              <w:jc w:val="center"/>
              <w:rPr>
                <w:rFonts w:ascii="宋体" w:hAnsi="宋体" w:cs="宋体"/>
                <w:b/>
                <w:sz w:val="24"/>
                <w:szCs w:val="24"/>
                <w:highlight w:val="none"/>
              </w:rPr>
            </w:pPr>
            <w:r>
              <w:rPr>
                <w:rFonts w:hint="eastAsia" w:ascii="宋体" w:hAnsi="宋体" w:cs="宋体"/>
                <w:b/>
                <w:sz w:val="24"/>
                <w:szCs w:val="24"/>
                <w:highlight w:val="none"/>
              </w:rPr>
              <w:t>负</w:t>
            </w:r>
          </w:p>
        </w:tc>
        <w:tc>
          <w:tcPr>
            <w:tcW w:w="2670" w:type="dxa"/>
            <w:vAlign w:val="center"/>
          </w:tcPr>
          <w:p w14:paraId="77BE56C9">
            <w:pPr>
              <w:jc w:val="center"/>
              <w:rPr>
                <w:rFonts w:ascii="宋体" w:hAnsi="宋体" w:cs="宋体"/>
                <w:b/>
                <w:sz w:val="24"/>
                <w:szCs w:val="24"/>
                <w:highlight w:val="none"/>
              </w:rPr>
            </w:pPr>
          </w:p>
        </w:tc>
      </w:tr>
      <w:tr w14:paraId="29F3A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60BF1D1D">
            <w:pPr>
              <w:jc w:val="center"/>
              <w:rPr>
                <w:rFonts w:ascii="宋体" w:hAnsi="宋体" w:cs="宋体"/>
                <w:sz w:val="24"/>
                <w:szCs w:val="24"/>
                <w:highlight w:val="none"/>
              </w:rPr>
            </w:pPr>
            <w:r>
              <w:rPr>
                <w:rFonts w:hint="eastAsia" w:ascii="宋体" w:hAnsi="宋体" w:cs="宋体"/>
                <w:sz w:val="24"/>
                <w:szCs w:val="24"/>
                <w:highlight w:val="none"/>
              </w:rPr>
              <w:t>1</w:t>
            </w:r>
          </w:p>
        </w:tc>
        <w:tc>
          <w:tcPr>
            <w:tcW w:w="1606" w:type="dxa"/>
            <w:vAlign w:val="center"/>
          </w:tcPr>
          <w:p w14:paraId="15DC02EF">
            <w:pPr>
              <w:jc w:val="center"/>
              <w:rPr>
                <w:rFonts w:ascii="宋体" w:hAnsi="宋体" w:cs="宋体"/>
                <w:sz w:val="24"/>
                <w:szCs w:val="24"/>
                <w:highlight w:val="none"/>
              </w:rPr>
            </w:pPr>
          </w:p>
        </w:tc>
        <w:tc>
          <w:tcPr>
            <w:tcW w:w="1623" w:type="dxa"/>
            <w:vAlign w:val="center"/>
          </w:tcPr>
          <w:p w14:paraId="2D766324">
            <w:pPr>
              <w:jc w:val="center"/>
              <w:rPr>
                <w:rFonts w:ascii="宋体" w:hAnsi="宋体" w:cs="宋体"/>
                <w:highlight w:val="none"/>
              </w:rPr>
            </w:pPr>
          </w:p>
        </w:tc>
        <w:tc>
          <w:tcPr>
            <w:tcW w:w="1923" w:type="dxa"/>
            <w:vAlign w:val="center"/>
          </w:tcPr>
          <w:p w14:paraId="0A3545D7">
            <w:pPr>
              <w:jc w:val="center"/>
              <w:rPr>
                <w:rFonts w:ascii="宋体" w:hAnsi="宋体" w:cs="宋体"/>
                <w:highlight w:val="none"/>
              </w:rPr>
            </w:pPr>
          </w:p>
        </w:tc>
        <w:tc>
          <w:tcPr>
            <w:tcW w:w="845" w:type="dxa"/>
            <w:vAlign w:val="center"/>
          </w:tcPr>
          <w:p w14:paraId="17805971">
            <w:pPr>
              <w:jc w:val="center"/>
              <w:rPr>
                <w:rFonts w:ascii="宋体" w:hAnsi="宋体" w:cs="宋体"/>
                <w:highlight w:val="none"/>
              </w:rPr>
            </w:pPr>
          </w:p>
        </w:tc>
        <w:tc>
          <w:tcPr>
            <w:tcW w:w="805" w:type="dxa"/>
            <w:vAlign w:val="center"/>
          </w:tcPr>
          <w:p w14:paraId="6EFCAD05">
            <w:pPr>
              <w:jc w:val="center"/>
              <w:rPr>
                <w:rFonts w:ascii="宋体" w:hAnsi="宋体" w:cs="宋体"/>
                <w:highlight w:val="none"/>
              </w:rPr>
            </w:pPr>
          </w:p>
        </w:tc>
        <w:tc>
          <w:tcPr>
            <w:tcW w:w="2670" w:type="dxa"/>
            <w:vAlign w:val="center"/>
          </w:tcPr>
          <w:p w14:paraId="56182E1A">
            <w:pPr>
              <w:jc w:val="center"/>
              <w:rPr>
                <w:rFonts w:ascii="宋体" w:hAnsi="宋体" w:cs="宋体"/>
                <w:highlight w:val="none"/>
              </w:rPr>
            </w:pPr>
          </w:p>
        </w:tc>
      </w:tr>
      <w:tr w14:paraId="68214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6833E48B">
            <w:pPr>
              <w:jc w:val="center"/>
              <w:rPr>
                <w:rFonts w:ascii="宋体" w:hAnsi="宋体" w:cs="宋体"/>
                <w:sz w:val="24"/>
                <w:szCs w:val="24"/>
                <w:highlight w:val="none"/>
              </w:rPr>
            </w:pPr>
            <w:r>
              <w:rPr>
                <w:rFonts w:hint="eastAsia" w:ascii="宋体" w:hAnsi="宋体" w:cs="宋体"/>
                <w:sz w:val="24"/>
                <w:szCs w:val="24"/>
                <w:highlight w:val="none"/>
              </w:rPr>
              <w:t>2</w:t>
            </w:r>
          </w:p>
        </w:tc>
        <w:tc>
          <w:tcPr>
            <w:tcW w:w="1606" w:type="dxa"/>
            <w:vAlign w:val="center"/>
          </w:tcPr>
          <w:p w14:paraId="429BEE8E">
            <w:pPr>
              <w:jc w:val="center"/>
              <w:rPr>
                <w:rFonts w:ascii="宋体" w:hAnsi="宋体" w:cs="宋体"/>
                <w:highlight w:val="none"/>
              </w:rPr>
            </w:pPr>
          </w:p>
        </w:tc>
        <w:tc>
          <w:tcPr>
            <w:tcW w:w="1623" w:type="dxa"/>
            <w:vAlign w:val="center"/>
          </w:tcPr>
          <w:p w14:paraId="61ECC20D">
            <w:pPr>
              <w:jc w:val="center"/>
              <w:rPr>
                <w:rFonts w:ascii="宋体" w:hAnsi="宋体" w:cs="宋体"/>
                <w:highlight w:val="none"/>
              </w:rPr>
            </w:pPr>
          </w:p>
        </w:tc>
        <w:tc>
          <w:tcPr>
            <w:tcW w:w="1923" w:type="dxa"/>
            <w:vAlign w:val="center"/>
          </w:tcPr>
          <w:p w14:paraId="71B4BDAD">
            <w:pPr>
              <w:jc w:val="center"/>
              <w:rPr>
                <w:rFonts w:ascii="宋体" w:hAnsi="宋体" w:cs="宋体"/>
                <w:highlight w:val="none"/>
              </w:rPr>
            </w:pPr>
          </w:p>
        </w:tc>
        <w:tc>
          <w:tcPr>
            <w:tcW w:w="845" w:type="dxa"/>
            <w:vAlign w:val="center"/>
          </w:tcPr>
          <w:p w14:paraId="3337BBAD">
            <w:pPr>
              <w:jc w:val="center"/>
              <w:rPr>
                <w:rFonts w:ascii="宋体" w:hAnsi="宋体" w:cs="宋体"/>
                <w:highlight w:val="none"/>
              </w:rPr>
            </w:pPr>
          </w:p>
        </w:tc>
        <w:tc>
          <w:tcPr>
            <w:tcW w:w="805" w:type="dxa"/>
            <w:vAlign w:val="center"/>
          </w:tcPr>
          <w:p w14:paraId="4495932A">
            <w:pPr>
              <w:jc w:val="center"/>
              <w:rPr>
                <w:rFonts w:ascii="宋体" w:hAnsi="宋体" w:cs="宋体"/>
                <w:highlight w:val="none"/>
              </w:rPr>
            </w:pPr>
          </w:p>
        </w:tc>
        <w:tc>
          <w:tcPr>
            <w:tcW w:w="2670" w:type="dxa"/>
            <w:vAlign w:val="center"/>
          </w:tcPr>
          <w:p w14:paraId="5254A152">
            <w:pPr>
              <w:jc w:val="center"/>
              <w:rPr>
                <w:rFonts w:ascii="宋体" w:hAnsi="宋体" w:cs="宋体"/>
                <w:highlight w:val="none"/>
              </w:rPr>
            </w:pPr>
          </w:p>
        </w:tc>
      </w:tr>
      <w:tr w14:paraId="17245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6" w:type="dxa"/>
            <w:vAlign w:val="center"/>
          </w:tcPr>
          <w:p w14:paraId="78798465">
            <w:pPr>
              <w:jc w:val="center"/>
              <w:rPr>
                <w:rFonts w:ascii="宋体" w:hAnsi="宋体" w:cs="宋体"/>
                <w:sz w:val="24"/>
                <w:szCs w:val="24"/>
                <w:highlight w:val="none"/>
              </w:rPr>
            </w:pPr>
            <w:r>
              <w:rPr>
                <w:rFonts w:hint="eastAsia" w:ascii="宋体" w:hAnsi="宋体" w:cs="宋体"/>
                <w:highlight w:val="none"/>
              </w:rPr>
              <w:t>……</w:t>
            </w:r>
          </w:p>
        </w:tc>
        <w:tc>
          <w:tcPr>
            <w:tcW w:w="1606" w:type="dxa"/>
            <w:vAlign w:val="center"/>
          </w:tcPr>
          <w:p w14:paraId="1C95D11B">
            <w:pPr>
              <w:jc w:val="center"/>
              <w:rPr>
                <w:rFonts w:ascii="宋体" w:hAnsi="宋体" w:cs="宋体"/>
                <w:highlight w:val="none"/>
              </w:rPr>
            </w:pPr>
          </w:p>
        </w:tc>
        <w:tc>
          <w:tcPr>
            <w:tcW w:w="1623" w:type="dxa"/>
            <w:vAlign w:val="center"/>
          </w:tcPr>
          <w:p w14:paraId="65A4A5C0">
            <w:pPr>
              <w:jc w:val="center"/>
              <w:rPr>
                <w:rFonts w:ascii="宋体" w:hAnsi="宋体" w:cs="宋体"/>
                <w:highlight w:val="none"/>
              </w:rPr>
            </w:pPr>
          </w:p>
        </w:tc>
        <w:tc>
          <w:tcPr>
            <w:tcW w:w="1923" w:type="dxa"/>
            <w:vAlign w:val="center"/>
          </w:tcPr>
          <w:p w14:paraId="0A5D172E">
            <w:pPr>
              <w:jc w:val="center"/>
              <w:rPr>
                <w:rFonts w:ascii="宋体" w:hAnsi="宋体" w:cs="宋体"/>
                <w:highlight w:val="none"/>
              </w:rPr>
            </w:pPr>
          </w:p>
        </w:tc>
        <w:tc>
          <w:tcPr>
            <w:tcW w:w="845" w:type="dxa"/>
            <w:vAlign w:val="center"/>
          </w:tcPr>
          <w:p w14:paraId="3A77DB97">
            <w:pPr>
              <w:jc w:val="center"/>
              <w:rPr>
                <w:rFonts w:ascii="宋体" w:hAnsi="宋体" w:cs="宋体"/>
                <w:highlight w:val="none"/>
              </w:rPr>
            </w:pPr>
          </w:p>
        </w:tc>
        <w:tc>
          <w:tcPr>
            <w:tcW w:w="805" w:type="dxa"/>
            <w:vAlign w:val="center"/>
          </w:tcPr>
          <w:p w14:paraId="39CF7A1B">
            <w:pPr>
              <w:jc w:val="center"/>
              <w:rPr>
                <w:rFonts w:ascii="宋体" w:hAnsi="宋体" w:cs="宋体"/>
                <w:highlight w:val="none"/>
              </w:rPr>
            </w:pPr>
          </w:p>
        </w:tc>
        <w:tc>
          <w:tcPr>
            <w:tcW w:w="2670" w:type="dxa"/>
            <w:vAlign w:val="center"/>
          </w:tcPr>
          <w:p w14:paraId="204B9EDC">
            <w:pPr>
              <w:jc w:val="center"/>
              <w:rPr>
                <w:rFonts w:ascii="宋体" w:hAnsi="宋体" w:cs="宋体"/>
                <w:highlight w:val="none"/>
              </w:rPr>
            </w:pPr>
          </w:p>
        </w:tc>
      </w:tr>
      <w:tr w14:paraId="3B02C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33A12CC2">
            <w:pPr>
              <w:jc w:val="center"/>
              <w:rPr>
                <w:rFonts w:ascii="宋体" w:hAnsi="宋体" w:cs="宋体"/>
                <w:sz w:val="24"/>
                <w:szCs w:val="24"/>
                <w:highlight w:val="none"/>
              </w:rPr>
            </w:pPr>
          </w:p>
        </w:tc>
        <w:tc>
          <w:tcPr>
            <w:tcW w:w="1606" w:type="dxa"/>
            <w:vAlign w:val="center"/>
          </w:tcPr>
          <w:p w14:paraId="766EA3EA">
            <w:pPr>
              <w:jc w:val="center"/>
              <w:rPr>
                <w:rFonts w:ascii="宋体" w:hAnsi="宋体" w:cs="宋体"/>
                <w:highlight w:val="none"/>
              </w:rPr>
            </w:pPr>
          </w:p>
        </w:tc>
        <w:tc>
          <w:tcPr>
            <w:tcW w:w="1623" w:type="dxa"/>
            <w:vAlign w:val="center"/>
          </w:tcPr>
          <w:p w14:paraId="340F23A9">
            <w:pPr>
              <w:jc w:val="center"/>
              <w:rPr>
                <w:rFonts w:ascii="宋体" w:hAnsi="宋体" w:cs="宋体"/>
                <w:highlight w:val="none"/>
              </w:rPr>
            </w:pPr>
          </w:p>
        </w:tc>
        <w:tc>
          <w:tcPr>
            <w:tcW w:w="1923" w:type="dxa"/>
            <w:vAlign w:val="center"/>
          </w:tcPr>
          <w:p w14:paraId="5B378335">
            <w:pPr>
              <w:jc w:val="center"/>
              <w:rPr>
                <w:rFonts w:ascii="宋体" w:hAnsi="宋体" w:cs="宋体"/>
                <w:highlight w:val="none"/>
              </w:rPr>
            </w:pPr>
          </w:p>
        </w:tc>
        <w:tc>
          <w:tcPr>
            <w:tcW w:w="845" w:type="dxa"/>
            <w:vAlign w:val="center"/>
          </w:tcPr>
          <w:p w14:paraId="686D22B5">
            <w:pPr>
              <w:jc w:val="center"/>
              <w:rPr>
                <w:rFonts w:ascii="宋体" w:hAnsi="宋体" w:cs="宋体"/>
                <w:highlight w:val="none"/>
              </w:rPr>
            </w:pPr>
          </w:p>
        </w:tc>
        <w:tc>
          <w:tcPr>
            <w:tcW w:w="805" w:type="dxa"/>
            <w:vAlign w:val="center"/>
          </w:tcPr>
          <w:p w14:paraId="6468EDB3">
            <w:pPr>
              <w:jc w:val="center"/>
              <w:rPr>
                <w:rFonts w:ascii="宋体" w:hAnsi="宋体" w:cs="宋体"/>
                <w:highlight w:val="none"/>
              </w:rPr>
            </w:pPr>
          </w:p>
        </w:tc>
        <w:tc>
          <w:tcPr>
            <w:tcW w:w="2670" w:type="dxa"/>
            <w:vAlign w:val="center"/>
          </w:tcPr>
          <w:p w14:paraId="726A6C77">
            <w:pPr>
              <w:jc w:val="center"/>
              <w:rPr>
                <w:rFonts w:ascii="宋体" w:hAnsi="宋体" w:cs="宋体"/>
                <w:highlight w:val="none"/>
              </w:rPr>
            </w:pPr>
          </w:p>
        </w:tc>
      </w:tr>
      <w:tr w14:paraId="35BCA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72233049">
            <w:pPr>
              <w:jc w:val="center"/>
              <w:rPr>
                <w:rFonts w:ascii="宋体" w:hAnsi="宋体" w:cs="宋体"/>
                <w:sz w:val="24"/>
                <w:szCs w:val="24"/>
                <w:highlight w:val="none"/>
              </w:rPr>
            </w:pPr>
          </w:p>
        </w:tc>
        <w:tc>
          <w:tcPr>
            <w:tcW w:w="1606" w:type="dxa"/>
            <w:vAlign w:val="center"/>
          </w:tcPr>
          <w:p w14:paraId="67F85734">
            <w:pPr>
              <w:jc w:val="center"/>
              <w:rPr>
                <w:rFonts w:ascii="宋体" w:hAnsi="宋体" w:cs="宋体"/>
                <w:highlight w:val="none"/>
              </w:rPr>
            </w:pPr>
          </w:p>
        </w:tc>
        <w:tc>
          <w:tcPr>
            <w:tcW w:w="1623" w:type="dxa"/>
            <w:vAlign w:val="center"/>
          </w:tcPr>
          <w:p w14:paraId="46F39FC6">
            <w:pPr>
              <w:jc w:val="center"/>
              <w:rPr>
                <w:rFonts w:ascii="宋体" w:hAnsi="宋体" w:cs="宋体"/>
                <w:highlight w:val="none"/>
              </w:rPr>
            </w:pPr>
          </w:p>
        </w:tc>
        <w:tc>
          <w:tcPr>
            <w:tcW w:w="1923" w:type="dxa"/>
            <w:vAlign w:val="center"/>
          </w:tcPr>
          <w:p w14:paraId="22F9D250">
            <w:pPr>
              <w:jc w:val="center"/>
              <w:rPr>
                <w:rFonts w:ascii="宋体" w:hAnsi="宋体" w:cs="宋体"/>
                <w:highlight w:val="none"/>
              </w:rPr>
            </w:pPr>
          </w:p>
        </w:tc>
        <w:tc>
          <w:tcPr>
            <w:tcW w:w="845" w:type="dxa"/>
            <w:vAlign w:val="center"/>
          </w:tcPr>
          <w:p w14:paraId="224ECDFD">
            <w:pPr>
              <w:jc w:val="center"/>
              <w:rPr>
                <w:rFonts w:ascii="宋体" w:hAnsi="宋体" w:cs="宋体"/>
                <w:highlight w:val="none"/>
              </w:rPr>
            </w:pPr>
          </w:p>
        </w:tc>
        <w:tc>
          <w:tcPr>
            <w:tcW w:w="805" w:type="dxa"/>
            <w:vAlign w:val="center"/>
          </w:tcPr>
          <w:p w14:paraId="632054A5">
            <w:pPr>
              <w:jc w:val="center"/>
              <w:rPr>
                <w:rFonts w:ascii="宋体" w:hAnsi="宋体" w:cs="宋体"/>
                <w:highlight w:val="none"/>
              </w:rPr>
            </w:pPr>
          </w:p>
        </w:tc>
        <w:tc>
          <w:tcPr>
            <w:tcW w:w="2670" w:type="dxa"/>
            <w:vAlign w:val="center"/>
          </w:tcPr>
          <w:p w14:paraId="65A8B85E">
            <w:pPr>
              <w:jc w:val="center"/>
              <w:rPr>
                <w:rFonts w:ascii="宋体" w:hAnsi="宋体" w:cs="宋体"/>
                <w:highlight w:val="none"/>
              </w:rPr>
            </w:pPr>
          </w:p>
        </w:tc>
      </w:tr>
      <w:tr w14:paraId="71170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2908FF33">
            <w:pPr>
              <w:jc w:val="center"/>
              <w:rPr>
                <w:rFonts w:ascii="宋体" w:hAnsi="宋体" w:cs="宋体"/>
                <w:sz w:val="24"/>
                <w:szCs w:val="24"/>
                <w:highlight w:val="none"/>
              </w:rPr>
            </w:pPr>
          </w:p>
        </w:tc>
        <w:tc>
          <w:tcPr>
            <w:tcW w:w="1606" w:type="dxa"/>
            <w:vAlign w:val="center"/>
          </w:tcPr>
          <w:p w14:paraId="5018E497">
            <w:pPr>
              <w:jc w:val="center"/>
              <w:rPr>
                <w:rFonts w:ascii="宋体" w:hAnsi="宋体" w:cs="宋体"/>
                <w:highlight w:val="none"/>
              </w:rPr>
            </w:pPr>
          </w:p>
        </w:tc>
        <w:tc>
          <w:tcPr>
            <w:tcW w:w="1623" w:type="dxa"/>
            <w:vAlign w:val="center"/>
          </w:tcPr>
          <w:p w14:paraId="65842EE2">
            <w:pPr>
              <w:jc w:val="center"/>
              <w:rPr>
                <w:rFonts w:ascii="宋体" w:hAnsi="宋体" w:cs="宋体"/>
                <w:highlight w:val="none"/>
              </w:rPr>
            </w:pPr>
          </w:p>
        </w:tc>
        <w:tc>
          <w:tcPr>
            <w:tcW w:w="1923" w:type="dxa"/>
            <w:vAlign w:val="center"/>
          </w:tcPr>
          <w:p w14:paraId="40369B9E">
            <w:pPr>
              <w:jc w:val="center"/>
              <w:rPr>
                <w:rFonts w:ascii="宋体" w:hAnsi="宋体" w:cs="宋体"/>
                <w:highlight w:val="none"/>
              </w:rPr>
            </w:pPr>
          </w:p>
        </w:tc>
        <w:tc>
          <w:tcPr>
            <w:tcW w:w="845" w:type="dxa"/>
            <w:vAlign w:val="center"/>
          </w:tcPr>
          <w:p w14:paraId="6BA5C065">
            <w:pPr>
              <w:jc w:val="center"/>
              <w:rPr>
                <w:rFonts w:ascii="宋体" w:hAnsi="宋体" w:cs="宋体"/>
                <w:highlight w:val="none"/>
              </w:rPr>
            </w:pPr>
          </w:p>
        </w:tc>
        <w:tc>
          <w:tcPr>
            <w:tcW w:w="805" w:type="dxa"/>
            <w:vAlign w:val="center"/>
          </w:tcPr>
          <w:p w14:paraId="131CBDE4">
            <w:pPr>
              <w:jc w:val="center"/>
              <w:rPr>
                <w:rFonts w:ascii="宋体" w:hAnsi="宋体" w:cs="宋体"/>
                <w:highlight w:val="none"/>
              </w:rPr>
            </w:pPr>
          </w:p>
        </w:tc>
        <w:tc>
          <w:tcPr>
            <w:tcW w:w="2670" w:type="dxa"/>
            <w:vAlign w:val="center"/>
          </w:tcPr>
          <w:p w14:paraId="37512E18">
            <w:pPr>
              <w:jc w:val="center"/>
              <w:rPr>
                <w:rFonts w:ascii="宋体" w:hAnsi="宋体" w:cs="宋体"/>
                <w:highlight w:val="none"/>
              </w:rPr>
            </w:pPr>
          </w:p>
        </w:tc>
      </w:tr>
      <w:tr w14:paraId="45E6F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3B0AD945">
            <w:pPr>
              <w:jc w:val="center"/>
              <w:rPr>
                <w:rFonts w:ascii="宋体" w:hAnsi="宋体" w:cs="宋体"/>
                <w:sz w:val="24"/>
                <w:szCs w:val="24"/>
                <w:highlight w:val="none"/>
              </w:rPr>
            </w:pPr>
          </w:p>
        </w:tc>
        <w:tc>
          <w:tcPr>
            <w:tcW w:w="1606" w:type="dxa"/>
            <w:vAlign w:val="center"/>
          </w:tcPr>
          <w:p w14:paraId="01CA716B">
            <w:pPr>
              <w:jc w:val="center"/>
              <w:rPr>
                <w:rFonts w:ascii="宋体" w:hAnsi="宋体" w:cs="宋体"/>
                <w:highlight w:val="none"/>
              </w:rPr>
            </w:pPr>
          </w:p>
        </w:tc>
        <w:tc>
          <w:tcPr>
            <w:tcW w:w="1623" w:type="dxa"/>
            <w:vAlign w:val="center"/>
          </w:tcPr>
          <w:p w14:paraId="6CE72E62">
            <w:pPr>
              <w:jc w:val="center"/>
              <w:rPr>
                <w:rFonts w:ascii="宋体" w:hAnsi="宋体" w:cs="宋体"/>
                <w:highlight w:val="none"/>
              </w:rPr>
            </w:pPr>
          </w:p>
        </w:tc>
        <w:tc>
          <w:tcPr>
            <w:tcW w:w="1923" w:type="dxa"/>
            <w:vAlign w:val="center"/>
          </w:tcPr>
          <w:p w14:paraId="0B8C9E8D">
            <w:pPr>
              <w:jc w:val="center"/>
              <w:rPr>
                <w:rFonts w:ascii="宋体" w:hAnsi="宋体" w:cs="宋体"/>
                <w:highlight w:val="none"/>
              </w:rPr>
            </w:pPr>
          </w:p>
        </w:tc>
        <w:tc>
          <w:tcPr>
            <w:tcW w:w="845" w:type="dxa"/>
            <w:vAlign w:val="center"/>
          </w:tcPr>
          <w:p w14:paraId="69DD1166">
            <w:pPr>
              <w:jc w:val="center"/>
              <w:rPr>
                <w:rFonts w:ascii="宋体" w:hAnsi="宋体" w:cs="宋体"/>
                <w:highlight w:val="none"/>
              </w:rPr>
            </w:pPr>
          </w:p>
        </w:tc>
        <w:tc>
          <w:tcPr>
            <w:tcW w:w="805" w:type="dxa"/>
            <w:vAlign w:val="center"/>
          </w:tcPr>
          <w:p w14:paraId="6BDA2819">
            <w:pPr>
              <w:jc w:val="center"/>
              <w:rPr>
                <w:rFonts w:ascii="宋体" w:hAnsi="宋体" w:cs="宋体"/>
                <w:highlight w:val="none"/>
              </w:rPr>
            </w:pPr>
          </w:p>
        </w:tc>
        <w:tc>
          <w:tcPr>
            <w:tcW w:w="2670" w:type="dxa"/>
            <w:vAlign w:val="center"/>
          </w:tcPr>
          <w:p w14:paraId="2F216AB5">
            <w:pPr>
              <w:jc w:val="center"/>
              <w:rPr>
                <w:rFonts w:ascii="宋体" w:hAnsi="宋体" w:cs="宋体"/>
                <w:highlight w:val="none"/>
              </w:rPr>
            </w:pPr>
          </w:p>
        </w:tc>
      </w:tr>
      <w:tr w14:paraId="3FAC3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466" w:type="dxa"/>
            <w:vAlign w:val="center"/>
          </w:tcPr>
          <w:p w14:paraId="2E551E49">
            <w:pPr>
              <w:jc w:val="center"/>
              <w:rPr>
                <w:rFonts w:ascii="宋体" w:hAnsi="宋体" w:cs="宋体"/>
                <w:sz w:val="24"/>
                <w:szCs w:val="24"/>
                <w:highlight w:val="none"/>
              </w:rPr>
            </w:pPr>
          </w:p>
        </w:tc>
        <w:tc>
          <w:tcPr>
            <w:tcW w:w="1606" w:type="dxa"/>
            <w:vAlign w:val="center"/>
          </w:tcPr>
          <w:p w14:paraId="0C33DA1F">
            <w:pPr>
              <w:jc w:val="center"/>
              <w:rPr>
                <w:rFonts w:ascii="宋体" w:hAnsi="宋体" w:cs="宋体"/>
                <w:sz w:val="24"/>
                <w:szCs w:val="24"/>
                <w:highlight w:val="none"/>
              </w:rPr>
            </w:pPr>
          </w:p>
        </w:tc>
        <w:tc>
          <w:tcPr>
            <w:tcW w:w="1623" w:type="dxa"/>
            <w:vAlign w:val="center"/>
          </w:tcPr>
          <w:p w14:paraId="3B7A8549">
            <w:pPr>
              <w:jc w:val="center"/>
              <w:rPr>
                <w:rFonts w:ascii="宋体" w:hAnsi="宋体" w:cs="宋体"/>
                <w:highlight w:val="none"/>
              </w:rPr>
            </w:pPr>
          </w:p>
        </w:tc>
        <w:tc>
          <w:tcPr>
            <w:tcW w:w="1923" w:type="dxa"/>
            <w:vAlign w:val="center"/>
          </w:tcPr>
          <w:p w14:paraId="3A6FD1BC">
            <w:pPr>
              <w:jc w:val="center"/>
              <w:rPr>
                <w:rFonts w:ascii="宋体" w:hAnsi="宋体" w:cs="宋体"/>
                <w:highlight w:val="none"/>
              </w:rPr>
            </w:pPr>
          </w:p>
        </w:tc>
        <w:tc>
          <w:tcPr>
            <w:tcW w:w="845" w:type="dxa"/>
            <w:vAlign w:val="center"/>
          </w:tcPr>
          <w:p w14:paraId="44490A49">
            <w:pPr>
              <w:jc w:val="center"/>
              <w:rPr>
                <w:rFonts w:ascii="宋体" w:hAnsi="宋体" w:cs="宋体"/>
                <w:highlight w:val="none"/>
              </w:rPr>
            </w:pPr>
          </w:p>
        </w:tc>
        <w:tc>
          <w:tcPr>
            <w:tcW w:w="805" w:type="dxa"/>
            <w:vAlign w:val="center"/>
          </w:tcPr>
          <w:p w14:paraId="02DD40CC">
            <w:pPr>
              <w:jc w:val="center"/>
              <w:rPr>
                <w:rFonts w:ascii="宋体" w:hAnsi="宋体" w:cs="宋体"/>
                <w:highlight w:val="none"/>
              </w:rPr>
            </w:pPr>
          </w:p>
        </w:tc>
        <w:tc>
          <w:tcPr>
            <w:tcW w:w="2670" w:type="dxa"/>
            <w:vAlign w:val="center"/>
          </w:tcPr>
          <w:p w14:paraId="11E8ADD8">
            <w:pPr>
              <w:jc w:val="center"/>
              <w:rPr>
                <w:rFonts w:ascii="宋体" w:hAnsi="宋体" w:cs="宋体"/>
                <w:highlight w:val="none"/>
              </w:rPr>
            </w:pPr>
          </w:p>
        </w:tc>
      </w:tr>
    </w:tbl>
    <w:p w14:paraId="1DA70FE2">
      <w:pPr>
        <w:spacing w:line="440" w:lineRule="exact"/>
        <w:rPr>
          <w:rFonts w:ascii="宋体" w:hAnsi="宋体" w:cs="宋体"/>
          <w:bCs/>
          <w:sz w:val="24"/>
          <w:szCs w:val="24"/>
          <w:highlight w:val="none"/>
        </w:rPr>
      </w:pPr>
      <w:r>
        <w:rPr>
          <w:rFonts w:hint="eastAsia" w:ascii="宋体" w:hAnsi="宋体" w:cs="宋体"/>
          <w:bCs/>
          <w:sz w:val="24"/>
          <w:szCs w:val="24"/>
          <w:highlight w:val="none"/>
        </w:rPr>
        <w:t>注：1、投标人应根据“第四章 采购需求”中的“二、项目服务要求”，对照投标人所提供的服务承诺进行逐项评议。</w:t>
      </w:r>
    </w:p>
    <w:p w14:paraId="6DA0BAA1">
      <w:pPr>
        <w:spacing w:line="500" w:lineRule="exact"/>
        <w:ind w:firstLine="480" w:firstLineChars="200"/>
        <w:rPr>
          <w:rFonts w:ascii="宋体" w:hAnsi="宋体" w:cs="宋体"/>
          <w:b/>
          <w:sz w:val="24"/>
          <w:szCs w:val="24"/>
          <w:highlight w:val="none"/>
        </w:rPr>
      </w:pPr>
      <w:r>
        <w:rPr>
          <w:rFonts w:hint="eastAsia" w:ascii="宋体" w:hAnsi="宋体" w:cs="宋体"/>
          <w:sz w:val="24"/>
          <w:szCs w:val="24"/>
          <w:highlight w:val="none"/>
        </w:rPr>
        <w:t>2、若无偏离，在“无偏离”栏中填写“无偏离”；若有偏离在“有偏离”栏中填写“正偏离”或“负偏离”，并在“偏离内容”栏中作出说明。</w:t>
      </w:r>
    </w:p>
    <w:p w14:paraId="0A67ECB9">
      <w:pPr>
        <w:ind w:firstLine="480" w:firstLineChars="200"/>
        <w:rPr>
          <w:rFonts w:ascii="宋体" w:hAnsi="宋体" w:cs="宋体"/>
          <w:sz w:val="24"/>
          <w:szCs w:val="24"/>
          <w:highlight w:val="none"/>
        </w:rPr>
      </w:pPr>
      <w:r>
        <w:rPr>
          <w:rFonts w:hint="eastAsia" w:ascii="宋体" w:hAnsi="宋体" w:cs="宋体"/>
          <w:sz w:val="24"/>
          <w:szCs w:val="24"/>
          <w:highlight w:val="none"/>
        </w:rPr>
        <w:t>3、表格不够可另接。</w:t>
      </w:r>
    </w:p>
    <w:p w14:paraId="2BD2A8DC">
      <w:pPr>
        <w:rPr>
          <w:rFonts w:ascii="宋体" w:hAnsi="宋体" w:cs="宋体"/>
          <w:highlight w:val="none"/>
        </w:rPr>
      </w:pPr>
      <w:r>
        <w:rPr>
          <w:rFonts w:hint="eastAsia" w:ascii="宋体" w:hAnsi="宋体" w:cs="宋体"/>
          <w:highlight w:val="none"/>
        </w:rPr>
        <w:br w:type="page"/>
      </w:r>
    </w:p>
    <w:p w14:paraId="4F048B3E">
      <w:pPr>
        <w:pStyle w:val="3"/>
        <w:rPr>
          <w:rFonts w:ascii="宋体" w:hAnsi="宋体" w:eastAsia="宋体" w:cs="宋体"/>
          <w:highlight w:val="none"/>
        </w:rPr>
      </w:pPr>
      <w:bookmarkStart w:id="316" w:name="_Toc17455"/>
      <w:r>
        <w:rPr>
          <w:rFonts w:hint="eastAsia" w:ascii="宋体" w:hAnsi="宋体" w:eastAsia="宋体" w:cs="宋体"/>
          <w:highlight w:val="none"/>
        </w:rPr>
        <w:t>附件11 项目实施方案</w:t>
      </w:r>
      <w:bookmarkEnd w:id="316"/>
    </w:p>
    <w:p w14:paraId="79261891">
      <w:pPr>
        <w:ind w:firstLine="480" w:firstLineChars="200"/>
        <w:jc w:val="center"/>
        <w:rPr>
          <w:rFonts w:ascii="宋体" w:hAnsi="宋体" w:cs="宋体"/>
          <w:sz w:val="24"/>
          <w:szCs w:val="24"/>
          <w:highlight w:val="none"/>
        </w:rPr>
      </w:pPr>
      <w:r>
        <w:rPr>
          <w:rFonts w:hint="eastAsia" w:ascii="宋体" w:hAnsi="宋体" w:cs="宋体"/>
          <w:sz w:val="24"/>
          <w:szCs w:val="24"/>
          <w:highlight w:val="none"/>
        </w:rPr>
        <w:t>根据“第五章  评审方法与评审标准”提供相关说明及证明材料</w:t>
      </w:r>
      <w:bookmarkEnd w:id="290"/>
      <w:bookmarkStart w:id="317" w:name="_Toc42157463"/>
    </w:p>
    <w:bookmarkEnd w:id="317"/>
    <w:p w14:paraId="5AAD8D5A">
      <w:pPr>
        <w:rPr>
          <w:rFonts w:ascii="宋体" w:hAnsi="宋体" w:cs="宋体"/>
          <w:highlight w:val="none"/>
        </w:rPr>
      </w:pPr>
      <w:bookmarkStart w:id="318" w:name="_Toc631"/>
      <w:bookmarkStart w:id="319" w:name="_Toc511680884"/>
      <w:bookmarkStart w:id="320" w:name="_Toc472326802"/>
      <w:bookmarkStart w:id="321" w:name="_Toc69302318"/>
      <w:bookmarkStart w:id="322" w:name="_Toc321922918"/>
      <w:r>
        <w:rPr>
          <w:rFonts w:hint="eastAsia" w:ascii="宋体" w:hAnsi="宋体" w:cs="宋体"/>
          <w:highlight w:val="none"/>
        </w:rPr>
        <w:br w:type="page"/>
      </w:r>
    </w:p>
    <w:p w14:paraId="1C66280C">
      <w:pPr>
        <w:pStyle w:val="3"/>
        <w:rPr>
          <w:rFonts w:ascii="宋体" w:hAnsi="宋体" w:eastAsia="宋体" w:cs="宋体"/>
          <w:highlight w:val="none"/>
        </w:rPr>
      </w:pPr>
      <w:bookmarkStart w:id="323" w:name="_Toc21251"/>
      <w:r>
        <w:rPr>
          <w:rFonts w:hint="eastAsia" w:ascii="宋体" w:hAnsi="宋体" w:eastAsia="宋体" w:cs="宋体"/>
          <w:highlight w:val="none"/>
        </w:rPr>
        <w:t>附件12 项目组人员一览表</w:t>
      </w:r>
      <w:bookmarkEnd w:id="323"/>
    </w:p>
    <w:bookmarkEnd w:id="318"/>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1926"/>
        <w:gridCol w:w="845"/>
        <w:gridCol w:w="764"/>
        <w:gridCol w:w="764"/>
        <w:gridCol w:w="750"/>
        <w:gridCol w:w="886"/>
        <w:gridCol w:w="1766"/>
        <w:gridCol w:w="1087"/>
      </w:tblGrid>
      <w:tr w14:paraId="2DEF0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6" w:type="dxa"/>
            <w:noWrap/>
            <w:vAlign w:val="center"/>
          </w:tcPr>
          <w:p w14:paraId="26DF98AA">
            <w:pPr>
              <w:pStyle w:val="19"/>
              <w:overflowPunct w:val="0"/>
              <w:jc w:val="center"/>
              <w:rPr>
                <w:rFonts w:ascii="宋体" w:hAnsi="宋体" w:eastAsia="宋体" w:cs="宋体"/>
                <w:sz w:val="24"/>
                <w:szCs w:val="24"/>
                <w:highlight w:val="none"/>
              </w:rPr>
            </w:pPr>
            <w:r>
              <w:rPr>
                <w:rFonts w:hint="eastAsia" w:ascii="宋体" w:hAnsi="宋体" w:eastAsia="宋体" w:cs="宋体"/>
                <w:sz w:val="24"/>
                <w:szCs w:val="24"/>
                <w:highlight w:val="none"/>
              </w:rPr>
              <w:t>序号</w:t>
            </w:r>
          </w:p>
        </w:tc>
        <w:tc>
          <w:tcPr>
            <w:tcW w:w="1926" w:type="dxa"/>
            <w:noWrap/>
            <w:vAlign w:val="center"/>
          </w:tcPr>
          <w:p w14:paraId="312FC08D">
            <w:pPr>
              <w:pStyle w:val="31"/>
              <w:jc w:val="center"/>
              <w:rPr>
                <w:rFonts w:ascii="宋体" w:hAnsi="宋体" w:cs="宋体"/>
                <w:sz w:val="24"/>
                <w:szCs w:val="24"/>
                <w:highlight w:val="none"/>
              </w:rPr>
            </w:pPr>
            <w:r>
              <w:rPr>
                <w:rFonts w:hint="eastAsia" w:ascii="宋体" w:hAnsi="宋体" w:cs="宋体"/>
                <w:sz w:val="24"/>
                <w:szCs w:val="24"/>
                <w:highlight w:val="none"/>
              </w:rPr>
              <w:t>项目组所任职务</w:t>
            </w:r>
          </w:p>
        </w:tc>
        <w:tc>
          <w:tcPr>
            <w:tcW w:w="845" w:type="dxa"/>
            <w:noWrap/>
            <w:vAlign w:val="center"/>
          </w:tcPr>
          <w:p w14:paraId="7598431A">
            <w:pPr>
              <w:pStyle w:val="31"/>
              <w:jc w:val="center"/>
              <w:rPr>
                <w:rFonts w:ascii="宋体" w:hAnsi="宋体" w:cs="宋体"/>
                <w:sz w:val="24"/>
                <w:szCs w:val="24"/>
                <w:highlight w:val="none"/>
              </w:rPr>
            </w:pPr>
            <w:r>
              <w:rPr>
                <w:rFonts w:hint="eastAsia" w:ascii="宋体" w:hAnsi="宋体" w:cs="宋体"/>
                <w:sz w:val="24"/>
                <w:szCs w:val="24"/>
                <w:highlight w:val="none"/>
              </w:rPr>
              <w:t>姓名</w:t>
            </w:r>
          </w:p>
        </w:tc>
        <w:tc>
          <w:tcPr>
            <w:tcW w:w="764" w:type="dxa"/>
            <w:noWrap/>
            <w:vAlign w:val="center"/>
          </w:tcPr>
          <w:p w14:paraId="02B48B39">
            <w:pPr>
              <w:pStyle w:val="31"/>
              <w:jc w:val="center"/>
              <w:rPr>
                <w:rFonts w:ascii="宋体" w:hAnsi="宋体" w:cs="宋体"/>
                <w:sz w:val="24"/>
                <w:szCs w:val="24"/>
                <w:highlight w:val="none"/>
              </w:rPr>
            </w:pPr>
            <w:r>
              <w:rPr>
                <w:rFonts w:hint="eastAsia" w:ascii="宋体" w:hAnsi="宋体" w:cs="宋体"/>
                <w:sz w:val="24"/>
                <w:szCs w:val="24"/>
                <w:highlight w:val="none"/>
              </w:rPr>
              <w:t>年龄</w:t>
            </w:r>
          </w:p>
        </w:tc>
        <w:tc>
          <w:tcPr>
            <w:tcW w:w="764" w:type="dxa"/>
            <w:noWrap/>
            <w:vAlign w:val="center"/>
          </w:tcPr>
          <w:p w14:paraId="341489DC">
            <w:pPr>
              <w:pStyle w:val="31"/>
              <w:jc w:val="center"/>
              <w:rPr>
                <w:rFonts w:ascii="宋体" w:hAnsi="宋体" w:cs="宋体"/>
                <w:sz w:val="24"/>
                <w:szCs w:val="24"/>
                <w:highlight w:val="none"/>
              </w:rPr>
            </w:pPr>
            <w:r>
              <w:rPr>
                <w:rFonts w:hint="eastAsia" w:ascii="宋体" w:hAnsi="宋体" w:cs="宋体"/>
                <w:sz w:val="24"/>
                <w:szCs w:val="24"/>
                <w:highlight w:val="none"/>
              </w:rPr>
              <w:t>职称</w:t>
            </w:r>
          </w:p>
        </w:tc>
        <w:tc>
          <w:tcPr>
            <w:tcW w:w="750" w:type="dxa"/>
            <w:noWrap/>
            <w:vAlign w:val="center"/>
          </w:tcPr>
          <w:p w14:paraId="3138A3CD">
            <w:pPr>
              <w:pStyle w:val="31"/>
              <w:jc w:val="center"/>
              <w:rPr>
                <w:rFonts w:ascii="宋体" w:hAnsi="宋体" w:cs="宋体"/>
                <w:sz w:val="24"/>
                <w:szCs w:val="24"/>
                <w:highlight w:val="none"/>
              </w:rPr>
            </w:pPr>
            <w:r>
              <w:rPr>
                <w:rFonts w:hint="eastAsia" w:ascii="宋体" w:hAnsi="宋体" w:cs="宋体"/>
                <w:sz w:val="24"/>
                <w:szCs w:val="24"/>
                <w:highlight w:val="none"/>
              </w:rPr>
              <w:t>专业</w:t>
            </w:r>
          </w:p>
        </w:tc>
        <w:tc>
          <w:tcPr>
            <w:tcW w:w="886" w:type="dxa"/>
            <w:noWrap/>
            <w:vAlign w:val="center"/>
          </w:tcPr>
          <w:p w14:paraId="4C731CD9">
            <w:pPr>
              <w:pStyle w:val="31"/>
              <w:jc w:val="center"/>
              <w:rPr>
                <w:rFonts w:ascii="宋体" w:hAnsi="宋体" w:cs="宋体"/>
                <w:sz w:val="24"/>
                <w:szCs w:val="24"/>
                <w:highlight w:val="none"/>
              </w:rPr>
            </w:pPr>
            <w:r>
              <w:rPr>
                <w:rFonts w:hint="eastAsia" w:ascii="宋体" w:hAnsi="宋体" w:cs="宋体"/>
                <w:sz w:val="24"/>
                <w:szCs w:val="24"/>
                <w:highlight w:val="none"/>
              </w:rPr>
              <w:t>学历</w:t>
            </w:r>
          </w:p>
        </w:tc>
        <w:tc>
          <w:tcPr>
            <w:tcW w:w="1766" w:type="dxa"/>
            <w:noWrap/>
            <w:vAlign w:val="center"/>
          </w:tcPr>
          <w:p w14:paraId="1B5C067A">
            <w:pPr>
              <w:pStyle w:val="31"/>
              <w:jc w:val="center"/>
              <w:rPr>
                <w:rFonts w:ascii="宋体" w:hAnsi="宋体" w:cs="宋体"/>
                <w:sz w:val="24"/>
                <w:szCs w:val="24"/>
                <w:highlight w:val="none"/>
              </w:rPr>
            </w:pPr>
            <w:r>
              <w:rPr>
                <w:rFonts w:hint="eastAsia" w:ascii="宋体" w:hAnsi="宋体" w:cs="宋体"/>
                <w:sz w:val="24"/>
                <w:szCs w:val="24"/>
                <w:highlight w:val="none"/>
              </w:rPr>
              <w:t>典型业务</w:t>
            </w:r>
          </w:p>
          <w:p w14:paraId="3EFFE483">
            <w:pPr>
              <w:pStyle w:val="31"/>
              <w:jc w:val="center"/>
              <w:rPr>
                <w:rFonts w:ascii="宋体" w:hAnsi="宋体" w:cs="宋体"/>
                <w:sz w:val="24"/>
                <w:szCs w:val="24"/>
                <w:highlight w:val="none"/>
              </w:rPr>
            </w:pPr>
            <w:r>
              <w:rPr>
                <w:rFonts w:hint="eastAsia" w:ascii="宋体" w:hAnsi="宋体" w:cs="宋体"/>
                <w:sz w:val="24"/>
                <w:szCs w:val="24"/>
                <w:highlight w:val="none"/>
              </w:rPr>
              <w:t>与技术专长</w:t>
            </w:r>
          </w:p>
        </w:tc>
        <w:tc>
          <w:tcPr>
            <w:tcW w:w="1087" w:type="dxa"/>
            <w:noWrap/>
            <w:vAlign w:val="center"/>
          </w:tcPr>
          <w:p w14:paraId="443D7A78">
            <w:pPr>
              <w:pStyle w:val="19"/>
              <w:overflowPunct w:val="0"/>
              <w:jc w:val="center"/>
              <w:rPr>
                <w:rFonts w:ascii="宋体" w:hAnsi="宋体" w:eastAsia="宋体" w:cs="宋体"/>
                <w:sz w:val="24"/>
                <w:szCs w:val="24"/>
                <w:highlight w:val="none"/>
              </w:rPr>
            </w:pPr>
            <w:r>
              <w:rPr>
                <w:rFonts w:hint="eastAsia" w:ascii="宋体" w:hAnsi="宋体" w:eastAsia="宋体" w:cs="宋体"/>
                <w:sz w:val="24"/>
                <w:szCs w:val="24"/>
                <w:highlight w:val="none"/>
              </w:rPr>
              <w:t>备  注</w:t>
            </w:r>
          </w:p>
        </w:tc>
      </w:tr>
      <w:tr w14:paraId="00517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noWrap/>
            <w:vAlign w:val="center"/>
          </w:tcPr>
          <w:p w14:paraId="00259FFD">
            <w:pPr>
              <w:pStyle w:val="19"/>
              <w:overflowPunct w:val="0"/>
              <w:jc w:val="center"/>
              <w:rPr>
                <w:rFonts w:ascii="宋体" w:hAnsi="宋体" w:eastAsia="宋体" w:cs="宋体"/>
                <w:sz w:val="24"/>
                <w:szCs w:val="24"/>
                <w:highlight w:val="none"/>
              </w:rPr>
            </w:pPr>
            <w:r>
              <w:rPr>
                <w:rFonts w:hint="eastAsia" w:ascii="宋体" w:hAnsi="宋体" w:eastAsia="宋体" w:cs="宋体"/>
                <w:sz w:val="24"/>
                <w:szCs w:val="24"/>
                <w:highlight w:val="none"/>
              </w:rPr>
              <w:t>1</w:t>
            </w:r>
          </w:p>
        </w:tc>
        <w:tc>
          <w:tcPr>
            <w:tcW w:w="1926" w:type="dxa"/>
            <w:noWrap/>
            <w:vAlign w:val="center"/>
          </w:tcPr>
          <w:p w14:paraId="50BE0A06">
            <w:pPr>
              <w:pStyle w:val="19"/>
              <w:overflowPunct w:val="0"/>
              <w:jc w:val="center"/>
              <w:rPr>
                <w:rFonts w:ascii="宋体" w:hAnsi="宋体" w:eastAsia="宋体" w:cs="宋体"/>
                <w:sz w:val="24"/>
                <w:szCs w:val="24"/>
                <w:highlight w:val="none"/>
              </w:rPr>
            </w:pPr>
          </w:p>
        </w:tc>
        <w:tc>
          <w:tcPr>
            <w:tcW w:w="845" w:type="dxa"/>
            <w:noWrap/>
            <w:vAlign w:val="center"/>
          </w:tcPr>
          <w:p w14:paraId="38D72795">
            <w:pPr>
              <w:pStyle w:val="19"/>
              <w:overflowPunct w:val="0"/>
              <w:jc w:val="center"/>
              <w:rPr>
                <w:rFonts w:ascii="宋体" w:hAnsi="宋体" w:eastAsia="宋体" w:cs="宋体"/>
                <w:sz w:val="24"/>
                <w:szCs w:val="24"/>
                <w:highlight w:val="none"/>
              </w:rPr>
            </w:pPr>
          </w:p>
        </w:tc>
        <w:tc>
          <w:tcPr>
            <w:tcW w:w="764" w:type="dxa"/>
            <w:noWrap/>
            <w:vAlign w:val="center"/>
          </w:tcPr>
          <w:p w14:paraId="2D628BFE">
            <w:pPr>
              <w:pStyle w:val="19"/>
              <w:overflowPunct w:val="0"/>
              <w:jc w:val="center"/>
              <w:rPr>
                <w:rFonts w:ascii="宋体" w:hAnsi="宋体" w:eastAsia="宋体" w:cs="宋体"/>
                <w:sz w:val="24"/>
                <w:szCs w:val="24"/>
                <w:highlight w:val="none"/>
              </w:rPr>
            </w:pPr>
          </w:p>
        </w:tc>
        <w:tc>
          <w:tcPr>
            <w:tcW w:w="764" w:type="dxa"/>
            <w:noWrap/>
            <w:vAlign w:val="center"/>
          </w:tcPr>
          <w:p w14:paraId="5BA0F33C">
            <w:pPr>
              <w:pStyle w:val="19"/>
              <w:overflowPunct w:val="0"/>
              <w:jc w:val="center"/>
              <w:rPr>
                <w:rFonts w:ascii="宋体" w:hAnsi="宋体" w:eastAsia="宋体" w:cs="宋体"/>
                <w:sz w:val="24"/>
                <w:szCs w:val="24"/>
                <w:highlight w:val="none"/>
              </w:rPr>
            </w:pPr>
          </w:p>
        </w:tc>
        <w:tc>
          <w:tcPr>
            <w:tcW w:w="750" w:type="dxa"/>
            <w:noWrap/>
            <w:vAlign w:val="center"/>
          </w:tcPr>
          <w:p w14:paraId="22AF12C1">
            <w:pPr>
              <w:pStyle w:val="19"/>
              <w:overflowPunct w:val="0"/>
              <w:jc w:val="center"/>
              <w:rPr>
                <w:rFonts w:ascii="宋体" w:hAnsi="宋体" w:eastAsia="宋体" w:cs="宋体"/>
                <w:sz w:val="24"/>
                <w:szCs w:val="24"/>
                <w:highlight w:val="none"/>
              </w:rPr>
            </w:pPr>
          </w:p>
        </w:tc>
        <w:tc>
          <w:tcPr>
            <w:tcW w:w="886" w:type="dxa"/>
            <w:noWrap/>
            <w:vAlign w:val="center"/>
          </w:tcPr>
          <w:p w14:paraId="17F1672E">
            <w:pPr>
              <w:pStyle w:val="19"/>
              <w:overflowPunct w:val="0"/>
              <w:jc w:val="center"/>
              <w:rPr>
                <w:rFonts w:ascii="宋体" w:hAnsi="宋体" w:eastAsia="宋体" w:cs="宋体"/>
                <w:sz w:val="24"/>
                <w:szCs w:val="24"/>
                <w:highlight w:val="none"/>
              </w:rPr>
            </w:pPr>
          </w:p>
        </w:tc>
        <w:tc>
          <w:tcPr>
            <w:tcW w:w="1766" w:type="dxa"/>
            <w:noWrap/>
            <w:vAlign w:val="center"/>
          </w:tcPr>
          <w:p w14:paraId="371778AB">
            <w:pPr>
              <w:pStyle w:val="19"/>
              <w:overflowPunct w:val="0"/>
              <w:jc w:val="center"/>
              <w:rPr>
                <w:rFonts w:ascii="宋体" w:hAnsi="宋体" w:eastAsia="宋体" w:cs="宋体"/>
                <w:sz w:val="24"/>
                <w:szCs w:val="24"/>
                <w:highlight w:val="none"/>
              </w:rPr>
            </w:pPr>
          </w:p>
        </w:tc>
        <w:tc>
          <w:tcPr>
            <w:tcW w:w="1087" w:type="dxa"/>
            <w:noWrap/>
            <w:vAlign w:val="center"/>
          </w:tcPr>
          <w:p w14:paraId="4A3F9FE0">
            <w:pPr>
              <w:pStyle w:val="19"/>
              <w:overflowPunct w:val="0"/>
              <w:jc w:val="center"/>
              <w:rPr>
                <w:rFonts w:ascii="宋体" w:hAnsi="宋体" w:eastAsia="宋体" w:cs="宋体"/>
                <w:sz w:val="24"/>
                <w:szCs w:val="24"/>
                <w:highlight w:val="none"/>
              </w:rPr>
            </w:pPr>
          </w:p>
        </w:tc>
      </w:tr>
      <w:tr w14:paraId="23C7C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noWrap/>
            <w:vAlign w:val="center"/>
          </w:tcPr>
          <w:p w14:paraId="4783EA46">
            <w:pPr>
              <w:pStyle w:val="19"/>
              <w:overflowPunct w:val="0"/>
              <w:jc w:val="center"/>
              <w:rPr>
                <w:rFonts w:ascii="宋体" w:hAnsi="宋体" w:eastAsia="宋体" w:cs="宋体"/>
                <w:sz w:val="24"/>
                <w:szCs w:val="24"/>
                <w:highlight w:val="none"/>
              </w:rPr>
            </w:pPr>
            <w:r>
              <w:rPr>
                <w:rFonts w:hint="eastAsia" w:ascii="宋体" w:hAnsi="宋体" w:eastAsia="宋体" w:cs="宋体"/>
                <w:sz w:val="24"/>
                <w:szCs w:val="24"/>
                <w:highlight w:val="none"/>
              </w:rPr>
              <w:t>2</w:t>
            </w:r>
          </w:p>
        </w:tc>
        <w:tc>
          <w:tcPr>
            <w:tcW w:w="1926" w:type="dxa"/>
            <w:noWrap/>
            <w:vAlign w:val="center"/>
          </w:tcPr>
          <w:p w14:paraId="18079FA4">
            <w:pPr>
              <w:pStyle w:val="19"/>
              <w:overflowPunct w:val="0"/>
              <w:jc w:val="center"/>
              <w:rPr>
                <w:rFonts w:ascii="宋体" w:hAnsi="宋体" w:eastAsia="宋体" w:cs="宋体"/>
                <w:sz w:val="24"/>
                <w:szCs w:val="24"/>
                <w:highlight w:val="none"/>
              </w:rPr>
            </w:pPr>
          </w:p>
        </w:tc>
        <w:tc>
          <w:tcPr>
            <w:tcW w:w="845" w:type="dxa"/>
            <w:noWrap/>
            <w:vAlign w:val="center"/>
          </w:tcPr>
          <w:p w14:paraId="3728B276">
            <w:pPr>
              <w:pStyle w:val="19"/>
              <w:overflowPunct w:val="0"/>
              <w:jc w:val="center"/>
              <w:rPr>
                <w:rFonts w:ascii="宋体" w:hAnsi="宋体" w:eastAsia="宋体" w:cs="宋体"/>
                <w:sz w:val="24"/>
                <w:szCs w:val="24"/>
                <w:highlight w:val="none"/>
              </w:rPr>
            </w:pPr>
          </w:p>
        </w:tc>
        <w:tc>
          <w:tcPr>
            <w:tcW w:w="764" w:type="dxa"/>
            <w:noWrap/>
            <w:vAlign w:val="center"/>
          </w:tcPr>
          <w:p w14:paraId="63EA4E8E">
            <w:pPr>
              <w:pStyle w:val="19"/>
              <w:overflowPunct w:val="0"/>
              <w:jc w:val="center"/>
              <w:rPr>
                <w:rFonts w:ascii="宋体" w:hAnsi="宋体" w:eastAsia="宋体" w:cs="宋体"/>
                <w:sz w:val="24"/>
                <w:szCs w:val="24"/>
                <w:highlight w:val="none"/>
              </w:rPr>
            </w:pPr>
          </w:p>
        </w:tc>
        <w:tc>
          <w:tcPr>
            <w:tcW w:w="764" w:type="dxa"/>
            <w:noWrap/>
            <w:vAlign w:val="center"/>
          </w:tcPr>
          <w:p w14:paraId="0880DF71">
            <w:pPr>
              <w:pStyle w:val="19"/>
              <w:overflowPunct w:val="0"/>
              <w:jc w:val="center"/>
              <w:rPr>
                <w:rFonts w:ascii="宋体" w:hAnsi="宋体" w:eastAsia="宋体" w:cs="宋体"/>
                <w:sz w:val="24"/>
                <w:szCs w:val="24"/>
                <w:highlight w:val="none"/>
              </w:rPr>
            </w:pPr>
          </w:p>
        </w:tc>
        <w:tc>
          <w:tcPr>
            <w:tcW w:w="750" w:type="dxa"/>
            <w:noWrap/>
            <w:vAlign w:val="center"/>
          </w:tcPr>
          <w:p w14:paraId="3B2AEB46">
            <w:pPr>
              <w:pStyle w:val="19"/>
              <w:overflowPunct w:val="0"/>
              <w:jc w:val="center"/>
              <w:rPr>
                <w:rFonts w:ascii="宋体" w:hAnsi="宋体" w:eastAsia="宋体" w:cs="宋体"/>
                <w:sz w:val="24"/>
                <w:szCs w:val="24"/>
                <w:highlight w:val="none"/>
              </w:rPr>
            </w:pPr>
          </w:p>
        </w:tc>
        <w:tc>
          <w:tcPr>
            <w:tcW w:w="886" w:type="dxa"/>
            <w:noWrap/>
            <w:vAlign w:val="center"/>
          </w:tcPr>
          <w:p w14:paraId="0EF00527">
            <w:pPr>
              <w:pStyle w:val="19"/>
              <w:overflowPunct w:val="0"/>
              <w:jc w:val="center"/>
              <w:rPr>
                <w:rFonts w:ascii="宋体" w:hAnsi="宋体" w:eastAsia="宋体" w:cs="宋体"/>
                <w:sz w:val="24"/>
                <w:szCs w:val="24"/>
                <w:highlight w:val="none"/>
              </w:rPr>
            </w:pPr>
          </w:p>
        </w:tc>
        <w:tc>
          <w:tcPr>
            <w:tcW w:w="1766" w:type="dxa"/>
            <w:noWrap/>
            <w:vAlign w:val="center"/>
          </w:tcPr>
          <w:p w14:paraId="00FD6830">
            <w:pPr>
              <w:pStyle w:val="19"/>
              <w:overflowPunct w:val="0"/>
              <w:jc w:val="center"/>
              <w:rPr>
                <w:rFonts w:ascii="宋体" w:hAnsi="宋体" w:eastAsia="宋体" w:cs="宋体"/>
                <w:sz w:val="24"/>
                <w:szCs w:val="24"/>
                <w:highlight w:val="none"/>
              </w:rPr>
            </w:pPr>
          </w:p>
        </w:tc>
        <w:tc>
          <w:tcPr>
            <w:tcW w:w="1087" w:type="dxa"/>
            <w:noWrap/>
            <w:vAlign w:val="center"/>
          </w:tcPr>
          <w:p w14:paraId="737CE5A6">
            <w:pPr>
              <w:pStyle w:val="19"/>
              <w:overflowPunct w:val="0"/>
              <w:jc w:val="center"/>
              <w:rPr>
                <w:rFonts w:ascii="宋体" w:hAnsi="宋体" w:eastAsia="宋体" w:cs="宋体"/>
                <w:sz w:val="24"/>
                <w:szCs w:val="24"/>
                <w:highlight w:val="none"/>
              </w:rPr>
            </w:pPr>
          </w:p>
        </w:tc>
      </w:tr>
      <w:tr w14:paraId="0C255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noWrap/>
            <w:vAlign w:val="center"/>
          </w:tcPr>
          <w:p w14:paraId="0CB65B9D">
            <w:pPr>
              <w:pStyle w:val="19"/>
              <w:overflowPunct w:val="0"/>
              <w:jc w:val="center"/>
              <w:rPr>
                <w:rFonts w:ascii="宋体" w:hAnsi="宋体" w:eastAsia="宋体" w:cs="宋体"/>
                <w:sz w:val="24"/>
                <w:szCs w:val="24"/>
                <w:highlight w:val="none"/>
              </w:rPr>
            </w:pPr>
            <w:r>
              <w:rPr>
                <w:rFonts w:hint="eastAsia" w:ascii="宋体" w:hAnsi="宋体" w:eastAsia="宋体" w:cs="宋体"/>
                <w:sz w:val="24"/>
                <w:szCs w:val="24"/>
                <w:highlight w:val="none"/>
              </w:rPr>
              <w:t>3</w:t>
            </w:r>
          </w:p>
        </w:tc>
        <w:tc>
          <w:tcPr>
            <w:tcW w:w="1926" w:type="dxa"/>
            <w:noWrap/>
            <w:vAlign w:val="center"/>
          </w:tcPr>
          <w:p w14:paraId="2550F914">
            <w:pPr>
              <w:pStyle w:val="19"/>
              <w:overflowPunct w:val="0"/>
              <w:jc w:val="center"/>
              <w:rPr>
                <w:rFonts w:ascii="宋体" w:hAnsi="宋体" w:eastAsia="宋体" w:cs="宋体"/>
                <w:sz w:val="24"/>
                <w:szCs w:val="24"/>
                <w:highlight w:val="none"/>
              </w:rPr>
            </w:pPr>
          </w:p>
        </w:tc>
        <w:tc>
          <w:tcPr>
            <w:tcW w:w="845" w:type="dxa"/>
            <w:noWrap/>
            <w:vAlign w:val="center"/>
          </w:tcPr>
          <w:p w14:paraId="65A2BDAD">
            <w:pPr>
              <w:pStyle w:val="19"/>
              <w:overflowPunct w:val="0"/>
              <w:jc w:val="center"/>
              <w:rPr>
                <w:rFonts w:ascii="宋体" w:hAnsi="宋体" w:eastAsia="宋体" w:cs="宋体"/>
                <w:sz w:val="24"/>
                <w:szCs w:val="24"/>
                <w:highlight w:val="none"/>
              </w:rPr>
            </w:pPr>
          </w:p>
        </w:tc>
        <w:tc>
          <w:tcPr>
            <w:tcW w:w="764" w:type="dxa"/>
            <w:noWrap/>
            <w:vAlign w:val="center"/>
          </w:tcPr>
          <w:p w14:paraId="093D2F89">
            <w:pPr>
              <w:pStyle w:val="19"/>
              <w:overflowPunct w:val="0"/>
              <w:jc w:val="center"/>
              <w:rPr>
                <w:rFonts w:ascii="宋体" w:hAnsi="宋体" w:eastAsia="宋体" w:cs="宋体"/>
                <w:sz w:val="24"/>
                <w:szCs w:val="24"/>
                <w:highlight w:val="none"/>
              </w:rPr>
            </w:pPr>
          </w:p>
        </w:tc>
        <w:tc>
          <w:tcPr>
            <w:tcW w:w="764" w:type="dxa"/>
            <w:noWrap/>
            <w:vAlign w:val="center"/>
          </w:tcPr>
          <w:p w14:paraId="3AC07BBA">
            <w:pPr>
              <w:pStyle w:val="19"/>
              <w:overflowPunct w:val="0"/>
              <w:jc w:val="center"/>
              <w:rPr>
                <w:rFonts w:ascii="宋体" w:hAnsi="宋体" w:eastAsia="宋体" w:cs="宋体"/>
                <w:sz w:val="24"/>
                <w:szCs w:val="24"/>
                <w:highlight w:val="none"/>
              </w:rPr>
            </w:pPr>
          </w:p>
        </w:tc>
        <w:tc>
          <w:tcPr>
            <w:tcW w:w="750" w:type="dxa"/>
            <w:noWrap/>
            <w:vAlign w:val="center"/>
          </w:tcPr>
          <w:p w14:paraId="5F270BC4">
            <w:pPr>
              <w:pStyle w:val="19"/>
              <w:overflowPunct w:val="0"/>
              <w:jc w:val="center"/>
              <w:rPr>
                <w:rFonts w:ascii="宋体" w:hAnsi="宋体" w:eastAsia="宋体" w:cs="宋体"/>
                <w:sz w:val="24"/>
                <w:szCs w:val="24"/>
                <w:highlight w:val="none"/>
              </w:rPr>
            </w:pPr>
          </w:p>
        </w:tc>
        <w:tc>
          <w:tcPr>
            <w:tcW w:w="886" w:type="dxa"/>
            <w:noWrap/>
            <w:vAlign w:val="center"/>
          </w:tcPr>
          <w:p w14:paraId="650241AA">
            <w:pPr>
              <w:pStyle w:val="19"/>
              <w:overflowPunct w:val="0"/>
              <w:jc w:val="center"/>
              <w:rPr>
                <w:rFonts w:ascii="宋体" w:hAnsi="宋体" w:eastAsia="宋体" w:cs="宋体"/>
                <w:sz w:val="24"/>
                <w:szCs w:val="24"/>
                <w:highlight w:val="none"/>
              </w:rPr>
            </w:pPr>
          </w:p>
        </w:tc>
        <w:tc>
          <w:tcPr>
            <w:tcW w:w="1766" w:type="dxa"/>
            <w:noWrap/>
            <w:vAlign w:val="center"/>
          </w:tcPr>
          <w:p w14:paraId="0F1D097E">
            <w:pPr>
              <w:pStyle w:val="19"/>
              <w:overflowPunct w:val="0"/>
              <w:jc w:val="center"/>
              <w:rPr>
                <w:rFonts w:ascii="宋体" w:hAnsi="宋体" w:eastAsia="宋体" w:cs="宋体"/>
                <w:sz w:val="24"/>
                <w:szCs w:val="24"/>
                <w:highlight w:val="none"/>
              </w:rPr>
            </w:pPr>
          </w:p>
        </w:tc>
        <w:tc>
          <w:tcPr>
            <w:tcW w:w="1087" w:type="dxa"/>
            <w:noWrap/>
            <w:vAlign w:val="center"/>
          </w:tcPr>
          <w:p w14:paraId="7D659C91">
            <w:pPr>
              <w:pStyle w:val="19"/>
              <w:overflowPunct w:val="0"/>
              <w:jc w:val="center"/>
              <w:rPr>
                <w:rFonts w:ascii="宋体" w:hAnsi="宋体" w:eastAsia="宋体" w:cs="宋体"/>
                <w:sz w:val="24"/>
                <w:szCs w:val="24"/>
                <w:highlight w:val="none"/>
              </w:rPr>
            </w:pPr>
          </w:p>
        </w:tc>
      </w:tr>
      <w:tr w14:paraId="66A45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noWrap/>
            <w:vAlign w:val="center"/>
          </w:tcPr>
          <w:p w14:paraId="4BCE7BDE">
            <w:pPr>
              <w:pStyle w:val="19"/>
              <w:overflowPunct w:val="0"/>
              <w:jc w:val="center"/>
              <w:rPr>
                <w:rFonts w:ascii="宋体" w:hAnsi="宋体" w:eastAsia="宋体" w:cs="宋体"/>
                <w:sz w:val="24"/>
                <w:szCs w:val="24"/>
                <w:highlight w:val="none"/>
              </w:rPr>
            </w:pPr>
            <w:r>
              <w:rPr>
                <w:rFonts w:hint="eastAsia" w:ascii="宋体" w:hAnsi="宋体" w:eastAsia="宋体" w:cs="宋体"/>
                <w:sz w:val="24"/>
                <w:szCs w:val="24"/>
                <w:highlight w:val="none"/>
              </w:rPr>
              <w:t>4</w:t>
            </w:r>
          </w:p>
        </w:tc>
        <w:tc>
          <w:tcPr>
            <w:tcW w:w="1926" w:type="dxa"/>
            <w:noWrap/>
            <w:vAlign w:val="center"/>
          </w:tcPr>
          <w:p w14:paraId="28654D66">
            <w:pPr>
              <w:pStyle w:val="19"/>
              <w:overflowPunct w:val="0"/>
              <w:jc w:val="center"/>
              <w:rPr>
                <w:rFonts w:ascii="宋体" w:hAnsi="宋体" w:eastAsia="宋体" w:cs="宋体"/>
                <w:sz w:val="24"/>
                <w:szCs w:val="24"/>
                <w:highlight w:val="none"/>
              </w:rPr>
            </w:pPr>
          </w:p>
        </w:tc>
        <w:tc>
          <w:tcPr>
            <w:tcW w:w="845" w:type="dxa"/>
            <w:noWrap/>
            <w:vAlign w:val="center"/>
          </w:tcPr>
          <w:p w14:paraId="29EF84EE">
            <w:pPr>
              <w:pStyle w:val="19"/>
              <w:overflowPunct w:val="0"/>
              <w:jc w:val="center"/>
              <w:rPr>
                <w:rFonts w:ascii="宋体" w:hAnsi="宋体" w:eastAsia="宋体" w:cs="宋体"/>
                <w:sz w:val="24"/>
                <w:szCs w:val="24"/>
                <w:highlight w:val="none"/>
              </w:rPr>
            </w:pPr>
          </w:p>
        </w:tc>
        <w:tc>
          <w:tcPr>
            <w:tcW w:w="764" w:type="dxa"/>
            <w:noWrap/>
            <w:vAlign w:val="center"/>
          </w:tcPr>
          <w:p w14:paraId="44ED0599">
            <w:pPr>
              <w:pStyle w:val="19"/>
              <w:overflowPunct w:val="0"/>
              <w:jc w:val="center"/>
              <w:rPr>
                <w:rFonts w:ascii="宋体" w:hAnsi="宋体" w:eastAsia="宋体" w:cs="宋体"/>
                <w:sz w:val="24"/>
                <w:szCs w:val="24"/>
                <w:highlight w:val="none"/>
              </w:rPr>
            </w:pPr>
          </w:p>
        </w:tc>
        <w:tc>
          <w:tcPr>
            <w:tcW w:w="764" w:type="dxa"/>
            <w:noWrap/>
            <w:vAlign w:val="center"/>
          </w:tcPr>
          <w:p w14:paraId="057BEC2D">
            <w:pPr>
              <w:pStyle w:val="19"/>
              <w:overflowPunct w:val="0"/>
              <w:jc w:val="center"/>
              <w:rPr>
                <w:rFonts w:ascii="宋体" w:hAnsi="宋体" w:eastAsia="宋体" w:cs="宋体"/>
                <w:sz w:val="24"/>
                <w:szCs w:val="24"/>
                <w:highlight w:val="none"/>
              </w:rPr>
            </w:pPr>
          </w:p>
        </w:tc>
        <w:tc>
          <w:tcPr>
            <w:tcW w:w="750" w:type="dxa"/>
            <w:noWrap/>
            <w:vAlign w:val="center"/>
          </w:tcPr>
          <w:p w14:paraId="631EE4BE">
            <w:pPr>
              <w:pStyle w:val="19"/>
              <w:overflowPunct w:val="0"/>
              <w:jc w:val="center"/>
              <w:rPr>
                <w:rFonts w:ascii="宋体" w:hAnsi="宋体" w:eastAsia="宋体" w:cs="宋体"/>
                <w:sz w:val="24"/>
                <w:szCs w:val="24"/>
                <w:highlight w:val="none"/>
              </w:rPr>
            </w:pPr>
          </w:p>
        </w:tc>
        <w:tc>
          <w:tcPr>
            <w:tcW w:w="886" w:type="dxa"/>
            <w:noWrap/>
            <w:vAlign w:val="center"/>
          </w:tcPr>
          <w:p w14:paraId="69493C24">
            <w:pPr>
              <w:pStyle w:val="19"/>
              <w:overflowPunct w:val="0"/>
              <w:jc w:val="center"/>
              <w:rPr>
                <w:rFonts w:ascii="宋体" w:hAnsi="宋体" w:eastAsia="宋体" w:cs="宋体"/>
                <w:sz w:val="24"/>
                <w:szCs w:val="24"/>
                <w:highlight w:val="none"/>
              </w:rPr>
            </w:pPr>
          </w:p>
        </w:tc>
        <w:tc>
          <w:tcPr>
            <w:tcW w:w="1766" w:type="dxa"/>
            <w:noWrap/>
            <w:vAlign w:val="center"/>
          </w:tcPr>
          <w:p w14:paraId="2CDEE4FD">
            <w:pPr>
              <w:pStyle w:val="19"/>
              <w:overflowPunct w:val="0"/>
              <w:jc w:val="center"/>
              <w:rPr>
                <w:rFonts w:ascii="宋体" w:hAnsi="宋体" w:eastAsia="宋体" w:cs="宋体"/>
                <w:sz w:val="24"/>
                <w:szCs w:val="24"/>
                <w:highlight w:val="none"/>
              </w:rPr>
            </w:pPr>
          </w:p>
        </w:tc>
        <w:tc>
          <w:tcPr>
            <w:tcW w:w="1087" w:type="dxa"/>
            <w:noWrap/>
            <w:vAlign w:val="center"/>
          </w:tcPr>
          <w:p w14:paraId="1185BAA7">
            <w:pPr>
              <w:pStyle w:val="19"/>
              <w:overflowPunct w:val="0"/>
              <w:jc w:val="center"/>
              <w:rPr>
                <w:rFonts w:ascii="宋体" w:hAnsi="宋体" w:eastAsia="宋体" w:cs="宋体"/>
                <w:sz w:val="24"/>
                <w:szCs w:val="24"/>
                <w:highlight w:val="none"/>
              </w:rPr>
            </w:pPr>
          </w:p>
        </w:tc>
      </w:tr>
      <w:tr w14:paraId="121A6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noWrap/>
            <w:vAlign w:val="center"/>
          </w:tcPr>
          <w:p w14:paraId="736764A0">
            <w:pPr>
              <w:pStyle w:val="19"/>
              <w:overflowPunct w:val="0"/>
              <w:jc w:val="center"/>
              <w:rPr>
                <w:rFonts w:ascii="宋体" w:hAnsi="宋体" w:eastAsia="宋体" w:cs="宋体"/>
                <w:sz w:val="24"/>
                <w:szCs w:val="24"/>
                <w:highlight w:val="none"/>
              </w:rPr>
            </w:pPr>
            <w:r>
              <w:rPr>
                <w:rFonts w:hint="eastAsia" w:ascii="宋体" w:hAnsi="宋体" w:eastAsia="宋体" w:cs="宋体"/>
                <w:sz w:val="24"/>
                <w:szCs w:val="24"/>
                <w:highlight w:val="none"/>
              </w:rPr>
              <w:t>…</w:t>
            </w:r>
          </w:p>
        </w:tc>
        <w:tc>
          <w:tcPr>
            <w:tcW w:w="1926" w:type="dxa"/>
            <w:tcBorders>
              <w:bottom w:val="single" w:color="auto" w:sz="4" w:space="0"/>
            </w:tcBorders>
            <w:noWrap/>
            <w:vAlign w:val="center"/>
          </w:tcPr>
          <w:p w14:paraId="62B27046">
            <w:pPr>
              <w:pStyle w:val="19"/>
              <w:overflowPunct w:val="0"/>
              <w:jc w:val="center"/>
              <w:rPr>
                <w:rFonts w:ascii="宋体" w:hAnsi="宋体" w:eastAsia="宋体" w:cs="宋体"/>
                <w:sz w:val="24"/>
                <w:szCs w:val="24"/>
                <w:highlight w:val="none"/>
              </w:rPr>
            </w:pPr>
          </w:p>
        </w:tc>
        <w:tc>
          <w:tcPr>
            <w:tcW w:w="845" w:type="dxa"/>
            <w:tcBorders>
              <w:bottom w:val="single" w:color="auto" w:sz="4" w:space="0"/>
            </w:tcBorders>
            <w:noWrap/>
            <w:vAlign w:val="center"/>
          </w:tcPr>
          <w:p w14:paraId="6965785E">
            <w:pPr>
              <w:pStyle w:val="19"/>
              <w:overflowPunct w:val="0"/>
              <w:jc w:val="center"/>
              <w:rPr>
                <w:rFonts w:ascii="宋体" w:hAnsi="宋体" w:eastAsia="宋体" w:cs="宋体"/>
                <w:sz w:val="24"/>
                <w:szCs w:val="24"/>
                <w:highlight w:val="none"/>
              </w:rPr>
            </w:pPr>
          </w:p>
        </w:tc>
        <w:tc>
          <w:tcPr>
            <w:tcW w:w="764" w:type="dxa"/>
            <w:tcBorders>
              <w:bottom w:val="single" w:color="auto" w:sz="4" w:space="0"/>
            </w:tcBorders>
            <w:noWrap/>
            <w:vAlign w:val="center"/>
          </w:tcPr>
          <w:p w14:paraId="371CB5AF">
            <w:pPr>
              <w:pStyle w:val="19"/>
              <w:overflowPunct w:val="0"/>
              <w:jc w:val="center"/>
              <w:rPr>
                <w:rFonts w:ascii="宋体" w:hAnsi="宋体" w:eastAsia="宋体" w:cs="宋体"/>
                <w:sz w:val="24"/>
                <w:szCs w:val="24"/>
                <w:highlight w:val="none"/>
              </w:rPr>
            </w:pPr>
          </w:p>
        </w:tc>
        <w:tc>
          <w:tcPr>
            <w:tcW w:w="764" w:type="dxa"/>
            <w:tcBorders>
              <w:bottom w:val="single" w:color="auto" w:sz="4" w:space="0"/>
            </w:tcBorders>
            <w:noWrap/>
            <w:vAlign w:val="center"/>
          </w:tcPr>
          <w:p w14:paraId="1DE7DCDC">
            <w:pPr>
              <w:pStyle w:val="19"/>
              <w:overflowPunct w:val="0"/>
              <w:jc w:val="center"/>
              <w:rPr>
                <w:rFonts w:ascii="宋体" w:hAnsi="宋体" w:eastAsia="宋体" w:cs="宋体"/>
                <w:sz w:val="24"/>
                <w:szCs w:val="24"/>
                <w:highlight w:val="none"/>
              </w:rPr>
            </w:pPr>
          </w:p>
        </w:tc>
        <w:tc>
          <w:tcPr>
            <w:tcW w:w="750" w:type="dxa"/>
            <w:tcBorders>
              <w:bottom w:val="single" w:color="auto" w:sz="4" w:space="0"/>
            </w:tcBorders>
            <w:noWrap/>
            <w:vAlign w:val="center"/>
          </w:tcPr>
          <w:p w14:paraId="2B149B61">
            <w:pPr>
              <w:pStyle w:val="19"/>
              <w:overflowPunct w:val="0"/>
              <w:jc w:val="center"/>
              <w:rPr>
                <w:rFonts w:ascii="宋体" w:hAnsi="宋体" w:eastAsia="宋体" w:cs="宋体"/>
                <w:sz w:val="24"/>
                <w:szCs w:val="24"/>
                <w:highlight w:val="none"/>
              </w:rPr>
            </w:pPr>
          </w:p>
        </w:tc>
        <w:tc>
          <w:tcPr>
            <w:tcW w:w="886" w:type="dxa"/>
            <w:tcBorders>
              <w:bottom w:val="single" w:color="auto" w:sz="4" w:space="0"/>
            </w:tcBorders>
            <w:noWrap/>
            <w:vAlign w:val="center"/>
          </w:tcPr>
          <w:p w14:paraId="165860A8">
            <w:pPr>
              <w:pStyle w:val="19"/>
              <w:overflowPunct w:val="0"/>
              <w:jc w:val="center"/>
              <w:rPr>
                <w:rFonts w:ascii="宋体" w:hAnsi="宋体" w:eastAsia="宋体" w:cs="宋体"/>
                <w:sz w:val="24"/>
                <w:szCs w:val="24"/>
                <w:highlight w:val="none"/>
              </w:rPr>
            </w:pPr>
          </w:p>
        </w:tc>
        <w:tc>
          <w:tcPr>
            <w:tcW w:w="1766" w:type="dxa"/>
            <w:tcBorders>
              <w:bottom w:val="single" w:color="auto" w:sz="4" w:space="0"/>
            </w:tcBorders>
            <w:noWrap/>
            <w:vAlign w:val="center"/>
          </w:tcPr>
          <w:p w14:paraId="546CDA68">
            <w:pPr>
              <w:pStyle w:val="19"/>
              <w:overflowPunct w:val="0"/>
              <w:jc w:val="center"/>
              <w:rPr>
                <w:rFonts w:ascii="宋体" w:hAnsi="宋体" w:eastAsia="宋体" w:cs="宋体"/>
                <w:sz w:val="24"/>
                <w:szCs w:val="24"/>
                <w:highlight w:val="none"/>
              </w:rPr>
            </w:pPr>
          </w:p>
        </w:tc>
        <w:tc>
          <w:tcPr>
            <w:tcW w:w="1087" w:type="dxa"/>
            <w:tcBorders>
              <w:bottom w:val="single" w:color="auto" w:sz="4" w:space="0"/>
            </w:tcBorders>
            <w:noWrap/>
            <w:vAlign w:val="center"/>
          </w:tcPr>
          <w:p w14:paraId="20006714">
            <w:pPr>
              <w:pStyle w:val="19"/>
              <w:overflowPunct w:val="0"/>
              <w:jc w:val="center"/>
              <w:rPr>
                <w:rFonts w:ascii="宋体" w:hAnsi="宋体" w:eastAsia="宋体" w:cs="宋体"/>
                <w:sz w:val="24"/>
                <w:szCs w:val="24"/>
                <w:highlight w:val="none"/>
              </w:rPr>
            </w:pPr>
          </w:p>
        </w:tc>
      </w:tr>
    </w:tbl>
    <w:p w14:paraId="3E6BFF7D">
      <w:pPr>
        <w:overflowPunct w:val="0"/>
        <w:spacing w:line="460" w:lineRule="exact"/>
        <w:ind w:firstLine="240" w:firstLineChars="100"/>
        <w:rPr>
          <w:rFonts w:ascii="宋体" w:hAnsi="宋体" w:cs="宋体"/>
          <w:sz w:val="24"/>
          <w:szCs w:val="24"/>
          <w:highlight w:val="none"/>
        </w:rPr>
      </w:pPr>
      <w:r>
        <w:rPr>
          <w:rFonts w:hint="eastAsia" w:ascii="宋体" w:hAnsi="宋体" w:cs="宋体"/>
          <w:sz w:val="24"/>
          <w:szCs w:val="24"/>
          <w:highlight w:val="none"/>
        </w:rPr>
        <w:t>注：</w:t>
      </w:r>
      <w:r>
        <w:rPr>
          <w:rFonts w:hint="eastAsia" w:ascii="宋体" w:hAnsi="宋体" w:cs="宋体"/>
          <w:bCs/>
          <w:sz w:val="24"/>
          <w:szCs w:val="24"/>
          <w:highlight w:val="none"/>
        </w:rPr>
        <w:t>投标文件中须根据“第五章  评审方法与评审标准”提供相关说明及证明材料</w:t>
      </w:r>
    </w:p>
    <w:p w14:paraId="05B9EDD4">
      <w:pPr>
        <w:spacing w:line="440" w:lineRule="exact"/>
        <w:rPr>
          <w:rFonts w:ascii="宋体" w:hAnsi="宋体" w:cs="宋体"/>
          <w:highlight w:val="none"/>
        </w:rPr>
      </w:pPr>
      <w:r>
        <w:rPr>
          <w:rFonts w:hint="eastAsia" w:ascii="宋体" w:hAnsi="宋体" w:cs="宋体"/>
          <w:highlight w:val="none"/>
        </w:rPr>
        <w:br w:type="page"/>
      </w:r>
      <w:bookmarkEnd w:id="319"/>
      <w:bookmarkEnd w:id="320"/>
      <w:bookmarkEnd w:id="321"/>
      <w:bookmarkEnd w:id="322"/>
    </w:p>
    <w:p w14:paraId="5B75E26D">
      <w:pPr>
        <w:pStyle w:val="3"/>
        <w:keepNext w:val="0"/>
        <w:pageBreakBefore/>
        <w:rPr>
          <w:rFonts w:ascii="宋体" w:hAnsi="宋体" w:eastAsia="宋体" w:cs="宋体"/>
          <w:highlight w:val="none"/>
        </w:rPr>
      </w:pPr>
      <w:bookmarkStart w:id="324" w:name="_Toc32268"/>
      <w:bookmarkStart w:id="325" w:name="_Toc23838"/>
      <w:r>
        <w:rPr>
          <w:rFonts w:hint="eastAsia" w:ascii="宋体" w:hAnsi="宋体" w:eastAsia="宋体" w:cs="宋体"/>
          <w:highlight w:val="none"/>
        </w:rPr>
        <w:t>附件13 业绩一览表</w:t>
      </w:r>
      <w:bookmarkEnd w:id="324"/>
      <w:bookmarkEnd w:id="325"/>
    </w:p>
    <w:tbl>
      <w:tblPr>
        <w:tblStyle w:val="54"/>
        <w:tblW w:w="98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2"/>
        <w:gridCol w:w="1404"/>
        <w:gridCol w:w="1776"/>
        <w:gridCol w:w="1860"/>
        <w:gridCol w:w="1296"/>
        <w:gridCol w:w="1779"/>
        <w:gridCol w:w="920"/>
      </w:tblGrid>
      <w:tr w14:paraId="7648D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jc w:val="center"/>
        </w:trPr>
        <w:tc>
          <w:tcPr>
            <w:tcW w:w="772" w:type="dxa"/>
            <w:vAlign w:val="center"/>
          </w:tcPr>
          <w:p w14:paraId="49960EF3">
            <w:pPr>
              <w:pStyle w:val="179"/>
              <w:jc w:val="center"/>
              <w:rPr>
                <w:rFonts w:ascii="宋体" w:hAnsi="宋体" w:eastAsia="宋体" w:cs="宋体"/>
                <w:b/>
                <w:bCs/>
                <w:sz w:val="24"/>
                <w:highlight w:val="none"/>
              </w:rPr>
            </w:pPr>
            <w:bookmarkStart w:id="326" w:name="_Toc75437942"/>
            <w:r>
              <w:rPr>
                <w:rFonts w:hint="eastAsia" w:ascii="宋体" w:hAnsi="宋体" w:eastAsia="宋体" w:cs="宋体"/>
                <w:b/>
                <w:bCs/>
                <w:sz w:val="24"/>
                <w:highlight w:val="none"/>
              </w:rPr>
              <w:t>序号</w:t>
            </w:r>
          </w:p>
        </w:tc>
        <w:tc>
          <w:tcPr>
            <w:tcW w:w="1404" w:type="dxa"/>
            <w:vAlign w:val="center"/>
          </w:tcPr>
          <w:p w14:paraId="4FC2BEDB">
            <w:pPr>
              <w:pStyle w:val="179"/>
              <w:jc w:val="center"/>
              <w:rPr>
                <w:rFonts w:ascii="宋体" w:hAnsi="宋体" w:eastAsia="宋体" w:cs="宋体"/>
                <w:b/>
                <w:bCs/>
                <w:sz w:val="24"/>
                <w:highlight w:val="none"/>
              </w:rPr>
            </w:pPr>
            <w:r>
              <w:rPr>
                <w:rFonts w:hint="eastAsia" w:ascii="宋体" w:hAnsi="宋体" w:eastAsia="宋体" w:cs="宋体"/>
                <w:b/>
                <w:bCs/>
                <w:sz w:val="24"/>
                <w:highlight w:val="none"/>
              </w:rPr>
              <w:t>项目名称</w:t>
            </w:r>
          </w:p>
        </w:tc>
        <w:tc>
          <w:tcPr>
            <w:tcW w:w="1776" w:type="dxa"/>
            <w:vAlign w:val="center"/>
          </w:tcPr>
          <w:p w14:paraId="57EE4666">
            <w:pPr>
              <w:pStyle w:val="179"/>
              <w:jc w:val="center"/>
              <w:rPr>
                <w:rFonts w:ascii="宋体" w:hAnsi="宋体" w:eastAsia="宋体" w:cs="宋体"/>
                <w:b/>
                <w:bCs/>
                <w:sz w:val="24"/>
                <w:highlight w:val="none"/>
              </w:rPr>
            </w:pPr>
            <w:r>
              <w:rPr>
                <w:rFonts w:hint="eastAsia" w:ascii="宋体" w:hAnsi="宋体" w:eastAsia="宋体" w:cs="宋体"/>
                <w:b/>
                <w:bCs/>
                <w:sz w:val="24"/>
                <w:highlight w:val="none"/>
              </w:rPr>
              <w:t>主要服务内容</w:t>
            </w:r>
          </w:p>
        </w:tc>
        <w:tc>
          <w:tcPr>
            <w:tcW w:w="1860" w:type="dxa"/>
            <w:vAlign w:val="center"/>
          </w:tcPr>
          <w:p w14:paraId="7C7298F1">
            <w:pPr>
              <w:pStyle w:val="179"/>
              <w:jc w:val="center"/>
              <w:rPr>
                <w:rFonts w:ascii="宋体" w:hAnsi="宋体" w:eastAsia="宋体" w:cs="宋体"/>
                <w:b/>
                <w:bCs/>
                <w:sz w:val="24"/>
                <w:highlight w:val="none"/>
              </w:rPr>
            </w:pPr>
            <w:r>
              <w:rPr>
                <w:rFonts w:hint="eastAsia" w:ascii="宋体" w:hAnsi="宋体" w:eastAsia="宋体" w:cs="宋体"/>
                <w:b/>
                <w:bCs/>
                <w:sz w:val="24"/>
                <w:highlight w:val="none"/>
              </w:rPr>
              <w:t>合同/协议金额</w:t>
            </w:r>
          </w:p>
        </w:tc>
        <w:tc>
          <w:tcPr>
            <w:tcW w:w="1296" w:type="dxa"/>
            <w:vAlign w:val="center"/>
          </w:tcPr>
          <w:p w14:paraId="3DE1CF17">
            <w:pPr>
              <w:pStyle w:val="179"/>
              <w:jc w:val="center"/>
              <w:rPr>
                <w:rFonts w:ascii="宋体" w:hAnsi="宋体" w:eastAsia="宋体" w:cs="宋体"/>
                <w:b/>
                <w:bCs/>
                <w:sz w:val="24"/>
                <w:highlight w:val="none"/>
              </w:rPr>
            </w:pPr>
            <w:r>
              <w:rPr>
                <w:rFonts w:hint="eastAsia" w:ascii="宋体" w:hAnsi="宋体" w:eastAsia="宋体" w:cs="宋体"/>
                <w:b/>
                <w:bCs/>
                <w:sz w:val="24"/>
                <w:highlight w:val="none"/>
              </w:rPr>
              <w:t>实施时间</w:t>
            </w:r>
          </w:p>
        </w:tc>
        <w:tc>
          <w:tcPr>
            <w:tcW w:w="1779" w:type="dxa"/>
            <w:vAlign w:val="center"/>
          </w:tcPr>
          <w:p w14:paraId="7DD5ED77">
            <w:pPr>
              <w:pStyle w:val="179"/>
              <w:jc w:val="center"/>
              <w:rPr>
                <w:rFonts w:ascii="宋体" w:hAnsi="宋体" w:eastAsia="宋体" w:cs="宋体"/>
                <w:b/>
                <w:bCs/>
                <w:sz w:val="24"/>
                <w:highlight w:val="none"/>
              </w:rPr>
            </w:pPr>
            <w:r>
              <w:rPr>
                <w:rFonts w:hint="eastAsia" w:ascii="宋体" w:hAnsi="宋体" w:eastAsia="宋体" w:cs="宋体"/>
                <w:b/>
                <w:bCs/>
                <w:sz w:val="24"/>
                <w:highlight w:val="none"/>
              </w:rPr>
              <w:t>甲方联系人及联系电话</w:t>
            </w:r>
          </w:p>
        </w:tc>
        <w:tc>
          <w:tcPr>
            <w:tcW w:w="920" w:type="dxa"/>
            <w:vAlign w:val="center"/>
          </w:tcPr>
          <w:p w14:paraId="22EBE605">
            <w:pPr>
              <w:pStyle w:val="179"/>
              <w:jc w:val="center"/>
              <w:rPr>
                <w:rFonts w:ascii="宋体" w:hAnsi="宋体" w:eastAsia="宋体" w:cs="宋体"/>
                <w:b/>
                <w:bCs/>
                <w:sz w:val="24"/>
                <w:highlight w:val="none"/>
              </w:rPr>
            </w:pPr>
            <w:r>
              <w:rPr>
                <w:rFonts w:hint="eastAsia" w:ascii="宋体" w:hAnsi="宋体" w:eastAsia="宋体" w:cs="宋体"/>
                <w:b/>
                <w:bCs/>
                <w:sz w:val="24"/>
                <w:highlight w:val="none"/>
              </w:rPr>
              <w:t>备注</w:t>
            </w:r>
          </w:p>
        </w:tc>
      </w:tr>
      <w:tr w14:paraId="5CF38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2" w:type="dxa"/>
            <w:vAlign w:val="center"/>
          </w:tcPr>
          <w:p w14:paraId="51AA8246">
            <w:pPr>
              <w:pStyle w:val="179"/>
              <w:spacing w:line="500" w:lineRule="exact"/>
              <w:jc w:val="center"/>
              <w:rPr>
                <w:rFonts w:ascii="宋体" w:hAnsi="宋体" w:eastAsia="宋体" w:cs="宋体"/>
                <w:sz w:val="24"/>
                <w:highlight w:val="none"/>
              </w:rPr>
            </w:pPr>
            <w:r>
              <w:rPr>
                <w:rFonts w:hint="eastAsia" w:ascii="宋体" w:hAnsi="宋体" w:eastAsia="宋体" w:cs="宋体"/>
                <w:sz w:val="24"/>
                <w:highlight w:val="none"/>
              </w:rPr>
              <w:t>1</w:t>
            </w:r>
          </w:p>
        </w:tc>
        <w:tc>
          <w:tcPr>
            <w:tcW w:w="1404" w:type="dxa"/>
            <w:vAlign w:val="center"/>
          </w:tcPr>
          <w:p w14:paraId="25D9C296">
            <w:pPr>
              <w:pStyle w:val="179"/>
              <w:spacing w:line="500" w:lineRule="exact"/>
              <w:jc w:val="center"/>
              <w:rPr>
                <w:rFonts w:ascii="宋体" w:hAnsi="宋体" w:eastAsia="宋体" w:cs="宋体"/>
                <w:sz w:val="24"/>
                <w:highlight w:val="none"/>
              </w:rPr>
            </w:pPr>
          </w:p>
        </w:tc>
        <w:tc>
          <w:tcPr>
            <w:tcW w:w="1776" w:type="dxa"/>
            <w:vAlign w:val="center"/>
          </w:tcPr>
          <w:p w14:paraId="2264F915">
            <w:pPr>
              <w:pStyle w:val="179"/>
              <w:spacing w:line="500" w:lineRule="exact"/>
              <w:jc w:val="center"/>
              <w:rPr>
                <w:rFonts w:ascii="宋体" w:hAnsi="宋体" w:eastAsia="宋体" w:cs="宋体"/>
                <w:sz w:val="24"/>
                <w:highlight w:val="none"/>
              </w:rPr>
            </w:pPr>
          </w:p>
        </w:tc>
        <w:tc>
          <w:tcPr>
            <w:tcW w:w="1860" w:type="dxa"/>
            <w:vAlign w:val="center"/>
          </w:tcPr>
          <w:p w14:paraId="6A652EF5">
            <w:pPr>
              <w:pStyle w:val="179"/>
              <w:spacing w:line="500" w:lineRule="exact"/>
              <w:jc w:val="center"/>
              <w:rPr>
                <w:rFonts w:ascii="宋体" w:hAnsi="宋体" w:eastAsia="宋体" w:cs="宋体"/>
                <w:sz w:val="24"/>
                <w:highlight w:val="none"/>
              </w:rPr>
            </w:pPr>
          </w:p>
        </w:tc>
        <w:tc>
          <w:tcPr>
            <w:tcW w:w="1296" w:type="dxa"/>
            <w:vAlign w:val="center"/>
          </w:tcPr>
          <w:p w14:paraId="50A42B0B">
            <w:pPr>
              <w:pStyle w:val="179"/>
              <w:spacing w:line="500" w:lineRule="exact"/>
              <w:jc w:val="center"/>
              <w:rPr>
                <w:rFonts w:ascii="宋体" w:hAnsi="宋体" w:eastAsia="宋体" w:cs="宋体"/>
                <w:sz w:val="24"/>
                <w:highlight w:val="none"/>
              </w:rPr>
            </w:pPr>
          </w:p>
        </w:tc>
        <w:tc>
          <w:tcPr>
            <w:tcW w:w="1779" w:type="dxa"/>
            <w:vAlign w:val="center"/>
          </w:tcPr>
          <w:p w14:paraId="36D77EAF">
            <w:pPr>
              <w:pStyle w:val="179"/>
              <w:spacing w:line="500" w:lineRule="exact"/>
              <w:jc w:val="center"/>
              <w:rPr>
                <w:rFonts w:ascii="宋体" w:hAnsi="宋体" w:eastAsia="宋体" w:cs="宋体"/>
                <w:sz w:val="24"/>
                <w:highlight w:val="none"/>
              </w:rPr>
            </w:pPr>
          </w:p>
        </w:tc>
        <w:tc>
          <w:tcPr>
            <w:tcW w:w="920" w:type="dxa"/>
            <w:vAlign w:val="center"/>
          </w:tcPr>
          <w:p w14:paraId="72324065">
            <w:pPr>
              <w:pStyle w:val="179"/>
              <w:spacing w:line="500" w:lineRule="exact"/>
              <w:jc w:val="center"/>
              <w:rPr>
                <w:rFonts w:ascii="宋体" w:hAnsi="宋体" w:eastAsia="宋体" w:cs="宋体"/>
                <w:sz w:val="24"/>
                <w:highlight w:val="none"/>
              </w:rPr>
            </w:pPr>
          </w:p>
        </w:tc>
      </w:tr>
      <w:tr w14:paraId="53D93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2" w:type="dxa"/>
            <w:vAlign w:val="center"/>
          </w:tcPr>
          <w:p w14:paraId="29637997">
            <w:pPr>
              <w:pStyle w:val="179"/>
              <w:spacing w:line="500" w:lineRule="exact"/>
              <w:jc w:val="center"/>
              <w:rPr>
                <w:rFonts w:ascii="宋体" w:hAnsi="宋体" w:eastAsia="宋体" w:cs="宋体"/>
                <w:sz w:val="24"/>
                <w:highlight w:val="none"/>
              </w:rPr>
            </w:pPr>
            <w:r>
              <w:rPr>
                <w:rFonts w:hint="eastAsia" w:ascii="宋体" w:hAnsi="宋体" w:eastAsia="宋体" w:cs="宋体"/>
                <w:sz w:val="24"/>
                <w:highlight w:val="none"/>
              </w:rPr>
              <w:t>2</w:t>
            </w:r>
          </w:p>
        </w:tc>
        <w:tc>
          <w:tcPr>
            <w:tcW w:w="1404" w:type="dxa"/>
            <w:vAlign w:val="center"/>
          </w:tcPr>
          <w:p w14:paraId="15048A9A">
            <w:pPr>
              <w:pStyle w:val="179"/>
              <w:spacing w:line="500" w:lineRule="exact"/>
              <w:jc w:val="center"/>
              <w:rPr>
                <w:rFonts w:ascii="宋体" w:hAnsi="宋体" w:eastAsia="宋体" w:cs="宋体"/>
                <w:sz w:val="24"/>
                <w:highlight w:val="none"/>
              </w:rPr>
            </w:pPr>
          </w:p>
        </w:tc>
        <w:tc>
          <w:tcPr>
            <w:tcW w:w="1776" w:type="dxa"/>
            <w:vAlign w:val="center"/>
          </w:tcPr>
          <w:p w14:paraId="70CFAF46">
            <w:pPr>
              <w:pStyle w:val="179"/>
              <w:spacing w:line="500" w:lineRule="exact"/>
              <w:jc w:val="center"/>
              <w:rPr>
                <w:rFonts w:ascii="宋体" w:hAnsi="宋体" w:eastAsia="宋体" w:cs="宋体"/>
                <w:sz w:val="24"/>
                <w:highlight w:val="none"/>
              </w:rPr>
            </w:pPr>
          </w:p>
        </w:tc>
        <w:tc>
          <w:tcPr>
            <w:tcW w:w="1860" w:type="dxa"/>
            <w:vAlign w:val="center"/>
          </w:tcPr>
          <w:p w14:paraId="096C6F94">
            <w:pPr>
              <w:pStyle w:val="179"/>
              <w:spacing w:line="500" w:lineRule="exact"/>
              <w:jc w:val="center"/>
              <w:rPr>
                <w:rFonts w:ascii="宋体" w:hAnsi="宋体" w:eastAsia="宋体" w:cs="宋体"/>
                <w:sz w:val="24"/>
                <w:highlight w:val="none"/>
              </w:rPr>
            </w:pPr>
          </w:p>
        </w:tc>
        <w:tc>
          <w:tcPr>
            <w:tcW w:w="1296" w:type="dxa"/>
            <w:vAlign w:val="center"/>
          </w:tcPr>
          <w:p w14:paraId="748D095B">
            <w:pPr>
              <w:pStyle w:val="179"/>
              <w:spacing w:line="500" w:lineRule="exact"/>
              <w:jc w:val="center"/>
              <w:rPr>
                <w:rFonts w:ascii="宋体" w:hAnsi="宋体" w:eastAsia="宋体" w:cs="宋体"/>
                <w:sz w:val="24"/>
                <w:highlight w:val="none"/>
              </w:rPr>
            </w:pPr>
          </w:p>
        </w:tc>
        <w:tc>
          <w:tcPr>
            <w:tcW w:w="1779" w:type="dxa"/>
            <w:vAlign w:val="center"/>
          </w:tcPr>
          <w:p w14:paraId="1ABF568D">
            <w:pPr>
              <w:pStyle w:val="179"/>
              <w:spacing w:line="500" w:lineRule="exact"/>
              <w:jc w:val="center"/>
              <w:rPr>
                <w:rFonts w:ascii="宋体" w:hAnsi="宋体" w:eastAsia="宋体" w:cs="宋体"/>
                <w:sz w:val="24"/>
                <w:highlight w:val="none"/>
              </w:rPr>
            </w:pPr>
          </w:p>
        </w:tc>
        <w:tc>
          <w:tcPr>
            <w:tcW w:w="920" w:type="dxa"/>
            <w:vAlign w:val="center"/>
          </w:tcPr>
          <w:p w14:paraId="3D0B934F">
            <w:pPr>
              <w:pStyle w:val="179"/>
              <w:spacing w:line="500" w:lineRule="exact"/>
              <w:jc w:val="center"/>
              <w:rPr>
                <w:rFonts w:ascii="宋体" w:hAnsi="宋体" w:eastAsia="宋体" w:cs="宋体"/>
                <w:sz w:val="24"/>
                <w:highlight w:val="none"/>
              </w:rPr>
            </w:pPr>
          </w:p>
        </w:tc>
      </w:tr>
      <w:tr w14:paraId="7882A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2" w:type="dxa"/>
            <w:vAlign w:val="center"/>
          </w:tcPr>
          <w:p w14:paraId="59D06CD4">
            <w:pPr>
              <w:pStyle w:val="179"/>
              <w:spacing w:line="500" w:lineRule="exact"/>
              <w:jc w:val="center"/>
              <w:rPr>
                <w:rFonts w:ascii="宋体" w:hAnsi="宋体" w:eastAsia="宋体" w:cs="宋体"/>
                <w:sz w:val="24"/>
                <w:highlight w:val="none"/>
              </w:rPr>
            </w:pPr>
            <w:r>
              <w:rPr>
                <w:rFonts w:hint="eastAsia" w:ascii="宋体" w:hAnsi="宋体" w:eastAsia="宋体" w:cs="宋体"/>
                <w:sz w:val="24"/>
                <w:highlight w:val="none"/>
              </w:rPr>
              <w:t>3</w:t>
            </w:r>
          </w:p>
        </w:tc>
        <w:tc>
          <w:tcPr>
            <w:tcW w:w="1404" w:type="dxa"/>
            <w:vAlign w:val="center"/>
          </w:tcPr>
          <w:p w14:paraId="732CEAA1">
            <w:pPr>
              <w:pStyle w:val="179"/>
              <w:spacing w:line="500" w:lineRule="exact"/>
              <w:jc w:val="center"/>
              <w:rPr>
                <w:rFonts w:ascii="宋体" w:hAnsi="宋体" w:eastAsia="宋体" w:cs="宋体"/>
                <w:sz w:val="24"/>
                <w:highlight w:val="none"/>
              </w:rPr>
            </w:pPr>
          </w:p>
        </w:tc>
        <w:tc>
          <w:tcPr>
            <w:tcW w:w="1776" w:type="dxa"/>
            <w:vAlign w:val="center"/>
          </w:tcPr>
          <w:p w14:paraId="5B91D7F1">
            <w:pPr>
              <w:pStyle w:val="179"/>
              <w:spacing w:line="500" w:lineRule="exact"/>
              <w:jc w:val="center"/>
              <w:rPr>
                <w:rFonts w:ascii="宋体" w:hAnsi="宋体" w:eastAsia="宋体" w:cs="宋体"/>
                <w:sz w:val="24"/>
                <w:highlight w:val="none"/>
              </w:rPr>
            </w:pPr>
          </w:p>
        </w:tc>
        <w:tc>
          <w:tcPr>
            <w:tcW w:w="1860" w:type="dxa"/>
            <w:vAlign w:val="center"/>
          </w:tcPr>
          <w:p w14:paraId="218742CC">
            <w:pPr>
              <w:pStyle w:val="179"/>
              <w:spacing w:line="500" w:lineRule="exact"/>
              <w:jc w:val="center"/>
              <w:rPr>
                <w:rFonts w:ascii="宋体" w:hAnsi="宋体" w:eastAsia="宋体" w:cs="宋体"/>
                <w:sz w:val="24"/>
                <w:highlight w:val="none"/>
              </w:rPr>
            </w:pPr>
          </w:p>
        </w:tc>
        <w:tc>
          <w:tcPr>
            <w:tcW w:w="1296" w:type="dxa"/>
            <w:vAlign w:val="center"/>
          </w:tcPr>
          <w:p w14:paraId="7BCA1608">
            <w:pPr>
              <w:pStyle w:val="179"/>
              <w:spacing w:line="500" w:lineRule="exact"/>
              <w:jc w:val="center"/>
              <w:rPr>
                <w:rFonts w:ascii="宋体" w:hAnsi="宋体" w:eastAsia="宋体" w:cs="宋体"/>
                <w:sz w:val="24"/>
                <w:highlight w:val="none"/>
              </w:rPr>
            </w:pPr>
          </w:p>
        </w:tc>
        <w:tc>
          <w:tcPr>
            <w:tcW w:w="1779" w:type="dxa"/>
            <w:vAlign w:val="center"/>
          </w:tcPr>
          <w:p w14:paraId="633D1C26">
            <w:pPr>
              <w:pStyle w:val="179"/>
              <w:spacing w:line="500" w:lineRule="exact"/>
              <w:jc w:val="center"/>
              <w:rPr>
                <w:rFonts w:ascii="宋体" w:hAnsi="宋体" w:eastAsia="宋体" w:cs="宋体"/>
                <w:sz w:val="24"/>
                <w:highlight w:val="none"/>
              </w:rPr>
            </w:pPr>
          </w:p>
        </w:tc>
        <w:tc>
          <w:tcPr>
            <w:tcW w:w="920" w:type="dxa"/>
            <w:vAlign w:val="center"/>
          </w:tcPr>
          <w:p w14:paraId="7084F468">
            <w:pPr>
              <w:pStyle w:val="179"/>
              <w:spacing w:line="500" w:lineRule="exact"/>
              <w:jc w:val="center"/>
              <w:rPr>
                <w:rFonts w:ascii="宋体" w:hAnsi="宋体" w:eastAsia="宋体" w:cs="宋体"/>
                <w:sz w:val="24"/>
                <w:highlight w:val="none"/>
              </w:rPr>
            </w:pPr>
          </w:p>
        </w:tc>
      </w:tr>
      <w:tr w14:paraId="121CF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2" w:type="dxa"/>
            <w:vAlign w:val="center"/>
          </w:tcPr>
          <w:p w14:paraId="1C49648A">
            <w:pPr>
              <w:pStyle w:val="179"/>
              <w:spacing w:line="500" w:lineRule="exact"/>
              <w:jc w:val="center"/>
              <w:rPr>
                <w:rFonts w:ascii="宋体" w:hAnsi="宋体" w:eastAsia="宋体" w:cs="宋体"/>
                <w:sz w:val="24"/>
                <w:highlight w:val="none"/>
              </w:rPr>
            </w:pPr>
            <w:r>
              <w:rPr>
                <w:rFonts w:hint="eastAsia" w:ascii="宋体" w:hAnsi="宋体" w:eastAsia="宋体" w:cs="宋体"/>
                <w:sz w:val="24"/>
                <w:highlight w:val="none"/>
              </w:rPr>
              <w:t>4</w:t>
            </w:r>
          </w:p>
        </w:tc>
        <w:tc>
          <w:tcPr>
            <w:tcW w:w="1404" w:type="dxa"/>
            <w:vAlign w:val="center"/>
          </w:tcPr>
          <w:p w14:paraId="5350AED9">
            <w:pPr>
              <w:pStyle w:val="179"/>
              <w:spacing w:line="500" w:lineRule="exact"/>
              <w:jc w:val="center"/>
              <w:rPr>
                <w:rFonts w:ascii="宋体" w:hAnsi="宋体" w:eastAsia="宋体" w:cs="宋体"/>
                <w:sz w:val="24"/>
                <w:highlight w:val="none"/>
              </w:rPr>
            </w:pPr>
          </w:p>
        </w:tc>
        <w:tc>
          <w:tcPr>
            <w:tcW w:w="1776" w:type="dxa"/>
            <w:vAlign w:val="center"/>
          </w:tcPr>
          <w:p w14:paraId="396AB436">
            <w:pPr>
              <w:pStyle w:val="179"/>
              <w:spacing w:line="500" w:lineRule="exact"/>
              <w:jc w:val="center"/>
              <w:rPr>
                <w:rFonts w:ascii="宋体" w:hAnsi="宋体" w:eastAsia="宋体" w:cs="宋体"/>
                <w:sz w:val="24"/>
                <w:highlight w:val="none"/>
              </w:rPr>
            </w:pPr>
          </w:p>
        </w:tc>
        <w:tc>
          <w:tcPr>
            <w:tcW w:w="1860" w:type="dxa"/>
            <w:vAlign w:val="center"/>
          </w:tcPr>
          <w:p w14:paraId="3E9FBB3E">
            <w:pPr>
              <w:pStyle w:val="179"/>
              <w:spacing w:line="500" w:lineRule="exact"/>
              <w:jc w:val="center"/>
              <w:rPr>
                <w:rFonts w:ascii="宋体" w:hAnsi="宋体" w:eastAsia="宋体" w:cs="宋体"/>
                <w:sz w:val="24"/>
                <w:highlight w:val="none"/>
              </w:rPr>
            </w:pPr>
          </w:p>
        </w:tc>
        <w:tc>
          <w:tcPr>
            <w:tcW w:w="1296" w:type="dxa"/>
            <w:vAlign w:val="center"/>
          </w:tcPr>
          <w:p w14:paraId="2C943F37">
            <w:pPr>
              <w:pStyle w:val="179"/>
              <w:spacing w:line="500" w:lineRule="exact"/>
              <w:jc w:val="center"/>
              <w:rPr>
                <w:rFonts w:ascii="宋体" w:hAnsi="宋体" w:eastAsia="宋体" w:cs="宋体"/>
                <w:sz w:val="24"/>
                <w:highlight w:val="none"/>
              </w:rPr>
            </w:pPr>
          </w:p>
        </w:tc>
        <w:tc>
          <w:tcPr>
            <w:tcW w:w="1779" w:type="dxa"/>
            <w:vAlign w:val="center"/>
          </w:tcPr>
          <w:p w14:paraId="2829D359">
            <w:pPr>
              <w:pStyle w:val="179"/>
              <w:spacing w:line="500" w:lineRule="exact"/>
              <w:jc w:val="center"/>
              <w:rPr>
                <w:rFonts w:ascii="宋体" w:hAnsi="宋体" w:eastAsia="宋体" w:cs="宋体"/>
                <w:sz w:val="24"/>
                <w:highlight w:val="none"/>
              </w:rPr>
            </w:pPr>
          </w:p>
        </w:tc>
        <w:tc>
          <w:tcPr>
            <w:tcW w:w="920" w:type="dxa"/>
            <w:vAlign w:val="center"/>
          </w:tcPr>
          <w:p w14:paraId="33E8B317">
            <w:pPr>
              <w:pStyle w:val="179"/>
              <w:spacing w:line="500" w:lineRule="exact"/>
              <w:jc w:val="center"/>
              <w:rPr>
                <w:rFonts w:ascii="宋体" w:hAnsi="宋体" w:eastAsia="宋体" w:cs="宋体"/>
                <w:sz w:val="24"/>
                <w:highlight w:val="none"/>
              </w:rPr>
            </w:pPr>
          </w:p>
        </w:tc>
      </w:tr>
      <w:tr w14:paraId="7F47F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2" w:type="dxa"/>
            <w:vAlign w:val="center"/>
          </w:tcPr>
          <w:p w14:paraId="521367C6">
            <w:pPr>
              <w:pStyle w:val="179"/>
              <w:spacing w:line="500" w:lineRule="exact"/>
              <w:jc w:val="center"/>
              <w:rPr>
                <w:rFonts w:ascii="宋体" w:hAnsi="宋体" w:eastAsia="宋体" w:cs="宋体"/>
                <w:sz w:val="24"/>
                <w:highlight w:val="none"/>
              </w:rPr>
            </w:pPr>
            <w:r>
              <w:rPr>
                <w:rFonts w:hint="eastAsia" w:ascii="宋体" w:hAnsi="宋体" w:eastAsia="宋体" w:cs="宋体"/>
                <w:sz w:val="24"/>
                <w:highlight w:val="none"/>
              </w:rPr>
              <w:t>……</w:t>
            </w:r>
          </w:p>
        </w:tc>
        <w:tc>
          <w:tcPr>
            <w:tcW w:w="1404" w:type="dxa"/>
            <w:vAlign w:val="center"/>
          </w:tcPr>
          <w:p w14:paraId="4E5125DA">
            <w:pPr>
              <w:pStyle w:val="179"/>
              <w:spacing w:line="500" w:lineRule="exact"/>
              <w:jc w:val="center"/>
              <w:rPr>
                <w:rFonts w:ascii="宋体" w:hAnsi="宋体" w:eastAsia="宋体" w:cs="宋体"/>
                <w:sz w:val="24"/>
                <w:highlight w:val="none"/>
              </w:rPr>
            </w:pPr>
          </w:p>
        </w:tc>
        <w:tc>
          <w:tcPr>
            <w:tcW w:w="1776" w:type="dxa"/>
            <w:vAlign w:val="center"/>
          </w:tcPr>
          <w:p w14:paraId="547D0711">
            <w:pPr>
              <w:pStyle w:val="179"/>
              <w:spacing w:line="500" w:lineRule="exact"/>
              <w:jc w:val="center"/>
              <w:rPr>
                <w:rFonts w:ascii="宋体" w:hAnsi="宋体" w:eastAsia="宋体" w:cs="宋体"/>
                <w:sz w:val="24"/>
                <w:highlight w:val="none"/>
              </w:rPr>
            </w:pPr>
          </w:p>
        </w:tc>
        <w:tc>
          <w:tcPr>
            <w:tcW w:w="1860" w:type="dxa"/>
            <w:vAlign w:val="center"/>
          </w:tcPr>
          <w:p w14:paraId="63C8A65B">
            <w:pPr>
              <w:pStyle w:val="179"/>
              <w:spacing w:line="500" w:lineRule="exact"/>
              <w:jc w:val="center"/>
              <w:rPr>
                <w:rFonts w:ascii="宋体" w:hAnsi="宋体" w:eastAsia="宋体" w:cs="宋体"/>
                <w:sz w:val="24"/>
                <w:highlight w:val="none"/>
              </w:rPr>
            </w:pPr>
          </w:p>
        </w:tc>
        <w:tc>
          <w:tcPr>
            <w:tcW w:w="1296" w:type="dxa"/>
            <w:vAlign w:val="center"/>
          </w:tcPr>
          <w:p w14:paraId="665043CA">
            <w:pPr>
              <w:pStyle w:val="179"/>
              <w:spacing w:line="500" w:lineRule="exact"/>
              <w:jc w:val="center"/>
              <w:rPr>
                <w:rFonts w:ascii="宋体" w:hAnsi="宋体" w:eastAsia="宋体" w:cs="宋体"/>
                <w:sz w:val="24"/>
                <w:highlight w:val="none"/>
              </w:rPr>
            </w:pPr>
          </w:p>
        </w:tc>
        <w:tc>
          <w:tcPr>
            <w:tcW w:w="1779" w:type="dxa"/>
            <w:vAlign w:val="center"/>
          </w:tcPr>
          <w:p w14:paraId="045F15AA">
            <w:pPr>
              <w:pStyle w:val="179"/>
              <w:spacing w:line="500" w:lineRule="exact"/>
              <w:jc w:val="center"/>
              <w:rPr>
                <w:rFonts w:ascii="宋体" w:hAnsi="宋体" w:eastAsia="宋体" w:cs="宋体"/>
                <w:sz w:val="24"/>
                <w:highlight w:val="none"/>
              </w:rPr>
            </w:pPr>
          </w:p>
        </w:tc>
        <w:tc>
          <w:tcPr>
            <w:tcW w:w="920" w:type="dxa"/>
            <w:vAlign w:val="center"/>
          </w:tcPr>
          <w:p w14:paraId="11335F73">
            <w:pPr>
              <w:pStyle w:val="179"/>
              <w:spacing w:line="500" w:lineRule="exact"/>
              <w:jc w:val="center"/>
              <w:rPr>
                <w:rFonts w:ascii="宋体" w:hAnsi="宋体" w:eastAsia="宋体" w:cs="宋体"/>
                <w:sz w:val="24"/>
                <w:highlight w:val="none"/>
              </w:rPr>
            </w:pPr>
          </w:p>
        </w:tc>
      </w:tr>
    </w:tbl>
    <w:p w14:paraId="71B3F12A">
      <w:pPr>
        <w:spacing w:line="440" w:lineRule="exact"/>
        <w:rPr>
          <w:rFonts w:ascii="宋体" w:hAnsi="宋体" w:cs="宋体"/>
          <w:bCs/>
          <w:sz w:val="24"/>
          <w:szCs w:val="24"/>
          <w:highlight w:val="none"/>
        </w:rPr>
      </w:pPr>
      <w:r>
        <w:rPr>
          <w:rFonts w:hint="eastAsia" w:ascii="宋体" w:hAnsi="宋体" w:cs="宋体"/>
          <w:sz w:val="24"/>
          <w:szCs w:val="24"/>
          <w:highlight w:val="none"/>
        </w:rPr>
        <w:t>注：</w:t>
      </w:r>
      <w:r>
        <w:rPr>
          <w:rFonts w:hint="eastAsia" w:ascii="宋体" w:hAnsi="宋体" w:cs="宋体"/>
          <w:bCs/>
          <w:sz w:val="24"/>
          <w:szCs w:val="24"/>
          <w:highlight w:val="none"/>
        </w:rPr>
        <w:t>1、上述业绩应为投标人根据“第五章  评审方法与评审标准”提供相关说明及证明材料（如果有的话）。</w:t>
      </w:r>
    </w:p>
    <w:p w14:paraId="74B4EEE1">
      <w:pPr>
        <w:spacing w:line="440" w:lineRule="exact"/>
        <w:ind w:firstLine="600" w:firstLineChars="250"/>
        <w:rPr>
          <w:rFonts w:ascii="宋体" w:hAnsi="宋体" w:cs="宋体"/>
          <w:bCs/>
          <w:sz w:val="24"/>
          <w:szCs w:val="24"/>
          <w:highlight w:val="none"/>
        </w:rPr>
      </w:pPr>
      <w:r>
        <w:rPr>
          <w:rFonts w:hint="eastAsia" w:ascii="宋体" w:hAnsi="宋体" w:cs="宋体"/>
          <w:bCs/>
          <w:sz w:val="24"/>
          <w:szCs w:val="24"/>
          <w:highlight w:val="none"/>
        </w:rPr>
        <w:t>2、如有需要说明的事项，请在备注中列明。</w:t>
      </w:r>
    </w:p>
    <w:p w14:paraId="082A2720">
      <w:pPr>
        <w:spacing w:line="440" w:lineRule="exact"/>
        <w:ind w:firstLine="600" w:firstLineChars="250"/>
        <w:rPr>
          <w:rFonts w:ascii="宋体" w:hAnsi="宋体" w:cs="宋体"/>
          <w:sz w:val="24"/>
          <w:szCs w:val="24"/>
          <w:highlight w:val="none"/>
        </w:rPr>
      </w:pPr>
      <w:r>
        <w:rPr>
          <w:rFonts w:hint="eastAsia" w:ascii="宋体" w:hAnsi="宋体" w:cs="宋体"/>
          <w:sz w:val="24"/>
          <w:szCs w:val="24"/>
          <w:highlight w:val="none"/>
        </w:rPr>
        <w:t>3、我方在此声明，我方所提供的以上资料均真实和准确；我方保证上述信息的真实和准确，并愿意承担因我方就此弄虚作假所引起的一切法律后果。</w:t>
      </w:r>
    </w:p>
    <w:p w14:paraId="28673347">
      <w:pPr>
        <w:spacing w:line="440" w:lineRule="exact"/>
        <w:ind w:firstLine="600" w:firstLineChars="250"/>
        <w:rPr>
          <w:rFonts w:ascii="宋体" w:hAnsi="宋体" w:cs="宋体"/>
          <w:bCs/>
          <w:sz w:val="24"/>
          <w:highlight w:val="none"/>
        </w:rPr>
      </w:pPr>
    </w:p>
    <w:p w14:paraId="5D16C8DA">
      <w:pPr>
        <w:spacing w:line="440" w:lineRule="exact"/>
        <w:rPr>
          <w:rFonts w:ascii="宋体" w:hAnsi="宋体" w:cs="宋体"/>
          <w:highlight w:val="none"/>
        </w:rPr>
      </w:pPr>
      <w:r>
        <w:rPr>
          <w:rFonts w:hint="eastAsia" w:ascii="宋体" w:hAnsi="宋体" w:cs="宋体"/>
          <w:highlight w:val="none"/>
        </w:rPr>
        <w:br w:type="page"/>
      </w:r>
    </w:p>
    <w:bookmarkEnd w:id="326"/>
    <w:p w14:paraId="007820A7">
      <w:pPr>
        <w:pStyle w:val="3"/>
        <w:keepNext w:val="0"/>
        <w:pageBreakBefore/>
        <w:rPr>
          <w:rFonts w:ascii="宋体" w:hAnsi="宋体" w:eastAsia="宋体" w:cs="宋体"/>
          <w:highlight w:val="none"/>
        </w:rPr>
      </w:pPr>
      <w:bookmarkStart w:id="327" w:name="_Toc28150"/>
      <w:bookmarkStart w:id="328" w:name="_Toc14574"/>
      <w:bookmarkStart w:id="329" w:name="_Toc69302323"/>
      <w:r>
        <w:rPr>
          <w:rFonts w:hint="eastAsia" w:ascii="宋体" w:hAnsi="宋体" w:eastAsia="宋体" w:cs="宋体"/>
          <w:highlight w:val="none"/>
        </w:rPr>
        <w:t>附件14 商务条件响应及偏离表</w:t>
      </w:r>
      <w:bookmarkEnd w:id="327"/>
      <w:bookmarkEnd w:id="328"/>
      <w:bookmarkEnd w:id="329"/>
    </w:p>
    <w:tbl>
      <w:tblPr>
        <w:tblStyle w:val="54"/>
        <w:tblW w:w="953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30"/>
        <w:gridCol w:w="1412"/>
        <w:gridCol w:w="4097"/>
      </w:tblGrid>
      <w:tr w14:paraId="19066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7F2A6628">
            <w:pPr>
              <w:spacing w:line="320" w:lineRule="exact"/>
              <w:jc w:val="center"/>
              <w:rPr>
                <w:rFonts w:ascii="宋体" w:hAnsi="宋体" w:cs="宋体"/>
                <w:sz w:val="24"/>
                <w:szCs w:val="24"/>
                <w:highlight w:val="none"/>
              </w:rPr>
            </w:pPr>
            <w:r>
              <w:rPr>
                <w:rFonts w:hint="eastAsia" w:ascii="宋体" w:hAnsi="宋体" w:cs="宋体"/>
                <w:sz w:val="24"/>
                <w:szCs w:val="24"/>
                <w:highlight w:val="none"/>
              </w:rPr>
              <w:t>合同条款号</w:t>
            </w:r>
          </w:p>
        </w:tc>
        <w:tc>
          <w:tcPr>
            <w:tcW w:w="1412" w:type="dxa"/>
            <w:vAlign w:val="center"/>
          </w:tcPr>
          <w:p w14:paraId="54042277">
            <w:pPr>
              <w:spacing w:line="320" w:lineRule="exact"/>
              <w:jc w:val="center"/>
              <w:rPr>
                <w:rFonts w:ascii="宋体" w:hAnsi="宋体" w:cs="宋体"/>
                <w:sz w:val="24"/>
                <w:szCs w:val="24"/>
                <w:highlight w:val="none"/>
              </w:rPr>
            </w:pPr>
            <w:r>
              <w:rPr>
                <w:rFonts w:hint="eastAsia" w:ascii="宋体" w:hAnsi="宋体" w:cs="宋体"/>
                <w:sz w:val="24"/>
                <w:szCs w:val="24"/>
                <w:highlight w:val="none"/>
              </w:rPr>
              <w:t>有无偏离</w:t>
            </w:r>
          </w:p>
        </w:tc>
        <w:tc>
          <w:tcPr>
            <w:tcW w:w="4097" w:type="dxa"/>
            <w:vAlign w:val="center"/>
          </w:tcPr>
          <w:p w14:paraId="0184E616">
            <w:pPr>
              <w:spacing w:line="320" w:lineRule="exact"/>
              <w:jc w:val="center"/>
              <w:rPr>
                <w:rFonts w:ascii="宋体" w:hAnsi="宋体" w:cs="宋体"/>
                <w:sz w:val="24"/>
                <w:szCs w:val="24"/>
                <w:highlight w:val="none"/>
              </w:rPr>
            </w:pPr>
            <w:r>
              <w:rPr>
                <w:rFonts w:hint="eastAsia" w:ascii="宋体" w:hAnsi="宋体" w:cs="宋体"/>
                <w:sz w:val="24"/>
                <w:szCs w:val="24"/>
                <w:highlight w:val="none"/>
              </w:rPr>
              <w:t>偏离内容及原因</w:t>
            </w:r>
          </w:p>
        </w:tc>
      </w:tr>
      <w:tr w14:paraId="5254D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52ADEAD3">
            <w:pPr>
              <w:spacing w:line="320" w:lineRule="exact"/>
              <w:rPr>
                <w:rFonts w:ascii="宋体" w:hAnsi="宋体" w:cs="宋体"/>
                <w:sz w:val="24"/>
                <w:szCs w:val="24"/>
                <w:highlight w:val="none"/>
              </w:rPr>
            </w:pPr>
            <w:r>
              <w:rPr>
                <w:rFonts w:hint="eastAsia" w:ascii="宋体" w:hAnsi="宋体" w:cs="宋体"/>
                <w:sz w:val="24"/>
                <w:szCs w:val="24"/>
                <w:highlight w:val="none"/>
              </w:rPr>
              <w:t>1.1 合同组成部分</w:t>
            </w:r>
          </w:p>
        </w:tc>
        <w:tc>
          <w:tcPr>
            <w:tcW w:w="1412" w:type="dxa"/>
            <w:vAlign w:val="center"/>
          </w:tcPr>
          <w:p w14:paraId="530A27C4">
            <w:pPr>
              <w:spacing w:line="320" w:lineRule="exact"/>
              <w:rPr>
                <w:rFonts w:ascii="宋体" w:hAnsi="宋体" w:cs="宋体"/>
                <w:sz w:val="24"/>
                <w:szCs w:val="24"/>
                <w:highlight w:val="none"/>
              </w:rPr>
            </w:pPr>
          </w:p>
        </w:tc>
        <w:tc>
          <w:tcPr>
            <w:tcW w:w="4097" w:type="dxa"/>
            <w:vAlign w:val="center"/>
          </w:tcPr>
          <w:p w14:paraId="2D56C79D">
            <w:pPr>
              <w:spacing w:line="320" w:lineRule="exact"/>
              <w:rPr>
                <w:rFonts w:ascii="宋体" w:hAnsi="宋体" w:cs="宋体"/>
                <w:sz w:val="24"/>
                <w:szCs w:val="24"/>
                <w:highlight w:val="none"/>
              </w:rPr>
            </w:pPr>
          </w:p>
        </w:tc>
      </w:tr>
      <w:tr w14:paraId="0A5A0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2EC4D204">
            <w:pPr>
              <w:spacing w:line="320" w:lineRule="exact"/>
              <w:rPr>
                <w:rFonts w:ascii="宋体" w:hAnsi="宋体" w:cs="宋体"/>
                <w:sz w:val="24"/>
                <w:szCs w:val="24"/>
                <w:highlight w:val="none"/>
              </w:rPr>
            </w:pPr>
            <w:r>
              <w:rPr>
                <w:rFonts w:hint="eastAsia" w:ascii="宋体" w:hAnsi="宋体" w:cs="宋体"/>
                <w:sz w:val="24"/>
                <w:szCs w:val="24"/>
                <w:highlight w:val="none"/>
              </w:rPr>
              <w:t>1.2 标的</w:t>
            </w:r>
          </w:p>
        </w:tc>
        <w:tc>
          <w:tcPr>
            <w:tcW w:w="1412" w:type="dxa"/>
            <w:vAlign w:val="center"/>
          </w:tcPr>
          <w:p w14:paraId="1EB0577D">
            <w:pPr>
              <w:spacing w:line="320" w:lineRule="exact"/>
              <w:rPr>
                <w:rFonts w:ascii="宋体" w:hAnsi="宋体" w:cs="宋体"/>
                <w:sz w:val="24"/>
                <w:szCs w:val="24"/>
                <w:highlight w:val="none"/>
              </w:rPr>
            </w:pPr>
          </w:p>
        </w:tc>
        <w:tc>
          <w:tcPr>
            <w:tcW w:w="4097" w:type="dxa"/>
            <w:vAlign w:val="center"/>
          </w:tcPr>
          <w:p w14:paraId="0AA5C117">
            <w:pPr>
              <w:spacing w:line="320" w:lineRule="exact"/>
              <w:rPr>
                <w:rFonts w:ascii="宋体" w:hAnsi="宋体" w:cs="宋体"/>
                <w:sz w:val="24"/>
                <w:szCs w:val="24"/>
                <w:highlight w:val="none"/>
              </w:rPr>
            </w:pPr>
          </w:p>
        </w:tc>
      </w:tr>
      <w:tr w14:paraId="64369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090FB85C">
            <w:pPr>
              <w:spacing w:line="320" w:lineRule="exact"/>
              <w:rPr>
                <w:rFonts w:ascii="宋体" w:hAnsi="宋体" w:cs="宋体"/>
                <w:sz w:val="24"/>
                <w:szCs w:val="24"/>
                <w:highlight w:val="none"/>
              </w:rPr>
            </w:pPr>
            <w:r>
              <w:rPr>
                <w:rFonts w:hint="eastAsia" w:ascii="宋体" w:hAnsi="宋体" w:cs="宋体"/>
                <w:sz w:val="24"/>
                <w:szCs w:val="24"/>
                <w:highlight w:val="none"/>
              </w:rPr>
              <w:t>1.4 付款方式、开票方式</w:t>
            </w:r>
          </w:p>
        </w:tc>
        <w:tc>
          <w:tcPr>
            <w:tcW w:w="1412" w:type="dxa"/>
            <w:vAlign w:val="center"/>
          </w:tcPr>
          <w:p w14:paraId="6EAEC6A8">
            <w:pPr>
              <w:spacing w:line="320" w:lineRule="exact"/>
              <w:rPr>
                <w:rFonts w:ascii="宋体" w:hAnsi="宋体" w:cs="宋体"/>
                <w:sz w:val="24"/>
                <w:szCs w:val="24"/>
                <w:highlight w:val="none"/>
              </w:rPr>
            </w:pPr>
          </w:p>
        </w:tc>
        <w:tc>
          <w:tcPr>
            <w:tcW w:w="4097" w:type="dxa"/>
            <w:vAlign w:val="center"/>
          </w:tcPr>
          <w:p w14:paraId="573D4780">
            <w:pPr>
              <w:spacing w:line="320" w:lineRule="exact"/>
              <w:rPr>
                <w:rFonts w:ascii="宋体" w:hAnsi="宋体" w:cs="宋体"/>
                <w:sz w:val="24"/>
                <w:szCs w:val="24"/>
                <w:highlight w:val="none"/>
              </w:rPr>
            </w:pPr>
          </w:p>
        </w:tc>
      </w:tr>
      <w:tr w14:paraId="3C6B2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1322E03A">
            <w:pPr>
              <w:spacing w:line="320" w:lineRule="exact"/>
              <w:rPr>
                <w:rFonts w:ascii="宋体" w:hAnsi="宋体" w:cs="宋体"/>
                <w:sz w:val="24"/>
                <w:szCs w:val="24"/>
                <w:highlight w:val="none"/>
              </w:rPr>
            </w:pPr>
            <w:r>
              <w:rPr>
                <w:rFonts w:hint="eastAsia" w:ascii="宋体" w:hAnsi="宋体" w:cs="宋体"/>
                <w:sz w:val="24"/>
                <w:szCs w:val="24"/>
                <w:highlight w:val="none"/>
              </w:rPr>
              <w:t>1.5 服务期限和地点</w:t>
            </w:r>
          </w:p>
        </w:tc>
        <w:tc>
          <w:tcPr>
            <w:tcW w:w="1412" w:type="dxa"/>
            <w:vAlign w:val="center"/>
          </w:tcPr>
          <w:p w14:paraId="6D1DA0D5">
            <w:pPr>
              <w:spacing w:line="320" w:lineRule="exact"/>
              <w:rPr>
                <w:rFonts w:ascii="宋体" w:hAnsi="宋体" w:cs="宋体"/>
                <w:sz w:val="24"/>
                <w:szCs w:val="24"/>
                <w:highlight w:val="none"/>
              </w:rPr>
            </w:pPr>
          </w:p>
        </w:tc>
        <w:tc>
          <w:tcPr>
            <w:tcW w:w="4097" w:type="dxa"/>
            <w:vAlign w:val="center"/>
          </w:tcPr>
          <w:p w14:paraId="44A7A9A7">
            <w:pPr>
              <w:spacing w:line="320" w:lineRule="exact"/>
              <w:rPr>
                <w:rFonts w:ascii="宋体" w:hAnsi="宋体" w:cs="宋体"/>
                <w:sz w:val="24"/>
                <w:szCs w:val="24"/>
                <w:highlight w:val="none"/>
              </w:rPr>
            </w:pPr>
          </w:p>
        </w:tc>
      </w:tr>
      <w:tr w14:paraId="6E91A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4E53D372">
            <w:pPr>
              <w:spacing w:line="320" w:lineRule="exact"/>
              <w:rPr>
                <w:rFonts w:ascii="宋体" w:hAnsi="宋体" w:cs="宋体"/>
                <w:sz w:val="24"/>
                <w:szCs w:val="24"/>
                <w:highlight w:val="none"/>
              </w:rPr>
            </w:pPr>
            <w:r>
              <w:rPr>
                <w:rFonts w:hint="eastAsia" w:ascii="宋体" w:hAnsi="宋体" w:cs="宋体"/>
                <w:sz w:val="24"/>
                <w:szCs w:val="24"/>
                <w:highlight w:val="none"/>
              </w:rPr>
              <w:t>1.6 双方权利义务</w:t>
            </w:r>
          </w:p>
        </w:tc>
        <w:tc>
          <w:tcPr>
            <w:tcW w:w="1412" w:type="dxa"/>
            <w:vAlign w:val="center"/>
          </w:tcPr>
          <w:p w14:paraId="2FBB928C">
            <w:pPr>
              <w:spacing w:line="320" w:lineRule="exact"/>
              <w:rPr>
                <w:rFonts w:ascii="宋体" w:hAnsi="宋体" w:cs="宋体"/>
                <w:sz w:val="24"/>
                <w:szCs w:val="24"/>
                <w:highlight w:val="none"/>
              </w:rPr>
            </w:pPr>
          </w:p>
        </w:tc>
        <w:tc>
          <w:tcPr>
            <w:tcW w:w="4097" w:type="dxa"/>
            <w:vAlign w:val="center"/>
          </w:tcPr>
          <w:p w14:paraId="33169E17">
            <w:pPr>
              <w:spacing w:line="320" w:lineRule="exact"/>
              <w:rPr>
                <w:rFonts w:ascii="宋体" w:hAnsi="宋体" w:cs="宋体"/>
                <w:sz w:val="24"/>
                <w:szCs w:val="24"/>
                <w:highlight w:val="none"/>
              </w:rPr>
            </w:pPr>
          </w:p>
        </w:tc>
      </w:tr>
      <w:tr w14:paraId="4C439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12A87DAE">
            <w:pPr>
              <w:spacing w:line="320" w:lineRule="exact"/>
              <w:rPr>
                <w:rFonts w:ascii="宋体" w:hAnsi="宋体" w:cs="宋体"/>
                <w:sz w:val="24"/>
                <w:szCs w:val="24"/>
                <w:highlight w:val="none"/>
                <w:u w:val="single"/>
              </w:rPr>
            </w:pPr>
            <w:r>
              <w:rPr>
                <w:rFonts w:hint="eastAsia" w:ascii="宋体" w:hAnsi="宋体" w:cs="宋体"/>
                <w:sz w:val="24"/>
                <w:szCs w:val="24"/>
                <w:highlight w:val="none"/>
              </w:rPr>
              <w:t>1.7 违约责任</w:t>
            </w:r>
          </w:p>
        </w:tc>
        <w:tc>
          <w:tcPr>
            <w:tcW w:w="1412" w:type="dxa"/>
            <w:vAlign w:val="center"/>
          </w:tcPr>
          <w:p w14:paraId="2A4DA8D5">
            <w:pPr>
              <w:spacing w:line="320" w:lineRule="exact"/>
              <w:rPr>
                <w:rFonts w:ascii="宋体" w:hAnsi="宋体" w:cs="宋体"/>
                <w:sz w:val="24"/>
                <w:szCs w:val="24"/>
                <w:highlight w:val="none"/>
              </w:rPr>
            </w:pPr>
          </w:p>
        </w:tc>
        <w:tc>
          <w:tcPr>
            <w:tcW w:w="4097" w:type="dxa"/>
            <w:vAlign w:val="center"/>
          </w:tcPr>
          <w:p w14:paraId="593FF106">
            <w:pPr>
              <w:spacing w:line="320" w:lineRule="exact"/>
              <w:rPr>
                <w:rFonts w:ascii="宋体" w:hAnsi="宋体" w:cs="宋体"/>
                <w:sz w:val="24"/>
                <w:szCs w:val="24"/>
                <w:highlight w:val="none"/>
              </w:rPr>
            </w:pPr>
          </w:p>
        </w:tc>
      </w:tr>
      <w:tr w14:paraId="2DADB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456C0203">
            <w:pPr>
              <w:spacing w:line="320" w:lineRule="exact"/>
              <w:rPr>
                <w:rFonts w:ascii="宋体" w:hAnsi="宋体" w:cs="宋体"/>
                <w:sz w:val="24"/>
                <w:szCs w:val="24"/>
                <w:highlight w:val="none"/>
              </w:rPr>
            </w:pPr>
            <w:r>
              <w:rPr>
                <w:rFonts w:hint="eastAsia" w:ascii="宋体" w:hAnsi="宋体" w:cs="宋体"/>
                <w:sz w:val="24"/>
                <w:szCs w:val="24"/>
                <w:highlight w:val="none"/>
              </w:rPr>
              <w:t>1.8 合同的解除</w:t>
            </w:r>
          </w:p>
        </w:tc>
        <w:tc>
          <w:tcPr>
            <w:tcW w:w="1412" w:type="dxa"/>
            <w:vAlign w:val="center"/>
          </w:tcPr>
          <w:p w14:paraId="13D041FA">
            <w:pPr>
              <w:spacing w:line="320" w:lineRule="exact"/>
              <w:rPr>
                <w:rFonts w:ascii="宋体" w:hAnsi="宋体" w:cs="宋体"/>
                <w:sz w:val="24"/>
                <w:szCs w:val="24"/>
                <w:highlight w:val="none"/>
              </w:rPr>
            </w:pPr>
          </w:p>
        </w:tc>
        <w:tc>
          <w:tcPr>
            <w:tcW w:w="4097" w:type="dxa"/>
            <w:vAlign w:val="center"/>
          </w:tcPr>
          <w:p w14:paraId="25A1E0D9">
            <w:pPr>
              <w:spacing w:line="320" w:lineRule="exact"/>
              <w:rPr>
                <w:rFonts w:ascii="宋体" w:hAnsi="宋体" w:cs="宋体"/>
                <w:sz w:val="24"/>
                <w:szCs w:val="24"/>
                <w:highlight w:val="none"/>
              </w:rPr>
            </w:pPr>
          </w:p>
        </w:tc>
      </w:tr>
      <w:tr w14:paraId="459F7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67FB5551">
            <w:pPr>
              <w:spacing w:line="320" w:lineRule="exact"/>
              <w:rPr>
                <w:rFonts w:ascii="宋体" w:hAnsi="宋体" w:cs="宋体"/>
                <w:sz w:val="24"/>
                <w:szCs w:val="24"/>
                <w:highlight w:val="none"/>
              </w:rPr>
            </w:pPr>
            <w:r>
              <w:rPr>
                <w:rFonts w:hint="eastAsia" w:ascii="宋体" w:hAnsi="宋体" w:cs="宋体"/>
                <w:sz w:val="24"/>
                <w:szCs w:val="24"/>
                <w:highlight w:val="none"/>
              </w:rPr>
              <w:t>1.9 合同争议的解决</w:t>
            </w:r>
          </w:p>
        </w:tc>
        <w:tc>
          <w:tcPr>
            <w:tcW w:w="1412" w:type="dxa"/>
            <w:vAlign w:val="center"/>
          </w:tcPr>
          <w:p w14:paraId="398758C7">
            <w:pPr>
              <w:spacing w:line="320" w:lineRule="exact"/>
              <w:rPr>
                <w:rFonts w:ascii="宋体" w:hAnsi="宋体" w:cs="宋体"/>
                <w:sz w:val="24"/>
                <w:szCs w:val="24"/>
                <w:highlight w:val="none"/>
              </w:rPr>
            </w:pPr>
          </w:p>
        </w:tc>
        <w:tc>
          <w:tcPr>
            <w:tcW w:w="4097" w:type="dxa"/>
            <w:vAlign w:val="center"/>
          </w:tcPr>
          <w:p w14:paraId="52EF2CE7">
            <w:pPr>
              <w:spacing w:line="320" w:lineRule="exact"/>
              <w:rPr>
                <w:rFonts w:ascii="宋体" w:hAnsi="宋体" w:cs="宋体"/>
                <w:sz w:val="24"/>
                <w:szCs w:val="24"/>
                <w:highlight w:val="none"/>
              </w:rPr>
            </w:pPr>
          </w:p>
        </w:tc>
      </w:tr>
      <w:tr w14:paraId="79275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465F2AFC">
            <w:pPr>
              <w:spacing w:line="320" w:lineRule="exact"/>
              <w:rPr>
                <w:rFonts w:ascii="宋体" w:hAnsi="宋体" w:cs="宋体"/>
                <w:sz w:val="24"/>
                <w:szCs w:val="24"/>
                <w:highlight w:val="none"/>
              </w:rPr>
            </w:pPr>
            <w:r>
              <w:rPr>
                <w:rFonts w:hint="eastAsia" w:ascii="宋体" w:hAnsi="宋体" w:cs="宋体"/>
                <w:sz w:val="24"/>
                <w:szCs w:val="24"/>
                <w:highlight w:val="none"/>
              </w:rPr>
              <w:t>1.10 合同生效及其他</w:t>
            </w:r>
          </w:p>
        </w:tc>
        <w:tc>
          <w:tcPr>
            <w:tcW w:w="1412" w:type="dxa"/>
            <w:vAlign w:val="center"/>
          </w:tcPr>
          <w:p w14:paraId="310CFA80">
            <w:pPr>
              <w:spacing w:line="320" w:lineRule="exact"/>
              <w:rPr>
                <w:rFonts w:ascii="宋体" w:hAnsi="宋体" w:cs="宋体"/>
                <w:sz w:val="24"/>
                <w:szCs w:val="24"/>
                <w:highlight w:val="none"/>
              </w:rPr>
            </w:pPr>
          </w:p>
        </w:tc>
        <w:tc>
          <w:tcPr>
            <w:tcW w:w="4097" w:type="dxa"/>
            <w:vAlign w:val="center"/>
          </w:tcPr>
          <w:p w14:paraId="0C0CE56B">
            <w:pPr>
              <w:spacing w:line="320" w:lineRule="exact"/>
              <w:rPr>
                <w:rFonts w:ascii="宋体" w:hAnsi="宋体" w:cs="宋体"/>
                <w:sz w:val="24"/>
                <w:szCs w:val="24"/>
                <w:highlight w:val="none"/>
              </w:rPr>
            </w:pPr>
          </w:p>
        </w:tc>
      </w:tr>
      <w:tr w14:paraId="7EBE4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2AB7BCBE">
            <w:pPr>
              <w:spacing w:line="320" w:lineRule="exact"/>
              <w:rPr>
                <w:rFonts w:ascii="宋体" w:hAnsi="宋体" w:cs="宋体"/>
                <w:sz w:val="24"/>
                <w:szCs w:val="24"/>
                <w:highlight w:val="none"/>
              </w:rPr>
            </w:pPr>
            <w:r>
              <w:rPr>
                <w:rFonts w:hint="eastAsia" w:ascii="宋体" w:hAnsi="宋体" w:cs="宋体"/>
                <w:sz w:val="24"/>
                <w:szCs w:val="24"/>
                <w:highlight w:val="none"/>
              </w:rPr>
              <w:t>2.1 定义</w:t>
            </w:r>
          </w:p>
        </w:tc>
        <w:tc>
          <w:tcPr>
            <w:tcW w:w="1412" w:type="dxa"/>
            <w:vAlign w:val="center"/>
          </w:tcPr>
          <w:p w14:paraId="1AFA299B">
            <w:pPr>
              <w:spacing w:line="320" w:lineRule="exact"/>
              <w:rPr>
                <w:rFonts w:ascii="宋体" w:hAnsi="宋体" w:cs="宋体"/>
                <w:sz w:val="24"/>
                <w:szCs w:val="24"/>
                <w:highlight w:val="none"/>
              </w:rPr>
            </w:pPr>
          </w:p>
        </w:tc>
        <w:tc>
          <w:tcPr>
            <w:tcW w:w="4097" w:type="dxa"/>
            <w:vAlign w:val="center"/>
          </w:tcPr>
          <w:p w14:paraId="48932EED">
            <w:pPr>
              <w:spacing w:line="320" w:lineRule="exact"/>
              <w:rPr>
                <w:rFonts w:ascii="宋体" w:hAnsi="宋体" w:cs="宋体"/>
                <w:sz w:val="24"/>
                <w:szCs w:val="24"/>
                <w:highlight w:val="none"/>
              </w:rPr>
            </w:pPr>
          </w:p>
        </w:tc>
      </w:tr>
      <w:tr w14:paraId="67D06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5E4C7178">
            <w:pPr>
              <w:spacing w:line="320" w:lineRule="exact"/>
              <w:rPr>
                <w:rFonts w:ascii="宋体" w:hAnsi="宋体" w:cs="宋体"/>
                <w:sz w:val="24"/>
                <w:szCs w:val="24"/>
                <w:highlight w:val="none"/>
              </w:rPr>
            </w:pPr>
            <w:r>
              <w:rPr>
                <w:rFonts w:hint="eastAsia" w:ascii="宋体" w:hAnsi="宋体" w:cs="宋体"/>
                <w:sz w:val="24"/>
                <w:szCs w:val="24"/>
                <w:highlight w:val="none"/>
              </w:rPr>
              <w:t>2.2 技术规范</w:t>
            </w:r>
          </w:p>
        </w:tc>
        <w:tc>
          <w:tcPr>
            <w:tcW w:w="1412" w:type="dxa"/>
            <w:vAlign w:val="center"/>
          </w:tcPr>
          <w:p w14:paraId="353E1B0E">
            <w:pPr>
              <w:spacing w:line="320" w:lineRule="exact"/>
              <w:rPr>
                <w:rFonts w:ascii="宋体" w:hAnsi="宋体" w:cs="宋体"/>
                <w:sz w:val="24"/>
                <w:szCs w:val="24"/>
                <w:highlight w:val="none"/>
              </w:rPr>
            </w:pPr>
          </w:p>
        </w:tc>
        <w:tc>
          <w:tcPr>
            <w:tcW w:w="4097" w:type="dxa"/>
            <w:vAlign w:val="center"/>
          </w:tcPr>
          <w:p w14:paraId="1C3FD33E">
            <w:pPr>
              <w:spacing w:line="320" w:lineRule="exact"/>
              <w:rPr>
                <w:rFonts w:ascii="宋体" w:hAnsi="宋体" w:cs="宋体"/>
                <w:sz w:val="24"/>
                <w:szCs w:val="24"/>
                <w:highlight w:val="none"/>
              </w:rPr>
            </w:pPr>
          </w:p>
        </w:tc>
      </w:tr>
      <w:tr w14:paraId="0AE52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0CA12F16">
            <w:pPr>
              <w:spacing w:line="320" w:lineRule="exact"/>
              <w:rPr>
                <w:rFonts w:ascii="宋体" w:hAnsi="宋体" w:cs="宋体"/>
                <w:sz w:val="24"/>
                <w:szCs w:val="24"/>
                <w:highlight w:val="none"/>
              </w:rPr>
            </w:pPr>
            <w:r>
              <w:rPr>
                <w:rFonts w:hint="eastAsia" w:ascii="宋体" w:hAnsi="宋体" w:cs="宋体"/>
                <w:sz w:val="24"/>
                <w:szCs w:val="24"/>
                <w:highlight w:val="none"/>
              </w:rPr>
              <w:t>2.3 知识产权</w:t>
            </w:r>
          </w:p>
        </w:tc>
        <w:tc>
          <w:tcPr>
            <w:tcW w:w="1412" w:type="dxa"/>
            <w:vAlign w:val="center"/>
          </w:tcPr>
          <w:p w14:paraId="128802B1">
            <w:pPr>
              <w:spacing w:line="320" w:lineRule="exact"/>
              <w:rPr>
                <w:rFonts w:ascii="宋体" w:hAnsi="宋体" w:cs="宋体"/>
                <w:sz w:val="24"/>
                <w:szCs w:val="24"/>
                <w:highlight w:val="none"/>
              </w:rPr>
            </w:pPr>
          </w:p>
        </w:tc>
        <w:tc>
          <w:tcPr>
            <w:tcW w:w="4097" w:type="dxa"/>
            <w:vAlign w:val="center"/>
          </w:tcPr>
          <w:p w14:paraId="751BE621">
            <w:pPr>
              <w:spacing w:line="320" w:lineRule="exact"/>
              <w:rPr>
                <w:rFonts w:ascii="宋体" w:hAnsi="宋体" w:cs="宋体"/>
                <w:sz w:val="24"/>
                <w:szCs w:val="24"/>
                <w:highlight w:val="none"/>
              </w:rPr>
            </w:pPr>
          </w:p>
        </w:tc>
      </w:tr>
      <w:tr w14:paraId="1EFD9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4E7080D2">
            <w:pPr>
              <w:spacing w:line="320" w:lineRule="exact"/>
              <w:rPr>
                <w:rFonts w:ascii="宋体" w:hAnsi="宋体" w:cs="宋体"/>
                <w:sz w:val="24"/>
                <w:szCs w:val="24"/>
                <w:highlight w:val="none"/>
              </w:rPr>
            </w:pPr>
            <w:r>
              <w:rPr>
                <w:rFonts w:hint="eastAsia" w:ascii="宋体" w:hAnsi="宋体" w:cs="宋体"/>
                <w:sz w:val="24"/>
                <w:szCs w:val="24"/>
                <w:highlight w:val="none"/>
              </w:rPr>
              <w:t>2.4 履约检查和问题反馈</w:t>
            </w:r>
          </w:p>
        </w:tc>
        <w:tc>
          <w:tcPr>
            <w:tcW w:w="1412" w:type="dxa"/>
            <w:vAlign w:val="center"/>
          </w:tcPr>
          <w:p w14:paraId="1A60F5EB">
            <w:pPr>
              <w:spacing w:line="320" w:lineRule="exact"/>
              <w:rPr>
                <w:rFonts w:ascii="宋体" w:hAnsi="宋体" w:cs="宋体"/>
                <w:sz w:val="24"/>
                <w:szCs w:val="24"/>
                <w:highlight w:val="none"/>
              </w:rPr>
            </w:pPr>
          </w:p>
        </w:tc>
        <w:tc>
          <w:tcPr>
            <w:tcW w:w="4097" w:type="dxa"/>
            <w:vAlign w:val="center"/>
          </w:tcPr>
          <w:p w14:paraId="5D62C65B">
            <w:pPr>
              <w:spacing w:line="320" w:lineRule="exact"/>
              <w:rPr>
                <w:rFonts w:ascii="宋体" w:hAnsi="宋体" w:cs="宋体"/>
                <w:sz w:val="24"/>
                <w:szCs w:val="24"/>
                <w:highlight w:val="none"/>
              </w:rPr>
            </w:pPr>
          </w:p>
        </w:tc>
      </w:tr>
      <w:tr w14:paraId="20B26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53BE2341">
            <w:pPr>
              <w:spacing w:line="320" w:lineRule="exact"/>
              <w:rPr>
                <w:rFonts w:ascii="宋体" w:hAnsi="宋体" w:cs="宋体"/>
                <w:sz w:val="24"/>
                <w:szCs w:val="24"/>
                <w:highlight w:val="none"/>
              </w:rPr>
            </w:pPr>
            <w:r>
              <w:rPr>
                <w:rFonts w:hint="eastAsia" w:ascii="宋体" w:hAnsi="宋体" w:cs="宋体"/>
                <w:sz w:val="24"/>
                <w:szCs w:val="24"/>
                <w:highlight w:val="none"/>
              </w:rPr>
              <w:t>2.5 技术资料和保密义务</w:t>
            </w:r>
          </w:p>
        </w:tc>
        <w:tc>
          <w:tcPr>
            <w:tcW w:w="1412" w:type="dxa"/>
            <w:vAlign w:val="center"/>
          </w:tcPr>
          <w:p w14:paraId="78B91B3E">
            <w:pPr>
              <w:spacing w:line="320" w:lineRule="exact"/>
              <w:rPr>
                <w:rFonts w:ascii="宋体" w:hAnsi="宋体" w:cs="宋体"/>
                <w:sz w:val="24"/>
                <w:szCs w:val="24"/>
                <w:highlight w:val="none"/>
              </w:rPr>
            </w:pPr>
          </w:p>
        </w:tc>
        <w:tc>
          <w:tcPr>
            <w:tcW w:w="4097" w:type="dxa"/>
            <w:vAlign w:val="center"/>
          </w:tcPr>
          <w:p w14:paraId="1C1E8617">
            <w:pPr>
              <w:spacing w:line="320" w:lineRule="exact"/>
              <w:rPr>
                <w:rFonts w:ascii="宋体" w:hAnsi="宋体" w:cs="宋体"/>
                <w:sz w:val="24"/>
                <w:szCs w:val="24"/>
                <w:highlight w:val="none"/>
              </w:rPr>
            </w:pPr>
          </w:p>
        </w:tc>
      </w:tr>
      <w:tr w14:paraId="02C40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59D9EA50">
            <w:pPr>
              <w:spacing w:line="320" w:lineRule="exact"/>
              <w:rPr>
                <w:rFonts w:ascii="宋体" w:hAnsi="宋体" w:cs="宋体"/>
                <w:sz w:val="24"/>
                <w:szCs w:val="24"/>
                <w:highlight w:val="none"/>
              </w:rPr>
            </w:pPr>
            <w:r>
              <w:rPr>
                <w:rFonts w:hint="eastAsia" w:ascii="宋体" w:hAnsi="宋体" w:cs="宋体"/>
                <w:sz w:val="24"/>
                <w:szCs w:val="24"/>
                <w:highlight w:val="none"/>
              </w:rPr>
              <w:t>2.6 质量保证</w:t>
            </w:r>
          </w:p>
        </w:tc>
        <w:tc>
          <w:tcPr>
            <w:tcW w:w="1412" w:type="dxa"/>
            <w:vAlign w:val="center"/>
          </w:tcPr>
          <w:p w14:paraId="32798D80">
            <w:pPr>
              <w:spacing w:line="320" w:lineRule="exact"/>
              <w:rPr>
                <w:rFonts w:ascii="宋体" w:hAnsi="宋体" w:cs="宋体"/>
                <w:sz w:val="24"/>
                <w:szCs w:val="24"/>
                <w:highlight w:val="none"/>
              </w:rPr>
            </w:pPr>
          </w:p>
        </w:tc>
        <w:tc>
          <w:tcPr>
            <w:tcW w:w="4097" w:type="dxa"/>
            <w:vAlign w:val="center"/>
          </w:tcPr>
          <w:p w14:paraId="6C54D44B">
            <w:pPr>
              <w:spacing w:line="320" w:lineRule="exact"/>
              <w:rPr>
                <w:rFonts w:ascii="宋体" w:hAnsi="宋体" w:cs="宋体"/>
                <w:sz w:val="24"/>
                <w:szCs w:val="24"/>
                <w:highlight w:val="none"/>
              </w:rPr>
            </w:pPr>
          </w:p>
        </w:tc>
      </w:tr>
      <w:tr w14:paraId="5C7A8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4F9267CB">
            <w:pPr>
              <w:spacing w:line="320" w:lineRule="exact"/>
              <w:rPr>
                <w:rFonts w:ascii="宋体" w:hAnsi="宋体" w:cs="宋体"/>
                <w:sz w:val="24"/>
                <w:szCs w:val="24"/>
                <w:highlight w:val="none"/>
              </w:rPr>
            </w:pPr>
            <w:r>
              <w:rPr>
                <w:rFonts w:hint="eastAsia" w:ascii="宋体" w:hAnsi="宋体" w:cs="宋体"/>
                <w:sz w:val="24"/>
                <w:szCs w:val="24"/>
                <w:highlight w:val="none"/>
              </w:rPr>
              <w:t>2.7 延迟履行</w:t>
            </w:r>
          </w:p>
        </w:tc>
        <w:tc>
          <w:tcPr>
            <w:tcW w:w="1412" w:type="dxa"/>
            <w:vAlign w:val="center"/>
          </w:tcPr>
          <w:p w14:paraId="7F4F3C40">
            <w:pPr>
              <w:spacing w:line="320" w:lineRule="exact"/>
              <w:rPr>
                <w:rFonts w:ascii="宋体" w:hAnsi="宋体" w:cs="宋体"/>
                <w:sz w:val="24"/>
                <w:szCs w:val="24"/>
                <w:highlight w:val="none"/>
              </w:rPr>
            </w:pPr>
          </w:p>
        </w:tc>
        <w:tc>
          <w:tcPr>
            <w:tcW w:w="4097" w:type="dxa"/>
            <w:vAlign w:val="center"/>
          </w:tcPr>
          <w:p w14:paraId="3C333906">
            <w:pPr>
              <w:spacing w:line="320" w:lineRule="exact"/>
              <w:rPr>
                <w:rFonts w:ascii="宋体" w:hAnsi="宋体" w:cs="宋体"/>
                <w:sz w:val="24"/>
                <w:szCs w:val="24"/>
                <w:highlight w:val="none"/>
              </w:rPr>
            </w:pPr>
          </w:p>
        </w:tc>
      </w:tr>
      <w:tr w14:paraId="43DC2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734FA439">
            <w:pPr>
              <w:spacing w:line="320" w:lineRule="exact"/>
              <w:rPr>
                <w:rFonts w:ascii="宋体" w:hAnsi="宋体" w:cs="宋体"/>
                <w:sz w:val="24"/>
                <w:szCs w:val="24"/>
                <w:highlight w:val="none"/>
              </w:rPr>
            </w:pPr>
            <w:r>
              <w:rPr>
                <w:rFonts w:hint="eastAsia" w:ascii="宋体" w:hAnsi="宋体" w:cs="宋体"/>
                <w:sz w:val="24"/>
                <w:szCs w:val="24"/>
                <w:highlight w:val="none"/>
              </w:rPr>
              <w:t>2.8 合同变更</w:t>
            </w:r>
          </w:p>
        </w:tc>
        <w:tc>
          <w:tcPr>
            <w:tcW w:w="1412" w:type="dxa"/>
            <w:vAlign w:val="center"/>
          </w:tcPr>
          <w:p w14:paraId="47202F66">
            <w:pPr>
              <w:spacing w:line="320" w:lineRule="exact"/>
              <w:rPr>
                <w:rFonts w:ascii="宋体" w:hAnsi="宋体" w:cs="宋体"/>
                <w:sz w:val="24"/>
                <w:szCs w:val="24"/>
                <w:highlight w:val="none"/>
              </w:rPr>
            </w:pPr>
          </w:p>
        </w:tc>
        <w:tc>
          <w:tcPr>
            <w:tcW w:w="4097" w:type="dxa"/>
            <w:vAlign w:val="center"/>
          </w:tcPr>
          <w:p w14:paraId="5E9BCA3D">
            <w:pPr>
              <w:spacing w:line="320" w:lineRule="exact"/>
              <w:rPr>
                <w:rFonts w:ascii="宋体" w:hAnsi="宋体" w:cs="宋体"/>
                <w:sz w:val="24"/>
                <w:szCs w:val="24"/>
                <w:highlight w:val="none"/>
              </w:rPr>
            </w:pPr>
          </w:p>
        </w:tc>
      </w:tr>
      <w:tr w14:paraId="23D20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5B38DA1C">
            <w:pPr>
              <w:spacing w:line="320" w:lineRule="exact"/>
              <w:rPr>
                <w:rFonts w:ascii="宋体" w:hAnsi="宋体" w:cs="宋体"/>
                <w:sz w:val="24"/>
                <w:szCs w:val="24"/>
                <w:highlight w:val="none"/>
              </w:rPr>
            </w:pPr>
            <w:r>
              <w:rPr>
                <w:rFonts w:hint="eastAsia" w:ascii="宋体" w:hAnsi="宋体" w:cs="宋体"/>
                <w:sz w:val="24"/>
                <w:szCs w:val="24"/>
                <w:highlight w:val="none"/>
              </w:rPr>
              <w:t>2.9 合同转让和分包</w:t>
            </w:r>
          </w:p>
        </w:tc>
        <w:tc>
          <w:tcPr>
            <w:tcW w:w="1412" w:type="dxa"/>
            <w:vAlign w:val="center"/>
          </w:tcPr>
          <w:p w14:paraId="1A6FBD17">
            <w:pPr>
              <w:spacing w:line="320" w:lineRule="exact"/>
              <w:rPr>
                <w:rFonts w:ascii="宋体" w:hAnsi="宋体" w:cs="宋体"/>
                <w:sz w:val="24"/>
                <w:szCs w:val="24"/>
                <w:highlight w:val="none"/>
              </w:rPr>
            </w:pPr>
          </w:p>
        </w:tc>
        <w:tc>
          <w:tcPr>
            <w:tcW w:w="4097" w:type="dxa"/>
            <w:vAlign w:val="center"/>
          </w:tcPr>
          <w:p w14:paraId="01572842">
            <w:pPr>
              <w:spacing w:line="320" w:lineRule="exact"/>
              <w:rPr>
                <w:rFonts w:ascii="宋体" w:hAnsi="宋体" w:cs="宋体"/>
                <w:sz w:val="24"/>
                <w:szCs w:val="24"/>
                <w:highlight w:val="none"/>
              </w:rPr>
            </w:pPr>
          </w:p>
        </w:tc>
      </w:tr>
      <w:tr w14:paraId="56837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1F9E8973">
            <w:pPr>
              <w:spacing w:line="320" w:lineRule="exact"/>
              <w:rPr>
                <w:rFonts w:ascii="宋体" w:hAnsi="宋体" w:cs="宋体"/>
                <w:sz w:val="24"/>
                <w:szCs w:val="24"/>
                <w:highlight w:val="none"/>
              </w:rPr>
            </w:pPr>
            <w:r>
              <w:rPr>
                <w:rFonts w:hint="eastAsia" w:ascii="宋体" w:hAnsi="宋体" w:cs="宋体"/>
                <w:sz w:val="24"/>
                <w:szCs w:val="24"/>
                <w:highlight w:val="none"/>
              </w:rPr>
              <w:t>2.10 不可抗力</w:t>
            </w:r>
          </w:p>
        </w:tc>
        <w:tc>
          <w:tcPr>
            <w:tcW w:w="1412" w:type="dxa"/>
            <w:vAlign w:val="center"/>
          </w:tcPr>
          <w:p w14:paraId="1A77AE56">
            <w:pPr>
              <w:spacing w:line="320" w:lineRule="exact"/>
              <w:rPr>
                <w:rFonts w:ascii="宋体" w:hAnsi="宋体" w:cs="宋体"/>
                <w:sz w:val="24"/>
                <w:szCs w:val="24"/>
                <w:highlight w:val="none"/>
              </w:rPr>
            </w:pPr>
          </w:p>
        </w:tc>
        <w:tc>
          <w:tcPr>
            <w:tcW w:w="4097" w:type="dxa"/>
            <w:vAlign w:val="center"/>
          </w:tcPr>
          <w:p w14:paraId="7E350522">
            <w:pPr>
              <w:spacing w:line="320" w:lineRule="exact"/>
              <w:rPr>
                <w:rFonts w:ascii="宋体" w:hAnsi="宋体" w:cs="宋体"/>
                <w:sz w:val="24"/>
                <w:szCs w:val="24"/>
                <w:highlight w:val="none"/>
              </w:rPr>
            </w:pPr>
          </w:p>
        </w:tc>
      </w:tr>
      <w:tr w14:paraId="1B14F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5FF18847">
            <w:pPr>
              <w:spacing w:line="320" w:lineRule="exact"/>
              <w:rPr>
                <w:rFonts w:ascii="宋体" w:hAnsi="宋体" w:cs="宋体"/>
                <w:sz w:val="24"/>
                <w:szCs w:val="24"/>
                <w:highlight w:val="none"/>
              </w:rPr>
            </w:pPr>
            <w:r>
              <w:rPr>
                <w:rFonts w:hint="eastAsia" w:ascii="宋体" w:hAnsi="宋体" w:cs="宋体"/>
                <w:sz w:val="24"/>
                <w:szCs w:val="24"/>
                <w:highlight w:val="none"/>
              </w:rPr>
              <w:t>2.11 税费</w:t>
            </w:r>
          </w:p>
        </w:tc>
        <w:tc>
          <w:tcPr>
            <w:tcW w:w="1412" w:type="dxa"/>
            <w:vAlign w:val="center"/>
          </w:tcPr>
          <w:p w14:paraId="2FED1A15">
            <w:pPr>
              <w:spacing w:line="320" w:lineRule="exact"/>
              <w:rPr>
                <w:rFonts w:ascii="宋体" w:hAnsi="宋体" w:cs="宋体"/>
                <w:sz w:val="24"/>
                <w:szCs w:val="24"/>
                <w:highlight w:val="none"/>
              </w:rPr>
            </w:pPr>
          </w:p>
        </w:tc>
        <w:tc>
          <w:tcPr>
            <w:tcW w:w="4097" w:type="dxa"/>
            <w:vAlign w:val="center"/>
          </w:tcPr>
          <w:p w14:paraId="0AFEB898">
            <w:pPr>
              <w:spacing w:line="320" w:lineRule="exact"/>
              <w:rPr>
                <w:rFonts w:ascii="宋体" w:hAnsi="宋体" w:cs="宋体"/>
                <w:sz w:val="24"/>
                <w:szCs w:val="24"/>
                <w:highlight w:val="none"/>
              </w:rPr>
            </w:pPr>
          </w:p>
        </w:tc>
      </w:tr>
      <w:tr w14:paraId="69F5F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6798C26E">
            <w:pPr>
              <w:spacing w:line="320" w:lineRule="exact"/>
              <w:rPr>
                <w:rFonts w:ascii="宋体" w:hAnsi="宋体" w:cs="宋体"/>
                <w:sz w:val="24"/>
                <w:szCs w:val="24"/>
                <w:highlight w:val="none"/>
              </w:rPr>
            </w:pPr>
            <w:r>
              <w:rPr>
                <w:rFonts w:hint="eastAsia" w:ascii="宋体" w:hAnsi="宋体" w:cs="宋体"/>
                <w:sz w:val="24"/>
                <w:szCs w:val="24"/>
                <w:highlight w:val="none"/>
              </w:rPr>
              <w:t>2.12 乙方破产</w:t>
            </w:r>
          </w:p>
        </w:tc>
        <w:tc>
          <w:tcPr>
            <w:tcW w:w="1412" w:type="dxa"/>
            <w:vAlign w:val="center"/>
          </w:tcPr>
          <w:p w14:paraId="7F89A070">
            <w:pPr>
              <w:spacing w:line="320" w:lineRule="exact"/>
              <w:rPr>
                <w:rFonts w:ascii="宋体" w:hAnsi="宋体" w:cs="宋体"/>
                <w:sz w:val="24"/>
                <w:szCs w:val="24"/>
                <w:highlight w:val="none"/>
              </w:rPr>
            </w:pPr>
          </w:p>
        </w:tc>
        <w:tc>
          <w:tcPr>
            <w:tcW w:w="4097" w:type="dxa"/>
            <w:vAlign w:val="center"/>
          </w:tcPr>
          <w:p w14:paraId="1FFBA20B">
            <w:pPr>
              <w:spacing w:line="320" w:lineRule="exact"/>
              <w:rPr>
                <w:rFonts w:ascii="宋体" w:hAnsi="宋体" w:cs="宋体"/>
                <w:sz w:val="24"/>
                <w:szCs w:val="24"/>
                <w:highlight w:val="none"/>
              </w:rPr>
            </w:pPr>
          </w:p>
        </w:tc>
      </w:tr>
      <w:tr w14:paraId="2444D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74EA14B3">
            <w:pPr>
              <w:spacing w:line="320" w:lineRule="exact"/>
              <w:rPr>
                <w:rFonts w:ascii="宋体" w:hAnsi="宋体" w:cs="宋体"/>
                <w:sz w:val="24"/>
                <w:szCs w:val="24"/>
                <w:highlight w:val="none"/>
              </w:rPr>
            </w:pPr>
            <w:r>
              <w:rPr>
                <w:rFonts w:hint="eastAsia" w:ascii="宋体" w:hAnsi="宋体" w:cs="宋体"/>
                <w:sz w:val="24"/>
                <w:szCs w:val="24"/>
                <w:highlight w:val="none"/>
              </w:rPr>
              <w:t>2.13 合同中止、终止</w:t>
            </w:r>
          </w:p>
        </w:tc>
        <w:tc>
          <w:tcPr>
            <w:tcW w:w="1412" w:type="dxa"/>
            <w:vAlign w:val="center"/>
          </w:tcPr>
          <w:p w14:paraId="153641C8">
            <w:pPr>
              <w:spacing w:line="320" w:lineRule="exact"/>
              <w:rPr>
                <w:rFonts w:ascii="宋体" w:hAnsi="宋体" w:cs="宋体"/>
                <w:sz w:val="24"/>
                <w:szCs w:val="24"/>
                <w:highlight w:val="none"/>
              </w:rPr>
            </w:pPr>
          </w:p>
        </w:tc>
        <w:tc>
          <w:tcPr>
            <w:tcW w:w="4097" w:type="dxa"/>
            <w:vAlign w:val="center"/>
          </w:tcPr>
          <w:p w14:paraId="383915A5">
            <w:pPr>
              <w:spacing w:line="320" w:lineRule="exact"/>
              <w:rPr>
                <w:rFonts w:ascii="宋体" w:hAnsi="宋体" w:cs="宋体"/>
                <w:sz w:val="24"/>
                <w:szCs w:val="24"/>
                <w:highlight w:val="none"/>
              </w:rPr>
            </w:pPr>
          </w:p>
        </w:tc>
      </w:tr>
      <w:tr w14:paraId="5BB11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2F90CF9E">
            <w:pPr>
              <w:spacing w:line="320" w:lineRule="exact"/>
              <w:rPr>
                <w:rFonts w:ascii="宋体" w:hAnsi="宋体" w:cs="宋体"/>
                <w:sz w:val="24"/>
                <w:szCs w:val="24"/>
                <w:highlight w:val="none"/>
              </w:rPr>
            </w:pPr>
            <w:r>
              <w:rPr>
                <w:rFonts w:hint="eastAsia" w:ascii="宋体" w:hAnsi="宋体" w:cs="宋体"/>
                <w:sz w:val="24"/>
                <w:szCs w:val="24"/>
                <w:highlight w:val="none"/>
              </w:rPr>
              <w:t>2.14 通知和送达</w:t>
            </w:r>
          </w:p>
        </w:tc>
        <w:tc>
          <w:tcPr>
            <w:tcW w:w="1412" w:type="dxa"/>
            <w:vAlign w:val="center"/>
          </w:tcPr>
          <w:p w14:paraId="02E2907D">
            <w:pPr>
              <w:spacing w:line="320" w:lineRule="exact"/>
              <w:rPr>
                <w:rFonts w:ascii="宋体" w:hAnsi="宋体" w:cs="宋体"/>
                <w:sz w:val="24"/>
                <w:szCs w:val="24"/>
                <w:highlight w:val="none"/>
              </w:rPr>
            </w:pPr>
          </w:p>
        </w:tc>
        <w:tc>
          <w:tcPr>
            <w:tcW w:w="4097" w:type="dxa"/>
            <w:vAlign w:val="center"/>
          </w:tcPr>
          <w:p w14:paraId="4A1C3D62">
            <w:pPr>
              <w:spacing w:line="320" w:lineRule="exact"/>
              <w:rPr>
                <w:rFonts w:ascii="宋体" w:hAnsi="宋体" w:cs="宋体"/>
                <w:sz w:val="24"/>
                <w:szCs w:val="24"/>
                <w:highlight w:val="none"/>
              </w:rPr>
            </w:pPr>
          </w:p>
        </w:tc>
      </w:tr>
      <w:tr w14:paraId="77070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0ADF1171">
            <w:pPr>
              <w:spacing w:line="320" w:lineRule="exact"/>
              <w:rPr>
                <w:rFonts w:ascii="宋体" w:hAnsi="宋体" w:cs="宋体"/>
                <w:sz w:val="24"/>
                <w:szCs w:val="24"/>
                <w:highlight w:val="none"/>
              </w:rPr>
            </w:pPr>
            <w:r>
              <w:rPr>
                <w:rFonts w:hint="eastAsia" w:ascii="宋体" w:hAnsi="宋体" w:cs="宋体"/>
                <w:sz w:val="24"/>
                <w:szCs w:val="24"/>
                <w:highlight w:val="none"/>
              </w:rPr>
              <w:t>2.15 合同使用的文字和适用的法律</w:t>
            </w:r>
          </w:p>
        </w:tc>
        <w:tc>
          <w:tcPr>
            <w:tcW w:w="1412" w:type="dxa"/>
            <w:vAlign w:val="center"/>
          </w:tcPr>
          <w:p w14:paraId="2B23D53C">
            <w:pPr>
              <w:spacing w:line="320" w:lineRule="exact"/>
              <w:rPr>
                <w:rFonts w:ascii="宋体" w:hAnsi="宋体" w:cs="宋体"/>
                <w:sz w:val="24"/>
                <w:szCs w:val="24"/>
                <w:highlight w:val="none"/>
              </w:rPr>
            </w:pPr>
          </w:p>
        </w:tc>
        <w:tc>
          <w:tcPr>
            <w:tcW w:w="4097" w:type="dxa"/>
            <w:vAlign w:val="center"/>
          </w:tcPr>
          <w:p w14:paraId="6868A441">
            <w:pPr>
              <w:spacing w:line="320" w:lineRule="exact"/>
              <w:rPr>
                <w:rFonts w:ascii="宋体" w:hAnsi="宋体" w:cs="宋体"/>
                <w:sz w:val="24"/>
                <w:szCs w:val="24"/>
                <w:highlight w:val="none"/>
              </w:rPr>
            </w:pPr>
          </w:p>
        </w:tc>
      </w:tr>
      <w:tr w14:paraId="30317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030" w:type="dxa"/>
            <w:vAlign w:val="center"/>
          </w:tcPr>
          <w:p w14:paraId="601833C1">
            <w:pPr>
              <w:spacing w:line="320" w:lineRule="exact"/>
              <w:rPr>
                <w:rFonts w:ascii="宋体" w:hAnsi="宋体" w:cs="宋体"/>
                <w:sz w:val="24"/>
                <w:szCs w:val="24"/>
                <w:highlight w:val="none"/>
              </w:rPr>
            </w:pPr>
            <w:r>
              <w:rPr>
                <w:rFonts w:hint="eastAsia" w:ascii="宋体" w:hAnsi="宋体" w:cs="宋体"/>
                <w:sz w:val="24"/>
                <w:szCs w:val="24"/>
                <w:highlight w:val="none"/>
              </w:rPr>
              <w:t>2.16 履约保证金</w:t>
            </w:r>
          </w:p>
        </w:tc>
        <w:tc>
          <w:tcPr>
            <w:tcW w:w="1412" w:type="dxa"/>
            <w:vAlign w:val="center"/>
          </w:tcPr>
          <w:p w14:paraId="3D55FB76">
            <w:pPr>
              <w:spacing w:line="320" w:lineRule="exact"/>
              <w:rPr>
                <w:rFonts w:ascii="宋体" w:hAnsi="宋体" w:cs="宋体"/>
                <w:sz w:val="24"/>
                <w:szCs w:val="24"/>
                <w:highlight w:val="none"/>
              </w:rPr>
            </w:pPr>
          </w:p>
        </w:tc>
        <w:tc>
          <w:tcPr>
            <w:tcW w:w="4097" w:type="dxa"/>
            <w:vAlign w:val="center"/>
          </w:tcPr>
          <w:p w14:paraId="73CFA5D5">
            <w:pPr>
              <w:spacing w:line="320" w:lineRule="exact"/>
              <w:rPr>
                <w:rFonts w:ascii="宋体" w:hAnsi="宋体" w:cs="宋体"/>
                <w:sz w:val="24"/>
                <w:szCs w:val="24"/>
                <w:highlight w:val="none"/>
              </w:rPr>
            </w:pPr>
          </w:p>
        </w:tc>
      </w:tr>
    </w:tbl>
    <w:p w14:paraId="07C2DA51">
      <w:pPr>
        <w:spacing w:line="480" w:lineRule="exact"/>
        <w:rPr>
          <w:rFonts w:ascii="宋体" w:hAnsi="宋体" w:cs="宋体"/>
          <w:sz w:val="24"/>
          <w:szCs w:val="24"/>
          <w:highlight w:val="none"/>
        </w:rPr>
      </w:pPr>
      <w:r>
        <w:rPr>
          <w:rFonts w:hint="eastAsia" w:ascii="宋体" w:hAnsi="宋体" w:cs="宋体"/>
          <w:sz w:val="24"/>
          <w:szCs w:val="24"/>
          <w:highlight w:val="none"/>
        </w:rPr>
        <w:t>注：1、投标人应据实、详细填写上述表格，因表述含糊导致的评标风险将由投标人承担。</w:t>
      </w:r>
    </w:p>
    <w:p w14:paraId="06B4A170">
      <w:pPr>
        <w:spacing w:line="480" w:lineRule="exact"/>
        <w:ind w:firstLine="480" w:firstLineChars="200"/>
        <w:rPr>
          <w:rFonts w:ascii="宋体" w:hAnsi="宋体" w:cs="宋体"/>
          <w:b/>
          <w:bCs/>
          <w:sz w:val="24"/>
          <w:szCs w:val="24"/>
          <w:highlight w:val="none"/>
        </w:rPr>
      </w:pPr>
      <w:r>
        <w:rPr>
          <w:rFonts w:hint="eastAsia" w:ascii="宋体" w:hAnsi="宋体" w:cs="宋体"/>
          <w:sz w:val="24"/>
          <w:szCs w:val="24"/>
          <w:highlight w:val="none"/>
        </w:rPr>
        <w:t>2、若无偏离，在“有无偏离”栏中填写“无”；若有偏离在“有无偏离”栏中填写“有”并在“偏离内容及原因”栏中作出说明。</w:t>
      </w:r>
    </w:p>
    <w:p w14:paraId="09405BAF">
      <w:pPr>
        <w:spacing w:line="48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3、投标人如不能满足本项目的付款方式，将作无效投标处理。</w:t>
      </w:r>
    </w:p>
    <w:bookmarkEnd w:id="291"/>
    <w:bookmarkEnd w:id="292"/>
    <w:bookmarkEnd w:id="293"/>
    <w:bookmarkEnd w:id="294"/>
    <w:bookmarkEnd w:id="295"/>
    <w:p w14:paraId="1B29D92F">
      <w:pPr>
        <w:pStyle w:val="3"/>
        <w:keepNext w:val="0"/>
        <w:pageBreakBefore/>
        <w:rPr>
          <w:rFonts w:ascii="宋体" w:hAnsi="宋体" w:eastAsia="宋体" w:cs="宋体"/>
          <w:highlight w:val="none"/>
        </w:rPr>
      </w:pPr>
      <w:bookmarkStart w:id="330" w:name="_Toc29990"/>
      <w:r>
        <w:rPr>
          <w:rFonts w:hint="eastAsia" w:ascii="宋体" w:hAnsi="宋体" w:eastAsia="宋体" w:cs="宋体"/>
          <w:highlight w:val="none"/>
        </w:rPr>
        <w:t>附件15 供应商与其他单位存在直接控股、管理关系情况表</w:t>
      </w:r>
      <w:bookmarkEnd w:id="330"/>
    </w:p>
    <w:p w14:paraId="284551A1">
      <w:pPr>
        <w:ind w:firstLine="420"/>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单位名称：</w:t>
      </w:r>
    </w:p>
    <w:tbl>
      <w:tblPr>
        <w:tblStyle w:val="54"/>
        <w:tblW w:w="10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30"/>
        <w:gridCol w:w="1704"/>
        <w:gridCol w:w="1506"/>
        <w:gridCol w:w="1580"/>
        <w:gridCol w:w="1440"/>
        <w:gridCol w:w="1711"/>
        <w:gridCol w:w="1268"/>
      </w:tblGrid>
      <w:tr w14:paraId="561AD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jc w:val="center"/>
        </w:trPr>
        <w:tc>
          <w:tcPr>
            <w:tcW w:w="6220" w:type="dxa"/>
            <w:gridSpan w:val="4"/>
            <w:vAlign w:val="center"/>
          </w:tcPr>
          <w:p w14:paraId="571C8F0D">
            <w:pPr>
              <w:widowControl/>
              <w:jc w:val="center"/>
              <w:rPr>
                <w:rFonts w:ascii="宋体" w:hAnsi="宋体" w:cs="宋体"/>
                <w:b/>
                <w:sz w:val="24"/>
                <w:szCs w:val="24"/>
                <w:highlight w:val="none"/>
                <w:shd w:val="clear" w:color="auto" w:fill="FFFFFF"/>
              </w:rPr>
            </w:pPr>
            <w:r>
              <w:rPr>
                <w:rFonts w:hint="eastAsia" w:ascii="宋体" w:hAnsi="宋体" w:cs="宋体"/>
                <w:b/>
                <w:sz w:val="24"/>
                <w:szCs w:val="24"/>
                <w:highlight w:val="none"/>
                <w:shd w:val="clear" w:color="auto" w:fill="FFFFFF"/>
              </w:rPr>
              <w:t>与供应商存在直接股权关系</w:t>
            </w:r>
          </w:p>
        </w:tc>
        <w:tc>
          <w:tcPr>
            <w:tcW w:w="4419" w:type="dxa"/>
            <w:gridSpan w:val="3"/>
            <w:vAlign w:val="center"/>
          </w:tcPr>
          <w:p w14:paraId="4175EA2E">
            <w:pPr>
              <w:widowControl/>
              <w:jc w:val="center"/>
              <w:rPr>
                <w:rFonts w:ascii="宋体" w:hAnsi="宋体" w:cs="宋体"/>
                <w:b/>
                <w:sz w:val="24"/>
                <w:szCs w:val="24"/>
                <w:highlight w:val="none"/>
                <w:shd w:val="clear" w:color="auto" w:fill="FFFFFF"/>
              </w:rPr>
            </w:pPr>
            <w:r>
              <w:rPr>
                <w:rFonts w:hint="eastAsia" w:ascii="宋体" w:hAnsi="宋体" w:cs="宋体"/>
                <w:b/>
                <w:sz w:val="24"/>
                <w:szCs w:val="24"/>
                <w:highlight w:val="none"/>
                <w:shd w:val="clear" w:color="auto" w:fill="FFFFFF"/>
              </w:rPr>
              <w:t>与供应商存在直接管理关系</w:t>
            </w:r>
          </w:p>
        </w:tc>
      </w:tr>
      <w:tr w14:paraId="5E2E4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jc w:val="center"/>
        </w:trPr>
        <w:tc>
          <w:tcPr>
            <w:tcW w:w="1430" w:type="dxa"/>
            <w:vAlign w:val="center"/>
          </w:tcPr>
          <w:p w14:paraId="616AB204">
            <w:pPr>
              <w:widowControl/>
              <w:jc w:val="center"/>
              <w:rPr>
                <w:rFonts w:ascii="宋体" w:hAnsi="宋体" w:cs="宋体"/>
                <w:b/>
                <w:sz w:val="24"/>
                <w:szCs w:val="24"/>
                <w:highlight w:val="none"/>
                <w:shd w:val="clear" w:color="auto" w:fill="FFFFFF"/>
              </w:rPr>
            </w:pPr>
            <w:r>
              <w:rPr>
                <w:rFonts w:hint="eastAsia" w:ascii="宋体" w:hAnsi="宋体" w:cs="宋体"/>
                <w:b/>
                <w:sz w:val="24"/>
                <w:szCs w:val="24"/>
                <w:highlight w:val="none"/>
                <w:shd w:val="clear" w:color="auto" w:fill="FFFFFF"/>
              </w:rPr>
              <w:t>单位名称</w:t>
            </w:r>
          </w:p>
        </w:tc>
        <w:tc>
          <w:tcPr>
            <w:tcW w:w="1704" w:type="dxa"/>
            <w:vAlign w:val="center"/>
          </w:tcPr>
          <w:p w14:paraId="5BD206B4">
            <w:pPr>
              <w:widowControl/>
              <w:jc w:val="center"/>
              <w:rPr>
                <w:rFonts w:ascii="宋体" w:hAnsi="宋体" w:cs="宋体"/>
                <w:b/>
                <w:sz w:val="24"/>
                <w:szCs w:val="24"/>
                <w:highlight w:val="none"/>
                <w:shd w:val="clear" w:color="auto" w:fill="FFFFFF"/>
              </w:rPr>
            </w:pPr>
            <w:r>
              <w:rPr>
                <w:rFonts w:hint="eastAsia" w:ascii="宋体" w:hAnsi="宋体" w:cs="宋体"/>
                <w:b/>
                <w:sz w:val="24"/>
                <w:szCs w:val="24"/>
                <w:highlight w:val="none"/>
                <w:shd w:val="clear" w:color="auto" w:fill="FFFFFF"/>
              </w:rPr>
              <w:t>是否为大型企业</w:t>
            </w:r>
          </w:p>
          <w:p w14:paraId="54D3B4E1">
            <w:pPr>
              <w:widowControl/>
              <w:jc w:val="center"/>
              <w:rPr>
                <w:rFonts w:ascii="宋体" w:hAnsi="宋体" w:cs="宋体"/>
                <w:b/>
                <w:sz w:val="24"/>
                <w:szCs w:val="24"/>
                <w:highlight w:val="none"/>
                <w:shd w:val="clear" w:color="auto" w:fill="FFFFFF"/>
              </w:rPr>
            </w:pPr>
            <w:r>
              <w:rPr>
                <w:rFonts w:hint="eastAsia" w:ascii="宋体" w:hAnsi="宋体" w:cs="宋体"/>
                <w:b/>
                <w:sz w:val="24"/>
                <w:szCs w:val="24"/>
                <w:highlight w:val="none"/>
                <w:shd w:val="clear" w:color="auto" w:fill="FFFFFF"/>
              </w:rPr>
              <w:t>（填写“是”或 “否”）</w:t>
            </w:r>
          </w:p>
        </w:tc>
        <w:tc>
          <w:tcPr>
            <w:tcW w:w="1506" w:type="dxa"/>
          </w:tcPr>
          <w:p w14:paraId="6261F965">
            <w:pPr>
              <w:widowControl/>
              <w:jc w:val="center"/>
              <w:rPr>
                <w:rFonts w:ascii="宋体" w:hAnsi="宋体" w:cs="宋体"/>
                <w:b/>
                <w:sz w:val="24"/>
                <w:szCs w:val="24"/>
                <w:highlight w:val="none"/>
                <w:shd w:val="clear" w:color="auto" w:fill="FFFFFF"/>
              </w:rPr>
            </w:pPr>
            <w:r>
              <w:rPr>
                <w:rFonts w:hint="eastAsia" w:ascii="宋体" w:hAnsi="宋体" w:cs="宋体"/>
                <w:b/>
                <w:sz w:val="24"/>
                <w:szCs w:val="24"/>
                <w:highlight w:val="none"/>
                <w:shd w:val="clear" w:color="auto" w:fill="FFFFFF"/>
              </w:rPr>
              <w:t>是否直接控股</w:t>
            </w:r>
          </w:p>
          <w:p w14:paraId="39F2E2CC">
            <w:pPr>
              <w:widowControl/>
              <w:jc w:val="center"/>
              <w:rPr>
                <w:rFonts w:ascii="宋体" w:hAnsi="宋体" w:cs="宋体"/>
                <w:b/>
                <w:sz w:val="24"/>
                <w:szCs w:val="24"/>
                <w:highlight w:val="none"/>
                <w:shd w:val="clear" w:color="auto" w:fill="FFFFFF"/>
              </w:rPr>
            </w:pPr>
            <w:r>
              <w:rPr>
                <w:rFonts w:hint="eastAsia" w:ascii="宋体" w:hAnsi="宋体" w:cs="宋体"/>
                <w:b/>
                <w:sz w:val="24"/>
                <w:szCs w:val="24"/>
                <w:highlight w:val="none"/>
                <w:shd w:val="clear" w:color="auto" w:fill="FFFFFF"/>
              </w:rPr>
              <w:t>（填写“是”或 “否”）</w:t>
            </w:r>
          </w:p>
        </w:tc>
        <w:tc>
          <w:tcPr>
            <w:tcW w:w="1580" w:type="dxa"/>
            <w:vAlign w:val="center"/>
          </w:tcPr>
          <w:p w14:paraId="183A9149">
            <w:pPr>
              <w:widowControl/>
              <w:jc w:val="center"/>
              <w:rPr>
                <w:rFonts w:ascii="宋体" w:hAnsi="宋体" w:cs="宋体"/>
                <w:b/>
                <w:sz w:val="24"/>
                <w:szCs w:val="24"/>
                <w:highlight w:val="none"/>
                <w:shd w:val="clear" w:color="auto" w:fill="FFFFFF"/>
              </w:rPr>
            </w:pPr>
            <w:r>
              <w:rPr>
                <w:rFonts w:hint="eastAsia" w:ascii="宋体" w:hAnsi="宋体" w:cs="宋体"/>
                <w:b/>
                <w:sz w:val="24"/>
                <w:szCs w:val="24"/>
                <w:highlight w:val="none"/>
                <w:shd w:val="clear" w:color="auto" w:fill="FFFFFF"/>
              </w:rPr>
              <w:t>直接控股关系情况说明（持股比例等）</w:t>
            </w:r>
          </w:p>
        </w:tc>
        <w:tc>
          <w:tcPr>
            <w:tcW w:w="1440" w:type="dxa"/>
            <w:vAlign w:val="center"/>
          </w:tcPr>
          <w:p w14:paraId="5F617645">
            <w:pPr>
              <w:widowControl/>
              <w:jc w:val="center"/>
              <w:rPr>
                <w:rFonts w:ascii="宋体" w:hAnsi="宋体" w:cs="宋体"/>
                <w:b/>
                <w:sz w:val="24"/>
                <w:szCs w:val="24"/>
                <w:highlight w:val="none"/>
                <w:shd w:val="clear" w:color="auto" w:fill="FFFFFF"/>
              </w:rPr>
            </w:pPr>
            <w:r>
              <w:rPr>
                <w:rFonts w:hint="eastAsia" w:ascii="宋体" w:hAnsi="宋体" w:cs="宋体"/>
                <w:b/>
                <w:sz w:val="24"/>
                <w:szCs w:val="24"/>
                <w:highlight w:val="none"/>
                <w:shd w:val="clear" w:color="auto" w:fill="FFFFFF"/>
              </w:rPr>
              <w:t>单位名称</w:t>
            </w:r>
          </w:p>
        </w:tc>
        <w:tc>
          <w:tcPr>
            <w:tcW w:w="1711" w:type="dxa"/>
            <w:vAlign w:val="center"/>
          </w:tcPr>
          <w:p w14:paraId="2C14DD6D">
            <w:pPr>
              <w:widowControl/>
              <w:jc w:val="center"/>
              <w:rPr>
                <w:rFonts w:ascii="宋体" w:hAnsi="宋体" w:cs="宋体"/>
                <w:b/>
                <w:sz w:val="24"/>
                <w:szCs w:val="24"/>
                <w:highlight w:val="none"/>
                <w:shd w:val="clear" w:color="auto" w:fill="FFFFFF"/>
              </w:rPr>
            </w:pPr>
            <w:r>
              <w:rPr>
                <w:rFonts w:hint="eastAsia" w:ascii="宋体" w:hAnsi="宋体" w:cs="宋体"/>
                <w:b/>
                <w:sz w:val="24"/>
                <w:szCs w:val="24"/>
                <w:highlight w:val="none"/>
                <w:shd w:val="clear" w:color="auto" w:fill="FFFFFF"/>
              </w:rPr>
              <w:t>是否为大型企业</w:t>
            </w:r>
          </w:p>
          <w:p w14:paraId="42E5F5ED">
            <w:pPr>
              <w:widowControl/>
              <w:jc w:val="center"/>
              <w:rPr>
                <w:rFonts w:ascii="宋体" w:hAnsi="宋体" w:cs="宋体"/>
                <w:b/>
                <w:sz w:val="24"/>
                <w:szCs w:val="24"/>
                <w:highlight w:val="none"/>
                <w:shd w:val="clear" w:color="auto" w:fill="FFFFFF"/>
              </w:rPr>
            </w:pPr>
            <w:r>
              <w:rPr>
                <w:rFonts w:hint="eastAsia" w:ascii="宋体" w:hAnsi="宋体" w:cs="宋体"/>
                <w:b/>
                <w:sz w:val="24"/>
                <w:szCs w:val="24"/>
                <w:highlight w:val="none"/>
                <w:shd w:val="clear" w:color="auto" w:fill="FFFFFF"/>
              </w:rPr>
              <w:t>（填写“是”或 “否”）</w:t>
            </w:r>
          </w:p>
        </w:tc>
        <w:tc>
          <w:tcPr>
            <w:tcW w:w="1268" w:type="dxa"/>
            <w:vAlign w:val="center"/>
          </w:tcPr>
          <w:p w14:paraId="76A65F2B">
            <w:pPr>
              <w:widowControl/>
              <w:jc w:val="center"/>
              <w:rPr>
                <w:rFonts w:ascii="宋体" w:hAnsi="宋体" w:cs="宋体"/>
                <w:b/>
                <w:sz w:val="24"/>
                <w:szCs w:val="24"/>
                <w:highlight w:val="none"/>
                <w:shd w:val="clear" w:color="auto" w:fill="FFFFFF"/>
              </w:rPr>
            </w:pPr>
            <w:r>
              <w:rPr>
                <w:rFonts w:hint="eastAsia" w:ascii="宋体" w:hAnsi="宋体" w:cs="宋体"/>
                <w:b/>
                <w:sz w:val="24"/>
                <w:szCs w:val="24"/>
                <w:highlight w:val="none"/>
                <w:shd w:val="clear" w:color="auto" w:fill="FFFFFF"/>
              </w:rPr>
              <w:t>直接管理关系情况说明</w:t>
            </w:r>
          </w:p>
        </w:tc>
      </w:tr>
      <w:tr w14:paraId="48BF9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vAlign w:val="center"/>
          </w:tcPr>
          <w:p w14:paraId="59CC0853">
            <w:pPr>
              <w:widowControl/>
              <w:jc w:val="center"/>
              <w:rPr>
                <w:rFonts w:ascii="宋体" w:hAnsi="宋体" w:cs="宋体"/>
                <w:b/>
                <w:sz w:val="24"/>
                <w:szCs w:val="24"/>
                <w:highlight w:val="none"/>
                <w:shd w:val="clear" w:color="auto" w:fill="FFFFFF"/>
              </w:rPr>
            </w:pPr>
          </w:p>
        </w:tc>
        <w:tc>
          <w:tcPr>
            <w:tcW w:w="1704" w:type="dxa"/>
            <w:vAlign w:val="center"/>
          </w:tcPr>
          <w:p w14:paraId="3EA28E5F">
            <w:pPr>
              <w:widowControl/>
              <w:jc w:val="center"/>
              <w:rPr>
                <w:rFonts w:ascii="宋体" w:hAnsi="宋体" w:cs="宋体"/>
                <w:b/>
                <w:sz w:val="24"/>
                <w:szCs w:val="24"/>
                <w:highlight w:val="none"/>
                <w:shd w:val="clear" w:color="auto" w:fill="FFFFFF"/>
              </w:rPr>
            </w:pPr>
          </w:p>
        </w:tc>
        <w:tc>
          <w:tcPr>
            <w:tcW w:w="1506" w:type="dxa"/>
            <w:vAlign w:val="center"/>
          </w:tcPr>
          <w:p w14:paraId="67EA1FC9">
            <w:pPr>
              <w:widowControl/>
              <w:jc w:val="center"/>
              <w:rPr>
                <w:rFonts w:ascii="宋体" w:hAnsi="宋体" w:cs="宋体"/>
                <w:b/>
                <w:sz w:val="24"/>
                <w:szCs w:val="24"/>
                <w:highlight w:val="none"/>
                <w:shd w:val="clear" w:color="auto" w:fill="FFFFFF"/>
              </w:rPr>
            </w:pPr>
          </w:p>
        </w:tc>
        <w:tc>
          <w:tcPr>
            <w:tcW w:w="1580" w:type="dxa"/>
            <w:vAlign w:val="center"/>
          </w:tcPr>
          <w:p w14:paraId="3DF664E7">
            <w:pPr>
              <w:widowControl/>
              <w:jc w:val="center"/>
              <w:rPr>
                <w:rFonts w:ascii="宋体" w:hAnsi="宋体" w:cs="宋体"/>
                <w:b/>
                <w:sz w:val="24"/>
                <w:szCs w:val="24"/>
                <w:highlight w:val="none"/>
                <w:shd w:val="clear" w:color="auto" w:fill="FFFFFF"/>
              </w:rPr>
            </w:pPr>
          </w:p>
        </w:tc>
        <w:tc>
          <w:tcPr>
            <w:tcW w:w="1440" w:type="dxa"/>
            <w:vAlign w:val="center"/>
          </w:tcPr>
          <w:p w14:paraId="0251DDC1">
            <w:pPr>
              <w:widowControl/>
              <w:jc w:val="center"/>
              <w:rPr>
                <w:rFonts w:ascii="宋体" w:hAnsi="宋体" w:cs="宋体"/>
                <w:b/>
                <w:sz w:val="24"/>
                <w:szCs w:val="24"/>
                <w:highlight w:val="none"/>
                <w:shd w:val="clear" w:color="auto" w:fill="FFFFFF"/>
              </w:rPr>
            </w:pPr>
          </w:p>
        </w:tc>
        <w:tc>
          <w:tcPr>
            <w:tcW w:w="1711" w:type="dxa"/>
            <w:vAlign w:val="center"/>
          </w:tcPr>
          <w:p w14:paraId="4A0FB7BE">
            <w:pPr>
              <w:widowControl/>
              <w:jc w:val="center"/>
              <w:rPr>
                <w:rFonts w:ascii="宋体" w:hAnsi="宋体" w:cs="宋体"/>
                <w:b/>
                <w:sz w:val="24"/>
                <w:szCs w:val="24"/>
                <w:highlight w:val="none"/>
                <w:shd w:val="clear" w:color="auto" w:fill="FFFFFF"/>
              </w:rPr>
            </w:pPr>
          </w:p>
        </w:tc>
        <w:tc>
          <w:tcPr>
            <w:tcW w:w="1268" w:type="dxa"/>
            <w:vAlign w:val="center"/>
          </w:tcPr>
          <w:p w14:paraId="0F68E37D">
            <w:pPr>
              <w:widowControl/>
              <w:jc w:val="center"/>
              <w:rPr>
                <w:rFonts w:ascii="宋体" w:hAnsi="宋体" w:cs="宋体"/>
                <w:b/>
                <w:sz w:val="24"/>
                <w:szCs w:val="24"/>
                <w:highlight w:val="none"/>
                <w:shd w:val="clear" w:color="auto" w:fill="FFFFFF"/>
              </w:rPr>
            </w:pPr>
          </w:p>
        </w:tc>
      </w:tr>
      <w:tr w14:paraId="61DD2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vAlign w:val="center"/>
          </w:tcPr>
          <w:p w14:paraId="0CFA0EC5">
            <w:pPr>
              <w:widowControl/>
              <w:jc w:val="center"/>
              <w:rPr>
                <w:rFonts w:ascii="宋体" w:hAnsi="宋体" w:cs="宋体"/>
                <w:b/>
                <w:sz w:val="24"/>
                <w:szCs w:val="24"/>
                <w:highlight w:val="none"/>
                <w:shd w:val="clear" w:color="auto" w:fill="FFFFFF"/>
              </w:rPr>
            </w:pPr>
          </w:p>
        </w:tc>
        <w:tc>
          <w:tcPr>
            <w:tcW w:w="1704" w:type="dxa"/>
            <w:vAlign w:val="center"/>
          </w:tcPr>
          <w:p w14:paraId="64751716">
            <w:pPr>
              <w:widowControl/>
              <w:jc w:val="center"/>
              <w:rPr>
                <w:rFonts w:ascii="宋体" w:hAnsi="宋体" w:cs="宋体"/>
                <w:b/>
                <w:sz w:val="24"/>
                <w:szCs w:val="24"/>
                <w:highlight w:val="none"/>
                <w:shd w:val="clear" w:color="auto" w:fill="FFFFFF"/>
              </w:rPr>
            </w:pPr>
          </w:p>
        </w:tc>
        <w:tc>
          <w:tcPr>
            <w:tcW w:w="1506" w:type="dxa"/>
            <w:vAlign w:val="center"/>
          </w:tcPr>
          <w:p w14:paraId="1C901048">
            <w:pPr>
              <w:widowControl/>
              <w:jc w:val="center"/>
              <w:rPr>
                <w:rFonts w:ascii="宋体" w:hAnsi="宋体" w:cs="宋体"/>
                <w:b/>
                <w:sz w:val="24"/>
                <w:szCs w:val="24"/>
                <w:highlight w:val="none"/>
                <w:shd w:val="clear" w:color="auto" w:fill="FFFFFF"/>
              </w:rPr>
            </w:pPr>
          </w:p>
        </w:tc>
        <w:tc>
          <w:tcPr>
            <w:tcW w:w="1580" w:type="dxa"/>
            <w:vAlign w:val="center"/>
          </w:tcPr>
          <w:p w14:paraId="2EB009D1">
            <w:pPr>
              <w:widowControl/>
              <w:jc w:val="center"/>
              <w:rPr>
                <w:rFonts w:ascii="宋体" w:hAnsi="宋体" w:cs="宋体"/>
                <w:b/>
                <w:sz w:val="24"/>
                <w:szCs w:val="24"/>
                <w:highlight w:val="none"/>
                <w:shd w:val="clear" w:color="auto" w:fill="FFFFFF"/>
              </w:rPr>
            </w:pPr>
          </w:p>
        </w:tc>
        <w:tc>
          <w:tcPr>
            <w:tcW w:w="1440" w:type="dxa"/>
            <w:vAlign w:val="center"/>
          </w:tcPr>
          <w:p w14:paraId="460B7B74">
            <w:pPr>
              <w:widowControl/>
              <w:jc w:val="center"/>
              <w:rPr>
                <w:rFonts w:ascii="宋体" w:hAnsi="宋体" w:cs="宋体"/>
                <w:b/>
                <w:sz w:val="24"/>
                <w:szCs w:val="24"/>
                <w:highlight w:val="none"/>
                <w:shd w:val="clear" w:color="auto" w:fill="FFFFFF"/>
              </w:rPr>
            </w:pPr>
          </w:p>
        </w:tc>
        <w:tc>
          <w:tcPr>
            <w:tcW w:w="1711" w:type="dxa"/>
            <w:vAlign w:val="center"/>
          </w:tcPr>
          <w:p w14:paraId="59F5DF7F">
            <w:pPr>
              <w:widowControl/>
              <w:jc w:val="center"/>
              <w:rPr>
                <w:rFonts w:ascii="宋体" w:hAnsi="宋体" w:cs="宋体"/>
                <w:b/>
                <w:sz w:val="24"/>
                <w:szCs w:val="24"/>
                <w:highlight w:val="none"/>
                <w:shd w:val="clear" w:color="auto" w:fill="FFFFFF"/>
              </w:rPr>
            </w:pPr>
          </w:p>
        </w:tc>
        <w:tc>
          <w:tcPr>
            <w:tcW w:w="1268" w:type="dxa"/>
            <w:vAlign w:val="center"/>
          </w:tcPr>
          <w:p w14:paraId="2BB657B3">
            <w:pPr>
              <w:widowControl/>
              <w:jc w:val="center"/>
              <w:rPr>
                <w:rFonts w:ascii="宋体" w:hAnsi="宋体" w:cs="宋体"/>
                <w:b/>
                <w:sz w:val="24"/>
                <w:szCs w:val="24"/>
                <w:highlight w:val="none"/>
                <w:shd w:val="clear" w:color="auto" w:fill="FFFFFF"/>
              </w:rPr>
            </w:pPr>
          </w:p>
        </w:tc>
      </w:tr>
      <w:tr w14:paraId="4A85D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vAlign w:val="center"/>
          </w:tcPr>
          <w:p w14:paraId="4F4A70EF">
            <w:pPr>
              <w:widowControl/>
              <w:jc w:val="center"/>
              <w:rPr>
                <w:rFonts w:ascii="宋体" w:hAnsi="宋体" w:cs="宋体"/>
                <w:b/>
                <w:sz w:val="24"/>
                <w:szCs w:val="24"/>
                <w:highlight w:val="none"/>
                <w:shd w:val="clear" w:color="auto" w:fill="FFFFFF"/>
              </w:rPr>
            </w:pPr>
          </w:p>
        </w:tc>
        <w:tc>
          <w:tcPr>
            <w:tcW w:w="1704" w:type="dxa"/>
            <w:vAlign w:val="center"/>
          </w:tcPr>
          <w:p w14:paraId="5FD64E14">
            <w:pPr>
              <w:widowControl/>
              <w:jc w:val="center"/>
              <w:rPr>
                <w:rFonts w:ascii="宋体" w:hAnsi="宋体" w:cs="宋体"/>
                <w:b/>
                <w:sz w:val="24"/>
                <w:szCs w:val="24"/>
                <w:highlight w:val="none"/>
                <w:shd w:val="clear" w:color="auto" w:fill="FFFFFF"/>
              </w:rPr>
            </w:pPr>
          </w:p>
        </w:tc>
        <w:tc>
          <w:tcPr>
            <w:tcW w:w="1506" w:type="dxa"/>
            <w:vAlign w:val="center"/>
          </w:tcPr>
          <w:p w14:paraId="6B320A3D">
            <w:pPr>
              <w:widowControl/>
              <w:jc w:val="center"/>
              <w:rPr>
                <w:rFonts w:ascii="宋体" w:hAnsi="宋体" w:cs="宋体"/>
                <w:b/>
                <w:sz w:val="24"/>
                <w:szCs w:val="24"/>
                <w:highlight w:val="none"/>
                <w:shd w:val="clear" w:color="auto" w:fill="FFFFFF"/>
              </w:rPr>
            </w:pPr>
          </w:p>
        </w:tc>
        <w:tc>
          <w:tcPr>
            <w:tcW w:w="1580" w:type="dxa"/>
            <w:vAlign w:val="center"/>
          </w:tcPr>
          <w:p w14:paraId="60643B0F">
            <w:pPr>
              <w:widowControl/>
              <w:jc w:val="center"/>
              <w:rPr>
                <w:rFonts w:ascii="宋体" w:hAnsi="宋体" w:cs="宋体"/>
                <w:b/>
                <w:sz w:val="24"/>
                <w:szCs w:val="24"/>
                <w:highlight w:val="none"/>
                <w:shd w:val="clear" w:color="auto" w:fill="FFFFFF"/>
              </w:rPr>
            </w:pPr>
          </w:p>
        </w:tc>
        <w:tc>
          <w:tcPr>
            <w:tcW w:w="1440" w:type="dxa"/>
            <w:vAlign w:val="center"/>
          </w:tcPr>
          <w:p w14:paraId="2C1927CD">
            <w:pPr>
              <w:widowControl/>
              <w:jc w:val="center"/>
              <w:rPr>
                <w:rFonts w:ascii="宋体" w:hAnsi="宋体" w:cs="宋体"/>
                <w:b/>
                <w:sz w:val="24"/>
                <w:szCs w:val="24"/>
                <w:highlight w:val="none"/>
                <w:shd w:val="clear" w:color="auto" w:fill="FFFFFF"/>
              </w:rPr>
            </w:pPr>
          </w:p>
        </w:tc>
        <w:tc>
          <w:tcPr>
            <w:tcW w:w="1711" w:type="dxa"/>
            <w:vAlign w:val="center"/>
          </w:tcPr>
          <w:p w14:paraId="3FF82E40">
            <w:pPr>
              <w:widowControl/>
              <w:jc w:val="center"/>
              <w:rPr>
                <w:rFonts w:ascii="宋体" w:hAnsi="宋体" w:cs="宋体"/>
                <w:b/>
                <w:sz w:val="24"/>
                <w:szCs w:val="24"/>
                <w:highlight w:val="none"/>
                <w:shd w:val="clear" w:color="auto" w:fill="FFFFFF"/>
              </w:rPr>
            </w:pPr>
          </w:p>
        </w:tc>
        <w:tc>
          <w:tcPr>
            <w:tcW w:w="1268" w:type="dxa"/>
            <w:vAlign w:val="center"/>
          </w:tcPr>
          <w:p w14:paraId="79AEF79B">
            <w:pPr>
              <w:widowControl/>
              <w:jc w:val="center"/>
              <w:rPr>
                <w:rFonts w:ascii="宋体" w:hAnsi="宋体" w:cs="宋体"/>
                <w:b/>
                <w:sz w:val="24"/>
                <w:szCs w:val="24"/>
                <w:highlight w:val="none"/>
                <w:shd w:val="clear" w:color="auto" w:fill="FFFFFF"/>
              </w:rPr>
            </w:pPr>
          </w:p>
        </w:tc>
      </w:tr>
      <w:tr w14:paraId="41124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vAlign w:val="center"/>
          </w:tcPr>
          <w:p w14:paraId="34A037B0">
            <w:pPr>
              <w:widowControl/>
              <w:jc w:val="center"/>
              <w:rPr>
                <w:rFonts w:ascii="宋体" w:hAnsi="宋体" w:cs="宋体"/>
                <w:b/>
                <w:sz w:val="24"/>
                <w:szCs w:val="24"/>
                <w:highlight w:val="none"/>
                <w:shd w:val="clear" w:color="auto" w:fill="FFFFFF"/>
              </w:rPr>
            </w:pPr>
          </w:p>
        </w:tc>
        <w:tc>
          <w:tcPr>
            <w:tcW w:w="1704" w:type="dxa"/>
            <w:vAlign w:val="center"/>
          </w:tcPr>
          <w:p w14:paraId="360D1867">
            <w:pPr>
              <w:widowControl/>
              <w:jc w:val="center"/>
              <w:rPr>
                <w:rFonts w:ascii="宋体" w:hAnsi="宋体" w:cs="宋体"/>
                <w:b/>
                <w:sz w:val="24"/>
                <w:szCs w:val="24"/>
                <w:highlight w:val="none"/>
                <w:shd w:val="clear" w:color="auto" w:fill="FFFFFF"/>
              </w:rPr>
            </w:pPr>
          </w:p>
        </w:tc>
        <w:tc>
          <w:tcPr>
            <w:tcW w:w="1506" w:type="dxa"/>
            <w:vAlign w:val="center"/>
          </w:tcPr>
          <w:p w14:paraId="5B867A06">
            <w:pPr>
              <w:widowControl/>
              <w:jc w:val="center"/>
              <w:rPr>
                <w:rFonts w:ascii="宋体" w:hAnsi="宋体" w:cs="宋体"/>
                <w:b/>
                <w:sz w:val="24"/>
                <w:szCs w:val="24"/>
                <w:highlight w:val="none"/>
                <w:shd w:val="clear" w:color="auto" w:fill="FFFFFF"/>
              </w:rPr>
            </w:pPr>
          </w:p>
        </w:tc>
        <w:tc>
          <w:tcPr>
            <w:tcW w:w="1580" w:type="dxa"/>
            <w:vAlign w:val="center"/>
          </w:tcPr>
          <w:p w14:paraId="47CEAA48">
            <w:pPr>
              <w:widowControl/>
              <w:jc w:val="center"/>
              <w:rPr>
                <w:rFonts w:ascii="宋体" w:hAnsi="宋体" w:cs="宋体"/>
                <w:b/>
                <w:sz w:val="24"/>
                <w:szCs w:val="24"/>
                <w:highlight w:val="none"/>
                <w:shd w:val="clear" w:color="auto" w:fill="FFFFFF"/>
              </w:rPr>
            </w:pPr>
          </w:p>
        </w:tc>
        <w:tc>
          <w:tcPr>
            <w:tcW w:w="1440" w:type="dxa"/>
            <w:vAlign w:val="center"/>
          </w:tcPr>
          <w:p w14:paraId="007AAC56">
            <w:pPr>
              <w:widowControl/>
              <w:jc w:val="center"/>
              <w:rPr>
                <w:rFonts w:ascii="宋体" w:hAnsi="宋体" w:cs="宋体"/>
                <w:b/>
                <w:sz w:val="24"/>
                <w:szCs w:val="24"/>
                <w:highlight w:val="none"/>
                <w:shd w:val="clear" w:color="auto" w:fill="FFFFFF"/>
              </w:rPr>
            </w:pPr>
          </w:p>
        </w:tc>
        <w:tc>
          <w:tcPr>
            <w:tcW w:w="1711" w:type="dxa"/>
            <w:vAlign w:val="center"/>
          </w:tcPr>
          <w:p w14:paraId="05D8E5AF">
            <w:pPr>
              <w:widowControl/>
              <w:jc w:val="center"/>
              <w:rPr>
                <w:rFonts w:ascii="宋体" w:hAnsi="宋体" w:cs="宋体"/>
                <w:b/>
                <w:sz w:val="24"/>
                <w:szCs w:val="24"/>
                <w:highlight w:val="none"/>
                <w:shd w:val="clear" w:color="auto" w:fill="FFFFFF"/>
              </w:rPr>
            </w:pPr>
          </w:p>
        </w:tc>
        <w:tc>
          <w:tcPr>
            <w:tcW w:w="1268" w:type="dxa"/>
            <w:vAlign w:val="center"/>
          </w:tcPr>
          <w:p w14:paraId="128FF5B7">
            <w:pPr>
              <w:widowControl/>
              <w:jc w:val="center"/>
              <w:rPr>
                <w:rFonts w:ascii="宋体" w:hAnsi="宋体" w:cs="宋体"/>
                <w:b/>
                <w:sz w:val="24"/>
                <w:szCs w:val="24"/>
                <w:highlight w:val="none"/>
                <w:shd w:val="clear" w:color="auto" w:fill="FFFFFF"/>
              </w:rPr>
            </w:pPr>
          </w:p>
        </w:tc>
      </w:tr>
      <w:tr w14:paraId="0F29D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vAlign w:val="center"/>
          </w:tcPr>
          <w:p w14:paraId="52ABBAF5">
            <w:pPr>
              <w:widowControl/>
              <w:jc w:val="center"/>
              <w:rPr>
                <w:rFonts w:ascii="宋体" w:hAnsi="宋体" w:cs="宋体"/>
                <w:b/>
                <w:sz w:val="24"/>
                <w:szCs w:val="24"/>
                <w:highlight w:val="none"/>
                <w:shd w:val="clear" w:color="auto" w:fill="FFFFFF"/>
              </w:rPr>
            </w:pPr>
          </w:p>
        </w:tc>
        <w:tc>
          <w:tcPr>
            <w:tcW w:w="1704" w:type="dxa"/>
            <w:vAlign w:val="center"/>
          </w:tcPr>
          <w:p w14:paraId="0ED0E144">
            <w:pPr>
              <w:widowControl/>
              <w:jc w:val="center"/>
              <w:rPr>
                <w:rFonts w:ascii="宋体" w:hAnsi="宋体" w:cs="宋体"/>
                <w:b/>
                <w:sz w:val="24"/>
                <w:szCs w:val="24"/>
                <w:highlight w:val="none"/>
                <w:shd w:val="clear" w:color="auto" w:fill="FFFFFF"/>
              </w:rPr>
            </w:pPr>
          </w:p>
        </w:tc>
        <w:tc>
          <w:tcPr>
            <w:tcW w:w="1506" w:type="dxa"/>
            <w:vAlign w:val="center"/>
          </w:tcPr>
          <w:p w14:paraId="25C5B963">
            <w:pPr>
              <w:widowControl/>
              <w:jc w:val="center"/>
              <w:rPr>
                <w:rFonts w:ascii="宋体" w:hAnsi="宋体" w:cs="宋体"/>
                <w:b/>
                <w:sz w:val="24"/>
                <w:szCs w:val="24"/>
                <w:highlight w:val="none"/>
                <w:shd w:val="clear" w:color="auto" w:fill="FFFFFF"/>
              </w:rPr>
            </w:pPr>
          </w:p>
        </w:tc>
        <w:tc>
          <w:tcPr>
            <w:tcW w:w="1580" w:type="dxa"/>
            <w:vAlign w:val="center"/>
          </w:tcPr>
          <w:p w14:paraId="5890858F">
            <w:pPr>
              <w:widowControl/>
              <w:jc w:val="center"/>
              <w:rPr>
                <w:rFonts w:ascii="宋体" w:hAnsi="宋体" w:cs="宋体"/>
                <w:b/>
                <w:sz w:val="24"/>
                <w:szCs w:val="24"/>
                <w:highlight w:val="none"/>
                <w:shd w:val="clear" w:color="auto" w:fill="FFFFFF"/>
              </w:rPr>
            </w:pPr>
          </w:p>
        </w:tc>
        <w:tc>
          <w:tcPr>
            <w:tcW w:w="1440" w:type="dxa"/>
            <w:vAlign w:val="center"/>
          </w:tcPr>
          <w:p w14:paraId="1DA7B5B1">
            <w:pPr>
              <w:widowControl/>
              <w:jc w:val="center"/>
              <w:rPr>
                <w:rFonts w:ascii="宋体" w:hAnsi="宋体" w:cs="宋体"/>
                <w:b/>
                <w:sz w:val="24"/>
                <w:szCs w:val="24"/>
                <w:highlight w:val="none"/>
                <w:shd w:val="clear" w:color="auto" w:fill="FFFFFF"/>
              </w:rPr>
            </w:pPr>
          </w:p>
        </w:tc>
        <w:tc>
          <w:tcPr>
            <w:tcW w:w="1711" w:type="dxa"/>
            <w:vAlign w:val="center"/>
          </w:tcPr>
          <w:p w14:paraId="3312AAF5">
            <w:pPr>
              <w:widowControl/>
              <w:jc w:val="center"/>
              <w:rPr>
                <w:rFonts w:ascii="宋体" w:hAnsi="宋体" w:cs="宋体"/>
                <w:b/>
                <w:sz w:val="24"/>
                <w:szCs w:val="24"/>
                <w:highlight w:val="none"/>
                <w:shd w:val="clear" w:color="auto" w:fill="FFFFFF"/>
              </w:rPr>
            </w:pPr>
          </w:p>
        </w:tc>
        <w:tc>
          <w:tcPr>
            <w:tcW w:w="1268" w:type="dxa"/>
            <w:vAlign w:val="center"/>
          </w:tcPr>
          <w:p w14:paraId="5820B59D">
            <w:pPr>
              <w:widowControl/>
              <w:jc w:val="center"/>
              <w:rPr>
                <w:rFonts w:ascii="宋体" w:hAnsi="宋体" w:cs="宋体"/>
                <w:b/>
                <w:sz w:val="24"/>
                <w:szCs w:val="24"/>
                <w:highlight w:val="none"/>
                <w:shd w:val="clear" w:color="auto" w:fill="FFFFFF"/>
              </w:rPr>
            </w:pPr>
          </w:p>
        </w:tc>
      </w:tr>
      <w:tr w14:paraId="3B7F0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vAlign w:val="center"/>
          </w:tcPr>
          <w:p w14:paraId="19D723F6">
            <w:pPr>
              <w:widowControl/>
              <w:jc w:val="center"/>
              <w:rPr>
                <w:rFonts w:ascii="宋体" w:hAnsi="宋体" w:cs="宋体"/>
                <w:b/>
                <w:sz w:val="24"/>
                <w:szCs w:val="24"/>
                <w:highlight w:val="none"/>
                <w:shd w:val="clear" w:color="auto" w:fill="FFFFFF"/>
              </w:rPr>
            </w:pPr>
          </w:p>
        </w:tc>
        <w:tc>
          <w:tcPr>
            <w:tcW w:w="1704" w:type="dxa"/>
            <w:vAlign w:val="center"/>
          </w:tcPr>
          <w:p w14:paraId="35C67DA7">
            <w:pPr>
              <w:widowControl/>
              <w:jc w:val="center"/>
              <w:rPr>
                <w:rFonts w:ascii="宋体" w:hAnsi="宋体" w:cs="宋体"/>
                <w:b/>
                <w:sz w:val="24"/>
                <w:szCs w:val="24"/>
                <w:highlight w:val="none"/>
                <w:shd w:val="clear" w:color="auto" w:fill="FFFFFF"/>
              </w:rPr>
            </w:pPr>
          </w:p>
        </w:tc>
        <w:tc>
          <w:tcPr>
            <w:tcW w:w="1506" w:type="dxa"/>
            <w:vAlign w:val="center"/>
          </w:tcPr>
          <w:p w14:paraId="59880A87">
            <w:pPr>
              <w:widowControl/>
              <w:jc w:val="center"/>
              <w:rPr>
                <w:rFonts w:ascii="宋体" w:hAnsi="宋体" w:cs="宋体"/>
                <w:b/>
                <w:sz w:val="24"/>
                <w:szCs w:val="24"/>
                <w:highlight w:val="none"/>
                <w:shd w:val="clear" w:color="auto" w:fill="FFFFFF"/>
              </w:rPr>
            </w:pPr>
          </w:p>
        </w:tc>
        <w:tc>
          <w:tcPr>
            <w:tcW w:w="1580" w:type="dxa"/>
            <w:vAlign w:val="center"/>
          </w:tcPr>
          <w:p w14:paraId="25D2096B">
            <w:pPr>
              <w:widowControl/>
              <w:jc w:val="center"/>
              <w:rPr>
                <w:rFonts w:ascii="宋体" w:hAnsi="宋体" w:cs="宋体"/>
                <w:b/>
                <w:sz w:val="24"/>
                <w:szCs w:val="24"/>
                <w:highlight w:val="none"/>
                <w:shd w:val="clear" w:color="auto" w:fill="FFFFFF"/>
              </w:rPr>
            </w:pPr>
          </w:p>
        </w:tc>
        <w:tc>
          <w:tcPr>
            <w:tcW w:w="1440" w:type="dxa"/>
            <w:vAlign w:val="center"/>
          </w:tcPr>
          <w:p w14:paraId="6AAA0259">
            <w:pPr>
              <w:widowControl/>
              <w:jc w:val="center"/>
              <w:rPr>
                <w:rFonts w:ascii="宋体" w:hAnsi="宋体" w:cs="宋体"/>
                <w:b/>
                <w:sz w:val="24"/>
                <w:szCs w:val="24"/>
                <w:highlight w:val="none"/>
                <w:shd w:val="clear" w:color="auto" w:fill="FFFFFF"/>
              </w:rPr>
            </w:pPr>
          </w:p>
        </w:tc>
        <w:tc>
          <w:tcPr>
            <w:tcW w:w="1711" w:type="dxa"/>
            <w:vAlign w:val="center"/>
          </w:tcPr>
          <w:p w14:paraId="3BD04002">
            <w:pPr>
              <w:widowControl/>
              <w:jc w:val="center"/>
              <w:rPr>
                <w:rFonts w:ascii="宋体" w:hAnsi="宋体" w:cs="宋体"/>
                <w:b/>
                <w:sz w:val="24"/>
                <w:szCs w:val="24"/>
                <w:highlight w:val="none"/>
                <w:shd w:val="clear" w:color="auto" w:fill="FFFFFF"/>
              </w:rPr>
            </w:pPr>
          </w:p>
        </w:tc>
        <w:tc>
          <w:tcPr>
            <w:tcW w:w="1268" w:type="dxa"/>
            <w:vAlign w:val="center"/>
          </w:tcPr>
          <w:p w14:paraId="1C1C6A98">
            <w:pPr>
              <w:widowControl/>
              <w:jc w:val="center"/>
              <w:rPr>
                <w:rFonts w:ascii="宋体" w:hAnsi="宋体" w:cs="宋体"/>
                <w:b/>
                <w:sz w:val="24"/>
                <w:szCs w:val="24"/>
                <w:highlight w:val="none"/>
                <w:shd w:val="clear" w:color="auto" w:fill="FFFFFF"/>
              </w:rPr>
            </w:pPr>
          </w:p>
        </w:tc>
      </w:tr>
    </w:tbl>
    <w:p w14:paraId="0BEA178F">
      <w:pPr>
        <w:spacing w:line="360" w:lineRule="auto"/>
        <w:ind w:firstLine="482"/>
        <w:jc w:val="left"/>
        <w:rPr>
          <w:rFonts w:ascii="宋体" w:hAnsi="宋体" w:cs="宋体"/>
          <w:b/>
          <w:sz w:val="24"/>
          <w:szCs w:val="24"/>
          <w:highlight w:val="none"/>
          <w:shd w:val="clear" w:color="auto" w:fill="FFFFFF"/>
        </w:rPr>
      </w:pPr>
      <w:r>
        <w:rPr>
          <w:rFonts w:hint="eastAsia" w:ascii="宋体" w:hAnsi="宋体" w:cs="宋体"/>
          <w:b/>
          <w:sz w:val="24"/>
          <w:szCs w:val="24"/>
          <w:highlight w:val="none"/>
          <w:shd w:val="clear" w:color="auto" w:fill="FFFFFF"/>
        </w:rPr>
        <w:t>注：1、本表仅须填写与投标人存在直接股权、管理关系的企业情况。投标人应按上表要求据实填写，如填写“无”或不填写，均视为投标人声明不存在有关情形。</w:t>
      </w:r>
    </w:p>
    <w:p w14:paraId="4FAF99CB">
      <w:pPr>
        <w:spacing w:line="360" w:lineRule="auto"/>
        <w:ind w:firstLine="482"/>
        <w:jc w:val="left"/>
        <w:rPr>
          <w:rFonts w:ascii="宋体" w:hAnsi="宋体" w:cs="宋体"/>
          <w:b/>
          <w:sz w:val="24"/>
          <w:szCs w:val="24"/>
          <w:highlight w:val="none"/>
          <w:shd w:val="clear" w:color="auto" w:fill="FFFFFF"/>
        </w:rPr>
      </w:pPr>
      <w:r>
        <w:rPr>
          <w:rFonts w:hint="eastAsia" w:ascii="宋体" w:hAnsi="宋体" w:cs="宋体"/>
          <w:b/>
          <w:sz w:val="24"/>
          <w:szCs w:val="24"/>
          <w:highlight w:val="none"/>
          <w:shd w:val="clear" w:color="auto" w:fill="FFFFFF"/>
        </w:rPr>
        <w:t>2、其中“直接控股”是指投标人与大型企业之间存在直接投资并控股（非普通持股）的关系。</w:t>
      </w:r>
    </w:p>
    <w:p w14:paraId="3A3AC9AA">
      <w:pPr>
        <w:pStyle w:val="19"/>
        <w:spacing w:before="35" w:line="440" w:lineRule="exact"/>
        <w:ind w:left="4060" w:right="2166" w:firstLine="358" w:firstLineChars="152"/>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企业名称（加盖CA电子公章）：</w:t>
      </w:r>
    </w:p>
    <w:p w14:paraId="1884821B">
      <w:pPr>
        <w:pStyle w:val="19"/>
        <w:spacing w:before="35" w:line="440" w:lineRule="exact"/>
        <w:ind w:left="4060" w:right="2166" w:firstLine="358" w:firstLineChars="152"/>
        <w:rPr>
          <w:rFonts w:ascii="宋体" w:hAnsi="宋体" w:eastAsia="宋体" w:cs="宋体"/>
          <w:b/>
          <w:bCs/>
          <w:szCs w:val="28"/>
          <w:highlight w:val="none"/>
        </w:rPr>
        <w:sectPr>
          <w:footerReference r:id="rId13" w:type="first"/>
          <w:footerReference r:id="rId12" w:type="default"/>
          <w:pgSz w:w="11907" w:h="16840"/>
          <w:pgMar w:top="1134" w:right="882" w:bottom="1418" w:left="1365" w:header="567" w:footer="794" w:gutter="0"/>
          <w:cols w:space="720" w:num="1"/>
          <w:titlePg/>
          <w:docGrid w:type="lines" w:linePitch="305" w:charSpace="0"/>
        </w:sectPr>
      </w:pPr>
      <w:r>
        <w:rPr>
          <w:rFonts w:hint="eastAsia" w:ascii="宋体" w:hAnsi="宋体" w:eastAsia="宋体" w:cs="宋体"/>
          <w:spacing w:val="-2"/>
          <w:sz w:val="24"/>
          <w:szCs w:val="24"/>
          <w:highlight w:val="none"/>
        </w:rPr>
        <w:t>日期：</w:t>
      </w:r>
    </w:p>
    <w:p w14:paraId="5AD84E39">
      <w:pPr>
        <w:spacing w:line="440" w:lineRule="exact"/>
        <w:ind w:firstLine="562"/>
        <w:jc w:val="center"/>
        <w:outlineLvl w:val="1"/>
        <w:rPr>
          <w:rFonts w:ascii="宋体" w:hAnsi="宋体" w:cs="宋体"/>
          <w:b/>
          <w:bCs/>
          <w:sz w:val="28"/>
          <w:szCs w:val="28"/>
          <w:highlight w:val="none"/>
        </w:rPr>
      </w:pPr>
      <w:bookmarkStart w:id="331" w:name="_Toc11664"/>
      <w:bookmarkStart w:id="332" w:name="_Toc15371"/>
      <w:bookmarkStart w:id="333" w:name="_Toc7390"/>
      <w:r>
        <w:rPr>
          <w:rFonts w:hint="eastAsia" w:ascii="宋体" w:hAnsi="宋体" w:cs="宋体"/>
          <w:b/>
          <w:bCs/>
          <w:sz w:val="28"/>
          <w:szCs w:val="28"/>
          <w:highlight w:val="none"/>
        </w:rPr>
        <w:t>附件16 关于符合本国产品标准的声明函</w:t>
      </w:r>
      <w:bookmarkEnd w:id="331"/>
      <w:bookmarkEnd w:id="332"/>
      <w:bookmarkEnd w:id="333"/>
    </w:p>
    <w:p w14:paraId="52AC02ED">
      <w:pPr>
        <w:pStyle w:val="48"/>
        <w:spacing w:before="0" w:beforeAutospacing="0" w:after="0" w:afterAutospacing="0" w:line="0" w:lineRule="atLeast"/>
        <w:ind w:firstLine="420"/>
        <w:rPr>
          <w:highlight w:val="none"/>
        </w:rPr>
      </w:pPr>
    </w:p>
    <w:p w14:paraId="43E1FBCB">
      <w:pPr>
        <w:pStyle w:val="48"/>
        <w:spacing w:before="0" w:beforeAutospacing="0" w:after="0" w:afterAutospacing="0" w:line="0" w:lineRule="atLeast"/>
        <w:ind w:firstLine="420"/>
        <w:rPr>
          <w:highlight w:val="none"/>
        </w:rPr>
      </w:pPr>
      <w:r>
        <w:rPr>
          <w:rFonts w:hint="eastAsia"/>
          <w:highlight w:val="none"/>
        </w:rPr>
        <w:t>本公司（单位）郑重声明，根据《国务院办公厅关于在政府采购中实施本国产品标准及相关政策的通知》（国办发〔2025〕34号）的规定，本公司（单位）提供的以下产品属于本国产品。具体情况如下：</w:t>
      </w:r>
    </w:p>
    <w:p w14:paraId="32FA16AE">
      <w:pPr>
        <w:pStyle w:val="48"/>
        <w:numPr>
          <w:ilvl w:val="0"/>
          <w:numId w:val="10"/>
        </w:numPr>
        <w:spacing w:before="30" w:beforeAutospacing="0" w:after="30" w:afterAutospacing="0" w:line="0" w:lineRule="atLeast"/>
        <w:ind w:firstLine="420"/>
        <w:rPr>
          <w:highlight w:val="none"/>
        </w:rPr>
      </w:pPr>
      <w:r>
        <w:rPr>
          <w:rFonts w:hint="eastAsia"/>
          <w:highlight w:val="none"/>
        </w:rPr>
        <mc:AlternateContent>
          <mc:Choice Requires="wps">
            <w:drawing>
              <wp:anchor distT="0" distB="0" distL="114300" distR="114300" simplePos="0" relativeHeight="251664384" behindDoc="0" locked="0" layoutInCell="1" allowOverlap="1">
                <wp:simplePos x="0" y="0"/>
                <wp:positionH relativeFrom="column">
                  <wp:posOffset>1672590</wp:posOffset>
                </wp:positionH>
                <wp:positionV relativeFrom="paragraph">
                  <wp:posOffset>262255</wp:posOffset>
                </wp:positionV>
                <wp:extent cx="364490" cy="97790"/>
                <wp:effectExtent l="1270" t="4445" r="15240" b="12065"/>
                <wp:wrapNone/>
                <wp:docPr id="6" name="直接箭头连接符 6"/>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1.7pt;margin-top:20.65pt;height:7.7pt;width:28.7pt;z-index:251664384;mso-width-relative:page;mso-height-relative:page;" filled="f" stroked="t" coordsize="21600,21600" o:gfxdata="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&#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lTcgzNcAAAAJAQAADwAAAAAAAAABACAAAAAiAAAAZHJz&#10;L2Rvd25yZXYueG1sUEsBAhQAFAAAAAgAh07iQDYcwOwFAgAA+QMAAA4AAAAAAAAAAQAgAAAAJgEA&#10;AGRycy9lMm9Eb2MueG1sUEsFBgAAAAAGAAYAWQEAAJ0FAAAAAA==&#10;">
                <v:fill on="f" focussize="0,0"/>
                <v:stroke color="#000000" joinstyle="round"/>
                <v:imagedata o:title=""/>
                <o:lock v:ext="edit" aspectratio="f"/>
              </v:shape>
            </w:pict>
          </mc:Fallback>
        </mc:AlternateContent>
      </w:r>
      <w:r>
        <w:rPr>
          <w:rFonts w:hint="eastAsia"/>
          <w:highlight w:val="none"/>
        </w:rPr>
        <mc:AlternateContent>
          <mc:Choice Requires="wps">
            <w:drawing>
              <wp:anchor distT="0" distB="0" distL="114300" distR="114300" simplePos="0" relativeHeight="251662336" behindDoc="0" locked="0" layoutInCell="1" allowOverlap="1">
                <wp:simplePos x="0" y="0"/>
                <wp:positionH relativeFrom="column">
                  <wp:posOffset>1286510</wp:posOffset>
                </wp:positionH>
                <wp:positionV relativeFrom="paragraph">
                  <wp:posOffset>434975</wp:posOffset>
                </wp:positionV>
                <wp:extent cx="876300" cy="120015"/>
                <wp:effectExtent l="635" t="4445" r="18415" b="8890"/>
                <wp:wrapNone/>
                <wp:docPr id="16" name="直接箭头连接符 16"/>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01.3pt;margin-top:34.25pt;height:9.45pt;width:69pt;z-index:251662336;mso-width-relative:page;mso-height-relative:page;" filled="f" stroked="t" coordsize="21600,21600" o:gfxdata="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&#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EbojjTXAAAACQEAAA8AAAAAAAAAAQAgAAAAIgAAAGRy&#10;cy9kb3ducmV2LnhtbFBLAQIUABQAAAAIAIdO4kAYm9YfBgIAAPwDAAAOAAAAAAAAAAEAIAAAACYB&#10;AABkcnMvZTJvRG9jLnhtbFBLBQYAAAAABgAGAFkBAACeBQAAAAA=&#10;">
                <v:fill on="f" focussize="0,0"/>
                <v:stroke color="#000000" joinstyle="round"/>
                <v:imagedata o:title=""/>
                <o:lock v:ext="edit" aspectratio="f"/>
              </v:shape>
            </w:pict>
          </mc:Fallback>
        </mc:AlternateContent>
      </w:r>
      <w:r>
        <w:rPr>
          <w:rFonts w:hint="eastAsia"/>
          <w:highlight w:val="none"/>
        </w:rPr>
        <mc:AlternateContent>
          <mc:Choice Requires="wps">
            <w:drawing>
              <wp:anchor distT="0" distB="0" distL="114300" distR="114300" simplePos="0" relativeHeight="25166540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5"/>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0.7pt;margin-top:40.25pt;height:10.3pt;width:44.55pt;z-index:25166540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ALBSLcCAIAAPoDAAAOAAAAAAAAAAEAIAAAACQB&#10;AABkcnMvZTJvRG9jLnhtbFBLBQYAAAAABgAGAFkBAACeBQAAAAA=&#10;">
                <v:fill on="f" focussize="0,0"/>
                <v:stroke color="#000000" joinstyle="round"/>
                <v:imagedata o:title=""/>
                <o:lock v:ext="edit" aspectratio="f"/>
              </v:shape>
            </w:pict>
          </mc:Fallback>
        </mc:AlternateContent>
      </w:r>
      <w:r>
        <w:rPr>
          <w:rFonts w:hint="eastAsia"/>
          <w:highlight w:val="none"/>
        </w:rPr>
        <mc:AlternateContent>
          <mc:Choice Requires="wps">
            <w:drawing>
              <wp:anchor distT="0" distB="0" distL="114300" distR="114300" simplePos="0" relativeHeight="25166336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1.85pt;margin-top:6.85pt;height:7.25pt;width:45.45pt;z-index:251663360;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BihcWtYAAAAJAQAADwAAAAAAAAABACAAAAAiAAAAZHJzL2Rv&#10;d25yZXYueG1sUEsBAhQAFAAAAAgAh07iQDqtkE0DAgAA+QMAAA4AAAAAAAAAAQAgAAAAJQEAAGRy&#10;cy9lMm9Eb2MueG1sUEsFBgAAAAAGAAYAWQEAAJoFAAAAAA==&#10;">
                <v:fill on="f" focussize="0,0"/>
                <v:stroke color="#000000" joinstyle="round"/>
                <v:imagedata o:title=""/>
                <o:lock v:ext="edit" aspectratio="f"/>
              </v:shape>
            </w:pict>
          </mc:Fallback>
        </mc:AlternateContent>
      </w:r>
      <w:r>
        <w:rPr>
          <w:rFonts w:hint="eastAsia"/>
          <w:highlight w:val="none"/>
        </w:rPr>
        <mc:AlternateContent>
          <mc:Choice Requires="wps">
            <w:drawing>
              <wp:anchor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8"/>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2.7pt;margin-top:23.95pt;height:8.15pt;width:64.3pt;z-index:251661312;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DJnJX8BgIAAPoDAAAOAAAAAAAAAAEAIAAAACYB&#10;AABkcnMvZTJvRG9jLnhtbFBLBQYAAAAABgAGAFkBAACeBQAAAAA=&#10;">
                <v:fill on="f" focussize="0,0"/>
                <v:stroke color="#000000" joinstyle="round"/>
                <v:imagedata o:title=""/>
                <o:lock v:ext="edit" aspectratio="f"/>
              </v:shape>
            </w:pict>
          </mc:Fallback>
        </mc:AlternateContent>
      </w:r>
      <w:r>
        <w:rPr>
          <w:rFonts w:hint="eastAsia"/>
          <w:highlight w:val="none"/>
        </w:rPr>
        <mc:AlternateContent>
          <mc:Choice Requires="wps">
            <w:drawing>
              <wp:anchor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5"/>
                <wp:wrapNone/>
                <wp:docPr id="9" name="直接箭头连接符 9"/>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18.3pt;margin-top:25.25pt;height:6pt;width:64.3pt;z-index:251660288;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luf9s1wAAAAkBAAAPAAAAAAAAAAEAIAAAACIAAABkcnMv&#10;ZG93bnJldi54bWxQSwECFAAUAAAACACHTuJAjyXbBwQCAAD5AwAADgAAAAAAAAABACAAAAAmAQAA&#10;ZHJzL2Uyb0RvYy54bWxQSwUGAAAAAAYABgBZAQAAnAUAAAAA&#10;">
                <v:fill on="f" focussize="0,0"/>
                <v:stroke color="#000000" joinstyle="round"/>
                <v:imagedata o:title=""/>
                <o:lock v:ext="edit" aspectratio="f"/>
              </v:shape>
            </w:pict>
          </mc:Fallback>
        </mc:AlternateContent>
      </w:r>
      <w:r>
        <w:rPr>
          <w:rFonts w:hint="eastAsia"/>
          <w:highlight w:val="none"/>
          <w:u w:val="single"/>
          <w:shd w:val="clear" w:color="auto" w:fill="FFFFFF"/>
        </w:rPr>
        <w:t xml:space="preserve">   /   </w:t>
      </w:r>
      <w:r>
        <w:rPr>
          <w:rFonts w:hint="eastAsia"/>
          <w:highlight w:val="none"/>
          <w:shd w:val="clear" w:color="auto" w:fill="FFFFFF"/>
        </w:rPr>
        <w:t>，生产厂为</w:t>
      </w:r>
      <w:r>
        <w:rPr>
          <w:rStyle w:val="60"/>
          <w:rFonts w:hint="eastAsia"/>
          <w:i w:val="0"/>
          <w:highlight w:val="none"/>
          <w:u w:val="single"/>
          <w:shd w:val="clear" w:color="auto" w:fill="FFFFFF"/>
        </w:rPr>
        <w:t>（厂名）</w:t>
      </w:r>
      <w:r>
        <w:rPr>
          <w:rStyle w:val="60"/>
          <w:rFonts w:hint="eastAsia"/>
          <w:i w:val="0"/>
          <w:highlight w:val="none"/>
          <w:shd w:val="clear" w:color="auto" w:fill="FFFFFF"/>
          <w:vertAlign w:val="superscript"/>
        </w:rPr>
        <w:t>2</w:t>
      </w:r>
      <w:r>
        <w:rPr>
          <w:rFonts w:hint="eastAsia"/>
          <w:highlight w:val="none"/>
          <w:shd w:val="clear" w:color="auto" w:fill="FFFFFF"/>
        </w:rPr>
        <w:t>，厂址为</w:t>
      </w:r>
      <w:r>
        <w:rPr>
          <w:rStyle w:val="60"/>
          <w:rFonts w:hint="eastAsia"/>
          <w:i w:val="0"/>
          <w:highlight w:val="none"/>
          <w:u w:val="single"/>
          <w:shd w:val="clear" w:color="auto" w:fill="FFFFFF"/>
        </w:rPr>
        <w:t>（生产厂址）</w:t>
      </w:r>
      <w:r>
        <w:rPr>
          <w:rFonts w:hint="eastAsia"/>
          <w:highlight w:val="none"/>
          <w:shd w:val="clear" w:color="auto" w:fill="FFFFFF"/>
        </w:rPr>
        <w:t>。</w:t>
      </w:r>
      <w:r>
        <w:rPr>
          <w:rFonts w:hint="eastAsia"/>
          <w:highlight w:val="none"/>
          <w:u w:val="single"/>
          <w:shd w:val="clear" w:color="auto" w:fill="FFFFFF"/>
        </w:rPr>
        <w:t xml:space="preserve"> </w:t>
      </w:r>
      <w:r>
        <w:rPr>
          <w:rStyle w:val="60"/>
          <w:rFonts w:hint="eastAsia"/>
          <w:i w:val="0"/>
          <w:highlight w:val="none"/>
          <w:u w:val="single"/>
          <w:shd w:val="clear" w:color="auto" w:fill="FFFFFF"/>
        </w:rPr>
        <w:t xml:space="preserve">（产品名称1） </w:t>
      </w:r>
      <w:r>
        <w:rPr>
          <w:rFonts w:hint="eastAsia"/>
          <w:highlight w:val="none"/>
          <w:shd w:val="clear" w:color="auto" w:fill="FFFFFF"/>
        </w:rPr>
        <w:t>的中国境内生产的组件成本占比≥</w:t>
      </w:r>
      <w:r>
        <w:rPr>
          <w:rStyle w:val="60"/>
          <w:rFonts w:hint="eastAsia"/>
          <w:i w:val="0"/>
          <w:highlight w:val="none"/>
          <w:u w:val="single"/>
          <w:shd w:val="clear" w:color="auto" w:fill="FFFFFF"/>
        </w:rPr>
        <w:t>（规定比例）</w:t>
      </w:r>
      <w:r>
        <w:rPr>
          <w:rStyle w:val="60"/>
          <w:rFonts w:hint="eastAsia"/>
          <w:i w:val="0"/>
          <w:highlight w:val="none"/>
          <w:shd w:val="clear" w:color="auto" w:fill="FFFFFF"/>
          <w:vertAlign w:val="superscript"/>
        </w:rPr>
        <w:t>3</w:t>
      </w:r>
      <w:r>
        <w:rPr>
          <w:rFonts w:hint="eastAsia"/>
          <w:highlight w:val="none"/>
          <w:shd w:val="clear" w:color="auto" w:fill="FFFFFF"/>
        </w:rPr>
        <w:t>。</w:t>
      </w:r>
      <w:r>
        <w:rPr>
          <w:rStyle w:val="60"/>
          <w:rFonts w:hint="eastAsia"/>
          <w:i w:val="0"/>
          <w:highlight w:val="none"/>
          <w:u w:val="single"/>
          <w:shd w:val="clear" w:color="auto" w:fill="FFFFFF"/>
        </w:rPr>
        <w:t>（产品名称1）</w:t>
      </w:r>
      <w:r>
        <w:rPr>
          <w:rFonts w:hint="eastAsia"/>
          <w:highlight w:val="none"/>
          <w:shd w:val="clear" w:color="auto" w:fill="FFFFFF"/>
        </w:rPr>
        <w:t>的</w:t>
      </w:r>
      <w:r>
        <w:rPr>
          <w:rStyle w:val="60"/>
          <w:rFonts w:hint="eastAsia"/>
          <w:i w:val="0"/>
          <w:highlight w:val="none"/>
          <w:u w:val="single"/>
          <w:shd w:val="clear" w:color="auto" w:fill="FFFFFF"/>
        </w:rPr>
        <w:t>（关键组件）</w:t>
      </w:r>
      <w:r>
        <w:rPr>
          <w:rStyle w:val="60"/>
          <w:rFonts w:hint="eastAsia"/>
          <w:i w:val="0"/>
          <w:highlight w:val="none"/>
          <w:shd w:val="clear" w:color="auto" w:fill="FFFFFF"/>
          <w:vertAlign w:val="superscript"/>
        </w:rPr>
        <w:t>4</w:t>
      </w:r>
      <w:r>
        <w:rPr>
          <w:rFonts w:hint="eastAsia"/>
          <w:highlight w:val="none"/>
          <w:shd w:val="clear" w:color="auto" w:fill="FFFFFF"/>
        </w:rPr>
        <w:t>在中国境内生产。</w:t>
      </w:r>
      <w:r>
        <w:rPr>
          <w:rStyle w:val="60"/>
          <w:rFonts w:hint="eastAsia"/>
          <w:i w:val="0"/>
          <w:highlight w:val="none"/>
          <w:u w:val="single"/>
          <w:shd w:val="clear" w:color="auto" w:fill="FFFFFF"/>
        </w:rPr>
        <w:t>（产品名称1）</w:t>
      </w:r>
      <w:r>
        <w:rPr>
          <w:rFonts w:hint="eastAsia"/>
          <w:highlight w:val="none"/>
          <w:shd w:val="clear" w:color="auto" w:fill="FFFFFF"/>
        </w:rPr>
        <w:t>的</w:t>
      </w:r>
      <w:r>
        <w:rPr>
          <w:rStyle w:val="60"/>
          <w:rFonts w:hint="eastAsia"/>
          <w:i w:val="0"/>
          <w:highlight w:val="none"/>
          <w:u w:val="single"/>
          <w:shd w:val="clear" w:color="auto" w:fill="FFFFFF"/>
        </w:rPr>
        <w:t>（关键工序）</w:t>
      </w:r>
      <w:r>
        <w:rPr>
          <w:rStyle w:val="60"/>
          <w:rFonts w:hint="eastAsia"/>
          <w:i w:val="0"/>
          <w:highlight w:val="none"/>
          <w:shd w:val="clear" w:color="auto" w:fill="FFFFFF"/>
          <w:vertAlign w:val="superscript"/>
        </w:rPr>
        <w:t>5</w:t>
      </w:r>
      <w:r>
        <w:rPr>
          <w:rFonts w:hint="eastAsia"/>
          <w:highlight w:val="none"/>
          <w:shd w:val="clear" w:color="auto" w:fill="FFFFFF"/>
        </w:rPr>
        <w:t>在中国境内完成。</w:t>
      </w:r>
    </w:p>
    <w:p w14:paraId="16FD59A7">
      <w:pPr>
        <w:pStyle w:val="48"/>
        <w:spacing w:before="30" w:beforeAutospacing="0" w:after="30" w:afterAutospacing="0" w:line="0" w:lineRule="atLeast"/>
        <w:ind w:firstLine="420"/>
        <w:rPr>
          <w:highlight w:val="none"/>
          <w:shd w:val="clear" w:color="auto" w:fill="FFFFFF"/>
        </w:rPr>
      </w:pPr>
    </w:p>
    <w:p w14:paraId="569FCBBA">
      <w:pPr>
        <w:pStyle w:val="48"/>
        <w:spacing w:before="30" w:beforeAutospacing="0" w:after="30" w:afterAutospacing="0" w:line="0" w:lineRule="atLeast"/>
        <w:ind w:firstLine="420"/>
        <w:rPr>
          <w:highlight w:val="none"/>
          <w:shd w:val="clear" w:color="auto" w:fill="FFFFFF"/>
        </w:rPr>
      </w:pPr>
    </w:p>
    <w:p w14:paraId="454088D1">
      <w:pPr>
        <w:pStyle w:val="48"/>
        <w:spacing w:before="30" w:beforeAutospacing="0" w:after="30" w:afterAutospacing="0" w:line="0" w:lineRule="atLeast"/>
        <w:ind w:firstLine="420"/>
        <w:rPr>
          <w:highlight w:val="none"/>
        </w:rPr>
      </w:pPr>
      <w:r>
        <w:rPr>
          <w:rFonts w:hint="eastAsia"/>
          <w:highlight w:val="none"/>
          <w:shd w:val="clear" w:color="auto" w:fill="FFFFFF"/>
        </w:rPr>
        <w:t>本公司（单位）对上述声明内容的真实性负责。如有虚假，愿承担相应法律责任。</w:t>
      </w:r>
    </w:p>
    <w:p w14:paraId="660D1BB7">
      <w:pPr>
        <w:pStyle w:val="48"/>
        <w:spacing w:before="30" w:beforeAutospacing="0" w:after="30" w:afterAutospacing="0" w:line="0" w:lineRule="atLeast"/>
        <w:rPr>
          <w:highlight w:val="none"/>
        </w:rPr>
      </w:pPr>
    </w:p>
    <w:p w14:paraId="17487910">
      <w:pPr>
        <w:pStyle w:val="48"/>
        <w:spacing w:before="30" w:beforeAutospacing="0" w:after="30" w:afterAutospacing="0" w:line="0" w:lineRule="atLeast"/>
        <w:ind w:right="480" w:firstLine="3720" w:firstLineChars="1550"/>
        <w:rPr>
          <w:highlight w:val="none"/>
          <w:shd w:val="clear" w:color="auto" w:fill="FFFFFF"/>
        </w:rPr>
      </w:pPr>
    </w:p>
    <w:p w14:paraId="3674F864">
      <w:pPr>
        <w:pStyle w:val="48"/>
        <w:spacing w:before="30" w:beforeAutospacing="0" w:after="30" w:afterAutospacing="0" w:line="0" w:lineRule="atLeast"/>
        <w:ind w:right="480" w:firstLine="3720" w:firstLineChars="1550"/>
        <w:rPr>
          <w:highlight w:val="none"/>
          <w:shd w:val="clear" w:color="auto" w:fill="FFFFFF"/>
        </w:rPr>
      </w:pPr>
    </w:p>
    <w:p w14:paraId="4061A079">
      <w:pPr>
        <w:pStyle w:val="48"/>
        <w:spacing w:before="30" w:beforeAutospacing="0" w:after="30" w:afterAutospacing="0" w:line="0" w:lineRule="atLeast"/>
        <w:ind w:right="480" w:firstLine="3720" w:firstLineChars="1550"/>
        <w:rPr>
          <w:highlight w:val="none"/>
          <w:shd w:val="clear" w:color="auto" w:fill="FFFFFF"/>
        </w:rPr>
      </w:pPr>
    </w:p>
    <w:p w14:paraId="735D3C7C">
      <w:pPr>
        <w:pStyle w:val="48"/>
        <w:spacing w:before="30" w:beforeAutospacing="0" w:after="30" w:afterAutospacing="0" w:line="0" w:lineRule="atLeast"/>
        <w:ind w:right="480" w:firstLine="3720" w:firstLineChars="1550"/>
        <w:rPr>
          <w:highlight w:val="none"/>
          <w:shd w:val="clear" w:color="auto" w:fill="FFFFFF"/>
        </w:rPr>
      </w:pPr>
    </w:p>
    <w:p w14:paraId="0E01F18F">
      <w:pPr>
        <w:pStyle w:val="48"/>
        <w:spacing w:before="30" w:beforeAutospacing="0" w:after="30" w:afterAutospacing="0" w:line="0" w:lineRule="atLeast"/>
        <w:ind w:right="480" w:firstLine="3720" w:firstLineChars="1550"/>
        <w:rPr>
          <w:highlight w:val="none"/>
          <w:shd w:val="clear" w:color="auto" w:fill="FFFFFF"/>
        </w:rPr>
      </w:pPr>
    </w:p>
    <w:p w14:paraId="6315B249">
      <w:pPr>
        <w:pStyle w:val="48"/>
        <w:spacing w:before="30" w:beforeAutospacing="0" w:after="30" w:afterAutospacing="0" w:line="0" w:lineRule="atLeast"/>
        <w:ind w:right="480" w:firstLine="3720" w:firstLineChars="1550"/>
        <w:rPr>
          <w:highlight w:val="none"/>
        </w:rPr>
      </w:pPr>
      <w:r>
        <w:rPr>
          <w:rFonts w:hint="eastAsia"/>
          <w:highlight w:val="none"/>
          <w:shd w:val="clear" w:color="auto" w:fill="FFFFFF"/>
        </w:rPr>
        <w:t>公司（单位）名称（盖章）：　        </w:t>
      </w:r>
    </w:p>
    <w:p w14:paraId="705F35C1">
      <w:pPr>
        <w:pStyle w:val="48"/>
        <w:spacing w:before="30" w:beforeAutospacing="0" w:after="30" w:afterAutospacing="0" w:line="0" w:lineRule="atLeast"/>
        <w:jc w:val="center"/>
        <w:rPr>
          <w:highlight w:val="none"/>
        </w:rPr>
      </w:pPr>
      <w:r>
        <w:rPr>
          <w:rFonts w:hint="eastAsia"/>
          <w:highlight w:val="none"/>
          <w:shd w:val="clear" w:color="auto" w:fill="FFFFFF"/>
        </w:rPr>
        <w:t xml:space="preserve">                                日期：　   年　  月　  日         </w:t>
      </w:r>
    </w:p>
    <w:p w14:paraId="6922C6A0">
      <w:pPr>
        <w:pStyle w:val="48"/>
        <w:spacing w:before="30" w:beforeAutospacing="0" w:after="30" w:afterAutospacing="0" w:line="0" w:lineRule="atLeast"/>
        <w:rPr>
          <w:highlight w:val="none"/>
          <w:shd w:val="clear" w:color="auto" w:fill="FFFFFF"/>
        </w:rPr>
      </w:pPr>
    </w:p>
    <w:p w14:paraId="415A7396">
      <w:pPr>
        <w:pStyle w:val="48"/>
        <w:spacing w:before="30" w:beforeAutospacing="0" w:after="30" w:afterAutospacing="0" w:line="0" w:lineRule="atLeast"/>
        <w:rPr>
          <w:highlight w:val="none"/>
          <w:shd w:val="clear" w:color="auto" w:fill="FFFFFF"/>
        </w:rPr>
      </w:pPr>
    </w:p>
    <w:p w14:paraId="6E9CC2CB">
      <w:pPr>
        <w:pStyle w:val="48"/>
        <w:spacing w:before="30" w:beforeAutospacing="0" w:after="30" w:afterAutospacing="0" w:line="0" w:lineRule="atLeast"/>
        <w:rPr>
          <w:highlight w:val="none"/>
          <w:shd w:val="clear" w:color="auto" w:fill="FFFFFF"/>
        </w:rPr>
      </w:pPr>
    </w:p>
    <w:p w14:paraId="656E3290">
      <w:pPr>
        <w:pStyle w:val="48"/>
        <w:spacing w:before="30" w:beforeAutospacing="0" w:after="30" w:afterAutospacing="0" w:line="0" w:lineRule="atLeast"/>
        <w:rPr>
          <w:highlight w:val="none"/>
          <w:shd w:val="clear" w:color="auto" w:fill="FFFFFF"/>
        </w:rPr>
      </w:pPr>
    </w:p>
    <w:p w14:paraId="3F391EC5">
      <w:pPr>
        <w:pStyle w:val="48"/>
        <w:spacing w:before="30" w:beforeAutospacing="0" w:after="30" w:afterAutospacing="0" w:line="0" w:lineRule="atLeast"/>
        <w:rPr>
          <w:highlight w:val="none"/>
          <w:shd w:val="clear" w:color="auto" w:fill="FFFFFF"/>
        </w:rPr>
      </w:pPr>
    </w:p>
    <w:p w14:paraId="35B80CE2">
      <w:pPr>
        <w:pStyle w:val="48"/>
        <w:spacing w:before="30" w:beforeAutospacing="0" w:after="30" w:afterAutospacing="0" w:line="0" w:lineRule="atLeast"/>
        <w:rPr>
          <w:highlight w:val="none"/>
          <w:shd w:val="clear" w:color="auto" w:fill="FFFFFF"/>
        </w:rPr>
      </w:pPr>
    </w:p>
    <w:p w14:paraId="2EE870E5">
      <w:pPr>
        <w:pStyle w:val="48"/>
        <w:spacing w:before="30" w:beforeAutospacing="0" w:after="30" w:afterAutospacing="0" w:line="0" w:lineRule="atLeast"/>
        <w:rPr>
          <w:highlight w:val="none"/>
        </w:rPr>
      </w:pPr>
      <w:r>
        <w:rPr>
          <w:rFonts w:hint="eastAsia"/>
          <w:highlight w:val="none"/>
          <w:shd w:val="clear" w:color="auto" w:fill="FFFFFF"/>
        </w:rPr>
        <w:t>__________________</w:t>
      </w:r>
    </w:p>
    <w:p w14:paraId="4589B586">
      <w:pPr>
        <w:pStyle w:val="48"/>
        <w:spacing w:before="30" w:beforeAutospacing="0" w:after="30" w:afterAutospacing="0" w:line="0" w:lineRule="atLeast"/>
        <w:rPr>
          <w:highlight w:val="none"/>
        </w:rPr>
      </w:pPr>
      <w:r>
        <w:rPr>
          <w:rFonts w:hint="eastAsia"/>
          <w:highlight w:val="none"/>
          <w:shd w:val="clear" w:color="auto" w:fill="FFFFFF"/>
        </w:rPr>
        <w:t>1.产品如有型号，请在“产品名称”栏一并填写。</w:t>
      </w:r>
    </w:p>
    <w:p w14:paraId="285D140D">
      <w:pPr>
        <w:pStyle w:val="48"/>
        <w:spacing w:before="30" w:beforeAutospacing="0" w:after="30" w:afterAutospacing="0" w:line="0" w:lineRule="atLeast"/>
        <w:rPr>
          <w:highlight w:val="none"/>
        </w:rPr>
      </w:pPr>
      <w:r>
        <w:rPr>
          <w:rFonts w:hint="eastAsia"/>
          <w:highlight w:val="none"/>
          <w:shd w:val="clear" w:color="auto" w:fill="FFFFFF"/>
        </w:rPr>
        <w:t>2.生产厂名与厂址应与生产厂营业执照载明的相关信息保持一致。</w:t>
      </w:r>
    </w:p>
    <w:p w14:paraId="5BB01335">
      <w:pPr>
        <w:pStyle w:val="48"/>
        <w:spacing w:before="30" w:beforeAutospacing="0" w:after="30" w:afterAutospacing="0" w:line="0" w:lineRule="atLeast"/>
        <w:rPr>
          <w:highlight w:val="none"/>
        </w:rPr>
      </w:pPr>
      <w:r>
        <w:rPr>
          <w:rFonts w:hint="eastAsia"/>
          <w:highlight w:val="none"/>
          <w:shd w:val="clear" w:color="auto" w:fill="FFFFFF"/>
        </w:rPr>
        <w:t>3.该产品的中国境内生产的组件成本占比相关要求实施前，“规定比例”栏可不填，下同。</w:t>
      </w:r>
    </w:p>
    <w:p w14:paraId="2CD48434">
      <w:pPr>
        <w:pStyle w:val="48"/>
        <w:spacing w:before="30" w:beforeAutospacing="0" w:after="30" w:afterAutospacing="0" w:line="0" w:lineRule="atLeast"/>
        <w:rPr>
          <w:highlight w:val="none"/>
        </w:rPr>
      </w:pPr>
      <w:r>
        <w:rPr>
          <w:rFonts w:hint="eastAsia"/>
          <w:highlight w:val="none"/>
          <w:shd w:val="clear" w:color="auto" w:fill="FFFFFF"/>
        </w:rPr>
        <w:t>4.该产品的关键组件要求实施前，“关键组件”栏可不填，下同。</w:t>
      </w:r>
    </w:p>
    <w:p w14:paraId="79E9BD5A">
      <w:pPr>
        <w:pStyle w:val="48"/>
        <w:spacing w:before="30" w:beforeAutospacing="0" w:after="30" w:afterAutospacing="0" w:line="0" w:lineRule="atLeast"/>
        <w:rPr>
          <w:highlight w:val="none"/>
          <w:shd w:val="clear" w:color="auto" w:fill="FFFFFF"/>
        </w:rPr>
      </w:pPr>
      <w:r>
        <w:rPr>
          <w:rFonts w:hint="eastAsia"/>
          <w:highlight w:val="none"/>
          <w:shd w:val="clear" w:color="auto" w:fill="FFFFFF"/>
        </w:rPr>
        <w:t>5.该产品的关键工序要求实施前，“关键工序”栏可不填，下同。</w:t>
      </w:r>
    </w:p>
    <w:p w14:paraId="496046B5">
      <w:pPr>
        <w:pStyle w:val="48"/>
        <w:spacing w:before="30" w:beforeAutospacing="0" w:after="30" w:afterAutospacing="0" w:line="0" w:lineRule="atLeast"/>
        <w:rPr>
          <w:bCs/>
          <w:highlight w:val="none"/>
        </w:rPr>
      </w:pPr>
      <w:r>
        <w:rPr>
          <w:rFonts w:hint="eastAsia"/>
          <w:highlight w:val="none"/>
          <w:shd w:val="clear" w:color="auto" w:fill="FFFFFF"/>
        </w:rPr>
        <w:t>6.用斜线划除的地方无需填写。</w:t>
      </w:r>
    </w:p>
    <w:p w14:paraId="5669A86A">
      <w:pPr>
        <w:rPr>
          <w:rFonts w:ascii="宋体" w:hAnsi="宋体" w:cs="宋体"/>
          <w:sz w:val="22"/>
          <w:szCs w:val="21"/>
          <w:highlight w:val="none"/>
        </w:rPr>
      </w:pPr>
    </w:p>
    <w:sectPr>
      <w:pgSz w:w="11907" w:h="16840"/>
      <w:pgMar w:top="1134" w:right="882" w:bottom="1418" w:left="1365" w:header="567" w:footer="794" w:gutter="0"/>
      <w:cols w:space="720" w:num="1"/>
      <w:titlePg/>
      <w:docGrid w:type="lines" w:linePitch="30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Berlin Sans FB Demi">
    <w:altName w:val="Segoe Print"/>
    <w:panose1 w:val="020E0802020502020306"/>
    <w:charset w:val="00"/>
    <w:family w:val="swiss"/>
    <w:pitch w:val="default"/>
    <w:sig w:usb0="00000000" w:usb1="00000000" w:usb2="00000000" w:usb3="00000000" w:csb0="20000001" w:csb1="00000000"/>
  </w:font>
  <w:font w:name="MS Mincho">
    <w:altName w:val="Yu Gothic UI"/>
    <w:panose1 w:val="02020609040205080304"/>
    <w:charset w:val="80"/>
    <w:family w:val="moder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爱奇艺黑体 Medium">
    <w:altName w:val="黑体"/>
    <w:panose1 w:val="00000000000000000000"/>
    <w:charset w:val="00"/>
    <w:family w:val="auto"/>
    <w:pitch w:val="default"/>
    <w:sig w:usb0="00000000" w:usb1="00000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28158D">
    <w:pPr>
      <w:pStyle w:val="3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796F4">
    <w:pPr>
      <w:pStyle w:val="32"/>
      <w:framePr w:wrap="around" w:vAnchor="text" w:hAnchor="margin" w:xAlign="right" w:y="1"/>
      <w:rPr>
        <w:rStyle w:val="58"/>
      </w:rPr>
    </w:pPr>
    <w:r>
      <w:fldChar w:fldCharType="begin"/>
    </w:r>
    <w:r>
      <w:rPr>
        <w:rStyle w:val="58"/>
      </w:rPr>
      <w:instrText xml:space="preserve">PAGE  </w:instrText>
    </w:r>
    <w:r>
      <w:fldChar w:fldCharType="separate"/>
    </w:r>
    <w:r>
      <w:rPr>
        <w:rStyle w:val="58"/>
      </w:rPr>
      <w:t>16</w:t>
    </w:r>
    <w:r>
      <w:fldChar w:fldCharType="end"/>
    </w:r>
  </w:p>
  <w:p w14:paraId="17FEC16D">
    <w:pPr>
      <w:pStyle w:val="3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B87BA">
    <w:pPr>
      <w:pStyle w:val="32"/>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634BC">
    <w:pPr>
      <w:pStyle w:val="3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69FAF">
    <w:pPr>
      <w:pStyle w:val="32"/>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09615B">
                          <w:pPr>
                            <w:pStyle w:val="32"/>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309615B">
                    <w:pPr>
                      <w:pStyle w:val="32"/>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84633">
    <w:pPr>
      <w:pStyle w:val="3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D1A446">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72D1A446">
                    <w:pPr>
                      <w:pStyle w:val="3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73AA1">
    <w:pPr>
      <w:pStyle w:val="32"/>
      <w:ind w:right="36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3DAC4F">
                          <w:pPr>
                            <w:pStyle w:val="32"/>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43DAC4F">
                    <w:pPr>
                      <w:pStyle w:val="32"/>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AD784">
    <w:pPr>
      <w:pStyle w:val="3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1144AE">
                          <w:pPr>
                            <w:pStyle w:val="32"/>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731144AE">
                    <w:pPr>
                      <w:pStyle w:val="32"/>
                    </w:pPr>
                    <w:r>
                      <w:fldChar w:fldCharType="begin"/>
                    </w:r>
                    <w:r>
                      <w:instrText xml:space="preserve"> PAGE  \* MERGEFORMAT </w:instrText>
                    </w:r>
                    <w:r>
                      <w:fldChar w:fldCharType="separate"/>
                    </w:r>
                    <w:r>
                      <w:t>52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63E9D">
    <w:pPr>
      <w:spacing w:line="360" w:lineRule="auto"/>
      <w:jc w:val="left"/>
    </w:pPr>
    <w:r>
      <w:rPr>
        <w:rFonts w:hint="eastAsia"/>
        <w:bCs/>
        <w:sz w:val="18"/>
        <w:szCs w:val="18"/>
      </w:rPr>
      <w:t>涵熙（苏州）工程顾问有限公司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38074">
    <w:pPr>
      <w:pStyle w:val="3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EDB7A">
    <w:pPr>
      <w:pStyle w:val="33"/>
      <w:pBdr>
        <w:bottom w:val="none" w:color="auto" w:sz="0" w:space="1"/>
      </w:pBdr>
      <w:tabs>
        <w:tab w:val="left" w:pos="3355"/>
        <w:tab w:val="clear" w:pos="4153"/>
      </w:tabs>
      <w:jc w:val="left"/>
    </w:pPr>
    <w:r>
      <w:rPr>
        <w:rFonts w:hint="eastAsia"/>
      </w:rPr>
      <w:t>涵熙（苏州）工程顾问有限公司</w:t>
    </w: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6C24B3"/>
    <w:multiLevelType w:val="singleLevel"/>
    <w:tmpl w:val="976C24B3"/>
    <w:lvl w:ilvl="0" w:tentative="0">
      <w:start w:val="1"/>
      <w:numFmt w:val="decimal"/>
      <w:suff w:val="space"/>
      <w:lvlText w:val="%1."/>
      <w:lvlJc w:val="left"/>
    </w:lvl>
  </w:abstractNum>
  <w:abstractNum w:abstractNumId="1">
    <w:nsid w:val="F4FCE8BA"/>
    <w:multiLevelType w:val="singleLevel"/>
    <w:tmpl w:val="F4FCE8BA"/>
    <w:lvl w:ilvl="0" w:tentative="0">
      <w:start w:val="1"/>
      <w:numFmt w:val="decimal"/>
      <w:suff w:val="nothing"/>
      <w:lvlText w:val="（%1）"/>
      <w:lvlJc w:val="left"/>
    </w:lvl>
  </w:abstractNum>
  <w:abstractNum w:abstractNumId="2">
    <w:nsid w:val="F9542484"/>
    <w:multiLevelType w:val="singleLevel"/>
    <w:tmpl w:val="F9542484"/>
    <w:lvl w:ilvl="0" w:tentative="0">
      <w:start w:val="2"/>
      <w:numFmt w:val="chineseCounting"/>
      <w:suff w:val="nothing"/>
      <w:lvlText w:val="（%1）"/>
      <w:lvlJc w:val="left"/>
      <w:rPr>
        <w:rFonts w:hint="eastAsia"/>
      </w:rPr>
    </w:lvl>
  </w:abstractNum>
  <w:abstractNum w:abstractNumId="3">
    <w:nsid w:val="0A0C2485"/>
    <w:multiLevelType w:val="multilevel"/>
    <w:tmpl w:val="0A0C2485"/>
    <w:lvl w:ilvl="0" w:tentative="0">
      <w:start w:val="1"/>
      <w:numFmt w:val="decimal"/>
      <w:pStyle w:val="149"/>
      <w:lvlText w:val="%1、"/>
      <w:lvlJc w:val="left"/>
      <w:pPr>
        <w:tabs>
          <w:tab w:val="left" w:pos="3211"/>
        </w:tabs>
        <w:ind w:left="3211" w:hanging="375"/>
      </w:pPr>
      <w:rPr>
        <w:rFonts w:hint="eastAsia"/>
      </w:rPr>
    </w:lvl>
    <w:lvl w:ilvl="1" w:tentative="0">
      <w:start w:val="1"/>
      <w:numFmt w:val="lowerLetter"/>
      <w:lvlText w:val="%2)"/>
      <w:lvlJc w:val="left"/>
      <w:pPr>
        <w:tabs>
          <w:tab w:val="left" w:pos="3676"/>
        </w:tabs>
        <w:ind w:left="3676" w:hanging="420"/>
      </w:pPr>
    </w:lvl>
    <w:lvl w:ilvl="2" w:tentative="0">
      <w:start w:val="1"/>
      <w:numFmt w:val="lowerRoman"/>
      <w:lvlText w:val="%3."/>
      <w:lvlJc w:val="right"/>
      <w:pPr>
        <w:tabs>
          <w:tab w:val="left" w:pos="4096"/>
        </w:tabs>
        <w:ind w:left="4096" w:hanging="420"/>
      </w:pPr>
    </w:lvl>
    <w:lvl w:ilvl="3" w:tentative="0">
      <w:start w:val="1"/>
      <w:numFmt w:val="decimal"/>
      <w:lvlText w:val="%4."/>
      <w:lvlJc w:val="left"/>
      <w:pPr>
        <w:tabs>
          <w:tab w:val="left" w:pos="4516"/>
        </w:tabs>
        <w:ind w:left="4516" w:hanging="420"/>
      </w:pPr>
    </w:lvl>
    <w:lvl w:ilvl="4" w:tentative="0">
      <w:start w:val="1"/>
      <w:numFmt w:val="lowerLetter"/>
      <w:lvlText w:val="%5)"/>
      <w:lvlJc w:val="left"/>
      <w:pPr>
        <w:tabs>
          <w:tab w:val="left" w:pos="4936"/>
        </w:tabs>
        <w:ind w:left="4936" w:hanging="420"/>
      </w:pPr>
    </w:lvl>
    <w:lvl w:ilvl="5" w:tentative="0">
      <w:start w:val="1"/>
      <w:numFmt w:val="lowerRoman"/>
      <w:lvlText w:val="%6."/>
      <w:lvlJc w:val="right"/>
      <w:pPr>
        <w:tabs>
          <w:tab w:val="left" w:pos="5356"/>
        </w:tabs>
        <w:ind w:left="5356" w:hanging="420"/>
      </w:pPr>
    </w:lvl>
    <w:lvl w:ilvl="6" w:tentative="0">
      <w:start w:val="1"/>
      <w:numFmt w:val="decimal"/>
      <w:lvlText w:val="%7."/>
      <w:lvlJc w:val="left"/>
      <w:pPr>
        <w:tabs>
          <w:tab w:val="left" w:pos="5776"/>
        </w:tabs>
        <w:ind w:left="5776" w:hanging="420"/>
      </w:pPr>
    </w:lvl>
    <w:lvl w:ilvl="7" w:tentative="0">
      <w:start w:val="1"/>
      <w:numFmt w:val="lowerLetter"/>
      <w:lvlText w:val="%8)"/>
      <w:lvlJc w:val="left"/>
      <w:pPr>
        <w:tabs>
          <w:tab w:val="left" w:pos="6196"/>
        </w:tabs>
        <w:ind w:left="6196" w:hanging="420"/>
      </w:pPr>
    </w:lvl>
    <w:lvl w:ilvl="8" w:tentative="0">
      <w:start w:val="1"/>
      <w:numFmt w:val="lowerRoman"/>
      <w:lvlText w:val="%9."/>
      <w:lvlJc w:val="right"/>
      <w:pPr>
        <w:tabs>
          <w:tab w:val="left" w:pos="6616"/>
        </w:tabs>
        <w:ind w:left="6616" w:hanging="420"/>
      </w:pPr>
    </w:lvl>
  </w:abstractNum>
  <w:abstractNum w:abstractNumId="4">
    <w:nsid w:val="1C01174A"/>
    <w:multiLevelType w:val="singleLevel"/>
    <w:tmpl w:val="1C01174A"/>
    <w:lvl w:ilvl="0" w:tentative="0">
      <w:start w:val="2"/>
      <w:numFmt w:val="decimal"/>
      <w:suff w:val="nothing"/>
      <w:lvlText w:val="（%1）"/>
      <w:lvlJc w:val="left"/>
    </w:lvl>
  </w:abstractNum>
  <w:abstractNum w:abstractNumId="5">
    <w:nsid w:val="240D3E5A"/>
    <w:multiLevelType w:val="singleLevel"/>
    <w:tmpl w:val="240D3E5A"/>
    <w:lvl w:ilvl="0" w:tentative="0">
      <w:start w:val="1"/>
      <w:numFmt w:val="decimal"/>
      <w:pStyle w:val="146"/>
      <w:lvlText w:val="%1、"/>
      <w:lvlJc w:val="left"/>
      <w:pPr>
        <w:tabs>
          <w:tab w:val="left" w:pos="480"/>
        </w:tabs>
        <w:ind w:left="480" w:hanging="480"/>
      </w:pPr>
      <w:rPr>
        <w:rFonts w:hint="eastAsia"/>
      </w:rPr>
    </w:lvl>
  </w:abstractNum>
  <w:abstractNum w:abstractNumId="6">
    <w:nsid w:val="3C0377E8"/>
    <w:multiLevelType w:val="singleLevel"/>
    <w:tmpl w:val="3C0377E8"/>
    <w:lvl w:ilvl="0" w:tentative="0">
      <w:start w:val="1"/>
      <w:numFmt w:val="decimal"/>
      <w:suff w:val="nothing"/>
      <w:lvlText w:val="（%1）"/>
      <w:lvlJc w:val="left"/>
    </w:lvl>
  </w:abstractNum>
  <w:abstractNum w:abstractNumId="7">
    <w:nsid w:val="420C153B"/>
    <w:multiLevelType w:val="multilevel"/>
    <w:tmpl w:val="420C153B"/>
    <w:lvl w:ilvl="0" w:tentative="0">
      <w:start w:val="1"/>
      <w:numFmt w:val="decimal"/>
      <w:pStyle w:val="15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5793B7AC"/>
    <w:multiLevelType w:val="singleLevel"/>
    <w:tmpl w:val="5793B7AC"/>
    <w:lvl w:ilvl="0" w:tentative="0">
      <w:start w:val="3"/>
      <w:numFmt w:val="chineseCounting"/>
      <w:suff w:val="nothing"/>
      <w:lvlText w:val="%1、"/>
      <w:lvlJc w:val="left"/>
      <w:rPr>
        <w:rFonts w:hint="eastAsia"/>
      </w:rPr>
    </w:lvl>
  </w:abstractNum>
  <w:abstractNum w:abstractNumId="9">
    <w:nsid w:val="66581C0D"/>
    <w:multiLevelType w:val="singleLevel"/>
    <w:tmpl w:val="66581C0D"/>
    <w:lvl w:ilvl="0" w:tentative="0">
      <w:start w:val="1"/>
      <w:numFmt w:val="decimal"/>
      <w:suff w:val="nothing"/>
      <w:lvlText w:val="%1、"/>
      <w:lvlJc w:val="left"/>
    </w:lvl>
  </w:abstractNum>
  <w:num w:numId="1">
    <w:abstractNumId w:val="5"/>
  </w:num>
  <w:num w:numId="2">
    <w:abstractNumId w:val="3"/>
  </w:num>
  <w:num w:numId="3">
    <w:abstractNumId w:val="7"/>
  </w:num>
  <w:num w:numId="4">
    <w:abstractNumId w:val="4"/>
  </w:num>
  <w:num w:numId="5">
    <w:abstractNumId w:val="2"/>
  </w:num>
  <w:num w:numId="6">
    <w:abstractNumId w:val="8"/>
  </w:num>
  <w:num w:numId="7">
    <w:abstractNumId w:val="9"/>
  </w:num>
  <w:num w:numId="8">
    <w:abstractNumId w:val="6"/>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5"/>
  <w:drawingGridHorizontalSpacing w:val="105"/>
  <w:drawingGridVerticalSpacing w:val="305"/>
  <w:noPunctuationKerning w:val="1"/>
  <w:characterSpacingControl w:val="compressPunctuation"/>
  <w:compat>
    <w:spaceForUL/>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2ODQ5ZjVhOWM2ZDA2MGQ2ZjM3ZWM1NzNlYWMyOTIifQ=="/>
  </w:docVars>
  <w:rsids>
    <w:rsidRoot w:val="00F45691"/>
    <w:rsid w:val="0000076F"/>
    <w:rsid w:val="003E69F2"/>
    <w:rsid w:val="00952B23"/>
    <w:rsid w:val="009C5E9A"/>
    <w:rsid w:val="00A945EC"/>
    <w:rsid w:val="00AA375E"/>
    <w:rsid w:val="00C842CB"/>
    <w:rsid w:val="00D83972"/>
    <w:rsid w:val="00DF1AE5"/>
    <w:rsid w:val="00F45691"/>
    <w:rsid w:val="012A2737"/>
    <w:rsid w:val="01C1252A"/>
    <w:rsid w:val="028D5673"/>
    <w:rsid w:val="044F7033"/>
    <w:rsid w:val="054D1CD9"/>
    <w:rsid w:val="05697AAF"/>
    <w:rsid w:val="060F2843"/>
    <w:rsid w:val="06E140D6"/>
    <w:rsid w:val="07A34FF1"/>
    <w:rsid w:val="07F92E63"/>
    <w:rsid w:val="09C92B03"/>
    <w:rsid w:val="0A2D6CEA"/>
    <w:rsid w:val="0D877F72"/>
    <w:rsid w:val="0DBE2B84"/>
    <w:rsid w:val="11131439"/>
    <w:rsid w:val="11DA5E33"/>
    <w:rsid w:val="132024F8"/>
    <w:rsid w:val="158D1927"/>
    <w:rsid w:val="15F97D47"/>
    <w:rsid w:val="17E43946"/>
    <w:rsid w:val="17EB6A19"/>
    <w:rsid w:val="18DD4082"/>
    <w:rsid w:val="1C33298F"/>
    <w:rsid w:val="1CAE64BA"/>
    <w:rsid w:val="1CBC0BD7"/>
    <w:rsid w:val="1D1207F7"/>
    <w:rsid w:val="1D447867"/>
    <w:rsid w:val="1D840FC9"/>
    <w:rsid w:val="1F15637C"/>
    <w:rsid w:val="22813D29"/>
    <w:rsid w:val="23FD1519"/>
    <w:rsid w:val="246A716A"/>
    <w:rsid w:val="25973F8F"/>
    <w:rsid w:val="25E66CC5"/>
    <w:rsid w:val="263C4B36"/>
    <w:rsid w:val="29BD1AEA"/>
    <w:rsid w:val="2B261911"/>
    <w:rsid w:val="30DD123C"/>
    <w:rsid w:val="321B15EA"/>
    <w:rsid w:val="32690A61"/>
    <w:rsid w:val="33845CF5"/>
    <w:rsid w:val="339E298D"/>
    <w:rsid w:val="345F05F3"/>
    <w:rsid w:val="354A126C"/>
    <w:rsid w:val="365657A0"/>
    <w:rsid w:val="36F92D8C"/>
    <w:rsid w:val="372F08A9"/>
    <w:rsid w:val="37B95FE7"/>
    <w:rsid w:val="37FE21F6"/>
    <w:rsid w:val="381551E7"/>
    <w:rsid w:val="3BAA0D70"/>
    <w:rsid w:val="3D163594"/>
    <w:rsid w:val="3D2F4655"/>
    <w:rsid w:val="3E1C107E"/>
    <w:rsid w:val="41491109"/>
    <w:rsid w:val="415D4C1F"/>
    <w:rsid w:val="42B9333F"/>
    <w:rsid w:val="432D4294"/>
    <w:rsid w:val="43592C8A"/>
    <w:rsid w:val="43DE6DD5"/>
    <w:rsid w:val="43F81C45"/>
    <w:rsid w:val="441F56D0"/>
    <w:rsid w:val="45963C01"/>
    <w:rsid w:val="46095EA3"/>
    <w:rsid w:val="47213261"/>
    <w:rsid w:val="47C42849"/>
    <w:rsid w:val="47C43CAE"/>
    <w:rsid w:val="4882187E"/>
    <w:rsid w:val="48D64F62"/>
    <w:rsid w:val="490C52DA"/>
    <w:rsid w:val="495E12DA"/>
    <w:rsid w:val="4BEA2F99"/>
    <w:rsid w:val="4C2F4672"/>
    <w:rsid w:val="4DCB03CA"/>
    <w:rsid w:val="4F2A14D9"/>
    <w:rsid w:val="51E157E3"/>
    <w:rsid w:val="51E25CE3"/>
    <w:rsid w:val="5288688A"/>
    <w:rsid w:val="546F1A89"/>
    <w:rsid w:val="5728063B"/>
    <w:rsid w:val="57494A85"/>
    <w:rsid w:val="578F4217"/>
    <w:rsid w:val="581806B0"/>
    <w:rsid w:val="58AE691E"/>
    <w:rsid w:val="5AC93EE4"/>
    <w:rsid w:val="5B6073D2"/>
    <w:rsid w:val="5CDF7C89"/>
    <w:rsid w:val="5FD924D3"/>
    <w:rsid w:val="60C72C73"/>
    <w:rsid w:val="637D2246"/>
    <w:rsid w:val="669B4986"/>
    <w:rsid w:val="67F61051"/>
    <w:rsid w:val="69F36887"/>
    <w:rsid w:val="6A665488"/>
    <w:rsid w:val="6B9F7F36"/>
    <w:rsid w:val="6BF538BA"/>
    <w:rsid w:val="6C2F15A9"/>
    <w:rsid w:val="6E272FA3"/>
    <w:rsid w:val="704240C4"/>
    <w:rsid w:val="70F3716D"/>
    <w:rsid w:val="72B53423"/>
    <w:rsid w:val="73891FA5"/>
    <w:rsid w:val="76F10072"/>
    <w:rsid w:val="770B295E"/>
    <w:rsid w:val="799120D4"/>
    <w:rsid w:val="7A94551C"/>
    <w:rsid w:val="7C1508DF"/>
    <w:rsid w:val="7C887303"/>
    <w:rsid w:val="7CFB6ED4"/>
    <w:rsid w:val="7DB163E5"/>
    <w:rsid w:val="7E1E7F1F"/>
    <w:rsid w:val="7F54797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qFormat="1" w:unhideWhenUsed="0" w:uiPriority="0" w:name="index heading"/>
    <w:lsdException w:qFormat="1" w:unhideWhenUsed="0" w:uiPriority="35" w:semiHidden="0" w:name="caption"/>
    <w:lsdException w:qFormat="1" w:unhideWhenUsed="0" w:uiPriority="0" w:name="table of figures"/>
    <w:lsdException w:uiPriority="0" w:name="envelope address"/>
    <w:lsdException w:qFormat="1" w:uiPriority="99" w:semiHidden="0" w:name="envelope return"/>
    <w:lsdException w:uiPriority="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link w:val="77"/>
    <w:autoRedefine/>
    <w:qFormat/>
    <w:uiPriority w:val="0"/>
    <w:pPr>
      <w:keepNext/>
      <w:tabs>
        <w:tab w:val="left" w:pos="200"/>
      </w:tabs>
      <w:jc w:val="center"/>
      <w:outlineLvl w:val="0"/>
    </w:pPr>
    <w:rPr>
      <w:rFonts w:ascii="宋体" w:hAnsi="宋体"/>
      <w:b/>
      <w:sz w:val="36"/>
    </w:rPr>
  </w:style>
  <w:style w:type="paragraph" w:styleId="3">
    <w:name w:val="heading 2"/>
    <w:basedOn w:val="1"/>
    <w:next w:val="1"/>
    <w:link w:val="78"/>
    <w:autoRedefine/>
    <w:qFormat/>
    <w:uiPriority w:val="0"/>
    <w:pPr>
      <w:keepNext/>
      <w:jc w:val="center"/>
      <w:outlineLvl w:val="1"/>
    </w:pPr>
    <w:rPr>
      <w:rFonts w:eastAsia="楷体_GB2312"/>
      <w:b/>
      <w:bCs/>
      <w:sz w:val="28"/>
      <w:szCs w:val="28"/>
    </w:rPr>
  </w:style>
  <w:style w:type="paragraph" w:styleId="4">
    <w:name w:val="heading 3"/>
    <w:basedOn w:val="1"/>
    <w:next w:val="1"/>
    <w:link w:val="79"/>
    <w:autoRedefine/>
    <w:qFormat/>
    <w:uiPriority w:val="9"/>
    <w:pPr>
      <w:keepNext/>
      <w:jc w:val="center"/>
      <w:outlineLvl w:val="2"/>
    </w:pPr>
    <w:rPr>
      <w:rFonts w:ascii="宋体" w:hAnsi="宋体"/>
      <w:sz w:val="28"/>
    </w:rPr>
  </w:style>
  <w:style w:type="paragraph" w:styleId="5">
    <w:name w:val="heading 4"/>
    <w:basedOn w:val="1"/>
    <w:next w:val="1"/>
    <w:link w:val="80"/>
    <w:autoRedefine/>
    <w:qFormat/>
    <w:uiPriority w:val="9"/>
    <w:pPr>
      <w:keepNext/>
      <w:outlineLvl w:val="3"/>
    </w:pPr>
    <w:rPr>
      <w:b/>
      <w:bCs/>
      <w:sz w:val="18"/>
    </w:rPr>
  </w:style>
  <w:style w:type="paragraph" w:styleId="6">
    <w:name w:val="heading 5"/>
    <w:basedOn w:val="1"/>
    <w:next w:val="1"/>
    <w:link w:val="81"/>
    <w:autoRedefine/>
    <w:qFormat/>
    <w:uiPriority w:val="9"/>
    <w:pPr>
      <w:keepNext/>
      <w:jc w:val="center"/>
      <w:outlineLvl w:val="4"/>
    </w:pPr>
    <w:rPr>
      <w:b/>
      <w:bCs/>
      <w:sz w:val="18"/>
    </w:rPr>
  </w:style>
  <w:style w:type="paragraph" w:styleId="7">
    <w:name w:val="heading 6"/>
    <w:basedOn w:val="1"/>
    <w:next w:val="1"/>
    <w:link w:val="82"/>
    <w:autoRedefine/>
    <w:qFormat/>
    <w:uiPriority w:val="9"/>
    <w:pPr>
      <w:keepNext/>
      <w:keepLines/>
      <w:widowControl/>
      <w:spacing w:before="120" w:line="252" w:lineRule="auto"/>
      <w:outlineLvl w:val="5"/>
    </w:pPr>
    <w:rPr>
      <w:rFonts w:ascii="Calibri Light" w:hAnsi="Calibri Light"/>
      <w:b/>
      <w:bCs/>
      <w:i/>
      <w:iCs/>
      <w:kern w:val="0"/>
      <w:sz w:val="20"/>
    </w:rPr>
  </w:style>
  <w:style w:type="paragraph" w:styleId="8">
    <w:name w:val="heading 7"/>
    <w:basedOn w:val="1"/>
    <w:next w:val="1"/>
    <w:link w:val="83"/>
    <w:autoRedefine/>
    <w:qFormat/>
    <w:uiPriority w:val="9"/>
    <w:pPr>
      <w:keepNext/>
      <w:keepLines/>
      <w:widowControl/>
      <w:spacing w:before="120" w:line="252" w:lineRule="auto"/>
      <w:outlineLvl w:val="6"/>
    </w:pPr>
    <w:rPr>
      <w:i/>
      <w:iCs/>
      <w:kern w:val="0"/>
      <w:sz w:val="20"/>
    </w:rPr>
  </w:style>
  <w:style w:type="paragraph" w:styleId="9">
    <w:name w:val="heading 8"/>
    <w:basedOn w:val="1"/>
    <w:next w:val="1"/>
    <w:link w:val="84"/>
    <w:autoRedefine/>
    <w:qFormat/>
    <w:uiPriority w:val="9"/>
    <w:pPr>
      <w:keepNext/>
      <w:keepLines/>
      <w:widowControl/>
      <w:spacing w:before="120" w:line="252" w:lineRule="auto"/>
      <w:outlineLvl w:val="7"/>
    </w:pPr>
    <w:rPr>
      <w:b/>
      <w:bCs/>
      <w:kern w:val="0"/>
      <w:sz w:val="20"/>
    </w:rPr>
  </w:style>
  <w:style w:type="paragraph" w:styleId="10">
    <w:name w:val="heading 9"/>
    <w:basedOn w:val="1"/>
    <w:next w:val="1"/>
    <w:link w:val="85"/>
    <w:autoRedefine/>
    <w:qFormat/>
    <w:uiPriority w:val="9"/>
    <w:pPr>
      <w:keepNext/>
      <w:keepLines/>
      <w:widowControl/>
      <w:spacing w:before="120" w:line="252" w:lineRule="auto"/>
      <w:outlineLvl w:val="8"/>
    </w:pPr>
    <w:rPr>
      <w:i/>
      <w:iCs/>
      <w:kern w:val="0"/>
      <w:sz w:val="20"/>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semiHidden/>
    <w:qFormat/>
    <w:uiPriority w:val="0"/>
    <w:pPr>
      <w:ind w:left="1260"/>
      <w:jc w:val="left"/>
    </w:pPr>
    <w:rPr>
      <w:szCs w:val="21"/>
    </w:rPr>
  </w:style>
  <w:style w:type="paragraph" w:styleId="12">
    <w:name w:val="index 8"/>
    <w:basedOn w:val="1"/>
    <w:next w:val="1"/>
    <w:autoRedefine/>
    <w:semiHidden/>
    <w:qFormat/>
    <w:uiPriority w:val="0"/>
    <w:pPr>
      <w:ind w:left="1400" w:leftChars="1400"/>
    </w:pPr>
  </w:style>
  <w:style w:type="paragraph" w:styleId="13">
    <w:name w:val="Normal Indent"/>
    <w:basedOn w:val="1"/>
    <w:link w:val="86"/>
    <w:autoRedefine/>
    <w:qFormat/>
    <w:uiPriority w:val="0"/>
    <w:pPr>
      <w:ind w:firstLine="420"/>
    </w:pPr>
  </w:style>
  <w:style w:type="paragraph" w:styleId="14">
    <w:name w:val="caption"/>
    <w:basedOn w:val="1"/>
    <w:next w:val="1"/>
    <w:autoRedefine/>
    <w:qFormat/>
    <w:uiPriority w:val="35"/>
    <w:pPr>
      <w:widowControl/>
      <w:spacing w:after="160" w:line="252" w:lineRule="auto"/>
    </w:pPr>
    <w:rPr>
      <w:b/>
      <w:bCs/>
      <w:kern w:val="0"/>
      <w:sz w:val="18"/>
      <w:szCs w:val="18"/>
    </w:rPr>
  </w:style>
  <w:style w:type="paragraph" w:styleId="15">
    <w:name w:val="index 5"/>
    <w:basedOn w:val="1"/>
    <w:next w:val="1"/>
    <w:autoRedefine/>
    <w:semiHidden/>
    <w:qFormat/>
    <w:uiPriority w:val="0"/>
    <w:pPr>
      <w:ind w:left="800" w:leftChars="800"/>
    </w:pPr>
  </w:style>
  <w:style w:type="paragraph" w:styleId="16">
    <w:name w:val="Document Map"/>
    <w:basedOn w:val="1"/>
    <w:link w:val="87"/>
    <w:autoRedefine/>
    <w:semiHidden/>
    <w:qFormat/>
    <w:uiPriority w:val="0"/>
    <w:pPr>
      <w:shd w:val="clear" w:color="auto" w:fill="000080"/>
    </w:pPr>
  </w:style>
  <w:style w:type="paragraph" w:styleId="17">
    <w:name w:val="annotation text"/>
    <w:basedOn w:val="1"/>
    <w:link w:val="88"/>
    <w:autoRedefine/>
    <w:qFormat/>
    <w:uiPriority w:val="0"/>
    <w:pPr>
      <w:jc w:val="left"/>
    </w:pPr>
  </w:style>
  <w:style w:type="paragraph" w:styleId="18">
    <w:name w:val="index 6"/>
    <w:basedOn w:val="1"/>
    <w:next w:val="1"/>
    <w:autoRedefine/>
    <w:semiHidden/>
    <w:qFormat/>
    <w:uiPriority w:val="0"/>
    <w:pPr>
      <w:ind w:left="1000" w:leftChars="1000"/>
    </w:pPr>
  </w:style>
  <w:style w:type="paragraph" w:styleId="19">
    <w:name w:val="Body Text"/>
    <w:basedOn w:val="1"/>
    <w:next w:val="1"/>
    <w:link w:val="89"/>
    <w:autoRedefine/>
    <w:qFormat/>
    <w:uiPriority w:val="99"/>
    <w:rPr>
      <w:rFonts w:ascii="楷体_GB2312" w:hAnsi="Arial" w:eastAsia="楷体_GB2312"/>
      <w:sz w:val="28"/>
    </w:rPr>
  </w:style>
  <w:style w:type="paragraph" w:styleId="20">
    <w:name w:val="Body Text Indent"/>
    <w:basedOn w:val="1"/>
    <w:next w:val="21"/>
    <w:link w:val="90"/>
    <w:autoRedefine/>
    <w:qFormat/>
    <w:uiPriority w:val="0"/>
    <w:pPr>
      <w:adjustRightInd w:val="0"/>
      <w:spacing w:line="312" w:lineRule="atLeast"/>
      <w:ind w:firstLine="574"/>
      <w:textAlignment w:val="baseline"/>
    </w:pPr>
    <w:rPr>
      <w:rFonts w:ascii="宋体"/>
      <w:kern w:val="0"/>
      <w:sz w:val="28"/>
    </w:rPr>
  </w:style>
  <w:style w:type="paragraph" w:styleId="21">
    <w:name w:val="envelope return"/>
    <w:basedOn w:val="1"/>
    <w:autoRedefine/>
    <w:unhideWhenUsed/>
    <w:qFormat/>
    <w:uiPriority w:val="99"/>
    <w:pPr>
      <w:snapToGrid w:val="0"/>
    </w:pPr>
    <w:rPr>
      <w:rFonts w:ascii="Arial" w:hAnsi="Arial"/>
    </w:rPr>
  </w:style>
  <w:style w:type="paragraph" w:styleId="22">
    <w:name w:val="Block Text"/>
    <w:basedOn w:val="1"/>
    <w:autoRedefine/>
    <w:qFormat/>
    <w:uiPriority w:val="0"/>
    <w:pPr>
      <w:tabs>
        <w:tab w:val="left" w:pos="822"/>
        <w:tab w:val="left" w:pos="2205"/>
        <w:tab w:val="left" w:pos="9000"/>
      </w:tabs>
      <w:adjustRightInd w:val="0"/>
      <w:snapToGrid w:val="0"/>
      <w:spacing w:before="89"/>
      <w:ind w:left="1890" w:leftChars="229" w:right="11" w:hanging="1409" w:hangingChars="587"/>
    </w:pPr>
    <w:rPr>
      <w:sz w:val="24"/>
    </w:rPr>
  </w:style>
  <w:style w:type="paragraph" w:styleId="23">
    <w:name w:val="index 4"/>
    <w:basedOn w:val="1"/>
    <w:next w:val="1"/>
    <w:autoRedefine/>
    <w:semiHidden/>
    <w:qFormat/>
    <w:uiPriority w:val="0"/>
    <w:pPr>
      <w:ind w:left="600" w:leftChars="600"/>
    </w:pPr>
  </w:style>
  <w:style w:type="paragraph" w:styleId="24">
    <w:name w:val="toc 5"/>
    <w:basedOn w:val="1"/>
    <w:next w:val="1"/>
    <w:autoRedefine/>
    <w:semiHidden/>
    <w:qFormat/>
    <w:uiPriority w:val="0"/>
    <w:pPr>
      <w:ind w:left="840"/>
      <w:jc w:val="left"/>
    </w:pPr>
    <w:rPr>
      <w:szCs w:val="21"/>
    </w:rPr>
  </w:style>
  <w:style w:type="paragraph" w:styleId="25">
    <w:name w:val="toc 3"/>
    <w:basedOn w:val="1"/>
    <w:next w:val="1"/>
    <w:autoRedefine/>
    <w:semiHidden/>
    <w:qFormat/>
    <w:uiPriority w:val="0"/>
    <w:pPr>
      <w:ind w:left="420"/>
      <w:jc w:val="left"/>
    </w:pPr>
    <w:rPr>
      <w:i/>
      <w:iCs/>
      <w:szCs w:val="24"/>
    </w:rPr>
  </w:style>
  <w:style w:type="paragraph" w:styleId="26">
    <w:name w:val="Plain Text"/>
    <w:basedOn w:val="1"/>
    <w:link w:val="91"/>
    <w:autoRedefine/>
    <w:qFormat/>
    <w:uiPriority w:val="0"/>
    <w:rPr>
      <w:rFonts w:ascii="宋体" w:hAnsi="Courier New"/>
    </w:rPr>
  </w:style>
  <w:style w:type="paragraph" w:styleId="27">
    <w:name w:val="toc 8"/>
    <w:basedOn w:val="1"/>
    <w:next w:val="1"/>
    <w:autoRedefine/>
    <w:semiHidden/>
    <w:qFormat/>
    <w:uiPriority w:val="0"/>
    <w:pPr>
      <w:ind w:left="1470"/>
      <w:jc w:val="left"/>
    </w:pPr>
    <w:rPr>
      <w:szCs w:val="21"/>
    </w:rPr>
  </w:style>
  <w:style w:type="paragraph" w:styleId="28">
    <w:name w:val="index 3"/>
    <w:basedOn w:val="1"/>
    <w:next w:val="1"/>
    <w:autoRedefine/>
    <w:semiHidden/>
    <w:qFormat/>
    <w:uiPriority w:val="0"/>
    <w:pPr>
      <w:ind w:left="400" w:leftChars="400"/>
    </w:pPr>
  </w:style>
  <w:style w:type="paragraph" w:styleId="29">
    <w:name w:val="Date"/>
    <w:basedOn w:val="1"/>
    <w:next w:val="1"/>
    <w:link w:val="92"/>
    <w:autoRedefine/>
    <w:qFormat/>
    <w:uiPriority w:val="0"/>
    <w:pPr>
      <w:adjustRightInd w:val="0"/>
      <w:spacing w:line="312" w:lineRule="atLeast"/>
      <w:textAlignment w:val="baseline"/>
    </w:pPr>
    <w:rPr>
      <w:rFonts w:ascii="宋体"/>
      <w:kern w:val="0"/>
      <w:sz w:val="28"/>
    </w:rPr>
  </w:style>
  <w:style w:type="paragraph" w:styleId="30">
    <w:name w:val="Body Text Indent 2"/>
    <w:basedOn w:val="1"/>
    <w:link w:val="93"/>
    <w:autoRedefine/>
    <w:qFormat/>
    <w:uiPriority w:val="0"/>
    <w:pPr>
      <w:tabs>
        <w:tab w:val="left" w:pos="1785"/>
        <w:tab w:val="left" w:pos="1887"/>
        <w:tab w:val="left" w:pos="2112"/>
        <w:tab w:val="left" w:pos="9000"/>
      </w:tabs>
      <w:adjustRightInd w:val="0"/>
      <w:snapToGrid w:val="0"/>
      <w:ind w:left="1890" w:leftChars="229" w:hanging="1409" w:hangingChars="587"/>
    </w:pPr>
    <w:rPr>
      <w:sz w:val="24"/>
    </w:rPr>
  </w:style>
  <w:style w:type="paragraph" w:styleId="31">
    <w:name w:val="Balloon Text"/>
    <w:basedOn w:val="1"/>
    <w:link w:val="94"/>
    <w:autoRedefine/>
    <w:qFormat/>
    <w:uiPriority w:val="0"/>
    <w:rPr>
      <w:sz w:val="18"/>
      <w:szCs w:val="18"/>
    </w:rPr>
  </w:style>
  <w:style w:type="paragraph" w:styleId="32">
    <w:name w:val="footer"/>
    <w:basedOn w:val="1"/>
    <w:link w:val="95"/>
    <w:autoRedefine/>
    <w:qFormat/>
    <w:uiPriority w:val="0"/>
    <w:pPr>
      <w:tabs>
        <w:tab w:val="center" w:pos="4153"/>
        <w:tab w:val="right" w:pos="8306"/>
      </w:tabs>
      <w:snapToGrid w:val="0"/>
      <w:jc w:val="left"/>
    </w:pPr>
    <w:rPr>
      <w:sz w:val="18"/>
    </w:rPr>
  </w:style>
  <w:style w:type="paragraph" w:styleId="33">
    <w:name w:val="header"/>
    <w:basedOn w:val="1"/>
    <w:link w:val="96"/>
    <w:autoRedefine/>
    <w:qFormat/>
    <w:uiPriority w:val="99"/>
    <w:pPr>
      <w:pBdr>
        <w:bottom w:val="single" w:color="auto" w:sz="6" w:space="1"/>
      </w:pBdr>
      <w:tabs>
        <w:tab w:val="center" w:pos="4153"/>
        <w:tab w:val="right" w:pos="8306"/>
      </w:tabs>
      <w:snapToGrid w:val="0"/>
      <w:jc w:val="center"/>
    </w:pPr>
    <w:rPr>
      <w:sz w:val="18"/>
    </w:rPr>
  </w:style>
  <w:style w:type="paragraph" w:styleId="34">
    <w:name w:val="Signature"/>
    <w:basedOn w:val="1"/>
    <w:link w:val="97"/>
    <w:autoRedefine/>
    <w:qFormat/>
    <w:uiPriority w:val="0"/>
    <w:pPr>
      <w:adjustRightInd w:val="0"/>
      <w:spacing w:after="600" w:line="312" w:lineRule="atLeast"/>
      <w:jc w:val="center"/>
      <w:textAlignment w:val="baseline"/>
    </w:pPr>
    <w:rPr>
      <w:rFonts w:eastAsia="仿宋_GB2312"/>
      <w:kern w:val="0"/>
      <w:sz w:val="24"/>
    </w:rPr>
  </w:style>
  <w:style w:type="paragraph" w:styleId="35">
    <w:name w:val="toc 1"/>
    <w:basedOn w:val="1"/>
    <w:next w:val="1"/>
    <w:autoRedefine/>
    <w:qFormat/>
    <w:uiPriority w:val="39"/>
    <w:pPr>
      <w:tabs>
        <w:tab w:val="right" w:leader="dot" w:pos="9450"/>
      </w:tabs>
      <w:spacing w:before="100" w:beforeAutospacing="1" w:after="100" w:afterAutospacing="1" w:line="360" w:lineRule="exact"/>
      <w:ind w:left="210" w:leftChars="100"/>
    </w:pPr>
    <w:rPr>
      <w:b/>
      <w:bCs/>
      <w:caps/>
      <w:sz w:val="28"/>
      <w:szCs w:val="36"/>
    </w:rPr>
  </w:style>
  <w:style w:type="paragraph" w:styleId="36">
    <w:name w:val="toc 4"/>
    <w:basedOn w:val="1"/>
    <w:next w:val="1"/>
    <w:autoRedefine/>
    <w:semiHidden/>
    <w:qFormat/>
    <w:uiPriority w:val="0"/>
    <w:pPr>
      <w:ind w:left="630"/>
      <w:jc w:val="left"/>
    </w:pPr>
    <w:rPr>
      <w:szCs w:val="21"/>
    </w:rPr>
  </w:style>
  <w:style w:type="paragraph" w:styleId="37">
    <w:name w:val="index heading"/>
    <w:basedOn w:val="1"/>
    <w:next w:val="38"/>
    <w:autoRedefine/>
    <w:semiHidden/>
    <w:qFormat/>
    <w:uiPriority w:val="0"/>
  </w:style>
  <w:style w:type="paragraph" w:styleId="38">
    <w:name w:val="index 1"/>
    <w:basedOn w:val="1"/>
    <w:next w:val="1"/>
    <w:autoRedefine/>
    <w:semiHidden/>
    <w:qFormat/>
    <w:uiPriority w:val="0"/>
  </w:style>
  <w:style w:type="paragraph" w:styleId="39">
    <w:name w:val="Subtitle"/>
    <w:basedOn w:val="1"/>
    <w:next w:val="1"/>
    <w:link w:val="98"/>
    <w:autoRedefine/>
    <w:qFormat/>
    <w:uiPriority w:val="11"/>
    <w:pPr>
      <w:widowControl/>
      <w:spacing w:after="240" w:line="252" w:lineRule="auto"/>
      <w:jc w:val="center"/>
    </w:pPr>
    <w:rPr>
      <w:rFonts w:ascii="Calibri Light" w:hAnsi="Calibri Light"/>
      <w:kern w:val="0"/>
      <w:sz w:val="24"/>
      <w:szCs w:val="24"/>
    </w:rPr>
  </w:style>
  <w:style w:type="paragraph" w:styleId="40">
    <w:name w:val="toc 6"/>
    <w:basedOn w:val="1"/>
    <w:next w:val="1"/>
    <w:autoRedefine/>
    <w:semiHidden/>
    <w:qFormat/>
    <w:uiPriority w:val="0"/>
    <w:pPr>
      <w:ind w:left="1050"/>
      <w:jc w:val="left"/>
    </w:pPr>
    <w:rPr>
      <w:szCs w:val="21"/>
    </w:rPr>
  </w:style>
  <w:style w:type="paragraph" w:styleId="41">
    <w:name w:val="Body Text Indent 3"/>
    <w:basedOn w:val="1"/>
    <w:link w:val="99"/>
    <w:autoRedefine/>
    <w:qFormat/>
    <w:uiPriority w:val="0"/>
    <w:pPr>
      <w:ind w:firstLine="555"/>
    </w:pPr>
    <w:rPr>
      <w:b/>
      <w:bCs/>
      <w:sz w:val="28"/>
      <w:u w:val="single"/>
    </w:rPr>
  </w:style>
  <w:style w:type="paragraph" w:styleId="42">
    <w:name w:val="index 7"/>
    <w:basedOn w:val="1"/>
    <w:next w:val="1"/>
    <w:autoRedefine/>
    <w:semiHidden/>
    <w:qFormat/>
    <w:uiPriority w:val="0"/>
    <w:pPr>
      <w:ind w:left="1200" w:leftChars="1200"/>
    </w:pPr>
  </w:style>
  <w:style w:type="paragraph" w:styleId="43">
    <w:name w:val="index 9"/>
    <w:basedOn w:val="1"/>
    <w:next w:val="1"/>
    <w:autoRedefine/>
    <w:semiHidden/>
    <w:qFormat/>
    <w:uiPriority w:val="0"/>
    <w:pPr>
      <w:ind w:left="1600" w:leftChars="1600"/>
    </w:pPr>
  </w:style>
  <w:style w:type="paragraph" w:styleId="44">
    <w:name w:val="table of figures"/>
    <w:basedOn w:val="1"/>
    <w:next w:val="1"/>
    <w:autoRedefine/>
    <w:semiHidden/>
    <w:qFormat/>
    <w:uiPriority w:val="0"/>
    <w:pPr>
      <w:ind w:left="840" w:leftChars="200" w:hanging="420" w:hangingChars="200"/>
    </w:pPr>
  </w:style>
  <w:style w:type="paragraph" w:styleId="45">
    <w:name w:val="toc 2"/>
    <w:basedOn w:val="1"/>
    <w:next w:val="1"/>
    <w:autoRedefine/>
    <w:qFormat/>
    <w:uiPriority w:val="39"/>
    <w:pPr>
      <w:tabs>
        <w:tab w:val="right" w:leader="dot" w:pos="9450"/>
      </w:tabs>
      <w:spacing w:line="400" w:lineRule="exact"/>
      <w:ind w:left="250" w:leftChars="250"/>
      <w:jc w:val="left"/>
    </w:pPr>
    <w:rPr>
      <w:bCs/>
      <w:smallCaps/>
      <w:sz w:val="24"/>
      <w:szCs w:val="24"/>
    </w:rPr>
  </w:style>
  <w:style w:type="paragraph" w:styleId="46">
    <w:name w:val="toc 9"/>
    <w:basedOn w:val="1"/>
    <w:next w:val="1"/>
    <w:autoRedefine/>
    <w:semiHidden/>
    <w:qFormat/>
    <w:uiPriority w:val="0"/>
    <w:pPr>
      <w:ind w:left="1680"/>
      <w:jc w:val="left"/>
    </w:pPr>
    <w:rPr>
      <w:szCs w:val="21"/>
    </w:rPr>
  </w:style>
  <w:style w:type="paragraph" w:styleId="47">
    <w:name w:val="HTML Preformatted"/>
    <w:basedOn w:val="1"/>
    <w:link w:val="100"/>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4"/>
    </w:rPr>
  </w:style>
  <w:style w:type="paragraph" w:styleId="48">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49">
    <w:name w:val="index 2"/>
    <w:basedOn w:val="1"/>
    <w:next w:val="1"/>
    <w:autoRedefine/>
    <w:semiHidden/>
    <w:qFormat/>
    <w:uiPriority w:val="0"/>
    <w:pPr>
      <w:ind w:left="200" w:leftChars="200"/>
    </w:pPr>
  </w:style>
  <w:style w:type="paragraph" w:styleId="50">
    <w:name w:val="Title"/>
    <w:basedOn w:val="1"/>
    <w:next w:val="1"/>
    <w:link w:val="101"/>
    <w:autoRedefine/>
    <w:qFormat/>
    <w:uiPriority w:val="10"/>
    <w:pPr>
      <w:widowControl/>
      <w:contextualSpacing/>
      <w:jc w:val="center"/>
    </w:pPr>
    <w:rPr>
      <w:rFonts w:ascii="Calibri Light" w:hAnsi="Calibri Light"/>
      <w:b/>
      <w:bCs/>
      <w:spacing w:val="-7"/>
      <w:kern w:val="0"/>
      <w:sz w:val="48"/>
      <w:szCs w:val="48"/>
    </w:rPr>
  </w:style>
  <w:style w:type="paragraph" w:styleId="51">
    <w:name w:val="annotation subject"/>
    <w:basedOn w:val="17"/>
    <w:next w:val="17"/>
    <w:link w:val="102"/>
    <w:autoRedefine/>
    <w:qFormat/>
    <w:uiPriority w:val="0"/>
    <w:rPr>
      <w:b/>
      <w:bCs/>
    </w:rPr>
  </w:style>
  <w:style w:type="paragraph" w:styleId="52">
    <w:name w:val="Body Text First Indent"/>
    <w:basedOn w:val="19"/>
    <w:next w:val="53"/>
    <w:link w:val="158"/>
    <w:autoRedefine/>
    <w:unhideWhenUsed/>
    <w:qFormat/>
    <w:uiPriority w:val="99"/>
    <w:pPr>
      <w:spacing w:after="120"/>
      <w:ind w:firstLine="420" w:firstLineChars="100"/>
    </w:pPr>
    <w:rPr>
      <w:rFonts w:ascii="Calibri" w:hAnsi="Calibri" w:eastAsia="宋体"/>
      <w:sz w:val="21"/>
    </w:rPr>
  </w:style>
  <w:style w:type="paragraph" w:styleId="53">
    <w:name w:val="Body Text First Indent 2"/>
    <w:basedOn w:val="20"/>
    <w:next w:val="52"/>
    <w:autoRedefine/>
    <w:unhideWhenUsed/>
    <w:qFormat/>
    <w:uiPriority w:val="99"/>
    <w:pPr>
      <w:spacing w:after="120"/>
      <w:ind w:left="420" w:leftChars="200" w:firstLine="420" w:firstLineChars="200"/>
    </w:pPr>
    <w:rPr>
      <w:rFonts w:ascii="Calibri"/>
      <w:kern w:val="2"/>
      <w:sz w:val="21"/>
    </w:rPr>
  </w:style>
  <w:style w:type="table" w:styleId="55">
    <w:name w:val="Table Grid"/>
    <w:basedOn w:val="5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autoRedefine/>
    <w:qFormat/>
    <w:uiPriority w:val="22"/>
    <w:rPr>
      <w:b/>
      <w:bCs/>
    </w:rPr>
  </w:style>
  <w:style w:type="character" w:styleId="58">
    <w:name w:val="page number"/>
    <w:autoRedefine/>
    <w:qFormat/>
    <w:uiPriority w:val="0"/>
  </w:style>
  <w:style w:type="character" w:styleId="59">
    <w:name w:val="FollowedHyperlink"/>
    <w:autoRedefine/>
    <w:qFormat/>
    <w:uiPriority w:val="0"/>
    <w:rPr>
      <w:color w:val="800080"/>
      <w:u w:val="single"/>
    </w:rPr>
  </w:style>
  <w:style w:type="character" w:styleId="60">
    <w:name w:val="Emphasis"/>
    <w:autoRedefine/>
    <w:qFormat/>
    <w:uiPriority w:val="20"/>
    <w:rPr>
      <w:i/>
      <w:iCs/>
    </w:rPr>
  </w:style>
  <w:style w:type="character" w:styleId="61">
    <w:name w:val="line number"/>
    <w:autoRedefine/>
    <w:qFormat/>
    <w:uiPriority w:val="0"/>
  </w:style>
  <w:style w:type="character" w:styleId="62">
    <w:name w:val="HTML Definition"/>
    <w:basedOn w:val="56"/>
    <w:autoRedefine/>
    <w:semiHidden/>
    <w:unhideWhenUsed/>
    <w:qFormat/>
    <w:uiPriority w:val="0"/>
  </w:style>
  <w:style w:type="character" w:styleId="63">
    <w:name w:val="HTML Typewriter"/>
    <w:basedOn w:val="56"/>
    <w:autoRedefine/>
    <w:semiHidden/>
    <w:unhideWhenUsed/>
    <w:qFormat/>
    <w:uiPriority w:val="0"/>
    <w:rPr>
      <w:rFonts w:hint="default" w:ascii="monospace" w:hAnsi="monospace" w:eastAsia="monospace" w:cs="monospace"/>
      <w:sz w:val="20"/>
    </w:rPr>
  </w:style>
  <w:style w:type="character" w:styleId="64">
    <w:name w:val="HTML Acronym"/>
    <w:basedOn w:val="56"/>
    <w:autoRedefine/>
    <w:semiHidden/>
    <w:unhideWhenUsed/>
    <w:qFormat/>
    <w:uiPriority w:val="0"/>
  </w:style>
  <w:style w:type="character" w:styleId="65">
    <w:name w:val="HTML Variable"/>
    <w:basedOn w:val="56"/>
    <w:autoRedefine/>
    <w:semiHidden/>
    <w:unhideWhenUsed/>
    <w:qFormat/>
    <w:uiPriority w:val="0"/>
  </w:style>
  <w:style w:type="character" w:styleId="66">
    <w:name w:val="Hyperlink"/>
    <w:autoRedefine/>
    <w:qFormat/>
    <w:uiPriority w:val="99"/>
    <w:rPr>
      <w:color w:val="0000FF"/>
      <w:u w:val="single"/>
    </w:rPr>
  </w:style>
  <w:style w:type="character" w:styleId="67">
    <w:name w:val="HTML Code"/>
    <w:basedOn w:val="56"/>
    <w:autoRedefine/>
    <w:semiHidden/>
    <w:unhideWhenUsed/>
    <w:qFormat/>
    <w:uiPriority w:val="0"/>
    <w:rPr>
      <w:rFonts w:hint="default" w:ascii="monospace" w:hAnsi="monospace" w:eastAsia="monospace" w:cs="monospace"/>
      <w:sz w:val="20"/>
      <w:bdr w:val="single" w:color="EBEBEB" w:sz="2" w:space="0"/>
    </w:rPr>
  </w:style>
  <w:style w:type="character" w:styleId="68">
    <w:name w:val="annotation reference"/>
    <w:autoRedefine/>
    <w:qFormat/>
    <w:uiPriority w:val="0"/>
    <w:rPr>
      <w:sz w:val="21"/>
      <w:szCs w:val="21"/>
    </w:rPr>
  </w:style>
  <w:style w:type="character" w:styleId="69">
    <w:name w:val="HTML Cite"/>
    <w:basedOn w:val="56"/>
    <w:autoRedefine/>
    <w:semiHidden/>
    <w:unhideWhenUsed/>
    <w:qFormat/>
    <w:uiPriority w:val="0"/>
  </w:style>
  <w:style w:type="character" w:styleId="70">
    <w:name w:val="HTML Keyboard"/>
    <w:basedOn w:val="56"/>
    <w:autoRedefine/>
    <w:semiHidden/>
    <w:unhideWhenUsed/>
    <w:qFormat/>
    <w:uiPriority w:val="0"/>
    <w:rPr>
      <w:rFonts w:hint="default" w:ascii="monospace" w:hAnsi="monospace" w:eastAsia="monospace" w:cs="monospace"/>
      <w:sz w:val="20"/>
    </w:rPr>
  </w:style>
  <w:style w:type="character" w:styleId="71">
    <w:name w:val="HTML Sample"/>
    <w:basedOn w:val="56"/>
    <w:autoRedefine/>
    <w:semiHidden/>
    <w:unhideWhenUsed/>
    <w:qFormat/>
    <w:uiPriority w:val="0"/>
    <w:rPr>
      <w:rFonts w:ascii="monospace" w:hAnsi="monospace" w:eastAsia="monospace" w:cs="monospace"/>
    </w:rPr>
  </w:style>
  <w:style w:type="paragraph" w:customStyle="1" w:styleId="72">
    <w:name w:val="表格内容"/>
    <w:basedOn w:val="73"/>
    <w:autoRedefine/>
    <w:qFormat/>
    <w:uiPriority w:val="0"/>
    <w:pPr>
      <w:widowControl/>
      <w:textAlignment w:val="center"/>
    </w:pPr>
    <w:rPr>
      <w:rFonts w:ascii="Times New Roman" w:hAnsi="Times New Roman"/>
      <w:szCs w:val="22"/>
    </w:rPr>
  </w:style>
  <w:style w:type="paragraph" w:customStyle="1" w:styleId="73">
    <w:name w:val="表内标题"/>
    <w:basedOn w:val="74"/>
    <w:autoRedefine/>
    <w:qFormat/>
    <w:uiPriority w:val="4"/>
    <w:pPr>
      <w:adjustRightInd w:val="0"/>
      <w:snapToGrid w:val="0"/>
    </w:pPr>
  </w:style>
  <w:style w:type="paragraph" w:customStyle="1" w:styleId="74">
    <w:name w:val="图表标题"/>
    <w:basedOn w:val="1"/>
    <w:autoRedefine/>
    <w:qFormat/>
    <w:uiPriority w:val="6"/>
    <w:pPr>
      <w:keepLines/>
      <w:jc w:val="center"/>
    </w:pPr>
    <w:rPr>
      <w:b/>
    </w:rPr>
  </w:style>
  <w:style w:type="paragraph" w:customStyle="1" w:styleId="75">
    <w:name w:val="段"/>
    <w:next w:val="1"/>
    <w:autoRedefine/>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customStyle="1" w:styleId="76">
    <w:name w:val="首行缩进"/>
    <w:basedOn w:val="1"/>
    <w:autoRedefine/>
    <w:qFormat/>
    <w:uiPriority w:val="0"/>
    <w:pPr>
      <w:ind w:firstLine="480" w:firstLineChars="200"/>
    </w:pPr>
    <w:rPr>
      <w:lang w:val="zh-CN"/>
    </w:rPr>
  </w:style>
  <w:style w:type="character" w:customStyle="1" w:styleId="77">
    <w:name w:val="标题 1 Char"/>
    <w:link w:val="2"/>
    <w:autoRedefine/>
    <w:qFormat/>
    <w:uiPriority w:val="0"/>
    <w:rPr>
      <w:rFonts w:ascii="宋体" w:hAnsi="宋体"/>
      <w:b/>
      <w:kern w:val="2"/>
      <w:sz w:val="36"/>
    </w:rPr>
  </w:style>
  <w:style w:type="character" w:customStyle="1" w:styleId="78">
    <w:name w:val="标题 2 Char"/>
    <w:link w:val="3"/>
    <w:autoRedefine/>
    <w:qFormat/>
    <w:locked/>
    <w:uiPriority w:val="0"/>
    <w:rPr>
      <w:rFonts w:eastAsia="楷体_GB2312"/>
      <w:b/>
      <w:bCs/>
      <w:kern w:val="2"/>
      <w:sz w:val="28"/>
      <w:szCs w:val="28"/>
    </w:rPr>
  </w:style>
  <w:style w:type="character" w:customStyle="1" w:styleId="79">
    <w:name w:val="标题 3 Char"/>
    <w:link w:val="4"/>
    <w:autoRedefine/>
    <w:qFormat/>
    <w:uiPriority w:val="9"/>
    <w:rPr>
      <w:rFonts w:ascii="宋体" w:hAnsi="宋体"/>
      <w:kern w:val="2"/>
      <w:sz w:val="28"/>
    </w:rPr>
  </w:style>
  <w:style w:type="character" w:customStyle="1" w:styleId="80">
    <w:name w:val="标题 4 Char"/>
    <w:link w:val="5"/>
    <w:autoRedefine/>
    <w:qFormat/>
    <w:uiPriority w:val="9"/>
    <w:rPr>
      <w:b/>
      <w:bCs/>
      <w:kern w:val="2"/>
      <w:sz w:val="18"/>
    </w:rPr>
  </w:style>
  <w:style w:type="character" w:customStyle="1" w:styleId="81">
    <w:name w:val="标题 5 Char"/>
    <w:link w:val="6"/>
    <w:autoRedefine/>
    <w:qFormat/>
    <w:uiPriority w:val="9"/>
    <w:rPr>
      <w:b/>
      <w:bCs/>
      <w:kern w:val="2"/>
      <w:sz w:val="18"/>
    </w:rPr>
  </w:style>
  <w:style w:type="character" w:customStyle="1" w:styleId="82">
    <w:name w:val="标题 6 Char"/>
    <w:link w:val="7"/>
    <w:autoRedefine/>
    <w:qFormat/>
    <w:uiPriority w:val="9"/>
    <w:rPr>
      <w:rFonts w:ascii="Calibri Light" w:hAnsi="Calibri Light"/>
      <w:b/>
      <w:bCs/>
      <w:i/>
      <w:iCs/>
    </w:rPr>
  </w:style>
  <w:style w:type="character" w:customStyle="1" w:styleId="83">
    <w:name w:val="标题 7 Char"/>
    <w:link w:val="8"/>
    <w:autoRedefine/>
    <w:qFormat/>
    <w:uiPriority w:val="9"/>
    <w:rPr>
      <w:i/>
      <w:iCs/>
    </w:rPr>
  </w:style>
  <w:style w:type="character" w:customStyle="1" w:styleId="84">
    <w:name w:val="标题 8 Char"/>
    <w:link w:val="9"/>
    <w:autoRedefine/>
    <w:qFormat/>
    <w:uiPriority w:val="9"/>
    <w:rPr>
      <w:b/>
      <w:bCs/>
    </w:rPr>
  </w:style>
  <w:style w:type="character" w:customStyle="1" w:styleId="85">
    <w:name w:val="标题 9 Char"/>
    <w:link w:val="10"/>
    <w:autoRedefine/>
    <w:qFormat/>
    <w:uiPriority w:val="9"/>
    <w:rPr>
      <w:i/>
      <w:iCs/>
    </w:rPr>
  </w:style>
  <w:style w:type="character" w:customStyle="1" w:styleId="86">
    <w:name w:val="正文缩进 Char"/>
    <w:link w:val="13"/>
    <w:autoRedefine/>
    <w:qFormat/>
    <w:uiPriority w:val="0"/>
    <w:rPr>
      <w:kern w:val="2"/>
      <w:sz w:val="21"/>
    </w:rPr>
  </w:style>
  <w:style w:type="character" w:customStyle="1" w:styleId="87">
    <w:name w:val="文档结构图 Char"/>
    <w:link w:val="16"/>
    <w:autoRedefine/>
    <w:semiHidden/>
    <w:qFormat/>
    <w:uiPriority w:val="0"/>
    <w:rPr>
      <w:kern w:val="2"/>
      <w:sz w:val="21"/>
      <w:shd w:val="clear" w:color="auto" w:fill="000080"/>
    </w:rPr>
  </w:style>
  <w:style w:type="character" w:customStyle="1" w:styleId="88">
    <w:name w:val="批注文字 Char1"/>
    <w:link w:val="17"/>
    <w:autoRedefine/>
    <w:qFormat/>
    <w:uiPriority w:val="0"/>
    <w:rPr>
      <w:kern w:val="2"/>
      <w:sz w:val="21"/>
    </w:rPr>
  </w:style>
  <w:style w:type="character" w:customStyle="1" w:styleId="89">
    <w:name w:val="正文文本 Char"/>
    <w:link w:val="19"/>
    <w:autoRedefine/>
    <w:qFormat/>
    <w:uiPriority w:val="0"/>
    <w:rPr>
      <w:rFonts w:ascii="楷体_GB2312" w:hAnsi="Arial" w:eastAsia="楷体_GB2312"/>
      <w:kern w:val="2"/>
      <w:sz w:val="28"/>
    </w:rPr>
  </w:style>
  <w:style w:type="character" w:customStyle="1" w:styleId="90">
    <w:name w:val="正文文本缩进 Char"/>
    <w:link w:val="20"/>
    <w:autoRedefine/>
    <w:qFormat/>
    <w:uiPriority w:val="0"/>
    <w:rPr>
      <w:rFonts w:ascii="宋体"/>
      <w:sz w:val="28"/>
    </w:rPr>
  </w:style>
  <w:style w:type="character" w:customStyle="1" w:styleId="91">
    <w:name w:val="纯文本 Char"/>
    <w:link w:val="26"/>
    <w:autoRedefine/>
    <w:qFormat/>
    <w:uiPriority w:val="0"/>
    <w:rPr>
      <w:rFonts w:ascii="宋体" w:hAnsi="Courier New"/>
      <w:kern w:val="2"/>
      <w:sz w:val="21"/>
    </w:rPr>
  </w:style>
  <w:style w:type="character" w:customStyle="1" w:styleId="92">
    <w:name w:val="日期 Char"/>
    <w:link w:val="29"/>
    <w:autoRedefine/>
    <w:qFormat/>
    <w:uiPriority w:val="0"/>
    <w:rPr>
      <w:rFonts w:ascii="宋体"/>
      <w:sz w:val="28"/>
    </w:rPr>
  </w:style>
  <w:style w:type="character" w:customStyle="1" w:styleId="93">
    <w:name w:val="正文文本缩进 2 Char"/>
    <w:link w:val="30"/>
    <w:autoRedefine/>
    <w:qFormat/>
    <w:uiPriority w:val="0"/>
    <w:rPr>
      <w:kern w:val="2"/>
      <w:sz w:val="24"/>
    </w:rPr>
  </w:style>
  <w:style w:type="character" w:customStyle="1" w:styleId="94">
    <w:name w:val="批注框文本 Char"/>
    <w:link w:val="31"/>
    <w:autoRedefine/>
    <w:qFormat/>
    <w:uiPriority w:val="0"/>
    <w:rPr>
      <w:kern w:val="2"/>
      <w:sz w:val="18"/>
      <w:szCs w:val="18"/>
    </w:rPr>
  </w:style>
  <w:style w:type="character" w:customStyle="1" w:styleId="95">
    <w:name w:val="页脚 Char"/>
    <w:link w:val="32"/>
    <w:autoRedefine/>
    <w:qFormat/>
    <w:uiPriority w:val="0"/>
    <w:rPr>
      <w:kern w:val="2"/>
      <w:sz w:val="18"/>
    </w:rPr>
  </w:style>
  <w:style w:type="character" w:customStyle="1" w:styleId="96">
    <w:name w:val="页眉 Char"/>
    <w:link w:val="33"/>
    <w:autoRedefine/>
    <w:qFormat/>
    <w:uiPriority w:val="99"/>
    <w:rPr>
      <w:kern w:val="2"/>
      <w:sz w:val="18"/>
    </w:rPr>
  </w:style>
  <w:style w:type="character" w:customStyle="1" w:styleId="97">
    <w:name w:val="签名 Char"/>
    <w:link w:val="34"/>
    <w:autoRedefine/>
    <w:qFormat/>
    <w:locked/>
    <w:uiPriority w:val="0"/>
    <w:rPr>
      <w:rFonts w:eastAsia="仿宋_GB2312"/>
      <w:sz w:val="24"/>
    </w:rPr>
  </w:style>
  <w:style w:type="character" w:customStyle="1" w:styleId="98">
    <w:name w:val="副标题 Char"/>
    <w:link w:val="39"/>
    <w:autoRedefine/>
    <w:qFormat/>
    <w:uiPriority w:val="11"/>
    <w:rPr>
      <w:rFonts w:ascii="Calibri Light" w:hAnsi="Calibri Light"/>
      <w:sz w:val="24"/>
      <w:szCs w:val="24"/>
    </w:rPr>
  </w:style>
  <w:style w:type="character" w:customStyle="1" w:styleId="99">
    <w:name w:val="正文文本缩进 3 Char"/>
    <w:link w:val="41"/>
    <w:autoRedefine/>
    <w:qFormat/>
    <w:uiPriority w:val="0"/>
    <w:rPr>
      <w:b/>
      <w:bCs/>
      <w:kern w:val="2"/>
      <w:sz w:val="28"/>
      <w:u w:val="single"/>
    </w:rPr>
  </w:style>
  <w:style w:type="character" w:customStyle="1" w:styleId="100">
    <w:name w:val="HTML 预设格式 Char"/>
    <w:link w:val="47"/>
    <w:autoRedefine/>
    <w:qFormat/>
    <w:uiPriority w:val="0"/>
    <w:rPr>
      <w:rFonts w:ascii="Arial" w:hAnsi="Arial" w:cs="Arial"/>
      <w:sz w:val="24"/>
      <w:szCs w:val="24"/>
    </w:rPr>
  </w:style>
  <w:style w:type="character" w:customStyle="1" w:styleId="101">
    <w:name w:val="标题 Char"/>
    <w:link w:val="50"/>
    <w:autoRedefine/>
    <w:qFormat/>
    <w:uiPriority w:val="10"/>
    <w:rPr>
      <w:rFonts w:ascii="Calibri Light" w:hAnsi="Calibri Light"/>
      <w:b/>
      <w:bCs/>
      <w:spacing w:val="-7"/>
      <w:sz w:val="48"/>
      <w:szCs w:val="48"/>
    </w:rPr>
  </w:style>
  <w:style w:type="character" w:customStyle="1" w:styleId="102">
    <w:name w:val="批注主题 Char"/>
    <w:link w:val="51"/>
    <w:autoRedefine/>
    <w:qFormat/>
    <w:uiPriority w:val="0"/>
    <w:rPr>
      <w:b/>
      <w:bCs/>
      <w:kern w:val="2"/>
      <w:sz w:val="21"/>
    </w:rPr>
  </w:style>
  <w:style w:type="character" w:customStyle="1" w:styleId="103">
    <w:name w:val="引用 Char1"/>
    <w:autoRedefine/>
    <w:qFormat/>
    <w:uiPriority w:val="29"/>
    <w:rPr>
      <w:i/>
      <w:iCs/>
      <w:color w:val="404040"/>
      <w:kern w:val="2"/>
      <w:sz w:val="21"/>
    </w:rPr>
  </w:style>
  <w:style w:type="character" w:customStyle="1" w:styleId="104">
    <w:name w:val="副标题 Char1"/>
    <w:autoRedefine/>
    <w:qFormat/>
    <w:uiPriority w:val="11"/>
    <w:rPr>
      <w:rFonts w:ascii="Calibri Light" w:hAnsi="Calibri Light" w:cs="Times New Roman"/>
      <w:b/>
      <w:bCs/>
      <w:kern w:val="28"/>
      <w:sz w:val="32"/>
      <w:szCs w:val="32"/>
    </w:rPr>
  </w:style>
  <w:style w:type="character" w:customStyle="1" w:styleId="105">
    <w:name w:val="纯文本 Char1"/>
    <w:link w:val="106"/>
    <w:autoRedefine/>
    <w:qFormat/>
    <w:uiPriority w:val="0"/>
    <w:rPr>
      <w:rFonts w:ascii="宋体" w:hAnsi="Courier New"/>
    </w:rPr>
  </w:style>
  <w:style w:type="paragraph" w:customStyle="1" w:styleId="106">
    <w:name w:val="纯文本1"/>
    <w:basedOn w:val="1"/>
    <w:link w:val="105"/>
    <w:autoRedefine/>
    <w:qFormat/>
    <w:uiPriority w:val="0"/>
    <w:rPr>
      <w:rFonts w:ascii="宋体" w:hAnsi="Courier New"/>
      <w:kern w:val="0"/>
      <w:sz w:val="20"/>
    </w:rPr>
  </w:style>
  <w:style w:type="character" w:customStyle="1" w:styleId="107">
    <w:name w:val="标题 1 Char1"/>
    <w:autoRedefine/>
    <w:qFormat/>
    <w:uiPriority w:val="9"/>
    <w:rPr>
      <w:rFonts w:ascii="Calibri Light" w:hAnsi="Calibri Light"/>
      <w:b/>
      <w:bCs/>
      <w:caps/>
      <w:spacing w:val="4"/>
      <w:sz w:val="28"/>
      <w:szCs w:val="28"/>
    </w:rPr>
  </w:style>
  <w:style w:type="character" w:customStyle="1" w:styleId="108">
    <w:name w:val="明显引用 Char"/>
    <w:link w:val="109"/>
    <w:autoRedefine/>
    <w:qFormat/>
    <w:uiPriority w:val="30"/>
    <w:rPr>
      <w:rFonts w:ascii="Calibri Light" w:hAnsi="Calibri Light"/>
      <w:sz w:val="26"/>
      <w:szCs w:val="26"/>
    </w:rPr>
  </w:style>
  <w:style w:type="paragraph" w:styleId="109">
    <w:name w:val="Intense Quote"/>
    <w:basedOn w:val="1"/>
    <w:next w:val="1"/>
    <w:link w:val="108"/>
    <w:autoRedefine/>
    <w:qFormat/>
    <w:uiPriority w:val="30"/>
    <w:pPr>
      <w:widowControl/>
      <w:spacing w:before="100" w:beforeAutospacing="1" w:after="240" w:line="252" w:lineRule="auto"/>
      <w:ind w:left="936" w:right="936"/>
      <w:jc w:val="center"/>
    </w:pPr>
    <w:rPr>
      <w:rFonts w:ascii="Calibri Light" w:hAnsi="Calibri Light"/>
      <w:kern w:val="0"/>
      <w:sz w:val="26"/>
      <w:szCs w:val="26"/>
    </w:rPr>
  </w:style>
  <w:style w:type="character" w:customStyle="1" w:styleId="110">
    <w:name w:val="签名 Char1"/>
    <w:autoRedefine/>
    <w:semiHidden/>
    <w:qFormat/>
    <w:uiPriority w:val="0"/>
    <w:rPr>
      <w:sz w:val="24"/>
      <w:szCs w:val="24"/>
    </w:rPr>
  </w:style>
  <w:style w:type="character" w:customStyle="1" w:styleId="111">
    <w:name w:val="书籍标题1"/>
    <w:autoRedefine/>
    <w:qFormat/>
    <w:uiPriority w:val="33"/>
    <w:rPr>
      <w:b/>
      <w:bCs/>
      <w:smallCaps/>
      <w:color w:val="auto"/>
    </w:rPr>
  </w:style>
  <w:style w:type="character" w:customStyle="1" w:styleId="112">
    <w:name w:val="不明显强调1"/>
    <w:autoRedefine/>
    <w:qFormat/>
    <w:uiPriority w:val="19"/>
    <w:rPr>
      <w:i/>
      <w:iCs/>
      <w:color w:val="auto"/>
    </w:rPr>
  </w:style>
  <w:style w:type="character" w:customStyle="1" w:styleId="113">
    <w:name w:val="明显引用 Char1"/>
    <w:autoRedefine/>
    <w:qFormat/>
    <w:uiPriority w:val="30"/>
    <w:rPr>
      <w:i/>
      <w:iCs/>
      <w:color w:val="5B9BD5"/>
      <w:kern w:val="2"/>
      <w:sz w:val="21"/>
    </w:rPr>
  </w:style>
  <w:style w:type="character" w:customStyle="1" w:styleId="114">
    <w:name w:val="标题 Char1"/>
    <w:autoRedefine/>
    <w:qFormat/>
    <w:uiPriority w:val="10"/>
    <w:rPr>
      <w:rFonts w:ascii="Calibri Light" w:hAnsi="Calibri Light" w:cs="Times New Roman"/>
      <w:b/>
      <w:bCs/>
      <w:kern w:val="2"/>
      <w:sz w:val="32"/>
      <w:szCs w:val="32"/>
    </w:rPr>
  </w:style>
  <w:style w:type="character" w:customStyle="1" w:styleId="115">
    <w:name w:val="正文文本 Char2"/>
    <w:autoRedefine/>
    <w:semiHidden/>
    <w:qFormat/>
    <w:uiPriority w:val="0"/>
    <w:rPr>
      <w:sz w:val="24"/>
      <w:szCs w:val="24"/>
    </w:rPr>
  </w:style>
  <w:style w:type="character" w:customStyle="1" w:styleId="116">
    <w:name w:val="正文格式（小四） Char"/>
    <w:link w:val="117"/>
    <w:autoRedefine/>
    <w:qFormat/>
    <w:locked/>
    <w:uiPriority w:val="0"/>
    <w:rPr>
      <w:kern w:val="24"/>
      <w:sz w:val="24"/>
      <w:szCs w:val="24"/>
    </w:rPr>
  </w:style>
  <w:style w:type="paragraph" w:customStyle="1" w:styleId="117">
    <w:name w:val="正文格式（小四）"/>
    <w:basedOn w:val="1"/>
    <w:link w:val="116"/>
    <w:autoRedefine/>
    <w:qFormat/>
    <w:uiPriority w:val="0"/>
    <w:pPr>
      <w:widowControl/>
      <w:adjustRightInd w:val="0"/>
      <w:snapToGrid w:val="0"/>
      <w:spacing w:after="160" w:line="360" w:lineRule="auto"/>
      <w:ind w:firstLine="482" w:firstLineChars="200"/>
      <w:jc w:val="left"/>
      <w:textAlignment w:val="baseline"/>
    </w:pPr>
    <w:rPr>
      <w:kern w:val="24"/>
      <w:sz w:val="24"/>
      <w:szCs w:val="24"/>
    </w:rPr>
  </w:style>
  <w:style w:type="character" w:customStyle="1" w:styleId="118">
    <w:name w:val="批注文字 Char2"/>
    <w:autoRedefine/>
    <w:semiHidden/>
    <w:qFormat/>
    <w:uiPriority w:val="0"/>
    <w:rPr>
      <w:sz w:val="24"/>
      <w:szCs w:val="24"/>
    </w:rPr>
  </w:style>
  <w:style w:type="character" w:customStyle="1" w:styleId="119">
    <w:name w:val="Plain Text Char"/>
    <w:autoRedefine/>
    <w:qFormat/>
    <w:locked/>
    <w:uiPriority w:val="0"/>
    <w:rPr>
      <w:rFonts w:ascii="宋体" w:hAnsi="Courier New" w:eastAsia="楷体_GB2312"/>
      <w:kern w:val="2"/>
      <w:sz w:val="26"/>
    </w:rPr>
  </w:style>
  <w:style w:type="character" w:customStyle="1" w:styleId="120">
    <w:name w:val="批注主题 Char1"/>
    <w:autoRedefine/>
    <w:semiHidden/>
    <w:qFormat/>
    <w:uiPriority w:val="0"/>
    <w:rPr>
      <w:b/>
      <w:bCs/>
      <w:sz w:val="24"/>
      <w:szCs w:val="24"/>
    </w:rPr>
  </w:style>
  <w:style w:type="character" w:customStyle="1" w:styleId="121">
    <w:name w:val="方案正文 Char"/>
    <w:link w:val="122"/>
    <w:autoRedefine/>
    <w:qFormat/>
    <w:uiPriority w:val="0"/>
    <w:rPr>
      <w:spacing w:val="2"/>
      <w:kern w:val="2"/>
      <w:sz w:val="21"/>
      <w:szCs w:val="21"/>
    </w:rPr>
  </w:style>
  <w:style w:type="paragraph" w:customStyle="1" w:styleId="122">
    <w:name w:val="方案正文"/>
    <w:basedOn w:val="1"/>
    <w:link w:val="121"/>
    <w:autoRedefine/>
    <w:qFormat/>
    <w:uiPriority w:val="0"/>
    <w:pPr>
      <w:widowControl/>
      <w:tabs>
        <w:tab w:val="left" w:pos="0"/>
      </w:tabs>
      <w:spacing w:line="360" w:lineRule="auto"/>
      <w:jc w:val="left"/>
    </w:pPr>
    <w:rPr>
      <w:spacing w:val="2"/>
      <w:szCs w:val="21"/>
    </w:rPr>
  </w:style>
  <w:style w:type="character" w:customStyle="1" w:styleId="123">
    <w:name w:val="正文文本 字符"/>
    <w:autoRedefine/>
    <w:qFormat/>
    <w:uiPriority w:val="0"/>
    <w:rPr>
      <w:rFonts w:ascii="楷体_GB2312" w:hAnsi="Arial" w:eastAsia="楷体_GB2312"/>
      <w:kern w:val="2"/>
      <w:sz w:val="28"/>
    </w:rPr>
  </w:style>
  <w:style w:type="character" w:customStyle="1" w:styleId="124">
    <w:name w:val="明显强调1"/>
    <w:autoRedefine/>
    <w:qFormat/>
    <w:uiPriority w:val="21"/>
    <w:rPr>
      <w:b/>
      <w:bCs/>
      <w:i/>
      <w:iCs/>
      <w:color w:val="auto"/>
    </w:rPr>
  </w:style>
  <w:style w:type="character" w:customStyle="1" w:styleId="125">
    <w:name w:val="引用 Char"/>
    <w:link w:val="126"/>
    <w:autoRedefine/>
    <w:qFormat/>
    <w:uiPriority w:val="29"/>
    <w:rPr>
      <w:rFonts w:ascii="Calibri Light" w:hAnsi="Calibri Light"/>
      <w:i/>
      <w:iCs/>
      <w:sz w:val="24"/>
      <w:szCs w:val="24"/>
    </w:rPr>
  </w:style>
  <w:style w:type="paragraph" w:styleId="126">
    <w:name w:val="Quote"/>
    <w:basedOn w:val="1"/>
    <w:next w:val="1"/>
    <w:link w:val="125"/>
    <w:autoRedefine/>
    <w:qFormat/>
    <w:uiPriority w:val="29"/>
    <w:pPr>
      <w:widowControl/>
      <w:spacing w:before="200" w:after="160" w:line="264" w:lineRule="auto"/>
      <w:ind w:left="864" w:right="864"/>
      <w:jc w:val="center"/>
    </w:pPr>
    <w:rPr>
      <w:rFonts w:ascii="Calibri Light" w:hAnsi="Calibri Light"/>
      <w:i/>
      <w:iCs/>
      <w:kern w:val="0"/>
      <w:sz w:val="24"/>
      <w:szCs w:val="24"/>
    </w:rPr>
  </w:style>
  <w:style w:type="character" w:customStyle="1" w:styleId="127">
    <w:name w:val="页眉 Char1"/>
    <w:autoRedefine/>
    <w:semiHidden/>
    <w:qFormat/>
    <w:uiPriority w:val="99"/>
    <w:rPr>
      <w:sz w:val="18"/>
      <w:szCs w:val="18"/>
    </w:rPr>
  </w:style>
  <w:style w:type="character" w:customStyle="1" w:styleId="128">
    <w:name w:val="列出段落 Char"/>
    <w:link w:val="129"/>
    <w:autoRedefine/>
    <w:qFormat/>
    <w:locked/>
    <w:uiPriority w:val="34"/>
    <w:rPr>
      <w:kern w:val="2"/>
      <w:sz w:val="24"/>
      <w:szCs w:val="21"/>
    </w:rPr>
  </w:style>
  <w:style w:type="paragraph" w:styleId="129">
    <w:name w:val="List Paragraph"/>
    <w:basedOn w:val="1"/>
    <w:link w:val="128"/>
    <w:autoRedefine/>
    <w:qFormat/>
    <w:uiPriority w:val="34"/>
    <w:pPr>
      <w:spacing w:line="360" w:lineRule="auto"/>
      <w:ind w:firstLine="420" w:firstLineChars="200"/>
    </w:pPr>
    <w:rPr>
      <w:sz w:val="24"/>
      <w:szCs w:val="21"/>
    </w:rPr>
  </w:style>
  <w:style w:type="character" w:customStyle="1" w:styleId="130">
    <w:name w:val="不明显参考1"/>
    <w:autoRedefine/>
    <w:qFormat/>
    <w:uiPriority w:val="31"/>
    <w:rPr>
      <w:smallCaps/>
      <w:color w:val="auto"/>
      <w:u w:val="single" w:color="7F7F7F"/>
    </w:rPr>
  </w:style>
  <w:style w:type="character" w:customStyle="1" w:styleId="131">
    <w:name w:val="日期 Char1"/>
    <w:autoRedefine/>
    <w:semiHidden/>
    <w:qFormat/>
    <w:uiPriority w:val="0"/>
    <w:rPr>
      <w:sz w:val="24"/>
      <w:szCs w:val="24"/>
    </w:rPr>
  </w:style>
  <w:style w:type="character" w:customStyle="1" w:styleId="132">
    <w:name w:val="正文文本 Char1"/>
    <w:autoRedefine/>
    <w:qFormat/>
    <w:uiPriority w:val="0"/>
    <w:rPr>
      <w:rFonts w:ascii="楷体_GB2312" w:hAnsi="Arial" w:eastAsia="楷体_GB2312"/>
      <w:kern w:val="2"/>
      <w:sz w:val="28"/>
    </w:rPr>
  </w:style>
  <w:style w:type="character" w:customStyle="1" w:styleId="133">
    <w:name w:val="签名 字符"/>
    <w:autoRedefine/>
    <w:qFormat/>
    <w:locked/>
    <w:uiPriority w:val="0"/>
    <w:rPr>
      <w:rFonts w:eastAsia="仿宋_GB2312"/>
      <w:sz w:val="24"/>
    </w:rPr>
  </w:style>
  <w:style w:type="character" w:customStyle="1" w:styleId="134">
    <w:name w:val="批注文字 Char"/>
    <w:autoRedefine/>
    <w:qFormat/>
    <w:uiPriority w:val="0"/>
    <w:rPr>
      <w:kern w:val="2"/>
      <w:sz w:val="21"/>
    </w:rPr>
  </w:style>
  <w:style w:type="character" w:customStyle="1" w:styleId="135">
    <w:name w:val="批注框文本 Char1"/>
    <w:autoRedefine/>
    <w:semiHidden/>
    <w:qFormat/>
    <w:uiPriority w:val="0"/>
    <w:rPr>
      <w:sz w:val="18"/>
      <w:szCs w:val="18"/>
    </w:rPr>
  </w:style>
  <w:style w:type="character" w:customStyle="1" w:styleId="136">
    <w:name w:val="正文缩进 Char1"/>
    <w:link w:val="137"/>
    <w:autoRedefine/>
    <w:qFormat/>
    <w:uiPriority w:val="0"/>
    <w:rPr>
      <w:rFonts w:ascii="宋体"/>
      <w:sz w:val="24"/>
    </w:rPr>
  </w:style>
  <w:style w:type="paragraph" w:customStyle="1" w:styleId="137">
    <w:name w:val="正文缩进1"/>
    <w:basedOn w:val="1"/>
    <w:link w:val="136"/>
    <w:autoRedefine/>
    <w:qFormat/>
    <w:uiPriority w:val="0"/>
    <w:pPr>
      <w:autoSpaceDE w:val="0"/>
      <w:autoSpaceDN w:val="0"/>
      <w:adjustRightInd w:val="0"/>
      <w:ind w:firstLine="420"/>
      <w:jc w:val="left"/>
    </w:pPr>
    <w:rPr>
      <w:rFonts w:ascii="宋体"/>
      <w:kern w:val="0"/>
      <w:sz w:val="24"/>
    </w:rPr>
  </w:style>
  <w:style w:type="character" w:customStyle="1" w:styleId="138">
    <w:name w:val="HTML 预设格式 Char1"/>
    <w:autoRedefine/>
    <w:semiHidden/>
    <w:qFormat/>
    <w:uiPriority w:val="0"/>
    <w:rPr>
      <w:rFonts w:ascii="Courier New" w:hAnsi="Courier New" w:cs="Courier New"/>
    </w:rPr>
  </w:style>
  <w:style w:type="character" w:customStyle="1" w:styleId="139">
    <w:name w:val="明显参考1"/>
    <w:autoRedefine/>
    <w:qFormat/>
    <w:uiPriority w:val="32"/>
    <w:rPr>
      <w:b/>
      <w:bCs/>
      <w:smallCaps/>
      <w:color w:val="auto"/>
      <w:u w:val="single"/>
    </w:rPr>
  </w:style>
  <w:style w:type="paragraph" w:customStyle="1" w:styleId="140">
    <w:name w:val="Char Char"/>
    <w:basedOn w:val="1"/>
    <w:autoRedefine/>
    <w:qFormat/>
    <w:uiPriority w:val="0"/>
    <w:rPr>
      <w:szCs w:val="21"/>
    </w:rPr>
  </w:style>
  <w:style w:type="paragraph" w:customStyle="1" w:styleId="141">
    <w:name w:val="Default"/>
    <w:autoRedefine/>
    <w:qFormat/>
    <w:uiPriority w:val="0"/>
    <w:pPr>
      <w:widowControl w:val="0"/>
      <w:autoSpaceDE w:val="0"/>
      <w:autoSpaceDN w:val="0"/>
      <w:adjustRightInd w:val="0"/>
    </w:pPr>
    <w:rPr>
      <w:rFonts w:ascii="Calibri" w:hAnsi="Calibri" w:eastAsia="宋体" w:cs="Times New Roman"/>
      <w:color w:val="000000"/>
      <w:sz w:val="24"/>
      <w:szCs w:val="24"/>
      <w:lang w:val="en-US" w:eastAsia="zh-CN" w:bidi="ar-SA"/>
    </w:rPr>
  </w:style>
  <w:style w:type="paragraph" w:customStyle="1" w:styleId="142">
    <w:name w:val="Char Char1 Char Char Char Char Char Char Char"/>
    <w:basedOn w:val="1"/>
    <w:autoRedefine/>
    <w:qFormat/>
    <w:uiPriority w:val="0"/>
    <w:rPr>
      <w:rFonts w:ascii="Tahoma" w:hAnsi="Tahoma"/>
      <w:sz w:val="24"/>
    </w:rPr>
  </w:style>
  <w:style w:type="paragraph" w:customStyle="1" w:styleId="143">
    <w:name w:val="索引 11"/>
    <w:basedOn w:val="1"/>
    <w:next w:val="1"/>
    <w:autoRedefine/>
    <w:qFormat/>
    <w:uiPriority w:val="0"/>
    <w:pPr>
      <w:spacing w:line="360" w:lineRule="auto"/>
    </w:pPr>
    <w:rPr>
      <w:rFonts w:ascii="仿宋_GB2312" w:eastAsia="仿宋_GB2312"/>
      <w:sz w:val="24"/>
    </w:rPr>
  </w:style>
  <w:style w:type="paragraph" w:styleId="144">
    <w:name w:val="No Spacing"/>
    <w:autoRedefine/>
    <w:qFormat/>
    <w:uiPriority w:val="1"/>
    <w:pPr>
      <w:jc w:val="both"/>
    </w:pPr>
    <w:rPr>
      <w:rFonts w:ascii="Calibri" w:hAnsi="Calibri" w:eastAsia="宋体" w:cs="Times New Roman"/>
      <w:sz w:val="22"/>
      <w:szCs w:val="22"/>
      <w:lang w:val="en-US" w:eastAsia="zh-CN" w:bidi="ar-SA"/>
    </w:rPr>
  </w:style>
  <w:style w:type="paragraph" w:customStyle="1" w:styleId="145">
    <w:name w:val="Char Char Char"/>
    <w:basedOn w:val="1"/>
    <w:autoRedefine/>
    <w:qFormat/>
    <w:uiPriority w:val="0"/>
    <w:pPr>
      <w:tabs>
        <w:tab w:val="left" w:pos="375"/>
        <w:tab w:val="left" w:pos="1545"/>
      </w:tabs>
      <w:ind w:left="375" w:hanging="375"/>
    </w:pPr>
  </w:style>
  <w:style w:type="paragraph" w:customStyle="1" w:styleId="146">
    <w:name w:val="Char"/>
    <w:basedOn w:val="1"/>
    <w:autoRedefine/>
    <w:qFormat/>
    <w:uiPriority w:val="0"/>
    <w:pPr>
      <w:numPr>
        <w:ilvl w:val="0"/>
        <w:numId w:val="1"/>
      </w:numPr>
    </w:pPr>
    <w:rPr>
      <w:sz w:val="24"/>
      <w:szCs w:val="24"/>
    </w:rPr>
  </w:style>
  <w:style w:type="paragraph" w:customStyle="1" w:styleId="147">
    <w:name w:val="Char1 Char Char Char"/>
    <w:basedOn w:val="1"/>
    <w:autoRedefine/>
    <w:qFormat/>
    <w:uiPriority w:val="0"/>
    <w:rPr>
      <w:rFonts w:ascii="Tahoma" w:hAnsi="Tahoma"/>
      <w:sz w:val="24"/>
    </w:rPr>
  </w:style>
  <w:style w:type="paragraph" w:customStyle="1" w:styleId="148">
    <w:name w:val="Char Char Char Char"/>
    <w:basedOn w:val="16"/>
    <w:autoRedefine/>
    <w:qFormat/>
    <w:uiPriority w:val="0"/>
    <w:pPr>
      <w:adjustRightInd w:val="0"/>
      <w:snapToGrid w:val="0"/>
      <w:spacing w:line="360" w:lineRule="auto"/>
    </w:pPr>
    <w:rPr>
      <w:rFonts w:ascii="Tahoma" w:hAnsi="Tahoma"/>
      <w:sz w:val="24"/>
      <w:szCs w:val="24"/>
    </w:rPr>
  </w:style>
  <w:style w:type="paragraph" w:customStyle="1" w:styleId="149">
    <w:name w:val="Char Char Char1"/>
    <w:basedOn w:val="1"/>
    <w:autoRedefine/>
    <w:qFormat/>
    <w:uiPriority w:val="0"/>
    <w:pPr>
      <w:numPr>
        <w:ilvl w:val="0"/>
        <w:numId w:val="2"/>
      </w:numPr>
      <w:tabs>
        <w:tab w:val="left" w:pos="375"/>
        <w:tab w:val="left" w:pos="1545"/>
      </w:tabs>
    </w:pPr>
  </w:style>
  <w:style w:type="paragraph" w:customStyle="1" w:styleId="150">
    <w:name w:val="样式1"/>
    <w:basedOn w:val="1"/>
    <w:autoRedefine/>
    <w:qFormat/>
    <w:uiPriority w:val="0"/>
    <w:pPr>
      <w:numPr>
        <w:ilvl w:val="0"/>
        <w:numId w:val="3"/>
      </w:numPr>
      <w:adjustRightInd w:val="0"/>
      <w:textAlignment w:val="baseline"/>
    </w:pPr>
    <w:rPr>
      <w:rFonts w:ascii="宋体" w:hAnsi="宋体"/>
      <w:kern w:val="0"/>
      <w:szCs w:val="21"/>
    </w:rPr>
  </w:style>
  <w:style w:type="paragraph" w:customStyle="1" w:styleId="151">
    <w:name w:val="_Style 12"/>
    <w:basedOn w:val="16"/>
    <w:autoRedefine/>
    <w:qFormat/>
    <w:uiPriority w:val="0"/>
    <w:pPr>
      <w:widowControl/>
      <w:adjustRightInd w:val="0"/>
      <w:snapToGrid w:val="0"/>
      <w:spacing w:line="360" w:lineRule="auto"/>
      <w:jc w:val="left"/>
    </w:pPr>
    <w:rPr>
      <w:kern w:val="0"/>
      <w:sz w:val="24"/>
      <w:szCs w:val="24"/>
    </w:rPr>
  </w:style>
  <w:style w:type="paragraph" w:customStyle="1" w:styleId="152">
    <w:name w:val="Plain Text1"/>
    <w:basedOn w:val="1"/>
    <w:autoRedefine/>
    <w:qFormat/>
    <w:uiPriority w:val="0"/>
    <w:pPr>
      <w:adjustRightInd w:val="0"/>
      <w:textAlignment w:val="baseline"/>
    </w:pPr>
    <w:rPr>
      <w:rFonts w:ascii="宋体" w:hAnsi="Courier New" w:eastAsia="楷体_GB2312"/>
      <w:sz w:val="28"/>
    </w:rPr>
  </w:style>
  <w:style w:type="paragraph" w:customStyle="1" w:styleId="153">
    <w:name w:val="列出段落1"/>
    <w:autoRedefine/>
    <w:qFormat/>
    <w:uiPriority w:val="0"/>
    <w:pPr>
      <w:pBdr>
        <w:top w:val="none" w:color="FFFFFF" w:sz="0" w:space="31"/>
        <w:left w:val="none" w:color="FFFFFF" w:sz="0" w:space="31"/>
        <w:bottom w:val="none" w:color="FFFFFF" w:sz="0" w:space="31"/>
        <w:right w:val="none" w:color="FFFFFF" w:sz="0" w:space="31"/>
      </w:pBdr>
      <w:ind w:left="720"/>
    </w:pPr>
    <w:rPr>
      <w:rFonts w:ascii="Arial" w:hAnsi="Arial" w:eastAsia="宋体" w:cs="Arial"/>
      <w:color w:val="000000"/>
      <w:sz w:val="24"/>
      <w:szCs w:val="24"/>
      <w:u w:color="000000"/>
      <w:lang w:val="en-US" w:eastAsia="zh-CN" w:bidi="ar-SA"/>
    </w:rPr>
  </w:style>
  <w:style w:type="paragraph" w:customStyle="1" w:styleId="154">
    <w:name w:val="Char Char1 Char Char Char Char Char Char Char1"/>
    <w:basedOn w:val="1"/>
    <w:autoRedefine/>
    <w:qFormat/>
    <w:uiPriority w:val="0"/>
    <w:rPr>
      <w:rFonts w:ascii="Calibri Light" w:hAnsi="Calibri Light" w:cs="Berlin Sans FB Demi"/>
      <w:sz w:val="24"/>
    </w:rPr>
  </w:style>
  <w:style w:type="paragraph" w:customStyle="1" w:styleId="155">
    <w:name w:val="TOC 标题1"/>
    <w:basedOn w:val="2"/>
    <w:next w:val="1"/>
    <w:autoRedefine/>
    <w:qFormat/>
    <w:uiPriority w:val="39"/>
    <w:pPr>
      <w:keepLines/>
      <w:widowControl/>
      <w:tabs>
        <w:tab w:val="clear" w:pos="200"/>
      </w:tabs>
      <w:spacing w:before="320" w:after="40" w:line="252" w:lineRule="auto"/>
      <w:jc w:val="both"/>
      <w:outlineLvl w:val="9"/>
    </w:pPr>
    <w:rPr>
      <w:rFonts w:ascii="Calibri Light" w:hAnsi="Calibri Light"/>
      <w:bCs/>
      <w:caps/>
      <w:spacing w:val="4"/>
      <w:kern w:val="0"/>
      <w:sz w:val="28"/>
      <w:szCs w:val="28"/>
    </w:rPr>
  </w:style>
  <w:style w:type="table" w:customStyle="1" w:styleId="156">
    <w:name w:val="网格型1"/>
    <w:basedOn w:val="54"/>
    <w:autoRedefine/>
    <w:qFormat/>
    <w:uiPriority w:val="0"/>
    <w:pPr>
      <w:widowControl w:val="0"/>
      <w:jc w:val="both"/>
    </w:pPr>
    <w:rPr>
      <w:rFonts w:cs="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7">
    <w:name w:val="正文首行缩进 字符"/>
    <w:basedOn w:val="89"/>
    <w:autoRedefine/>
    <w:qFormat/>
    <w:uiPriority w:val="0"/>
    <w:rPr>
      <w:rFonts w:ascii="楷体_GB2312" w:hAnsi="Arial" w:eastAsia="楷体_GB2312"/>
      <w:kern w:val="2"/>
      <w:sz w:val="21"/>
    </w:rPr>
  </w:style>
  <w:style w:type="character" w:customStyle="1" w:styleId="158">
    <w:name w:val="正文首行缩进 Char"/>
    <w:link w:val="52"/>
    <w:autoRedefine/>
    <w:qFormat/>
    <w:uiPriority w:val="99"/>
    <w:rPr>
      <w:kern w:val="2"/>
      <w:sz w:val="21"/>
    </w:rPr>
  </w:style>
  <w:style w:type="paragraph" w:customStyle="1" w:styleId="159">
    <w:name w:val="纯文本2"/>
    <w:basedOn w:val="1"/>
    <w:autoRedefine/>
    <w:qFormat/>
    <w:uiPriority w:val="0"/>
    <w:pPr>
      <w:adjustRightInd w:val="0"/>
    </w:pPr>
    <w:rPr>
      <w:rFonts w:ascii="宋体" w:hAnsi="Courier New" w:eastAsia="楷体_GB2312"/>
      <w:sz w:val="28"/>
    </w:rPr>
  </w:style>
  <w:style w:type="character" w:customStyle="1" w:styleId="160">
    <w:name w:val="NormalCharacter"/>
    <w:autoRedefine/>
    <w:semiHidden/>
    <w:qFormat/>
    <w:uiPriority w:val="0"/>
    <w:rPr>
      <w:kern w:val="2"/>
      <w:sz w:val="21"/>
      <w:lang w:val="en-US" w:eastAsia="zh-CN" w:bidi="ar-SA"/>
    </w:rPr>
  </w:style>
  <w:style w:type="character" w:customStyle="1" w:styleId="161">
    <w:name w:val="Plain Text Char Char"/>
    <w:autoRedefine/>
    <w:qFormat/>
    <w:uiPriority w:val="0"/>
    <w:rPr>
      <w:rFonts w:ascii="宋体" w:hAnsi="Courier New" w:eastAsia="楷体_GB2312"/>
      <w:kern w:val="2"/>
      <w:sz w:val="28"/>
    </w:rPr>
  </w:style>
  <w:style w:type="character" w:customStyle="1" w:styleId="162">
    <w:name w:val="text1 Char"/>
    <w:link w:val="163"/>
    <w:autoRedefine/>
    <w:qFormat/>
    <w:uiPriority w:val="0"/>
    <w:rPr>
      <w:kern w:val="0"/>
      <w:sz w:val="24"/>
      <w:lang w:val="zh-CN"/>
    </w:rPr>
  </w:style>
  <w:style w:type="paragraph" w:customStyle="1" w:styleId="163">
    <w:name w:val="text1"/>
    <w:basedOn w:val="1"/>
    <w:link w:val="162"/>
    <w:autoRedefine/>
    <w:qFormat/>
    <w:uiPriority w:val="0"/>
    <w:pPr>
      <w:spacing w:line="360" w:lineRule="auto"/>
      <w:ind w:firstLine="200" w:firstLineChars="200"/>
    </w:pPr>
    <w:rPr>
      <w:kern w:val="0"/>
      <w:sz w:val="24"/>
      <w:lang w:val="zh-CN"/>
    </w:rPr>
  </w:style>
  <w:style w:type="paragraph" w:customStyle="1" w:styleId="164">
    <w:name w:val="Body text|1"/>
    <w:basedOn w:val="1"/>
    <w:autoRedefine/>
    <w:qFormat/>
    <w:uiPriority w:val="0"/>
    <w:pPr>
      <w:spacing w:after="80" w:line="401" w:lineRule="auto"/>
      <w:ind w:firstLine="240"/>
    </w:pPr>
    <w:rPr>
      <w:rFonts w:ascii="宋体" w:hAnsi="宋体" w:cs="宋体"/>
      <w:sz w:val="22"/>
      <w:szCs w:val="22"/>
      <w:lang w:val="zh-TW" w:eastAsia="zh-TW" w:bidi="zh-TW"/>
    </w:rPr>
  </w:style>
  <w:style w:type="paragraph" w:customStyle="1" w:styleId="165">
    <w:name w:val="Other|1"/>
    <w:basedOn w:val="1"/>
    <w:autoRedefine/>
    <w:qFormat/>
    <w:uiPriority w:val="0"/>
    <w:pPr>
      <w:spacing w:after="80" w:line="401" w:lineRule="auto"/>
      <w:ind w:firstLine="240"/>
    </w:pPr>
    <w:rPr>
      <w:rFonts w:ascii="宋体" w:hAnsi="宋体" w:cs="宋体"/>
      <w:sz w:val="22"/>
      <w:szCs w:val="22"/>
      <w:lang w:val="zh-TW" w:eastAsia="zh-TW" w:bidi="zh-TW"/>
    </w:rPr>
  </w:style>
  <w:style w:type="paragraph" w:customStyle="1" w:styleId="166">
    <w:name w:val="Header or footer|2"/>
    <w:basedOn w:val="1"/>
    <w:autoRedefine/>
    <w:qFormat/>
    <w:uiPriority w:val="0"/>
    <w:rPr>
      <w:sz w:val="20"/>
      <w:lang w:val="zh-TW" w:eastAsia="zh-TW" w:bidi="zh-TW"/>
    </w:rPr>
  </w:style>
  <w:style w:type="paragraph" w:customStyle="1" w:styleId="167">
    <w:name w:val="Heading #3|1"/>
    <w:basedOn w:val="1"/>
    <w:autoRedefine/>
    <w:qFormat/>
    <w:uiPriority w:val="0"/>
    <w:pPr>
      <w:spacing w:line="432" w:lineRule="exact"/>
      <w:ind w:left="2180" w:firstLine="20"/>
      <w:outlineLvl w:val="2"/>
    </w:pPr>
    <w:rPr>
      <w:rFonts w:ascii="宋体" w:hAnsi="宋体" w:cs="宋体"/>
      <w:sz w:val="26"/>
      <w:szCs w:val="26"/>
      <w:lang w:val="zh-TW" w:eastAsia="zh-TW" w:bidi="zh-TW"/>
    </w:rPr>
  </w:style>
  <w:style w:type="paragraph" w:customStyle="1" w:styleId="168">
    <w:name w:val="Header or footer|1"/>
    <w:basedOn w:val="1"/>
    <w:autoRedefine/>
    <w:qFormat/>
    <w:uiPriority w:val="0"/>
    <w:pPr>
      <w:jc w:val="right"/>
    </w:pPr>
    <w:rPr>
      <w:rFonts w:ascii="宋体" w:hAnsi="宋体" w:cs="宋体"/>
      <w:sz w:val="26"/>
      <w:szCs w:val="26"/>
      <w:lang w:val="zh-TW" w:eastAsia="zh-TW" w:bidi="zh-TW"/>
    </w:rPr>
  </w:style>
  <w:style w:type="character" w:customStyle="1" w:styleId="169">
    <w:name w:val="hover"/>
    <w:basedOn w:val="56"/>
    <w:autoRedefine/>
    <w:qFormat/>
    <w:uiPriority w:val="0"/>
    <w:rPr>
      <w:color w:val="2590EB"/>
    </w:rPr>
  </w:style>
  <w:style w:type="character" w:customStyle="1" w:styleId="170">
    <w:name w:val="hover1"/>
    <w:basedOn w:val="56"/>
    <w:autoRedefine/>
    <w:qFormat/>
    <w:uiPriority w:val="0"/>
    <w:rPr>
      <w:color w:val="2590EB"/>
    </w:rPr>
  </w:style>
  <w:style w:type="character" w:customStyle="1" w:styleId="171">
    <w:name w:val="hover2"/>
    <w:basedOn w:val="56"/>
    <w:autoRedefine/>
    <w:qFormat/>
    <w:uiPriority w:val="0"/>
  </w:style>
  <w:style w:type="character" w:customStyle="1" w:styleId="172">
    <w:name w:val="hover3"/>
    <w:basedOn w:val="56"/>
    <w:autoRedefine/>
    <w:qFormat/>
    <w:uiPriority w:val="0"/>
    <w:rPr>
      <w:color w:val="2590EB"/>
      <w:shd w:val="clear" w:color="auto" w:fill="E9F4FD"/>
    </w:rPr>
  </w:style>
  <w:style w:type="paragraph" w:customStyle="1" w:styleId="173">
    <w:name w:val="标题 3.1"/>
    <w:basedOn w:val="4"/>
    <w:autoRedefine/>
    <w:qFormat/>
    <w:uiPriority w:val="0"/>
    <w:pPr>
      <w:keepLines/>
      <w:tabs>
        <w:tab w:val="left" w:pos="1440"/>
        <w:tab w:val="left" w:pos="1620"/>
      </w:tabs>
      <w:spacing w:before="260" w:after="260" w:line="600" w:lineRule="exact"/>
      <w:jc w:val="both"/>
    </w:pPr>
    <w:rPr>
      <w:b/>
      <w:color w:val="FF0000"/>
      <w:sz w:val="32"/>
    </w:rPr>
  </w:style>
  <w:style w:type="paragraph" w:customStyle="1" w:styleId="174">
    <w:name w:val="Char Char1 Char Char Char Char Char Char Char2"/>
    <w:basedOn w:val="1"/>
    <w:autoRedefine/>
    <w:qFormat/>
    <w:uiPriority w:val="0"/>
    <w:rPr>
      <w:rFonts w:ascii="Tahoma" w:hAnsi="Tahoma"/>
      <w:sz w:val="24"/>
    </w:rPr>
  </w:style>
  <w:style w:type="paragraph" w:customStyle="1" w:styleId="175">
    <w:name w:val="普通(网站)1"/>
    <w:basedOn w:val="1"/>
    <w:autoRedefine/>
    <w:qFormat/>
    <w:uiPriority w:val="0"/>
    <w:pPr>
      <w:widowControl/>
      <w:spacing w:before="100" w:beforeAutospacing="1" w:after="100" w:afterAutospacing="1"/>
      <w:jc w:val="left"/>
    </w:pPr>
    <w:rPr>
      <w:rFonts w:ascii="宋体" w:hAnsi="宋体" w:cs="宋体"/>
      <w:sz w:val="24"/>
    </w:rPr>
  </w:style>
  <w:style w:type="paragraph" w:customStyle="1" w:styleId="176">
    <w:name w:val="普通正文"/>
    <w:basedOn w:val="1"/>
    <w:autoRedefine/>
    <w:qFormat/>
    <w:uiPriority w:val="0"/>
    <w:pPr>
      <w:spacing w:before="120" w:after="120" w:line="360" w:lineRule="auto"/>
      <w:ind w:firstLine="480"/>
      <w:jc w:val="left"/>
    </w:pPr>
    <w:rPr>
      <w:rFonts w:ascii="Arial" w:hAnsi="Arial"/>
      <w:sz w:val="24"/>
      <w:szCs w:val="24"/>
    </w:rPr>
  </w:style>
  <w:style w:type="character" w:customStyle="1" w:styleId="177">
    <w:name w:val="默认段落字体1"/>
    <w:autoRedefine/>
    <w:unhideWhenUsed/>
    <w:qFormat/>
    <w:uiPriority w:val="1"/>
    <w:rPr>
      <w:rFonts w:ascii="Calibri" w:hAnsi="Calibri" w:eastAsia="宋体" w:cs="Times New Roman"/>
      <w:kern w:val="2"/>
      <w:sz w:val="21"/>
      <w:lang w:val="en-US" w:eastAsia="zh-CN" w:bidi="ar-SA"/>
    </w:rPr>
  </w:style>
  <w:style w:type="paragraph" w:customStyle="1" w:styleId="178">
    <w:name w:val="Normal_0_2"/>
    <w:autoRedefine/>
    <w:qFormat/>
    <w:uiPriority w:val="0"/>
    <w:rPr>
      <w:rFonts w:ascii="Times New Roman" w:hAnsi="Times New Roman" w:eastAsia="Times New Roman" w:cs="Times New Roman"/>
      <w:sz w:val="24"/>
      <w:szCs w:val="24"/>
      <w:lang w:val="en-US" w:eastAsia="zh-CN" w:bidi="ar-SA"/>
    </w:rPr>
  </w:style>
  <w:style w:type="paragraph" w:customStyle="1" w:styleId="179">
    <w:name w:val="正文文本1"/>
    <w:basedOn w:val="1"/>
    <w:next w:val="1"/>
    <w:qFormat/>
    <w:uiPriority w:val="0"/>
    <w:rPr>
      <w:rFonts w:ascii="楷体_GB2312" w:hAnsi="Arial" w:eastAsia="楷体_GB2312"/>
      <w:sz w:val="28"/>
    </w:rPr>
  </w:style>
  <w:style w:type="paragraph" w:customStyle="1" w:styleId="180">
    <w:name w:val="正文文本缩进1"/>
    <w:basedOn w:val="1"/>
    <w:next w:val="181"/>
    <w:qFormat/>
    <w:uiPriority w:val="0"/>
    <w:pPr>
      <w:spacing w:line="312" w:lineRule="atLeast"/>
      <w:ind w:firstLine="574"/>
    </w:pPr>
    <w:rPr>
      <w:rFonts w:ascii="宋体"/>
      <w:sz w:val="28"/>
    </w:rPr>
  </w:style>
  <w:style w:type="paragraph" w:customStyle="1" w:styleId="181">
    <w:name w:val="寄信人地址1"/>
    <w:basedOn w:val="1"/>
    <w:qFormat/>
    <w:uiPriority w:val="0"/>
    <w:rPr>
      <w:rFonts w:ascii="Arial" w:hAnsi="Arial"/>
    </w:rPr>
  </w:style>
  <w:style w:type="character" w:customStyle="1" w:styleId="182">
    <w:name w:val="font11"/>
    <w:basedOn w:val="56"/>
    <w:qFormat/>
    <w:uiPriority w:val="0"/>
    <w:rPr>
      <w:rFonts w:hint="eastAsia" w:ascii="宋体" w:hAnsi="宋体" w:eastAsia="宋体" w:cs="宋体"/>
      <w:b/>
      <w:bCs/>
      <w:color w:val="000000"/>
      <w:sz w:val="24"/>
      <w:szCs w:val="24"/>
      <w:u w:val="none"/>
    </w:rPr>
  </w:style>
  <w:style w:type="character" w:customStyle="1" w:styleId="183">
    <w:name w:val="font81"/>
    <w:basedOn w:val="56"/>
    <w:qFormat/>
    <w:uiPriority w:val="0"/>
    <w:rPr>
      <w:rFonts w:hint="eastAsia" w:ascii="宋体" w:hAnsi="宋体" w:eastAsia="宋体" w:cs="宋体"/>
      <w:b/>
      <w:bCs/>
      <w:color w:val="000000"/>
      <w:sz w:val="24"/>
      <w:szCs w:val="24"/>
      <w:u w:val="single"/>
    </w:rPr>
  </w:style>
  <w:style w:type="character" w:customStyle="1" w:styleId="184">
    <w:name w:val="font71"/>
    <w:basedOn w:val="56"/>
    <w:qFormat/>
    <w:uiPriority w:val="0"/>
    <w:rPr>
      <w:rFonts w:hint="default" w:ascii="MS Mincho" w:hAnsi="MS Mincho" w:eastAsia="MS Mincho" w:cs="MS Mincho"/>
      <w:color w:val="000000"/>
      <w:sz w:val="22"/>
      <w:szCs w:val="22"/>
      <w:u w:val="none"/>
    </w:rPr>
  </w:style>
  <w:style w:type="character" w:customStyle="1" w:styleId="185">
    <w:name w:val="font31"/>
    <w:basedOn w:val="56"/>
    <w:qFormat/>
    <w:uiPriority w:val="0"/>
    <w:rPr>
      <w:rFonts w:hint="eastAsia" w:ascii="宋体" w:hAnsi="宋体" w:eastAsia="宋体" w:cs="宋体"/>
      <w:color w:val="000000"/>
      <w:sz w:val="22"/>
      <w:szCs w:val="22"/>
      <w:u w:val="none"/>
    </w:rPr>
  </w:style>
  <w:style w:type="character" w:customStyle="1" w:styleId="186">
    <w:name w:val="font41"/>
    <w:basedOn w:val="56"/>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2E22CD-1ACA-4408-9536-5213B5D241EC}">
  <ds:schemaRefs/>
</ds:datastoreItem>
</file>

<file path=docProps/app.xml><?xml version="1.0" encoding="utf-8"?>
<Properties xmlns="http://schemas.openxmlformats.org/officeDocument/2006/extended-properties" xmlns:vt="http://schemas.openxmlformats.org/officeDocument/2006/docPropsVTypes">
  <Template>Normal.dotm</Template>
  <Company>SZF</Company>
  <Pages>53</Pages>
  <Words>15470</Words>
  <Characters>16734</Characters>
  <Lines>248</Lines>
  <Paragraphs>70</Paragraphs>
  <TotalTime>31</TotalTime>
  <ScaleCrop>false</ScaleCrop>
  <LinksUpToDate>false</LinksUpToDate>
  <CharactersWithSpaces>17430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2026-08-26T07:06:00Z</dcterms:created>
  <dc:creator>user</dc:creator>
  <cp:lastModifiedBy>cyanopica_cyanus</cp:lastModifiedBy>
  <cp:lastPrinted>2024-04-07T01:45:00Z</cp:lastPrinted>
  <dcterms:modified xsi:type="dcterms:W3CDTF">2026-09-24T02:57:41Z</dcterms:modified>
  <dc:title>招  标  文  件</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AB39DF6566294A3D996CD0C6914BEC14_13</vt:lpwstr>
  </property>
  <property fmtid="{D5CDD505-2E9C-101B-9397-08002B2CF9AE}" pid="4" name="KSOTemplateDocerSaveRecord">
    <vt:lpwstr>eyJoZGlkIjoiZmFmNTk2OGIwOTMxM2IyY2NkYzg3Zjc2YWY4MjM4MjIiLCJ1c2VySWQiOiI0MTYxNzk0MzUifQ==</vt:lpwstr>
  </property>
</Properties>
</file>