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JSZC-320500-JZCG-G2026-0345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苏州市相城人民医院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苏州市相城区医疗信息中心服务器采购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w:t>
      </w:r>
      <w:r>
        <w:rPr>
          <w:rFonts w:ascii="宋体" w:hAnsi="宋体"/>
          <w:b/>
          <w:sz w:val="32"/>
        </w:rPr>
        <w:t xml:space="preserve">0</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28"/>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tabs>
          <w:tab w:val="right" w:pos="9854" w:leader="dot"/>
        </w:tabs>
        <w:rPr>
          <w:rFonts w:ascii="宋体" w:hAnsi="宋体" w:cstheme="minorBidi"/>
          <w:sz w:val="32"/>
          <w:szCs w:val="32"/>
        </w:rPr>
      </w:pP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TOC \o "1-1" \h \z \u </w:instrText>
      </w:r>
      <w:r>
        <w:rPr>
          <w:rStyle w:val="928"/>
          <w:rFonts w:ascii="宋体" w:hAnsi="宋体" w:cs="Calibri"/>
          <w:bCs/>
          <w:caps/>
          <w:color w:val="auto"/>
          <w:sz w:val="32"/>
          <w:szCs w:val="32"/>
        </w:rPr>
        <w:fldChar w:fldCharType="separate"/>
      </w:r>
      <w:hyperlink w:tooltip="#_Toc243493678" w:anchor="_Toc243493678" w:history="1">
        <w:r>
          <w:rPr>
            <w:rStyle w:val="928"/>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_Toc243493678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96"/>
        <w:ind w:firstLine="0"/>
        <w:tabs>
          <w:tab w:val="right" w:pos="9854" w:leader="dot"/>
        </w:tabs>
        <w:rPr>
          <w:rFonts w:ascii="宋体" w:hAnsi="宋体" w:cstheme="minorBidi"/>
          <w:sz w:val="32"/>
          <w:szCs w:val="32"/>
        </w:rPr>
      </w:pPr>
      <w:r/>
      <w:hyperlink w:tooltip="#_Toc243493679" w:anchor="_Toc243493679" w:history="1">
        <w:r>
          <w:rPr>
            <w:rStyle w:val="928"/>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_Toc243493679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96"/>
        <w:ind w:firstLine="0"/>
        <w:tabs>
          <w:tab w:val="right" w:pos="9854" w:leader="dot"/>
        </w:tabs>
        <w:rPr>
          <w:rFonts w:ascii="宋体" w:hAnsi="宋体" w:cstheme="minorBidi"/>
          <w:sz w:val="32"/>
          <w:szCs w:val="32"/>
        </w:rPr>
      </w:pPr>
      <w:r/>
      <w:hyperlink w:tooltip="#_Toc243493680" w:anchor="_Toc243493680" w:history="1">
        <w:r>
          <w:rPr>
            <w:rStyle w:val="928"/>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_Toc243493680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96"/>
        <w:ind w:firstLine="0"/>
        <w:tabs>
          <w:tab w:val="right" w:pos="9854" w:leader="dot"/>
        </w:tabs>
        <w:rPr>
          <w:rFonts w:ascii="宋体" w:hAnsi="宋体" w:cstheme="minorBidi"/>
          <w:sz w:val="32"/>
          <w:szCs w:val="32"/>
        </w:rPr>
      </w:pPr>
      <w:r/>
      <w:hyperlink w:tooltip="#_Toc243493693" w:anchor="_Toc243493693" w:history="1">
        <w:r>
          <w:rPr>
            <w:rStyle w:val="928"/>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_Toc243493693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896"/>
        <w:ind w:firstLine="0"/>
        <w:tabs>
          <w:tab w:val="right" w:pos="9854" w:leader="dot"/>
        </w:tabs>
        <w:rPr>
          <w:rFonts w:ascii="宋体" w:hAnsi="宋体" w:cstheme="minorBidi"/>
          <w:sz w:val="32"/>
          <w:szCs w:val="32"/>
        </w:rPr>
      </w:pPr>
      <w:r/>
      <w:hyperlink w:tooltip="#_Toc243493697" w:anchor="_Toc243493697" w:history="1">
        <w:r>
          <w:rPr>
            <w:rStyle w:val="928"/>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_Toc243493697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59</w:t>
        </w:r>
        <w:r>
          <w:rPr>
            <w:rFonts w:ascii="宋体" w:hAnsi="宋体"/>
            <w:sz w:val="32"/>
            <w:szCs w:val="32"/>
          </w:rPr>
          <w:fldChar w:fldCharType="end"/>
        </w:r>
      </w:hyperlink>
      <w:r/>
      <w:r/>
    </w:p>
    <w:p>
      <w:pPr>
        <w:pStyle w:val="896"/>
        <w:ind w:firstLine="0"/>
        <w:tabs>
          <w:tab w:val="right" w:pos="9854" w:leader="dot"/>
        </w:tabs>
        <w:rPr>
          <w:rFonts w:ascii="宋体" w:hAnsi="宋体" w:cstheme="minorBidi"/>
          <w:sz w:val="32"/>
          <w:szCs w:val="32"/>
        </w:rPr>
      </w:pPr>
      <w:r/>
      <w:hyperlink w:tooltip="#_Toc243493698" w:anchor="_Toc243493698" w:history="1">
        <w:r>
          <w:rPr>
            <w:rStyle w:val="928"/>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_Toc243493698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896"/>
        <w:ind w:firstLine="0"/>
        <w:jc w:val="left"/>
        <w:spacing w:before="120" w:after="120"/>
        <w:tabs>
          <w:tab w:val="right" w:pos="9856" w:leader="dot"/>
        </w:tabs>
        <w:rPr>
          <w:rFonts w:ascii="宋体" w:hAnsi="宋体"/>
          <w:sz w:val="32"/>
          <w:szCs w:val="32"/>
        </w:rPr>
        <w:outlineLvl w:val="9"/>
      </w:pPr>
      <w:r>
        <w:rPr>
          <w:rStyle w:val="928"/>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苏州市相城区医疗信息中心服务器采购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严工、王经理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bookmarkStart w:id="4" w:name="OLE_LINK18"/>
            <w:r/>
            <w:bookmarkStart w:id="5" w:name="OLE_LINK19"/>
            <w:r>
              <w:rPr>
                <w:rFonts w:hint="eastAsia" w:ascii="宋体" w:hAnsi="宋体"/>
                <w:sz w:val="21"/>
                <w:szCs w:val="21"/>
              </w:rPr>
              <w:t xml:space="preserve">名称：</w:t>
            </w:r>
            <w:r>
              <w:rPr>
                <w:rFonts w:hint="eastAsia" w:ascii="宋体" w:hAnsi="宋体"/>
                <w:sz w:val="21"/>
                <w:szCs w:val="21"/>
              </w:rPr>
              <w:t xml:space="preserve">苏州市相城人民医院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苏州市相城区华元路1060号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李骏</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0512-69571822</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pStyle w:val="88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3"/>
        <w:ind w:left="431" w:firstLine="17"/>
        <w:jc w:val="center"/>
        <w:spacing w:before="0" w:after="0" w:line="360" w:lineRule="auto"/>
        <w:rPr>
          <w:rStyle w:val="993"/>
          <w:rFonts w:ascii="宋体" w:hAnsi="宋体"/>
        </w:rPr>
      </w:pPr>
      <w:r>
        <w:rPr>
          <w:rFonts w:hint="eastAsia" w:ascii="宋体" w:hAnsi="宋体"/>
          <w:b/>
          <w:sz w:val="44"/>
          <w:szCs w:val="22"/>
        </w:rPr>
        <w:br w:type="page" w:clear="all"/>
      </w:r>
      <w:bookmarkStart w:id="8" w:name="_Toc243493678"/>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苏州市相城区医疗信息中心服务器采购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11月20日09点30分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JSZC-320500-JZCG-G2026-0345</w:t>
      </w:r>
      <w:r/>
    </w:p>
    <w:p>
      <w:pPr>
        <w:pStyle w:val="88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苏州市相城区医疗信息中心服务器采购</w:t>
      </w:r>
      <w:r/>
    </w:p>
    <w:p>
      <w:pPr>
        <w:pStyle w:val="88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人民币壹仟玖佰陆拾贰万柒仟元整（￥1</w:t>
      </w:r>
      <w:r>
        <w:rPr>
          <w:rFonts w:ascii="宋体" w:hAnsi="宋体"/>
          <w:sz w:val="21"/>
        </w:rPr>
        <w:t xml:space="preserve">9,627,000.00</w:t>
      </w:r>
      <w:r>
        <w:rPr>
          <w:rFonts w:hint="eastAsia" w:ascii="宋体" w:hAnsi="宋体"/>
          <w:sz w:val="21"/>
        </w:rPr>
        <w:t xml:space="preserve">元）</w:t>
      </w:r>
      <w:r/>
    </w:p>
    <w:p>
      <w:pPr>
        <w:pStyle w:val="88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人民币壹仟玖佰陆拾贰万柒仟元整（￥1</w:t>
      </w:r>
      <w:r>
        <w:rPr>
          <w:rFonts w:ascii="宋体" w:hAnsi="宋体"/>
          <w:sz w:val="21"/>
        </w:rPr>
        <w:t xml:space="preserve">9,627,000.00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合同签订后6个月内完成项目建设。本项目整体质保期为5年</w:t>
      </w:r>
      <w:r>
        <w:rPr>
          <w:rFonts w:hint="eastAsia" w:ascii="宋体" w:hAnsi="宋体"/>
          <w:sz w:val="21"/>
        </w:rPr>
        <w:t xml:space="preserve">，</w:t>
      </w:r>
      <w:r>
        <w:rPr>
          <w:rFonts w:hint="eastAsia" w:ascii="宋体" w:hAnsi="宋体" w:cs="Times New Roman"/>
          <w:color w:val="000000"/>
          <w:sz w:val="21"/>
          <w:szCs w:val="21"/>
        </w:rPr>
        <w:t xml:space="preserve">质保期自出具验收合格报告之日起算</w:t>
      </w:r>
      <w:r>
        <w:rPr>
          <w:rFonts w:hint="eastAsia" w:ascii="宋体" w:hAnsi="宋体"/>
          <w:sz w:val="21"/>
        </w:rPr>
        <w:t xml:space="preserve">，质保期内提供现场维保服务，应用软件的升级、维护均免费。</w:t>
      </w:r>
      <w:r/>
    </w:p>
    <w:p>
      <w:pPr>
        <w:pStyle w:val="88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苏州市相城区医疗信息中心服务器采购</w:t>
      </w:r>
      <w:r>
        <w:rPr>
          <w:rFonts w:hint="eastAsia" w:ascii="宋体" w:hAnsi="宋体"/>
          <w:sz w:val="21"/>
          <w:szCs w:val="21"/>
        </w:rPr>
        <w:t xml:space="preserve">（具体详见招标文件第四章）。</w:t>
      </w:r>
      <w:r/>
    </w:p>
    <w:p>
      <w:pPr>
        <w:pStyle w:val="88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w:t>
      </w:r>
      <w:r>
        <w:rPr>
          <w:rFonts w:hint="eastAsia" w:ascii="宋体" w:hAnsi="宋体"/>
          <w:sz w:val="21"/>
          <w:szCs w:val="21"/>
        </w:rPr>
        <w:t xml:space="preserve">、行政法规以及国务院有关部门明确规定相关领域“较大数额罚款”标准高于200万元的，从其规定。</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1"/>
        <w:ind w:left="0" w:firstLine="420"/>
        <w:spacing w:line="360" w:lineRule="auto"/>
        <w:rPr>
          <w:rFonts w:ascii="宋体" w:hAnsi="宋体"/>
          <w:sz w:val="21"/>
          <w:szCs w:val="21"/>
        </w:rPr>
      </w:pPr>
      <w:r>
        <w:rPr>
          <w:rFonts w:hint="eastAsia" w:ascii="宋体" w:hAnsi="宋体"/>
          <w:sz w:val="21"/>
          <w:szCs w:val="21"/>
        </w:rPr>
        <w:t xml:space="preserve">3.方式：</w:t>
      </w:r>
      <w:r/>
    </w:p>
    <w:p>
      <w:pPr>
        <w:pStyle w:val="88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8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8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苏州市相城人民医院</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苏州市相城区华元路1060号</w:t>
      </w:r>
      <w:r/>
    </w:p>
    <w:p>
      <w:pPr>
        <w:pStyle w:val="88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李骏</w:t>
      </w:r>
      <w:r/>
    </w:p>
    <w:p>
      <w:pPr>
        <w:pStyle w:val="881"/>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0512-69571822</w:t>
      </w:r>
      <w:r/>
    </w:p>
    <w:p>
      <w:pPr>
        <w:pStyle w:val="88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bookmarkStart w:id="9" w:name="OLE_LINK20"/>
      <w:r>
        <w:rPr>
          <w:rFonts w:ascii="宋体" w:hAnsi="宋体"/>
          <w:sz w:val="21"/>
          <w:szCs w:val="21"/>
        </w:rPr>
        <w:t xml:space="preserve">0512-69820921</w:t>
      </w:r>
      <w:bookmarkEnd w:id="9"/>
      <w:r/>
      <w:r/>
    </w:p>
    <w:p>
      <w:pPr>
        <w:pStyle w:val="88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严工、王经理</w:t>
      </w:r>
      <w:r/>
    </w:p>
    <w:p>
      <w:pPr>
        <w:pStyle w:val="881"/>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0512-69820921</w:t>
      </w:r>
      <w:r/>
    </w:p>
    <w:p>
      <w:pPr>
        <w:pStyle w:val="875"/>
      </w:pPr>
      <w:r>
        <w:br w:type="page" w:clear="all"/>
      </w:r>
      <w:r/>
    </w:p>
    <w:p>
      <w:pPr>
        <w:pStyle w:val="863"/>
        <w:ind w:left="0" w:firstLine="0"/>
        <w:jc w:val="center"/>
        <w:rPr>
          <w:rFonts w:ascii="宋体" w:hAnsi="宋体"/>
          <w:b/>
          <w:sz w:val="44"/>
          <w:szCs w:val="22"/>
        </w:rPr>
      </w:pPr>
      <w:r/>
      <w:bookmarkStart w:id="10" w:name="_Toc2412"/>
      <w:r/>
      <w:bookmarkStart w:id="11" w:name="_Toc6217"/>
      <w:r/>
      <w:bookmarkStart w:id="12" w:name="_Toc243493679"/>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81"/>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81"/>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8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1"/>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8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81"/>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8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8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1"/>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1"/>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8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8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8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注：（1）</w:t>
      </w:r>
      <w:r>
        <w:rPr>
          <w:rFonts w:hint="eastAsia" w:ascii="宋体" w:hAnsi="宋体" w:cs="宋体"/>
          <w:b/>
          <w:bCs/>
          <w:sz w:val="21"/>
          <w:szCs w:val="21"/>
        </w:rPr>
        <w:t xml:space="preserve">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w:t>
      </w:r>
      <w:r>
        <w:rPr>
          <w:rFonts w:hint="eastAsia" w:ascii="宋体" w:hAnsi="宋体"/>
          <w:b/>
          <w:sz w:val="21"/>
          <w:szCs w:val="21"/>
        </w:rPr>
        <w:t xml:space="preserve">标总报价。</w:t>
      </w:r>
      <w:r>
        <w:rPr>
          <w:rFonts w:hint="eastAsia" w:ascii="宋体" w:hAnsi="宋体"/>
          <w:sz w:val="21"/>
          <w:szCs w:val="21"/>
        </w:rPr>
        <w:t xml:space="preserve">投标人所提交的资料的完整与否，将直接影响投标人的评分。</w:t>
      </w:r>
      <w:r/>
    </w:p>
    <w:p>
      <w:pPr>
        <w:pStyle w:val="109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9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8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7"/>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7"/>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9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7"/>
        <w:ind w:left="0" w:firstLine="0"/>
        <w:spacing w:line="360" w:lineRule="auto"/>
        <w:rPr>
          <w:rFonts w:ascii="宋体" w:hAnsi="宋体" w:cs="宋体"/>
          <w:sz w:val="21"/>
          <w:szCs w:val="21"/>
        </w:rPr>
      </w:pPr>
      <w:r>
        <w:rPr>
          <w:rFonts w:ascii="宋体" w:hAnsi="宋体" w:cs="宋体"/>
          <w:sz w:val="21"/>
          <w:szCs w:val="21"/>
        </w:rPr>
      </w:r>
      <w:r/>
    </w:p>
    <w:p>
      <w:pPr>
        <w:pStyle w:val="863"/>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43493680"/>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9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bookmarkStart w:id="57" w:name="_Toc243493681"/>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bookmarkStart w:id="60" w:name="_Toc243493682"/>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9"/>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bookmarkStart w:id="74" w:name="_Toc243493683"/>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7"/>
      <w:r/>
      <w:bookmarkStart w:id="76" w:name="OLE_LINK28"/>
      <w:r>
        <w:rPr>
          <w:rFonts w:hint="eastAsia" w:ascii="宋体" w:hAnsi="宋体"/>
          <w:b/>
          <w:sz w:val="21"/>
          <w:szCs w:val="21"/>
        </w:rPr>
        <w:t xml:space="preserve">公开分项报价</w:t>
      </w:r>
      <w:bookmarkEnd w:id="75"/>
      <w:bookmarkEnd w:id="76"/>
      <w:r/>
    </w:p>
    <w:p>
      <w:pPr>
        <w:pStyle w:val="88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71810483"/>
      <w:r/>
      <w:bookmarkStart w:id="78" w:name="_Toc105397782"/>
      <w:r/>
      <w:bookmarkStart w:id="79" w:name="_Toc243493684"/>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05397783"/>
      <w:r/>
      <w:bookmarkStart w:id="81" w:name="_Toc21574"/>
      <w:r/>
      <w:bookmarkStart w:id="82" w:name="_Toc19621"/>
      <w:r/>
      <w:bookmarkStart w:id="83" w:name="_Toc71810484"/>
      <w:r/>
      <w:bookmarkStart w:id="84" w:name="_Toc243493685"/>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苏州市相城人民医院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苏州市相城区医疗信息中心服务器采购</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bookmarkStart w:id="87" w:name="_Toc243493686"/>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869"/>
      <w:r/>
      <w:bookmarkStart w:id="89" w:name="_Toc32206"/>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1" w:name="_Toc243493687"/>
      <w:r/>
      <w:bookmarkStart w:id="92" w:name="OLE_LINK15"/>
      <w:r/>
      <w:bookmarkStart w:id="93"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0"/>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2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7"/>
          <w:rFonts w:hint="eastAsia"/>
          <w:color w:val="333333"/>
          <w:u w:val="single"/>
        </w:rPr>
        <w:t xml:space="preserve">（产品名称</w:t>
      </w:r>
      <w:r>
        <w:rPr>
          <w:rStyle w:val="927"/>
          <w:rFonts w:hint="eastAsia"/>
          <w:color w:val="333333"/>
          <w:u w:val="single"/>
        </w:rPr>
        <w:t xml:space="preserve">1</w:t>
      </w:r>
      <w:r>
        <w:rPr>
          <w:rStyle w:val="927"/>
          <w:rFonts w:hint="eastAsia"/>
          <w:color w:val="333333"/>
          <w:u w:val="single"/>
        </w:rPr>
        <w:t xml:space="preserve">）</w:t>
      </w:r>
      <w:r>
        <w:rPr>
          <w:rStyle w:val="927"/>
          <w:rFonts w:hint="eastAsia"/>
          <w:color w:val="333333"/>
          <w:vertAlign w:val="superscript"/>
        </w:rPr>
        <w:t xml:space="preserve">1</w:t>
      </w:r>
      <w:r>
        <w:rPr>
          <w:rFonts w:hint="eastAsia"/>
          <w:color w:val="333333"/>
        </w:rPr>
        <w:t xml:space="preserve">，生产厂为</w:t>
      </w:r>
      <w:r>
        <w:rPr>
          <w:rStyle w:val="927"/>
          <w:rFonts w:hint="eastAsia"/>
          <w:color w:val="333333"/>
          <w:u w:val="single"/>
        </w:rPr>
        <w:t xml:space="preserve">（厂名）</w:t>
      </w:r>
      <w:r>
        <w:rPr>
          <w:rStyle w:val="927"/>
          <w:rFonts w:hint="eastAsia"/>
          <w:color w:val="333333"/>
          <w:vertAlign w:val="superscript"/>
        </w:rPr>
        <w:t xml:space="preserve">2</w:t>
      </w:r>
      <w:r>
        <w:rPr>
          <w:rFonts w:hint="eastAsia"/>
          <w:color w:val="333333"/>
        </w:rPr>
        <w:t xml:space="preserve">，厂址为</w:t>
      </w:r>
      <w:r>
        <w:rPr>
          <w:rStyle w:val="927"/>
          <w:rFonts w:hint="eastAsia"/>
          <w:color w:val="333333"/>
          <w:u w:val="single"/>
        </w:rPr>
        <w:t xml:space="preserve">（生产厂址）</w:t>
      </w:r>
      <w:r>
        <w:rPr>
          <w:rFonts w:hint="eastAsia"/>
          <w:color w:val="333333"/>
        </w:rPr>
        <w:t xml:space="preserve">。</w:t>
      </w:r>
      <w:r>
        <w:rPr>
          <w:rStyle w:val="927"/>
          <w:rFonts w:hint="eastAsia"/>
          <w:color w:val="333333"/>
          <w:u w:val="single"/>
        </w:rPr>
        <w:t xml:space="preserve">（产品名称</w:t>
      </w:r>
      <w:r>
        <w:rPr>
          <w:rStyle w:val="927"/>
          <w:rFonts w:hint="eastAsia"/>
          <w:color w:val="333333"/>
          <w:u w:val="single"/>
        </w:rPr>
        <w:t xml:space="preserve">1</w:t>
      </w:r>
      <w:r>
        <w:rPr>
          <w:rStyle w:val="927"/>
          <w:rFonts w:hint="eastAsia"/>
          <w:color w:val="333333"/>
          <w:u w:val="single"/>
        </w:rPr>
        <w:t xml:space="preserve">）</w:t>
      </w:r>
      <w:r>
        <w:rPr>
          <w:rFonts w:hint="eastAsia"/>
          <w:color w:val="333333"/>
        </w:rPr>
        <w:t xml:space="preserve">的中国境内生产的组件成本占比≥</w:t>
      </w:r>
      <w:r>
        <w:rPr>
          <w:rStyle w:val="927"/>
          <w:rFonts w:hint="eastAsia"/>
          <w:color w:val="333333"/>
          <w:u w:val="single"/>
        </w:rPr>
        <w:t xml:space="preserve">（规定比例）</w:t>
      </w:r>
      <w:r>
        <w:rPr>
          <w:rStyle w:val="927"/>
          <w:rFonts w:hint="eastAsia"/>
          <w:color w:val="333333"/>
          <w:vertAlign w:val="superscript"/>
        </w:rPr>
        <w:t xml:space="preserve">3</w:t>
      </w:r>
      <w:r>
        <w:rPr>
          <w:rFonts w:hint="eastAsia"/>
          <w:color w:val="333333"/>
        </w:rPr>
        <w:t xml:space="preserve">。</w:t>
      </w:r>
      <w:r>
        <w:rPr>
          <w:rStyle w:val="927"/>
          <w:rFonts w:hint="eastAsia"/>
          <w:color w:val="333333"/>
          <w:u w:val="single"/>
        </w:rPr>
        <w:t xml:space="preserve">（产品名称</w:t>
      </w:r>
      <w:r>
        <w:rPr>
          <w:rStyle w:val="927"/>
          <w:rFonts w:hint="eastAsia"/>
          <w:color w:val="333333"/>
          <w:u w:val="single"/>
        </w:rPr>
        <w:t xml:space="preserve">1</w:t>
      </w:r>
      <w:r>
        <w:rPr>
          <w:rStyle w:val="927"/>
          <w:rFonts w:hint="eastAsia"/>
          <w:color w:val="333333"/>
          <w:u w:val="single"/>
        </w:rPr>
        <w:t xml:space="preserve">）</w:t>
      </w:r>
      <w:r>
        <w:rPr>
          <w:rFonts w:hint="eastAsia"/>
          <w:color w:val="333333"/>
        </w:rPr>
        <w:t xml:space="preserve">的</w:t>
      </w:r>
      <w:r>
        <w:rPr>
          <w:rStyle w:val="927"/>
          <w:rFonts w:hint="eastAsia"/>
          <w:color w:val="333333"/>
          <w:u w:val="single"/>
        </w:rPr>
        <w:t xml:space="preserve">（关键组件）</w:t>
      </w:r>
      <w:r>
        <w:rPr>
          <w:rStyle w:val="927"/>
          <w:rFonts w:hint="eastAsia"/>
          <w:color w:val="333333"/>
          <w:vertAlign w:val="superscript"/>
        </w:rPr>
        <w:t xml:space="preserve">4</w:t>
      </w:r>
      <w:r>
        <w:rPr>
          <w:rFonts w:hint="eastAsia"/>
          <w:color w:val="333333"/>
        </w:rPr>
        <w:t xml:space="preserve">在中国境内生产。</w:t>
      </w:r>
      <w:r>
        <w:rPr>
          <w:rStyle w:val="927"/>
          <w:rFonts w:hint="eastAsia"/>
          <w:color w:val="333333"/>
          <w:u w:val="single"/>
        </w:rPr>
        <w:t xml:space="preserve">（产品名称</w:t>
      </w:r>
      <w:r>
        <w:rPr>
          <w:rStyle w:val="927"/>
          <w:rFonts w:hint="eastAsia"/>
          <w:color w:val="333333"/>
          <w:u w:val="single"/>
        </w:rPr>
        <w:t xml:space="preserve">1</w:t>
      </w:r>
      <w:r>
        <w:rPr>
          <w:rStyle w:val="927"/>
          <w:rFonts w:hint="eastAsia"/>
          <w:color w:val="333333"/>
          <w:u w:val="single"/>
        </w:rPr>
        <w:t xml:space="preserve">）</w:t>
      </w:r>
      <w:r>
        <w:rPr>
          <w:rFonts w:hint="eastAsia"/>
          <w:color w:val="333333"/>
        </w:rPr>
        <w:t xml:space="preserve">的</w:t>
      </w:r>
      <w:r>
        <w:rPr>
          <w:rStyle w:val="927"/>
          <w:rFonts w:hint="eastAsia"/>
          <w:color w:val="333333"/>
          <w:u w:val="single"/>
        </w:rPr>
        <w:t xml:space="preserve">（关键工序）</w:t>
      </w:r>
      <w:r>
        <w:rPr>
          <w:rStyle w:val="927"/>
          <w:rFonts w:hint="eastAsia"/>
          <w:color w:val="333333"/>
          <w:vertAlign w:val="superscript"/>
        </w:rPr>
        <w:t xml:space="preserve">5</w:t>
      </w:r>
      <w:r>
        <w:rPr>
          <w:rFonts w:hint="eastAsia"/>
          <w:color w:val="333333"/>
        </w:rPr>
        <w:t xml:space="preserve">在中国境内完成。</w:t>
      </w:r>
      <w:r/>
    </w:p>
    <w:p>
      <w:pPr>
        <w:pStyle w:val="92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7"/>
          <w:rFonts w:hint="eastAsia"/>
          <w:color w:val="333333"/>
          <w:u w:val="single"/>
        </w:rPr>
        <w:t xml:space="preserve">（产品名称</w:t>
      </w:r>
      <w:r>
        <w:rPr>
          <w:rStyle w:val="927"/>
          <w:rFonts w:hint="eastAsia"/>
          <w:color w:val="333333"/>
          <w:u w:val="single"/>
        </w:rPr>
        <w:t xml:space="preserve">2</w:t>
      </w:r>
      <w:r>
        <w:rPr>
          <w:rStyle w:val="927"/>
          <w:rFonts w:hint="eastAsia"/>
          <w:color w:val="333333"/>
          <w:u w:val="single"/>
        </w:rPr>
        <w:t xml:space="preserve">）</w:t>
      </w:r>
      <w:r>
        <w:rPr>
          <w:rFonts w:hint="eastAsia"/>
          <w:color w:val="333333"/>
        </w:rPr>
        <w:t xml:space="preserve">，生产厂为</w:t>
      </w:r>
      <w:r>
        <w:rPr>
          <w:rStyle w:val="927"/>
          <w:rFonts w:hint="eastAsia"/>
          <w:color w:val="333333"/>
          <w:u w:val="single"/>
        </w:rPr>
        <w:t xml:space="preserve">（厂名）</w:t>
      </w:r>
      <w:r>
        <w:rPr>
          <w:rFonts w:hint="eastAsia"/>
          <w:color w:val="333333"/>
        </w:rPr>
        <w:t xml:space="preserve">，厂址为</w:t>
      </w:r>
      <w:r>
        <w:rPr>
          <w:rStyle w:val="927"/>
          <w:rFonts w:hint="eastAsia"/>
          <w:color w:val="333333"/>
          <w:u w:val="single"/>
        </w:rPr>
        <w:t xml:space="preserve">（生产厂址）</w:t>
      </w:r>
      <w:r>
        <w:rPr>
          <w:rFonts w:hint="eastAsia"/>
          <w:color w:val="333333"/>
        </w:rPr>
        <w:t xml:space="preserve">。</w:t>
      </w:r>
      <w:r>
        <w:rPr>
          <w:rStyle w:val="927"/>
          <w:rFonts w:hint="eastAsia"/>
          <w:color w:val="333333"/>
          <w:u w:val="single"/>
        </w:rPr>
        <w:t xml:space="preserve">（产品名称</w:t>
      </w:r>
      <w:r>
        <w:rPr>
          <w:rStyle w:val="927"/>
          <w:rFonts w:hint="eastAsia"/>
          <w:color w:val="333333"/>
          <w:u w:val="single"/>
        </w:rPr>
        <w:t xml:space="preserve">2</w:t>
      </w:r>
      <w:r>
        <w:rPr>
          <w:rStyle w:val="927"/>
          <w:rFonts w:hint="eastAsia"/>
          <w:color w:val="333333"/>
          <w:u w:val="single"/>
        </w:rPr>
        <w:t xml:space="preserve">）</w:t>
      </w:r>
      <w:r>
        <w:rPr>
          <w:rFonts w:hint="eastAsia"/>
          <w:color w:val="333333"/>
        </w:rPr>
        <w:t xml:space="preserve">的中国境内生产的组件成本占比≥</w:t>
      </w:r>
      <w:r>
        <w:rPr>
          <w:rStyle w:val="927"/>
          <w:rFonts w:hint="eastAsia"/>
          <w:color w:val="333333"/>
          <w:u w:val="single"/>
        </w:rPr>
        <w:t xml:space="preserve">（规定比例）</w:t>
      </w:r>
      <w:r>
        <w:rPr>
          <w:rFonts w:hint="eastAsia"/>
          <w:color w:val="333333"/>
        </w:rPr>
        <w:t xml:space="preserve">。</w:t>
      </w:r>
      <w:r>
        <w:rPr>
          <w:rStyle w:val="927"/>
          <w:rFonts w:hint="eastAsia"/>
          <w:color w:val="333333"/>
          <w:u w:val="single"/>
        </w:rPr>
        <w:t xml:space="preserve">（产品名称</w:t>
      </w:r>
      <w:r>
        <w:rPr>
          <w:rStyle w:val="927"/>
          <w:rFonts w:hint="eastAsia"/>
          <w:color w:val="333333"/>
          <w:u w:val="single"/>
        </w:rPr>
        <w:t xml:space="preserve">2</w:t>
      </w:r>
      <w:r>
        <w:rPr>
          <w:rStyle w:val="927"/>
          <w:rFonts w:hint="eastAsia"/>
          <w:color w:val="333333"/>
          <w:u w:val="single"/>
        </w:rPr>
        <w:t xml:space="preserve">）</w:t>
      </w:r>
      <w:r>
        <w:rPr>
          <w:rFonts w:hint="eastAsia"/>
          <w:color w:val="333333"/>
        </w:rPr>
        <w:t xml:space="preserve">的</w:t>
      </w:r>
      <w:r>
        <w:rPr>
          <w:rStyle w:val="927"/>
          <w:rFonts w:hint="eastAsia"/>
          <w:color w:val="333333"/>
          <w:u w:val="single"/>
        </w:rPr>
        <w:t xml:space="preserve">（关键组件）</w:t>
      </w:r>
      <w:r>
        <w:rPr>
          <w:rFonts w:hint="eastAsia"/>
          <w:color w:val="333333"/>
        </w:rPr>
        <w:t xml:space="preserve">在中国境内生产。</w:t>
      </w:r>
      <w:r>
        <w:rPr>
          <w:rStyle w:val="927"/>
          <w:rFonts w:hint="eastAsia"/>
          <w:color w:val="333333"/>
          <w:u w:val="single"/>
        </w:rPr>
        <w:t xml:space="preserve">（产品名称</w:t>
      </w:r>
      <w:r>
        <w:rPr>
          <w:rStyle w:val="927"/>
          <w:rFonts w:hint="eastAsia"/>
          <w:color w:val="333333"/>
          <w:u w:val="single"/>
        </w:rPr>
        <w:t xml:space="preserve">2</w:t>
      </w:r>
      <w:r>
        <w:rPr>
          <w:rStyle w:val="927"/>
          <w:rFonts w:hint="eastAsia"/>
          <w:color w:val="333333"/>
          <w:u w:val="single"/>
        </w:rPr>
        <w:t xml:space="preserve">）</w:t>
      </w:r>
      <w:r>
        <w:rPr>
          <w:rFonts w:hint="eastAsia"/>
          <w:color w:val="333333"/>
        </w:rPr>
        <w:t xml:space="preserve">的</w:t>
      </w:r>
      <w:r>
        <w:rPr>
          <w:rStyle w:val="927"/>
          <w:rFonts w:hint="eastAsia"/>
          <w:color w:val="333333"/>
          <w:u w:val="single"/>
        </w:rPr>
        <w:t xml:space="preserve">（关键工序）</w:t>
      </w:r>
      <w:r>
        <w:rPr>
          <w:rFonts w:hint="eastAsia"/>
          <w:color w:val="333333"/>
        </w:rPr>
        <w:t xml:space="preserve">在中国境内完成。</w:t>
      </w:r>
      <w:r/>
    </w:p>
    <w:p>
      <w:pPr>
        <w:pStyle w:val="920"/>
        <w:ind w:firstLine="480"/>
        <w:spacing w:before="30" w:after="30"/>
        <w:shd w:val="clear" w:color="auto" w:fill="ffffff"/>
        <w:rPr>
          <w:color w:val="333333"/>
        </w:rPr>
      </w:pPr>
      <w:r>
        <w:rPr>
          <w:rFonts w:hint="eastAsia"/>
          <w:color w:val="333333"/>
        </w:rPr>
        <w:t xml:space="preserve">……</w:t>
      </w:r>
      <w:r/>
    </w:p>
    <w:p>
      <w:pPr>
        <w:pStyle w:val="920"/>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20"/>
        <w:spacing w:before="30" w:after="30"/>
        <w:shd w:val="clear" w:color="auto" w:fill="ffffff"/>
        <w:rPr>
          <w:color w:val="333333"/>
        </w:rPr>
      </w:pPr>
      <w:r>
        <w:rPr>
          <w:color w:val="333333"/>
        </w:rPr>
      </w:r>
      <w:r/>
    </w:p>
    <w:p>
      <w:pPr>
        <w:pStyle w:val="920"/>
        <w:ind w:right="815"/>
        <w:jc w:val="center"/>
        <w:spacing w:before="30" w:after="30"/>
        <w:shd w:val="clear" w:color="auto" w:fill="ffffff"/>
        <w:rPr>
          <w:color w:val="333333"/>
        </w:rPr>
      </w:pPr>
      <w:r>
        <w:rPr>
          <w:rFonts w:hint="eastAsia"/>
          <w:color w:val="333333"/>
        </w:rPr>
        <w:t xml:space="preserve">公司（单位）名称（盖章）：</w:t>
      </w:r>
      <w:r/>
    </w:p>
    <w:p>
      <w:pPr>
        <w:pStyle w:val="920"/>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20"/>
        <w:jc w:val="right"/>
        <w:spacing w:before="0" w:after="0"/>
        <w:shd w:val="clear" w:color="auto" w:fill="ffffff"/>
        <w:rPr>
          <w:color w:val="333333"/>
        </w:rPr>
      </w:pPr>
      <w:r>
        <w:rPr>
          <w:color w:val="333333"/>
        </w:rPr>
      </w:r>
      <w:r/>
    </w:p>
    <w:p>
      <w:pPr>
        <w:pStyle w:val="920"/>
        <w:jc w:val="right"/>
        <w:spacing w:before="0" w:after="0"/>
        <w:shd w:val="clear" w:color="auto" w:fill="ffffff"/>
        <w:rPr>
          <w:color w:val="333333"/>
        </w:rPr>
      </w:pPr>
      <w:r>
        <w:rPr>
          <w:color w:val="333333"/>
        </w:rPr>
      </w:r>
      <w:r/>
    </w:p>
    <w:p>
      <w:pPr>
        <w:pStyle w:val="920"/>
        <w:jc w:val="right"/>
        <w:spacing w:before="0" w:after="0"/>
        <w:shd w:val="clear" w:color="auto" w:fill="ffffff"/>
        <w:rPr>
          <w:color w:val="333333"/>
        </w:rPr>
      </w:pPr>
      <w:r>
        <w:rPr>
          <w:color w:val="333333"/>
        </w:rPr>
      </w:r>
      <w:r/>
    </w:p>
    <w:p>
      <w:pPr>
        <w:pStyle w:val="920"/>
        <w:jc w:val="right"/>
        <w:spacing w:before="0" w:after="0"/>
        <w:shd w:val="clear" w:color="auto" w:fill="ffffff"/>
        <w:rPr>
          <w:color w:val="333333"/>
        </w:rPr>
      </w:pPr>
      <w:r>
        <w:rPr>
          <w:color w:val="333333"/>
        </w:rPr>
      </w:r>
      <w:r/>
    </w:p>
    <w:p>
      <w:pPr>
        <w:pStyle w:val="920"/>
        <w:ind w:left="0" w:firstLine="0"/>
        <w:spacing w:before="30" w:after="30"/>
        <w:shd w:val="clear" w:color="auto" w:fill="ffffff"/>
        <w:rPr>
          <w:color w:val="333333"/>
        </w:rPr>
      </w:pPr>
      <w:r>
        <w:rPr>
          <w:rFonts w:hint="eastAsia"/>
          <w:color w:val="333333"/>
        </w:rPr>
        <w:t xml:space="preserve">__________________</w:t>
      </w:r>
      <w:r/>
    </w:p>
    <w:p>
      <w:pPr>
        <w:pStyle w:val="920"/>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20"/>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20"/>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20"/>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20"/>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20"/>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2"/>
      <w:bookmarkEnd w:id="93"/>
      <w:r/>
    </w:p>
    <w:p>
      <w:pPr>
        <w:ind w:left="0"/>
        <w:jc w:val="left"/>
        <w:rPr>
          <w:rFonts w:ascii="宋体" w:hAnsi="宋体"/>
          <w:sz w:val="21"/>
          <w:szCs w:val="21"/>
        </w:rPr>
        <w:outlineLvl w:val="0"/>
      </w:pPr>
      <w:r>
        <w:rPr>
          <w:rFonts w:ascii="宋体" w:hAnsi="宋体"/>
          <w:sz w:val="21"/>
          <w:szCs w:val="21"/>
          <w:lang w:val="zh-CN"/>
        </w:rPr>
        <w:br w:type="page" w:clear="all"/>
      </w:r>
      <w:bookmarkStart w:id="94" w:name="_Toc31973"/>
      <w:r/>
      <w:bookmarkStart w:id="95" w:name="_Toc27138"/>
      <w:r/>
      <w:r/>
    </w:p>
    <w:p>
      <w:pPr>
        <w:ind w:left="0"/>
        <w:jc w:val="left"/>
        <w:rPr>
          <w:rFonts w:ascii="宋体" w:hAnsi="宋体"/>
          <w:b/>
          <w:sz w:val="21"/>
          <w:szCs w:val="21"/>
        </w:rPr>
        <w:outlineLvl w:val="0"/>
      </w:pPr>
      <w:r/>
      <w:bookmarkStart w:id="96" w:name="_Toc105397786"/>
      <w:r/>
      <w:bookmarkStart w:id="97" w:name="_Toc243493688"/>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8" w:name="_Toc243493689"/>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43493690"/>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rFonts w:ascii="宋体" w:hAnsi="宋体"/>
        </w:rPr>
      </w:pPr>
      <w:r>
        <w:rPr>
          <w:rFonts w:ascii="宋体" w:hAnsi="宋体"/>
        </w:rPr>
      </w:r>
      <w:r/>
    </w:p>
    <w:p>
      <w:r/>
      <w:r/>
    </w:p>
    <w:p>
      <w:pPr>
        <w:pStyle w:val="875"/>
      </w:pPr>
      <w:r/>
      <w:r/>
    </w:p>
    <w:p>
      <w:r/>
      <w:r/>
    </w:p>
    <w:p>
      <w:pPr>
        <w:pStyle w:val="875"/>
      </w:pPr>
      <w:r/>
      <w:r/>
    </w:p>
    <w:p>
      <w:r/>
      <w:r/>
    </w:p>
    <w:p>
      <w:pPr>
        <w:pStyle w:val="875"/>
      </w:pPr>
      <w:r/>
      <w:r/>
    </w:p>
    <w:p>
      <w:pPr>
        <w:pStyle w:val="875"/>
      </w:pPr>
      <w:r/>
      <w:r/>
    </w:p>
    <w:p>
      <w:pPr>
        <w:pStyle w:val="88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2" w:name="_Toc71810490"/>
      <w:r/>
      <w:bookmarkEnd w:id="94"/>
      <w:r/>
      <w:bookmarkEnd w:id="95"/>
      <w:r>
        <w:rPr>
          <w:rFonts w:ascii="宋体" w:hAnsi="宋体"/>
        </w:rPr>
        <w:t xml:space="preserve"> </w:t>
      </w:r>
      <w:r/>
    </w:p>
    <w:p>
      <w:pPr>
        <w:pStyle w:val="88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43493691"/>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43493692"/>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6" w:name="OLE_LINK7"/>
      <w:r/>
      <w:bookmarkStart w:id="107"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6"/>
      <w:bookmarkEnd w:id="107"/>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5"/>
        <w:rPr>
          <w:lang w:val="zh-CN"/>
        </w:rPr>
      </w:pPr>
      <w:r>
        <w:rPr>
          <w:lang w:val="zh-CN"/>
        </w:rPr>
      </w:r>
      <w:r/>
    </w:p>
    <w:p>
      <w:pPr>
        <w:rPr>
          <w:lang w:val="zh-CN"/>
        </w:rPr>
      </w:pPr>
      <w:r>
        <w:rPr>
          <w:lang w:val="zh-CN"/>
        </w:rPr>
      </w:r>
      <w:r/>
    </w:p>
    <w:p>
      <w:pPr>
        <w:pStyle w:val="863"/>
        <w:ind w:left="0" w:firstLine="0"/>
        <w:jc w:val="center"/>
        <w:rPr>
          <w:rFonts w:ascii="宋体" w:hAnsi="宋体"/>
          <w:b/>
          <w:sz w:val="44"/>
          <w:szCs w:val="22"/>
        </w:rPr>
      </w:pPr>
      <w:r/>
      <w:bookmarkStart w:id="109" w:name="_Toc4098"/>
      <w:r/>
      <w:bookmarkStart w:id="110" w:name="_Toc23660"/>
      <w:r/>
      <w:bookmarkStart w:id="111" w:name="_Toc243493693"/>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苏州市相城人民医院</w:t>
      </w:r>
      <w:r>
        <w:rPr>
          <w:rFonts w:ascii="宋体" w:hAnsi="宋体"/>
          <w:sz w:val="21"/>
        </w:rPr>
        <w:t xml:space="preserve">的委托，就</w:t>
      </w:r>
      <w:r>
        <w:rPr>
          <w:rFonts w:hint="eastAsia" w:ascii="宋体" w:hAnsi="宋体"/>
          <w:sz w:val="21"/>
          <w:u w:val="single"/>
        </w:rPr>
        <w:t xml:space="preserve">苏州市相城区医疗信息中心服务器采购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JSZC-320500-JZCG-G2026-0345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苏州市相城区医疗信息中心服务器采购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113" w:name="OLE_LINK21"/>
      <w:r/>
      <w:bookmarkStart w:id="114" w:name="OLE_LINK23"/>
      <w:r>
        <w:rPr>
          <w:rFonts w:hint="eastAsia" w:ascii="宋体" w:hAnsi="宋体"/>
          <w:sz w:val="21"/>
        </w:rPr>
        <w:t xml:space="preserve">人民币壹仟玖佰陆拾贰万柒仟元整（￥1</w:t>
      </w:r>
      <w:r>
        <w:rPr>
          <w:rFonts w:ascii="宋体" w:hAnsi="宋体"/>
          <w:sz w:val="21"/>
        </w:rPr>
        <w:t xml:space="preserve">9,627,000.00</w:t>
      </w:r>
      <w:r>
        <w:rPr>
          <w:rFonts w:hint="eastAsia" w:ascii="宋体" w:hAnsi="宋体"/>
          <w:sz w:val="21"/>
        </w:rPr>
        <w:t xml:space="preserve">元）</w:t>
      </w:r>
      <w:bookmarkEnd w:id="113"/>
      <w:r/>
      <w:bookmarkEnd w:id="114"/>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人民币壹仟玖佰陆拾贰万柒仟元整（￥1</w:t>
      </w:r>
      <w:r>
        <w:rPr>
          <w:rFonts w:ascii="宋体" w:hAnsi="宋体"/>
          <w:sz w:val="21"/>
        </w:rPr>
        <w:t xml:space="preserve">9,627,000.00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合同签订后6个月内完成项目建设。本项目整体质保期为5年，</w:t>
      </w:r>
      <w:r>
        <w:rPr>
          <w:rFonts w:hint="eastAsia" w:ascii="宋体" w:hAnsi="宋体" w:cs="Times New Roman"/>
          <w:color w:val="000000"/>
          <w:sz w:val="21"/>
          <w:szCs w:val="21"/>
        </w:rPr>
        <w:t xml:space="preserve">质保期自出具验收合格报告之日起算</w:t>
      </w:r>
      <w:r>
        <w:rPr>
          <w:rFonts w:hint="eastAsia" w:ascii="宋体" w:hAnsi="宋体" w:cs="Times New Roman"/>
          <w:color w:val="000000"/>
          <w:sz w:val="21"/>
          <w:szCs w:val="21"/>
        </w:rPr>
        <w:t xml:space="preserve">，</w:t>
      </w:r>
      <w:r>
        <w:rPr>
          <w:rFonts w:hint="eastAsia" w:ascii="宋体" w:hAnsi="宋体"/>
          <w:sz w:val="21"/>
        </w:rPr>
        <w:t xml:space="preserve">质保期内提供现场维保服务，应用软件的升级、维护均免费。</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Times New Roman" w:hAnsi="Times New Roman" w:cs="Times New Roman"/>
          <w:b/>
          <w:color w:val="000000"/>
          <w:sz w:val="21"/>
          <w:szCs w:val="21"/>
        </w:rPr>
      </w:pPr>
      <w:r>
        <w:rPr>
          <w:rFonts w:ascii="宋体" w:hAnsi="宋体" w:cs="Times New Roman"/>
          <w:b/>
          <w:color w:val="000000"/>
          <w:sz w:val="21"/>
          <w:szCs w:val="21"/>
        </w:rPr>
        <w:t xml:space="preserve">（一）项目概况</w:t>
      </w:r>
      <w:r/>
    </w:p>
    <w:p>
      <w:pPr>
        <w:ind w:left="0" w:firstLine="420"/>
        <w:spacing w:line="360" w:lineRule="auto"/>
        <w:tabs>
          <w:tab w:val="left" w:pos="0" w:leader="none"/>
        </w:tabs>
        <w:rPr>
          <w:rFonts w:ascii="Times New Roman" w:hAnsi="Times New Roman" w:cs="Times New Roman"/>
          <w:color w:val="000000"/>
          <w:sz w:val="21"/>
          <w:szCs w:val="21"/>
        </w:rPr>
      </w:pPr>
      <w:r>
        <w:rPr>
          <w:rFonts w:hint="eastAsia" w:ascii="宋体" w:hAnsi="宋体" w:cs="Times New Roman"/>
          <w:color w:val="000000"/>
          <w:sz w:val="21"/>
          <w:szCs w:val="21"/>
        </w:rPr>
        <w:t xml:space="preserve">本项目以数据为核心、以协同为纽带，通过统一标准、资源共享、流程优化，全面提升县域医共体互联互通与业务协同能力，实现县域居民就近享有优质、便捷、高效的医疗健康服务，支撑医共体规范化管理与可持续运营，契合国家“强县域、强基层”的医改方向。</w:t>
      </w:r>
      <w:r/>
    </w:p>
    <w:tbl>
      <w:tblPr>
        <w:tblW w:w="9781" w:type="dxa"/>
        <w:tblInd w:w="-5" w:type="dxa"/>
        <w:tblLayout w:type="fixed"/>
        <w:tblLook w:val="04A0" w:firstRow="1" w:lastRow="0" w:firstColumn="1" w:lastColumn="0" w:noHBand="0" w:noVBand="1"/>
      </w:tblPr>
      <w:tblGrid>
        <w:gridCol w:w="1418"/>
        <w:gridCol w:w="5463"/>
        <w:gridCol w:w="1483"/>
        <w:gridCol w:w="1417"/>
      </w:tblGrid>
      <w:tr>
        <w:trPr>
          <w:trHeight w:val="500"/>
        </w:trPr>
        <w:tc>
          <w:tcPr>
            <w:shd w:val="clear" w:color="auto" w:fill="d7d7d7"/>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d7d7d7"/>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名称</w:t>
            </w:r>
            <w:r/>
          </w:p>
        </w:tc>
        <w:tc>
          <w:tcPr>
            <w:shd w:val="clear" w:color="auto" w:fill="d7d7d7"/>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数量</w:t>
            </w:r>
            <w:r/>
          </w:p>
        </w:tc>
        <w:tc>
          <w:tcPr>
            <w:shd w:val="clear" w:color="auto" w:fill="d7d7d7"/>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单位</w:t>
            </w:r>
            <w:r/>
          </w:p>
        </w:tc>
      </w:tr>
      <w:tr>
        <w:trPr>
          <w:trHeight w:val="310"/>
        </w:trPr>
        <w:tc>
          <w:tcPr>
            <w:gridSpan w:val="4"/>
            <w:shd w:val="clear" w:color="auto" w:fill="auto"/>
            <w:tcBorders>
              <w:top w:val="single" w:color="000000" w:sz="4" w:space="0"/>
              <w:left w:val="single" w:color="000000" w:sz="4" w:space="0"/>
              <w:bottom w:val="single" w:color="000000" w:sz="4" w:space="0"/>
              <w:right w:val="single" w:color="000000" w:sz="4" w:space="0"/>
            </w:tcBorders>
            <w:tcW w:w="9781" w:type="dxa"/>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一、计算存储资源</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核心业务服务器</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内网超融合</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外网超融合</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虚拟化软件</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超融合服务器</w:t>
            </w:r>
            <w:r>
              <w:rPr>
                <w:rFonts w:hint="eastAsia" w:ascii="宋体" w:hAnsi="宋体"/>
                <w:b/>
                <w:color w:val="000000"/>
                <w:sz w:val="21"/>
                <w:szCs w:val="21"/>
                <w:lang w:bidi="ar"/>
              </w:rPr>
              <w:t xml:space="preserve">（</w:t>
            </w:r>
            <w:r>
              <w:rPr>
                <w:rFonts w:hint="eastAsia" w:ascii="宋体" w:hAnsi="宋体" w:cs="Times New Roman"/>
                <w:b/>
                <w:color w:val="000000"/>
                <w:sz w:val="21"/>
                <w:szCs w:val="21"/>
              </w:rPr>
              <w:t xml:space="preserve">核心产品</w:t>
            </w:r>
            <w:r>
              <w:rPr>
                <w:rFonts w:hint="eastAsia" w:ascii="宋体" w:hAnsi="宋体" w:cs="Times New Roman"/>
                <w:b/>
                <w:color w:val="000000"/>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虚拟化服务器</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隔离区服务器</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防勒索软件</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容灾服务器</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实施集成运维服务</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数据库服务</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数据容灾备份服务</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项</w:t>
            </w:r>
            <w:r/>
          </w:p>
        </w:tc>
      </w:tr>
      <w:tr>
        <w:trPr>
          <w:trHeight w:val="310"/>
        </w:trPr>
        <w:tc>
          <w:tcPr>
            <w:gridSpan w:val="4"/>
            <w:shd w:val="clear" w:color="auto" w:fill="auto"/>
            <w:tcBorders>
              <w:top w:val="single" w:color="000000" w:sz="4" w:space="0"/>
              <w:left w:val="single" w:color="000000" w:sz="4" w:space="0"/>
              <w:bottom w:val="single" w:color="000000" w:sz="4" w:space="0"/>
              <w:right w:val="single" w:color="000000" w:sz="4" w:space="0"/>
            </w:tcBorders>
            <w:tcW w:w="9781" w:type="dxa"/>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二、AI服务器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AI服务器</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r>
      <w:tr>
        <w:trPr>
          <w:trHeight w:val="280"/>
        </w:trPr>
        <w:tc>
          <w:tcPr>
            <w:gridSpan w:val="4"/>
            <w:shd w:val="clear" w:color="auto" w:fill="auto"/>
            <w:tcBorders>
              <w:top w:val="single" w:color="000000" w:sz="4" w:space="0"/>
              <w:left w:val="single" w:color="000000" w:sz="4" w:space="0"/>
              <w:bottom w:val="single" w:color="000000" w:sz="4" w:space="0"/>
              <w:right w:val="single" w:color="000000" w:sz="4" w:space="0"/>
            </w:tcBorders>
            <w:tcW w:w="9781" w:type="dxa"/>
            <w:vAlign w:val="center"/>
            <w:textDirection w:val="lrTb"/>
            <w:noWrap/>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三、网络线路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VPN专线</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年</w:t>
            </w:r>
            <w:r/>
          </w:p>
        </w:tc>
      </w:tr>
      <w:tr>
        <w:trPr>
          <w:trHeight w:val="280"/>
        </w:trPr>
        <w:tc>
          <w:tcPr>
            <w:gridSpan w:val="4"/>
            <w:shd w:val="clear" w:color="auto" w:fill="auto"/>
            <w:tcBorders>
              <w:top w:val="single" w:color="000000" w:sz="4" w:space="0"/>
              <w:left w:val="single" w:color="000000" w:sz="4" w:space="0"/>
              <w:bottom w:val="single" w:color="000000" w:sz="4" w:space="0"/>
              <w:right w:val="single" w:color="000000" w:sz="4" w:space="0"/>
            </w:tcBorders>
            <w:tcW w:w="9781" w:type="dxa"/>
            <w:vAlign w:val="center"/>
            <w:textDirection w:val="lrTb"/>
            <w:noWrap/>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四、信创部分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信创正版核心业务数据库软件</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信创正版重要业务数据库软件</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信创中间件</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olor w:val="000000"/>
                <w:sz w:val="21"/>
                <w:szCs w:val="21"/>
                <w:highlight w:val="red"/>
                <w:lang w:bidi="ar"/>
              </w:rPr>
            </w:pPr>
            <w:r>
              <w:rPr>
                <w:rFonts w:hint="eastAsia" w:ascii="宋体" w:hAnsi="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ind w:left="0"/>
              <w:jc w:val="center"/>
              <w:rPr>
                <w:sz w:val="21"/>
                <w:szCs w:val="21"/>
                <w:highlight w:val="red"/>
              </w:rPr>
            </w:pPr>
            <w:r>
              <w:rPr>
                <w:rFonts w:hint="eastAsia"/>
                <w:sz w:val="21"/>
                <w:szCs w:val="21"/>
              </w:rPr>
              <w:t xml:space="preserve">国产信创操作系统</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highlight w:val="red"/>
                <w:lang w:bidi="ar"/>
              </w:rPr>
            </w:pPr>
            <w:r>
              <w:rPr>
                <w:rFonts w:hint="eastAsia" w:ascii="宋体" w:hAnsi="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highlight w:val="red"/>
                <w:lang w:bidi="ar"/>
              </w:rPr>
            </w:pPr>
            <w:r>
              <w:rPr>
                <w:rFonts w:hint="eastAsia" w:ascii="宋体" w:hAnsi="宋体"/>
                <w:color w:val="000000"/>
                <w:sz w:val="21"/>
                <w:szCs w:val="21"/>
                <w:lang w:bidi="ar"/>
              </w:rPr>
              <w:t xml:space="preserve">套</w:t>
            </w:r>
            <w:r/>
          </w:p>
        </w:tc>
      </w:tr>
    </w:tbl>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本项目的核心产品为超融合服务器。</w:t>
      </w:r>
      <w:r/>
    </w:p>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（二）</w:t>
      </w:r>
      <w:r>
        <w:rPr>
          <w:rFonts w:ascii="宋体" w:hAnsi="宋体" w:cs="Times New Roman"/>
          <w:b/>
          <w:color w:val="000000"/>
          <w:sz w:val="21"/>
          <w:szCs w:val="21"/>
        </w:rPr>
        <w:t xml:space="preserve">技术参数和功能要求</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1、计算存储资源</w:t>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核心业务服务器</w:t>
      </w:r>
      <w:r/>
    </w:p>
    <w:tbl>
      <w:tblPr>
        <w:tblW w:w="4963" w:type="pct"/>
        <w:tblInd w:w="-5" w:type="dxa"/>
        <w:tblLook w:val="04A0" w:firstRow="1" w:lastRow="0" w:firstColumn="1" w:lastColumn="0" w:noHBand="0" w:noVBand="1"/>
      </w:tblPr>
      <w:tblGrid>
        <w:gridCol w:w="1843"/>
        <w:gridCol w:w="7938"/>
      </w:tblGrid>
      <w:tr>
        <w:trPr>
          <w:trHeight w:val="280"/>
        </w:trPr>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lang w:bidi="ar"/>
              </w:rPr>
              <w:t xml:space="preserve">指标项</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lang w:bidi="ar"/>
              </w:rPr>
              <w:t xml:space="preserve">技术规格要求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外观</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2U机架式，带导轨，机箱深度小于800mm</w:t>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配置2颗C86处理器，通过中国信息安全测评中心发布的安可测评认证，单颗处理器核心数≥48，线程≥96，基础主频≥2.6Hz，</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配置≥24*64GB DDR5 5600MHz RDIMM</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配置≥1块16口12Gbps独立阵列卡，支持RAID0/1/10/5/6/直通,≥4GB缓存带电池</w:t>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配置≥3块960GB SATA SSD热插拔硬盘；</w:t>
            </w:r>
            <w:r>
              <w:rPr>
                <w:rFonts w:hint="eastAsia" w:ascii="宋体" w:hAnsi="宋体"/>
                <w:color w:val="000000"/>
                <w:sz w:val="21"/>
                <w:szCs w:val="21"/>
                <w:lang w:bidi="ar"/>
              </w:rPr>
              <w:br/>
              <w:t xml:space="preserve">最大支持≥28块SATA/SAS/NVMeSSD和2个M.2SSD</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最大支持≥12个PCIe插槽</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以太网卡1</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配置≥1块四口1GbERJ45网卡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以太网卡2</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配置≥2块双口10G光口网卡(4个10G模块)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HBA卡</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配置≥2块双口32GFC卡(4个32G模块)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I/O接口</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≥5个USB外置接口(非内置和PCIe转接)，≥2个VGA接口，≥2个OCP3.0接口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bookmarkStart w:id="115" w:name="OLE_LINK24"/>
            <w:r/>
            <w:bookmarkStart w:id="116" w:name="OLE_LINK36"/>
            <w:r>
              <w:rPr>
                <w:rFonts w:hint="eastAsia" w:ascii="宋体" w:hAnsi="宋体"/>
                <w:color w:val="000000"/>
                <w:sz w:val="21"/>
                <w:szCs w:val="21"/>
                <w:lang w:bidi="ar"/>
              </w:rPr>
              <w:t xml:space="preserve">电源</w:t>
            </w:r>
            <w:bookmarkEnd w:id="115"/>
            <w:r/>
            <w:bookmarkEnd w:id="116"/>
            <w:r>
              <w:rPr>
                <w:rFonts w:hint="eastAsia" w:ascii="宋体" w:hAnsi="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配置≥2个2000W1+1热插拔冗余铂金电源，配置国标电源线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远程管理功能</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配置专用的1Gb远程管理接口,远程管理功能全开放。同时支持Android和IOS方式的进行远程管理。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BIOS和BMC冗余</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支持BMC/BIOS固件双镜像保护，运行异常时自动切换到备份镜像运行，提升系统稳定性</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统一监控功能</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color w:val="000000"/>
                <w:sz w:val="21"/>
                <w:szCs w:val="21"/>
                <w:lang w:bidi="ar"/>
              </w:rPr>
              <w:t xml:space="preserve">服务器厂商提供统一监控软件平台，同时支持浪潮、中兴、联想、新华三等国产C86服务器：</w:t>
            </w:r>
            <w:r>
              <w:rPr>
                <w:rFonts w:hint="eastAsia" w:ascii="宋体" w:hAnsi="宋体"/>
                <w:color w:val="000000"/>
                <w:sz w:val="21"/>
                <w:szCs w:val="21"/>
                <w:lang w:bidi="ar"/>
              </w:rPr>
              <w:br/>
              <w:t xml:space="preserve">1、提供不同品牌服务器的远程vKVM功能（远程图形远程控制台）,当服务器系统端宕机时，vKVM管理客户端还可以独立运行；</w:t>
            </w:r>
            <w:r>
              <w:rPr>
                <w:rFonts w:hint="eastAsia" w:ascii="宋体" w:hAnsi="宋体"/>
                <w:color w:val="000000"/>
                <w:sz w:val="21"/>
                <w:szCs w:val="21"/>
                <w:lang w:bidi="ar"/>
              </w:rPr>
              <w:br/>
              <w:t xml:space="preserve">2、支持不同品牌服务器故障告警功能，可以下载不同服务器故障日志和进行日志分析功能，支持通过微信公众号、短信、电话、邮件、钉钉等方式发送告警。</w:t>
            </w:r>
            <w:r>
              <w:rPr>
                <w:rFonts w:hint="eastAsia" w:ascii="宋体" w:hAnsi="宋体"/>
                <w:color w:val="000000"/>
                <w:sz w:val="21"/>
                <w:szCs w:val="21"/>
                <w:lang w:bidi="ar"/>
              </w:rPr>
              <w:br/>
              <w:t xml:space="preserve">3、保修管理：支持不同品牌服务器的过保时间提醒和信息管理功能，支持查询主流国产服务器的过保时间。</w:t>
            </w:r>
            <w:r/>
          </w:p>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4、支持对不同品牌服务器的BMC密码进行批量管理；支持设备临时账号检出，临时账号的密码有效期、权限能够进行控制，到期自动进行回收；支持对不同品牌服务器的BMC、BIOS等进行批量固件升级。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可靠性</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满足高可靠性要求，MTBF大于30万小时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ind w:left="0"/>
              <w:jc w:val="center"/>
              <w:spacing w:line="360" w:lineRule="auto"/>
              <w:rPr>
                <w:rFonts w:ascii="宋体" w:hAnsi="宋体"/>
                <w:color w:val="000000"/>
                <w:sz w:val="21"/>
                <w:szCs w:val="21"/>
                <w:lang w:bidi="ar"/>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内网超融合</w:t>
      </w:r>
      <w:r/>
    </w:p>
    <w:tbl>
      <w:tblPr>
        <w:tblStyle w:val="923"/>
        <w:tblW w:w="9810" w:type="dxa"/>
        <w:jc w:val="center"/>
        <w:tblInd w:w="0" w:type="dxa"/>
        <w:tblCellMar>
          <w:left w:w="108" w:type="dxa"/>
          <w:right w:w="108" w:type="dxa"/>
        </w:tblCellMar>
        <w:tblLook w:val="04A0" w:firstRow="1" w:lastRow="0" w:firstColumn="1" w:lastColumn="0" w:noHBand="0" w:noVBand="1"/>
      </w:tblPr>
      <w:tblGrid>
        <w:gridCol w:w="1838"/>
        <w:gridCol w:w="7972"/>
      </w:tblGrid>
      <w:tr>
        <w:trPr>
          <w:jc w:val="center"/>
        </w:trPr>
        <w:tc>
          <w:tcPr>
            <w:shd w:val="clear" w:color="auto" w:fill="d8d8d8" w:themeFill="background1" w:themeFillShade="D8"/>
            <w:tcW w:w="1838" w:type="dxa"/>
            <w:vAlign w:val="center"/>
            <w:textDirection w:val="lrTb"/>
            <w:noWrap w:val="false"/>
          </w:tcPr>
          <w:p>
            <w:pPr>
              <w:ind w:left="0"/>
              <w:jc w:val="center"/>
              <w:spacing w:line="360" w:lineRule="auto"/>
              <w:widowControl/>
              <w:rPr>
                <w:rFonts w:ascii="宋体" w:hAnsi="宋体"/>
                <w:b/>
                <w:bCs/>
                <w:sz w:val="21"/>
                <w:szCs w:val="21"/>
              </w:rPr>
            </w:pPr>
            <w:r>
              <w:rPr>
                <w:rFonts w:hint="eastAsia" w:ascii="宋体" w:hAnsi="宋体"/>
                <w:b/>
                <w:bCs/>
                <w:color w:val="000000"/>
                <w:sz w:val="21"/>
                <w:szCs w:val="21"/>
                <w:lang w:bidi="ar"/>
              </w:rPr>
              <w:t xml:space="preserve">指标项</w:t>
            </w:r>
            <w:r/>
          </w:p>
        </w:tc>
        <w:tc>
          <w:tcPr>
            <w:shd w:val="clear" w:color="auto" w:fill="d8d8d8" w:themeFill="background1" w:themeFillShade="D8"/>
            <w:tcW w:w="7972" w:type="dxa"/>
            <w:vAlign w:val="center"/>
            <w:textDirection w:val="lrTb"/>
            <w:noWrap w:val="false"/>
          </w:tcPr>
          <w:p>
            <w:pPr>
              <w:ind w:left="0"/>
              <w:jc w:val="center"/>
              <w:spacing w:line="360" w:lineRule="auto"/>
              <w:widowControl/>
              <w:rPr>
                <w:rFonts w:ascii="宋体" w:hAnsi="宋体"/>
                <w:b/>
                <w:bCs/>
                <w:sz w:val="21"/>
                <w:szCs w:val="21"/>
              </w:rPr>
            </w:pPr>
            <w:r>
              <w:rPr>
                <w:rFonts w:hint="eastAsia" w:ascii="宋体" w:hAnsi="宋体"/>
                <w:b/>
                <w:bCs/>
                <w:color w:val="000000"/>
                <w:sz w:val="21"/>
                <w:szCs w:val="21"/>
                <w:lang w:bidi="ar"/>
              </w:rPr>
              <w:t xml:space="preserve">技术规格要求</w:t>
            </w:r>
            <w:r/>
          </w:p>
        </w:tc>
      </w:tr>
      <w:tr>
        <w:trPr>
          <w:jc w:val="center"/>
        </w:trPr>
        <w:tc>
          <w:tcPr>
            <w:tcW w:w="183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单台</w:t>
            </w:r>
            <w:r/>
          </w:p>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硬件要求</w:t>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CPU：配置≥2颗，核心数≥48C，主频≥2.6GHz</w:t>
            </w:r>
            <w:r/>
          </w:p>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内存：配置≥1024GB</w:t>
            </w:r>
            <w:r/>
          </w:p>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存储：系统盘≥2块480GB SATA SSD，缓存盘≥2块3.84T-SATA-SSD固态硬盘，数据盘≥5块8T</w:t>
            </w:r>
            <w:r/>
          </w:p>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网口：配置≥4个千兆电口，≥4个万兆光口</w:t>
            </w:r>
            <w:r/>
          </w:p>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交换机：2台24口10GE交换机</w:t>
            </w:r>
            <w:r/>
          </w:p>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规格：标准2U机架式服务器，冗余电源。</w:t>
            </w:r>
            <w:r/>
          </w:p>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要求设备采用国产操作系统及国产芯片。</w:t>
            </w:r>
            <w:r/>
          </w:p>
        </w:tc>
      </w:tr>
      <w:tr>
        <w:trPr>
          <w:jc w:val="center"/>
        </w:trPr>
        <w:tc>
          <w:tcPr>
            <w:tcW w:w="1838" w:type="dxa"/>
            <w:vAlign w:val="center"/>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授权要求</w:t>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要求提供6套计算虚拟化、存储虚拟化、网络虚拟化、云计算管理软件。</w:t>
            </w:r>
            <w:r/>
          </w:p>
        </w:tc>
      </w:tr>
      <w:tr>
        <w:trPr>
          <w:jc w:val="center"/>
        </w:trPr>
        <w:tc>
          <w:tcPr>
            <w:tcW w:w="1838" w:type="dxa"/>
            <w:vAlign w:val="center"/>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兼容性</w:t>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为了实现高效的资源管理和运维，要求内网以及外网两个超融合集群能够通过同一管理平台进行集中管理，以便于统一监控、配置和维护，提高管理效率、降低运维</w:t>
            </w:r>
            <w:r>
              <w:rPr>
                <w:rFonts w:hint="eastAsia" w:ascii="宋体" w:hAnsi="宋体" w:cs="宋体"/>
                <w:sz w:val="21"/>
                <w:szCs w:val="21"/>
              </w:rPr>
              <w:t xml:space="preserve">成本。</w:t>
            </w:r>
            <w:r/>
          </w:p>
        </w:tc>
      </w:tr>
      <w:tr>
        <w:trPr>
          <w:jc w:val="center"/>
        </w:trPr>
        <w:tc>
          <w:tcPr>
            <w:tcW w:w="1838" w:type="dxa"/>
            <w:vAlign w:val="center"/>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统一管理平台</w:t>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r/>
          </w:p>
        </w:tc>
      </w:tr>
      <w:tr>
        <w:trPr>
          <w:jc w:val="center"/>
        </w:trPr>
        <w:tc>
          <w:tcPr>
            <w:tcW w:w="1838" w:type="dxa"/>
            <w:vAlign w:val="center"/>
            <w:vMerge w:val="restart"/>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计算虚拟化</w:t>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虚拟机需要支持内存回收，在内存不用的时候自动回收给其他虚拟机使用，并支持手动设置平台的内存超配比例，实现内存的超分使用。</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超融合应支持对运行异常虚拟机进行HA拉起，包括网络（存储网，VXLan网，业务网）异常，硬件（主板、CPU、内存、磁盘、电源、GPU、加密卡）异常，虚拟机进程异常、I/O异常挂起，修正状态异常虚拟机、主机离线的虚拟机。超融合应支持主动HA功能，亚健康主机上的虚拟机，可热迁移至健康主机。用户可灵活选择响应方式。</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支持虚拟机动态资源添加操作，可以通过阈值设置查看CPU和内存资源利用率，可以对虚拟机的CPU和内存使用不足时进行自动为虚拟机添加CPU 和内存资源，可以保存虚拟机动态资源添加操作。</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平台需定期升级保障平台稳定性，核心业务不能长时间停机，超融合平台需支持在线升级不影响业务；为保证升级时间与步骤可控，升级过程中支持对升级节点进行升级顺序编排、升级暂停。</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为避免平台虚拟机误删操作，需支持点击还原按钮，还原回收站列表指定项，可设置回收站文件保留天数，可以查看回收站列表项信息，包括名称、描述、存储和删除时间和保留时间。</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超融合应提供基于性能均衡模式的DRS机制，支持自动评估物理主机的负载情况，当物理主机负载过高时，自动将该物理主机上的虚拟机迁移到其他负载较低的主机上，可以基于成本最优模式的DRS机制，将可靠性低的主机的虚拟机迁移至可靠性高的主机上。可以通过AI算法可以对虚拟机、主机的性能、可靠性打分，提供调度建议。支持设置DRS调度时间段。</w:t>
            </w:r>
            <w:r/>
          </w:p>
        </w:tc>
      </w:tr>
      <w:tr>
        <w:trPr>
          <w:jc w:val="center"/>
        </w:trPr>
        <w:tc>
          <w:tcPr>
            <w:tcW w:w="1838" w:type="dxa"/>
            <w:vAlign w:val="center"/>
            <w:vMerge w:val="restart"/>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存储虚拟化</w:t>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▲硬件故障对平台影响较大，也会影响数据安全，为保障业务在硬件故障后尽快恢复冗余数据保障，支持进行数据重建操作，重建速率达到15分钟/TB；重建过程中</w:t>
            </w:r>
            <w:r>
              <w:rPr>
                <w:rFonts w:hint="eastAsia" w:ascii="宋体" w:hAnsi="宋体" w:cs="宋体"/>
                <w:sz w:val="21"/>
                <w:szCs w:val="21"/>
              </w:rPr>
              <w:t xml:space="preserve">可以查看数据重建任务列表信息，包括对象名称、对象类型、数据量和优先级等；支持点击操作中的优先级对数据重建进行优先重建。</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支持快照功能，可以通过磁盘快照、存储快照两种方式创建虚拟机快照。</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可以通过虚拟存储状态（虚拟存储使用率、IO次数趋势、IO速率趋势）和虚拟机控制台展示单节点拔出一块硬盘后虚拟机运行正常，可以通过虚拟存储状态（虚拟存储使用率、IO次数趋势、IO速率趋势）和虚拟机控制台展示单阶段拔出多块硬盘后虚拟机运行正常。</w:t>
            </w:r>
            <w:r/>
          </w:p>
        </w:tc>
      </w:tr>
      <w:tr>
        <w:trPr>
          <w:jc w:val="cente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▲支持选择多种克隆方式，包括快速全量克隆、全量克隆和链接克隆，可查看通过链接克隆的虚拟机是否运行正常，可以设置克隆完成后自动启动克隆虚拟机操作。</w:t>
            </w:r>
            <w:r/>
          </w:p>
        </w:tc>
      </w:tr>
      <w:tr>
        <w:trPr>
          <w:jc w:val="center"/>
        </w:trPr>
        <w:tc>
          <w:tcPr>
            <w:tcW w:w="1838" w:type="dxa"/>
            <w:vAlign w:val="center"/>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网络虚拟化</w:t>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cs="宋体"/>
                <w:sz w:val="21"/>
                <w:szCs w:val="21"/>
              </w:rPr>
              <w:t xml:space="preserve">提供虚拟路由器、虚拟交换机等设备的连通性探测功能，方便在虚拟化环境中，进行相应的故障排除和恢复，能够定位到出现故障的虚拟网络设备，方便快速排查问题保障业务的高连续性。</w:t>
            </w:r>
            <w:r/>
          </w:p>
        </w:tc>
      </w:tr>
      <w:tr>
        <w:trPr>
          <w:jc w:val="center"/>
        </w:trPr>
        <w:tc>
          <w:tcPr>
            <w:tcW w:w="1838" w:type="dxa"/>
            <w:vAlign w:val="center"/>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服务</w:t>
            </w:r>
            <w:r/>
          </w:p>
        </w:tc>
        <w:tc>
          <w:tcPr>
            <w:tcW w:w="7972" w:type="dxa"/>
            <w:vAlign w:val="center"/>
            <w:textDirection w:val="lrTb"/>
            <w:noWrap w:val="false"/>
          </w:tcPr>
          <w:p>
            <w:pPr>
              <w:pStyle w:val="1281"/>
              <w:ind w:left="0" w:firstLine="0"/>
              <w:jc w:val="left"/>
              <w:spacing w:line="360" w:lineRule="auto"/>
              <w:rPr>
                <w:rFonts w:ascii="宋体" w:hAnsi="宋体" w:cs="宋体"/>
                <w:sz w:val="21"/>
                <w:szCs w:val="21"/>
              </w:rPr>
            </w:pPr>
            <w:r>
              <w:rPr>
                <w:rFonts w:hint="eastAsia" w:ascii="宋体" w:hAnsi="宋体"/>
                <w:sz w:val="21"/>
                <w:szCs w:val="21"/>
              </w:rPr>
              <w:t xml:space="preserve">五年服务，</w:t>
            </w:r>
            <w:r>
              <w:rPr>
                <w:rFonts w:hint="eastAsia" w:ascii="宋体" w:hAnsi="宋体"/>
                <w:color w:val="000000"/>
                <w:sz w:val="21"/>
                <w:szCs w:val="21"/>
              </w:rPr>
              <w:t xml:space="preserve">半小时内响应、4小时内到达现场</w:t>
            </w:r>
            <w:r/>
          </w:p>
        </w:tc>
      </w:tr>
    </w:tbl>
    <w:p>
      <w:pPr>
        <w:ind w:left="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外网超融合</w:t>
      </w:r>
      <w:r/>
    </w:p>
    <w:tbl>
      <w:tblPr>
        <w:tblStyle w:val="923"/>
        <w:tblpPr w:horzAnchor="page" w:tblpX="1012" w:vertAnchor="text" w:tblpY="382" w:leftFromText="180" w:topFromText="0" w:rightFromText="180" w:bottomFromText="0"/>
        <w:tblW w:w="9918" w:type="dxa"/>
        <w:tblInd w:w="0" w:type="dxa"/>
        <w:tblCellMar>
          <w:left w:w="108" w:type="dxa"/>
          <w:right w:w="108" w:type="dxa"/>
        </w:tblCellMar>
        <w:tblLook w:val="04A0" w:firstRow="1" w:lastRow="0" w:firstColumn="1" w:lastColumn="0" w:noHBand="0" w:noVBand="1"/>
      </w:tblPr>
      <w:tblGrid>
        <w:gridCol w:w="1838"/>
        <w:gridCol w:w="8080"/>
      </w:tblGrid>
      <w:tr>
        <w:trPr/>
        <w:tc>
          <w:tcPr>
            <w:tcW w:w="1838" w:type="dxa"/>
            <w:vAlign w:val="center"/>
            <w:textDirection w:val="lrTb"/>
            <w:noWrap w:val="false"/>
          </w:tcPr>
          <w:p>
            <w:pPr>
              <w:ind w:left="0"/>
              <w:jc w:val="center"/>
              <w:spacing w:line="360" w:lineRule="auto"/>
              <w:widowControl/>
              <w:rPr>
                <w:rFonts w:ascii="宋体" w:hAnsi="宋体"/>
                <w:b/>
                <w:bCs/>
                <w:sz w:val="21"/>
                <w:szCs w:val="21"/>
              </w:rPr>
            </w:pPr>
            <w:r>
              <w:rPr>
                <w:rFonts w:hint="eastAsia" w:ascii="宋体" w:hAnsi="宋体"/>
                <w:b/>
                <w:bCs/>
                <w:color w:val="000000"/>
                <w:sz w:val="21"/>
                <w:szCs w:val="21"/>
                <w:lang w:bidi="ar"/>
              </w:rPr>
              <w:t xml:space="preserve">指标项</w:t>
            </w:r>
            <w:r/>
          </w:p>
        </w:tc>
        <w:tc>
          <w:tcPr>
            <w:tcW w:w="8080" w:type="dxa"/>
            <w:vAlign w:val="center"/>
            <w:textDirection w:val="lrTb"/>
            <w:noWrap w:val="false"/>
          </w:tcPr>
          <w:p>
            <w:pPr>
              <w:ind w:left="0"/>
              <w:jc w:val="center"/>
              <w:spacing w:line="360" w:lineRule="auto"/>
              <w:widowControl/>
              <w:rPr>
                <w:rFonts w:ascii="宋体" w:hAnsi="宋体"/>
                <w:b/>
                <w:bCs/>
                <w:sz w:val="21"/>
                <w:szCs w:val="21"/>
              </w:rPr>
            </w:pPr>
            <w:r>
              <w:rPr>
                <w:rFonts w:hint="eastAsia" w:ascii="宋体" w:hAnsi="宋体"/>
                <w:b/>
                <w:bCs/>
                <w:color w:val="000000"/>
                <w:sz w:val="21"/>
                <w:szCs w:val="21"/>
                <w:lang w:bidi="ar"/>
              </w:rPr>
              <w:t xml:space="preserve">技术规格要求</w:t>
            </w:r>
            <w:r/>
          </w:p>
        </w:tc>
      </w:tr>
      <w:tr>
        <w:trPr/>
        <w:tc>
          <w:tcPr>
            <w:tcW w:w="183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单台</w:t>
            </w:r>
            <w:r/>
          </w:p>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硬件要求</w:t>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CPU：配置≥2颗，核心数≥48C，主频≥2.6GHz</w:t>
            </w:r>
            <w:r/>
          </w:p>
          <w:p>
            <w:pPr>
              <w:pStyle w:val="1281"/>
              <w:ind w:left="0" w:firstLine="0"/>
              <w:spacing w:line="360" w:lineRule="auto"/>
              <w:rPr>
                <w:rFonts w:ascii="宋体" w:hAnsi="宋体" w:cs="宋体"/>
                <w:sz w:val="21"/>
                <w:szCs w:val="21"/>
              </w:rPr>
            </w:pPr>
            <w:r>
              <w:rPr>
                <w:rFonts w:hint="eastAsia" w:ascii="宋体" w:hAnsi="宋体" w:cs="宋体"/>
                <w:sz w:val="21"/>
                <w:szCs w:val="21"/>
              </w:rPr>
              <w:t xml:space="preserve">内存：配置≥1024GB</w:t>
            </w:r>
            <w:r/>
          </w:p>
          <w:p>
            <w:pPr>
              <w:pStyle w:val="1281"/>
              <w:ind w:left="0" w:firstLine="0"/>
              <w:spacing w:line="360" w:lineRule="auto"/>
              <w:rPr>
                <w:rFonts w:ascii="宋体" w:hAnsi="宋体" w:cs="宋体"/>
                <w:sz w:val="21"/>
                <w:szCs w:val="21"/>
              </w:rPr>
            </w:pPr>
            <w:r>
              <w:rPr>
                <w:rFonts w:hint="eastAsia" w:ascii="宋体" w:hAnsi="宋体" w:cs="宋体"/>
                <w:sz w:val="21"/>
                <w:szCs w:val="21"/>
              </w:rPr>
              <w:t xml:space="preserve">存储：系统盘≥2块480GB SATA SSD，缓存盘≥2块3.84T-SATA-SSD固态硬盘，数据盘≥5块8T</w:t>
            </w:r>
            <w:r/>
          </w:p>
          <w:p>
            <w:pPr>
              <w:pStyle w:val="1281"/>
              <w:ind w:left="0" w:firstLine="0"/>
              <w:spacing w:line="360" w:lineRule="auto"/>
              <w:rPr>
                <w:rFonts w:ascii="宋体" w:hAnsi="宋体" w:cs="宋体"/>
                <w:sz w:val="21"/>
                <w:szCs w:val="21"/>
              </w:rPr>
            </w:pPr>
            <w:r>
              <w:rPr>
                <w:rFonts w:hint="eastAsia" w:ascii="宋体" w:hAnsi="宋体" w:cs="宋体"/>
                <w:sz w:val="21"/>
                <w:szCs w:val="21"/>
              </w:rPr>
              <w:t xml:space="preserve">网口：配置≥4个千兆电口，≥4个万兆光口</w:t>
            </w:r>
            <w:r/>
          </w:p>
          <w:p>
            <w:pPr>
              <w:pStyle w:val="1281"/>
              <w:ind w:left="0" w:firstLine="0"/>
              <w:spacing w:line="360" w:lineRule="auto"/>
              <w:rPr>
                <w:rFonts w:ascii="宋体" w:hAnsi="宋体" w:cs="宋体"/>
                <w:sz w:val="21"/>
                <w:szCs w:val="21"/>
              </w:rPr>
            </w:pPr>
            <w:r>
              <w:rPr>
                <w:rFonts w:hint="eastAsia" w:ascii="宋体" w:hAnsi="宋体" w:cs="宋体"/>
                <w:sz w:val="21"/>
                <w:szCs w:val="21"/>
              </w:rPr>
              <w:t xml:space="preserve">交换机：2台24口10GE交换机</w:t>
            </w:r>
            <w:r/>
          </w:p>
          <w:p>
            <w:pPr>
              <w:pStyle w:val="1281"/>
              <w:ind w:left="0" w:firstLine="0"/>
              <w:spacing w:line="360" w:lineRule="auto"/>
              <w:rPr>
                <w:rFonts w:ascii="宋体" w:hAnsi="宋体" w:cs="宋体"/>
                <w:sz w:val="21"/>
                <w:szCs w:val="21"/>
              </w:rPr>
            </w:pPr>
            <w:r>
              <w:rPr>
                <w:rFonts w:hint="eastAsia" w:ascii="宋体" w:hAnsi="宋体" w:cs="宋体"/>
                <w:sz w:val="21"/>
                <w:szCs w:val="21"/>
              </w:rPr>
              <w:t xml:space="preserve">规格：标准2U机架式服务器，冗余电源。</w:t>
            </w:r>
            <w:r/>
          </w:p>
          <w:p>
            <w:pPr>
              <w:pStyle w:val="1281"/>
              <w:ind w:left="0" w:firstLine="0"/>
              <w:spacing w:line="360" w:lineRule="auto"/>
              <w:rPr>
                <w:rFonts w:ascii="宋体" w:hAnsi="宋体" w:cs="宋体"/>
                <w:sz w:val="21"/>
                <w:szCs w:val="21"/>
              </w:rPr>
            </w:pPr>
            <w:r>
              <w:rPr>
                <w:rFonts w:hint="eastAsia" w:ascii="宋体" w:hAnsi="宋体" w:cs="宋体"/>
                <w:sz w:val="21"/>
                <w:szCs w:val="21"/>
              </w:rPr>
              <w:t xml:space="preserve">要求设备采用国产操作系统及国产芯片。</w:t>
            </w:r>
            <w:r/>
          </w:p>
        </w:tc>
      </w:tr>
      <w:tr>
        <w:trPr/>
        <w:tc>
          <w:tcPr>
            <w:tcW w:w="1838" w:type="dxa"/>
            <w:vAlign w:val="center"/>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授权要求</w:t>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要求提供6套计算虚拟化、存储虚拟化、网络虚拟化、云计算管理软件</w:t>
            </w:r>
            <w:r/>
          </w:p>
        </w:tc>
      </w:tr>
      <w:tr>
        <w:trPr/>
        <w:tc>
          <w:tcPr>
            <w:tcW w:w="1838" w:type="dxa"/>
            <w:vAlign w:val="center"/>
            <w:vMerge w:val="restart"/>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统一管理平台</w:t>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为平台管理员提供自服务门户。支持平台管理员通过自服务门户进行资源的统一管理、运维，支持租户通过自服务门户申请、使用、管理、监控云资源。</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支持对物理机进行生命周期管理，包括开关机、控制台接入、分配给租户、回收、删除操作，可单台或批量添加物理机至云平台并实时监控物理机的CPU、内存信息。</w:t>
            </w:r>
            <w:r/>
          </w:p>
        </w:tc>
      </w:tr>
      <w:tr>
        <w:trPr/>
        <w:tc>
          <w:tcPr>
            <w:tcW w:w="1838" w:type="dxa"/>
            <w:vAlign w:val="center"/>
            <w:vMerge w:val="restart"/>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计算虚拟化</w:t>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自动收集所有的相关的组件的日志，告警，提供告警合并功能，并支持告警对象、事件、描述搜索。</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超融合应提供基于性能均衡模式的DRS机制，支持自动评估物理主机的负载情况，当物理主机负载过高时，自动将该物理主机上的虚拟机迁移到其他负载较低的主机上，可以基于成本最优模式的DRS机制，将可靠性低的主机的虚拟机迁移至可靠性高的主机上。可以通过AI算法可以对虚拟机、主机的性能、可靠性打分，提供调度建议。支持设置DRS调度时间段。</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平台需定期升级保障平台稳定性，核心业务不能长时间停机，超融合平台需支持在线升级不影响业务；为保证升级时间与步骤可控，升级过程中支持对升级节点进行升级顺序编排、升级暂停。</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为满足大规模管理运维的要求，在超融合管理平台界面上提供虚拟机删除、开关机、挂起、重启、关闭、关闭电源、克隆、迁移、备份、快照、标签管理等功能，以上功能均支持批量操作。</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基本资源监控功能，查看CPU、网络和磁盘已使用实时数据信息，可以点击告警设置对CPU、网络和磁盘进行占用阈值设置操作，可以以告警通知。</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支持对超融合平台的硬件进行监控和大屏展示，包含CPU、内存、网卡、硬盘、存储、RAID等硬件健康检测，便于及时发现问题并提供相应异常检测项的恢复指导建议。</w:t>
            </w:r>
            <w:r/>
          </w:p>
        </w:tc>
      </w:tr>
      <w:tr>
        <w:trPr/>
        <w:tc>
          <w:tcPr>
            <w:tcW w:w="1838" w:type="dxa"/>
            <w:vAlign w:val="center"/>
            <w:vMerge w:val="restart"/>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存储虚拟化</w:t>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为保证磁盘健康，支持坏道扫描功能，可以由用户所设置的扫描时间段定期对集群的硬盘进行扫描，及时发现潜藏的坏道，可以执行坏道修复任务，当定时坏道扫描任务发现坏道后可以主动修复坏道区域的数据。</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支持对虚拟磁盘设置QoS，可以在虚拟机开机和关机状态下对虚拟机的虚拟磁盘占用资源进行限制操作，可以设置磁盘IO限制，包括最大读速率、最大写速率、最大读速率、</w:t>
            </w:r>
            <w:r>
              <w:rPr>
                <w:rFonts w:hint="eastAsia" w:ascii="宋体" w:hAnsi="宋体" w:cs="宋体"/>
                <w:sz w:val="21"/>
                <w:szCs w:val="21"/>
              </w:rPr>
              <w:t xml:space="preserve">和最大写次数。</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为保证集群业务或者数据库集群的快照一致性，以便故障时业务可通过快照恢复，支持对虚拟机配置一致性组，对整个一致性组进行快照。</w:t>
            </w:r>
            <w:r/>
          </w:p>
        </w:tc>
      </w:tr>
      <w:tr>
        <w:trPr/>
        <w:tc>
          <w:tcPr>
            <w:tcW w:w="1838" w:type="dxa"/>
            <w:vAlign w:val="center"/>
            <w:vMerge w:val="restart"/>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网络虚拟化</w:t>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通常业务虚拟机出现网络问题，运维人员需要逐个排查效率较低，为方便运维人员根据虚机间流量情况跟踪排障，方便快速定位问题，及时优化调整安全策略，超融合需提供网络可视化功能，在图形化界面观察到所有虚拟机的流量走向与访问关系，包括源对象、源IP、目标对象、目的IP、访问次数、服务类型等信息。</w:t>
            </w:r>
            <w:r/>
          </w:p>
        </w:tc>
      </w:tr>
      <w:tr>
        <w:trPr/>
        <w:tc>
          <w:tcPr>
            <w:tcW w:w="1838" w:type="dxa"/>
            <w:vAlign w:val="center"/>
            <w:vMerge w:val="continue"/>
            <w:textDirection w:val="lrTb"/>
            <w:noWrap w:val="false"/>
          </w:tcPr>
          <w:p>
            <w:pPr>
              <w:pStyle w:val="1281"/>
              <w:ind w:left="0" w:firstLine="0"/>
              <w:jc w:val="center"/>
              <w:spacing w:line="360" w:lineRule="auto"/>
              <w:rPr>
                <w:rFonts w:ascii="宋体" w:hAnsi="宋体" w:cs="宋体"/>
                <w:sz w:val="21"/>
                <w:szCs w:val="21"/>
              </w:rPr>
            </w:pPr>
            <w:r>
              <w:rPr>
                <w:rFonts w:ascii="宋体" w:hAnsi="宋体" w:cs="宋体"/>
                <w:sz w:val="21"/>
                <w:szCs w:val="21"/>
              </w:rPr>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cs="宋体"/>
                <w:sz w:val="21"/>
                <w:szCs w:val="21"/>
              </w:rPr>
              <w:t xml:space="preserve">为了提升我司运维人员部署效率，需要能够在图形化管理平台上，通过托、拉、拽方式完成虚拟网络拓扑构建，可以在网络拓扑页面通过功能按键，实现虚拟网络连接、开启和关闭等操作。</w:t>
            </w:r>
            <w:r/>
          </w:p>
        </w:tc>
      </w:tr>
      <w:tr>
        <w:trPr/>
        <w:tc>
          <w:tcPr>
            <w:tcW w:w="1838" w:type="dxa"/>
            <w:vAlign w:val="center"/>
            <w:textDirection w:val="lrTb"/>
            <w:noWrap w:val="false"/>
          </w:tcPr>
          <w:p>
            <w:pPr>
              <w:pStyle w:val="1281"/>
              <w:ind w:left="0" w:firstLine="0"/>
              <w:jc w:val="center"/>
              <w:spacing w:line="360" w:lineRule="auto"/>
              <w:rPr>
                <w:rFonts w:ascii="宋体" w:hAnsi="宋体" w:cs="宋体"/>
                <w:sz w:val="21"/>
                <w:szCs w:val="21"/>
              </w:rPr>
            </w:pPr>
            <w:r>
              <w:rPr>
                <w:rFonts w:hint="eastAsia" w:ascii="宋体" w:hAnsi="宋体" w:cs="宋体"/>
                <w:sz w:val="21"/>
                <w:szCs w:val="21"/>
              </w:rPr>
              <w:t xml:space="preserve">服务</w:t>
            </w:r>
            <w:r/>
          </w:p>
        </w:tc>
        <w:tc>
          <w:tcPr>
            <w:tcW w:w="8080" w:type="dxa"/>
            <w:vAlign w:val="center"/>
            <w:textDirection w:val="lrTb"/>
            <w:noWrap w:val="false"/>
          </w:tcPr>
          <w:p>
            <w:pPr>
              <w:pStyle w:val="1281"/>
              <w:ind w:left="0" w:firstLine="0"/>
              <w:spacing w:line="360" w:lineRule="auto"/>
              <w:rPr>
                <w:rFonts w:ascii="宋体" w:hAnsi="宋体" w:cs="宋体"/>
                <w:sz w:val="21"/>
                <w:szCs w:val="21"/>
              </w:rPr>
            </w:pPr>
            <w:r>
              <w:rPr>
                <w:rFonts w:hint="eastAsia" w:ascii="宋体" w:hAnsi="宋体"/>
                <w:sz w:val="21"/>
                <w:szCs w:val="21"/>
              </w:rPr>
              <w:t xml:space="preserve">五年服务，</w:t>
            </w:r>
            <w:r>
              <w:rPr>
                <w:rFonts w:hint="eastAsia" w:ascii="宋体" w:hAnsi="宋体"/>
                <w:color w:val="000000"/>
                <w:sz w:val="21"/>
                <w:szCs w:val="21"/>
              </w:rPr>
              <w:t xml:space="preserve">半小时内响应、4小时内到达现场</w:t>
            </w:r>
            <w:r/>
          </w:p>
        </w:tc>
      </w:tr>
    </w:tbl>
    <w:p>
      <w:pPr>
        <w:ind w:left="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虚拟化软件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27"/>
        <w:gridCol w:w="8027"/>
      </w:tblGrid>
      <w:tr>
        <w:trPr>
          <w:jc w:val="center"/>
          <w:trHeight w:val="524"/>
        </w:trPr>
        <w:tc>
          <w:tcPr>
            <w:shd w:val="clear" w:color="auto" w:fill="d8d8d8" w:themeFill="background1" w:themeFillShade="D8"/>
            <w:tcW w:w="1838" w:type="dxa"/>
            <w:vAlign w:val="center"/>
            <w:textDirection w:val="lrTb"/>
            <w:noWrap w:val="false"/>
          </w:tcPr>
          <w:p>
            <w:pPr>
              <w:ind w:left="0"/>
              <w:jc w:val="center"/>
              <w:spacing w:line="360" w:lineRule="auto"/>
              <w:widowControl w:val="off"/>
              <w:rPr>
                <w:rFonts w:ascii="宋体" w:hAnsi="宋体"/>
                <w:b/>
                <w:bCs/>
                <w:sz w:val="21"/>
                <w:szCs w:val="21"/>
                <w:lang w:val="zh-CN"/>
              </w:rPr>
            </w:pPr>
            <w:r>
              <w:rPr>
                <w:rFonts w:hint="eastAsia" w:ascii="宋体" w:hAnsi="宋体"/>
                <w:b/>
                <w:bCs/>
                <w:sz w:val="21"/>
                <w:szCs w:val="21"/>
                <w:lang w:val="zh-CN"/>
              </w:rPr>
              <w:t xml:space="preserve">指标项</w:t>
            </w:r>
            <w:r/>
          </w:p>
        </w:tc>
        <w:tc>
          <w:tcPr>
            <w:shd w:val="clear" w:color="auto" w:fill="d8d8d8" w:themeFill="background1" w:themeFillShade="D8"/>
            <w:tcW w:w="8080" w:type="dxa"/>
            <w:vAlign w:val="center"/>
            <w:textDirection w:val="lrTb"/>
            <w:noWrap w:val="false"/>
          </w:tcPr>
          <w:p>
            <w:pPr>
              <w:jc w:val="center"/>
              <w:spacing w:line="360" w:lineRule="auto"/>
              <w:widowControl w:val="off"/>
              <w:rPr>
                <w:rFonts w:ascii="宋体" w:hAnsi="宋体"/>
                <w:b/>
                <w:bCs/>
                <w:sz w:val="21"/>
                <w:szCs w:val="21"/>
                <w:lang w:val="zh-CN"/>
              </w:rPr>
            </w:pPr>
            <w:r>
              <w:rPr>
                <w:rFonts w:hint="eastAsia" w:ascii="宋体" w:hAnsi="宋体"/>
                <w:b/>
                <w:bCs/>
                <w:sz w:val="21"/>
                <w:szCs w:val="21"/>
                <w:lang w:val="zh-CN"/>
              </w:rPr>
              <w:t xml:space="preserve">技术规格及参数</w:t>
            </w:r>
            <w:r/>
          </w:p>
        </w:tc>
      </w:tr>
      <w:tr>
        <w:trPr>
          <w:jc w:val="center"/>
          <w:trHeight w:val="90"/>
        </w:trPr>
        <w:tc>
          <w:tcPr>
            <w:tcW w:w="1838"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color w:val="000000" w:themeColor="text1"/>
                <w:sz w:val="21"/>
                <w:szCs w:val="21"/>
              </w:rPr>
              <w:t xml:space="preserve">计算虚拟化</w:t>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虚拟化支持双架构部署，可通过一套平台对x86和ARM架构服务器进行统一管理</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w:t>
            </w:r>
            <w:r>
              <w:rPr>
                <w:rFonts w:hint="eastAsia" w:ascii="宋体" w:hAnsi="宋体"/>
                <w:color w:val="000000" w:themeColor="text1"/>
                <w:sz w:val="21"/>
                <w:szCs w:val="21"/>
              </w:rPr>
              <w:t xml:space="preserve">支持对虚拟机打一致性快照，当发生故障时保障业务能够快速恢复到快照时间点状态；</w:t>
            </w:r>
            <w:r/>
          </w:p>
        </w:tc>
      </w:tr>
      <w:tr>
        <w:trPr>
          <w:jc w:val="center"/>
          <w:trHeight w:val="695"/>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支持在线和离线迁移带快照的虚拟机</w:t>
            </w:r>
            <w:r/>
          </w:p>
        </w:tc>
      </w:tr>
      <w:tr>
        <w:trPr>
          <w:jc w:val="center"/>
          <w:trHeight w:val="60"/>
        </w:trPr>
        <w:tc>
          <w:tcPr>
            <w:tcW w:w="1838"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color w:val="000000" w:themeColor="text1"/>
                <w:sz w:val="21"/>
                <w:szCs w:val="21"/>
              </w:rPr>
              <w:t xml:space="preserve">存储虚拟化</w:t>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为提升数据安全性，对接远端存储时，要求指定对接存储时的CHAP信息，支持配置对接存储的存储IP以及端口号</w:t>
            </w:r>
            <w:r/>
          </w:p>
        </w:tc>
      </w:tr>
      <w:tr>
        <w:trPr>
          <w:jc w:val="center"/>
          <w:trHeight w:val="60"/>
        </w:trPr>
        <w:tc>
          <w:tcPr>
            <w:tcW w:w="1838"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支持只迁移虚拟机存储，在迁移设置可指定磁盘的目的配置模式并指定迁移速率控制；</w:t>
            </w:r>
            <w:r/>
          </w:p>
        </w:tc>
      </w:tr>
      <w:tr>
        <w:trPr>
          <w:jc w:val="center"/>
          <w:trHeight w:val="60"/>
        </w:trPr>
        <w:tc>
          <w:tcPr>
            <w:tcW w:w="1838"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color w:val="000000" w:themeColor="text1"/>
                <w:sz w:val="21"/>
                <w:szCs w:val="21"/>
              </w:rPr>
              <w:t xml:space="preserve">网络虚拟化</w:t>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支持对接硬SDN能力，硬SDN管理支持最低1节点部署</w:t>
            </w:r>
            <w:r/>
          </w:p>
        </w:tc>
      </w:tr>
      <w:tr>
        <w:trPr>
          <w:jc w:val="center"/>
          <w:trHeight w:val="60"/>
        </w:trPr>
        <w:tc>
          <w:tcPr>
            <w:tcW w:w="1838"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w:t>
            </w:r>
            <w:r>
              <w:rPr>
                <w:rFonts w:hint="eastAsia" w:ascii="宋体" w:hAnsi="宋体"/>
                <w:color w:val="000000" w:themeColor="text1"/>
                <w:sz w:val="21"/>
                <w:szCs w:val="21"/>
              </w:rPr>
              <w:t xml:space="preserve">支持虚拟交换机级别的用户态交换技术(OVS+DPDK），可实现高性能网络转发，提高数据处理性能和吞吐量，提高数据平面应用程序的工作效率</w:t>
            </w:r>
            <w:r/>
          </w:p>
        </w:tc>
      </w:tr>
      <w:tr>
        <w:trPr>
          <w:jc w:val="center"/>
          <w:trHeight w:val="60"/>
        </w:trPr>
        <w:tc>
          <w:tcPr>
            <w:tcW w:w="1838"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w:t>
            </w:r>
            <w:r>
              <w:rPr>
                <w:rFonts w:hint="eastAsia" w:ascii="宋体" w:hAnsi="宋体"/>
                <w:color w:val="000000" w:themeColor="text1"/>
                <w:sz w:val="21"/>
                <w:szCs w:val="21"/>
              </w:rPr>
              <w:t xml:space="preserve">虚拟交换机采用主从VLAN实现相同端口组的虚拟机网络设备之间的相互通信或隔离，以满足减少VLAN ID大量消耗和降低网络维护难度的诉求（MUX VLAN）；</w:t>
            </w:r>
            <w:r/>
          </w:p>
        </w:tc>
      </w:tr>
      <w:tr>
        <w:trPr>
          <w:jc w:val="center"/>
          <w:trHeight w:val="446"/>
        </w:trPr>
        <w:tc>
          <w:tcPr>
            <w:tcW w:w="1838"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color w:val="000000" w:themeColor="text1"/>
                <w:sz w:val="21"/>
                <w:szCs w:val="21"/>
              </w:rPr>
              <w:t xml:space="preserve">虚拟化管理</w:t>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w:t>
            </w:r>
            <w:r>
              <w:rPr>
                <w:rFonts w:hint="eastAsia" w:ascii="宋体" w:hAnsi="宋体"/>
                <w:color w:val="000000" w:themeColor="text1"/>
                <w:sz w:val="21"/>
                <w:szCs w:val="21"/>
              </w:rPr>
              <w:t xml:space="preserve">提供图形化的主机和虚拟机指标监控，用户可自定义监控周期，监控指标需包括CPU占用率、内存占用率、磁盘占用率、磁盘I/O写入写出、网络流速等，并且支持导出监控数据；</w:t>
            </w:r>
            <w:r/>
          </w:p>
        </w:tc>
      </w:tr>
      <w:tr>
        <w:trPr>
          <w:jc w:val="center"/>
          <w:trHeight w:val="60"/>
        </w:trPr>
        <w:tc>
          <w:tcPr>
            <w:tcW w:w="1838"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支持记录操作维护人员通过运维管理系统进行的操作日志。系统操作维护人员可查看日志，不允许删除日志。</w:t>
            </w:r>
            <w:r/>
          </w:p>
        </w:tc>
      </w:tr>
      <w:tr>
        <w:trPr>
          <w:jc w:val="center"/>
          <w:trHeight w:val="60"/>
        </w:trPr>
        <w:tc>
          <w:tcPr>
            <w:tcW w:w="1838"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color w:val="000000" w:themeColor="text1"/>
                <w:sz w:val="21"/>
                <w:szCs w:val="21"/>
              </w:rPr>
              <w:t xml:space="preserve">虚拟化安全</w:t>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系统支持“三员分立”的管理运维模式，有系统管理员、安全管理员、安全审计员的三员角色，满足高安全场景的权限分离要求</w:t>
            </w:r>
            <w:r/>
          </w:p>
        </w:tc>
      </w:tr>
      <w:tr>
        <w:trPr>
          <w:jc w:val="center"/>
          <w:trHeight w:val="60"/>
        </w:trPr>
        <w:tc>
          <w:tcPr>
            <w:tcW w:w="1838"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支持国家商用密码算法，以满足平台安全合规要求</w:t>
            </w:r>
            <w:r/>
          </w:p>
        </w:tc>
      </w:tr>
      <w:tr>
        <w:trPr>
          <w:jc w:val="center"/>
          <w:trHeight w:val="414"/>
        </w:trPr>
        <w:tc>
          <w:tcPr>
            <w:tcW w:w="1838" w:type="dxa"/>
            <w:vAlign w:val="center"/>
            <w:textDirection w:val="lrTb"/>
            <w:noWrap w:val="false"/>
          </w:tcPr>
          <w:p>
            <w:pPr>
              <w:ind w:left="0"/>
              <w:jc w:val="center"/>
              <w:spacing w:line="360" w:lineRule="auto"/>
              <w:rPr>
                <w:rFonts w:ascii="宋体" w:hAnsi="宋体"/>
                <w:sz w:val="21"/>
                <w:szCs w:val="21"/>
              </w:rPr>
            </w:pPr>
            <w:r>
              <w:rPr>
                <w:rFonts w:hint="eastAsia" w:ascii="宋体" w:hAnsi="宋体"/>
                <w:color w:val="000000" w:themeColor="text1"/>
                <w:sz w:val="21"/>
                <w:szCs w:val="21"/>
              </w:rPr>
              <w:t xml:space="preserve">软件授权</w:t>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color w:val="000000" w:themeColor="text1"/>
                <w:sz w:val="21"/>
                <w:szCs w:val="21"/>
              </w:rPr>
              <w:t xml:space="preserve">配置至少满足26个CPU软件授权</w:t>
            </w:r>
            <w:r/>
          </w:p>
        </w:tc>
      </w:tr>
      <w:tr>
        <w:trPr>
          <w:jc w:val="center"/>
          <w:trHeight w:val="60"/>
        </w:trPr>
        <w:tc>
          <w:tcPr>
            <w:tcW w:w="1838" w:type="dxa"/>
            <w:vAlign w:val="center"/>
            <w:textDirection w:val="lrTb"/>
            <w:noWrap w:val="false"/>
          </w:tcPr>
          <w:p>
            <w:pPr>
              <w:ind w:left="0"/>
              <w:jc w:val="cente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服务</w:t>
            </w:r>
            <w:r/>
          </w:p>
        </w:tc>
        <w:tc>
          <w:tcPr>
            <w:tcW w:w="8080" w:type="dxa"/>
            <w:vAlign w:val="center"/>
            <w:textDirection w:val="lrTb"/>
            <w:noWrap w:val="false"/>
          </w:tcPr>
          <w:p>
            <w:pPr>
              <w:ind w:left="0"/>
              <w:spacing w:line="360" w:lineRule="auto"/>
              <w:rPr>
                <w:rFonts w:ascii="宋体" w:hAnsi="宋体"/>
                <w:color w:val="000000" w:themeColor="text1"/>
                <w:sz w:val="21"/>
                <w:szCs w:val="21"/>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超融合服务器</w:t>
      </w:r>
      <w:r/>
    </w:p>
    <w:tbl>
      <w:tblPr>
        <w:tblW w:w="50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8079"/>
      </w:tblGrid>
      <w:tr>
        <w:trPr>
          <w:jc w:val="center"/>
          <w:trHeight w:val="524"/>
        </w:trPr>
        <w:tc>
          <w:tcPr>
            <w:shd w:val="clear" w:color="auto" w:fill="d8d8d8" w:themeFill="background1" w:themeFillShade="D8"/>
            <w:tcW w:w="1838" w:type="dxa"/>
            <w:vAlign w:val="center"/>
            <w:textDirection w:val="lrTb"/>
            <w:noWrap w:val="false"/>
          </w:tcPr>
          <w:p>
            <w:pPr>
              <w:ind w:left="0"/>
              <w:jc w:val="center"/>
              <w:spacing w:line="360" w:lineRule="auto"/>
              <w:widowControl w:val="off"/>
              <w:rPr>
                <w:rFonts w:ascii="宋体" w:hAnsi="宋体"/>
                <w:b/>
                <w:bCs/>
                <w:sz w:val="21"/>
                <w:szCs w:val="21"/>
                <w:lang w:val="zh-CN"/>
              </w:rPr>
            </w:pPr>
            <w:r>
              <w:rPr>
                <w:rFonts w:hint="eastAsia" w:ascii="宋体" w:hAnsi="宋体"/>
                <w:b/>
                <w:bCs/>
                <w:sz w:val="21"/>
                <w:szCs w:val="21"/>
                <w:lang w:val="zh-CN"/>
              </w:rPr>
              <w:t xml:space="preserve">指标项</w:t>
            </w:r>
            <w:r/>
          </w:p>
        </w:tc>
        <w:tc>
          <w:tcPr>
            <w:shd w:val="clear" w:color="auto" w:fill="d8d8d8" w:themeFill="background1" w:themeFillShade="D8"/>
            <w:tcW w:w="8080" w:type="dxa"/>
            <w:vAlign w:val="center"/>
            <w:textDirection w:val="lrTb"/>
            <w:noWrap w:val="false"/>
          </w:tcPr>
          <w:p>
            <w:pPr>
              <w:jc w:val="center"/>
              <w:spacing w:line="360" w:lineRule="auto"/>
              <w:widowControl w:val="off"/>
              <w:rPr>
                <w:rFonts w:ascii="宋体" w:hAnsi="宋体"/>
                <w:b/>
                <w:bCs/>
                <w:sz w:val="21"/>
                <w:szCs w:val="21"/>
                <w:lang w:val="zh-CN"/>
              </w:rPr>
            </w:pPr>
            <w:r>
              <w:rPr>
                <w:rFonts w:hint="eastAsia" w:ascii="宋体" w:hAnsi="宋体"/>
                <w:b/>
                <w:bCs/>
                <w:sz w:val="21"/>
                <w:szCs w:val="21"/>
                <w:lang w:val="zh-CN"/>
              </w:rPr>
              <w:t xml:space="preserve">技术规格及参数</w:t>
            </w:r>
            <w:r/>
          </w:p>
        </w:tc>
      </w:tr>
      <w:tr>
        <w:trPr>
          <w:jc w:val="center"/>
          <w:trHeight w:val="1281"/>
        </w:trPr>
        <w:tc>
          <w:tcPr>
            <w:tcW w:w="1838"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管理功能</w:t>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在统一管理界面中监控和管理计算、存储、交换机、虚拟化平台；支持一键式或定期自动输出系统健康巡检报告，包括CPU、内存、HDD、SSD、RAID卡等硬件状态，虚拟化平台，存储软件，超融合管理软件等部件的健康状态，便于主动识别潜在的风险</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支持在统一界面上扩容节点，在界面可将待扩容节点自动发现，完成相应的系统配置，包括：IP地址、主机名、网关、存储池等参数，校验后进行系统扩容操作，将待扩容节点加入系统集群中</w:t>
            </w:r>
            <w:r/>
          </w:p>
        </w:tc>
      </w:tr>
      <w:tr>
        <w:trPr>
          <w:jc w:val="center"/>
          <w:trHeight w:val="695"/>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支持告警邮件通知，系统将自动将告警信息通过Email发送给相关人员，也可设置将告警转储到第三方服务器。支持告警屏蔽和取消屏蔽。支持通过SNMPV2/V3协议向第三方平台上报告警，方便统一运维管理。</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支持用户自定义性能图表并指定对象，对CPU利用率、内存利用率、带宽、IOPS、时延、磁盘利用率、存储池利用率等进行统计。</w:t>
            </w:r>
            <w:r/>
          </w:p>
        </w:tc>
      </w:tr>
      <w:tr>
        <w:trPr>
          <w:jc w:val="center"/>
          <w:trHeight w:val="60"/>
        </w:trPr>
        <w:tc>
          <w:tcPr>
            <w:tcW w:w="1838"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可靠性</w:t>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支持虚拟机HA，允许配置集群内HA预留的主机数量，以保证在虚拟机故障时有足够的资源进行切换，支持配置存储故障后迁移虚拟机或不处理（删除）虚拟机</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支持同一厂商的无代理备份软件，无需在虚拟机中安装备份客户端，即可将虚拟机备份到本地或第三方存储上，支持全量备份、增量备份、定时备份</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pStyle w:val="1065"/>
              <w:ind w:firstLine="0"/>
              <w:jc w:val="left"/>
              <w:rPr>
                <w:rFonts w:ascii="宋体" w:hAnsi="宋体" w:cs="宋体"/>
                <w:sz w:val="21"/>
                <w:szCs w:val="21"/>
              </w:rPr>
            </w:pPr>
            <w:r/>
            <w:bookmarkStart w:id="117" w:name="_Toc243493694"/>
            <w:r>
              <w:rPr>
                <w:rFonts w:hint="eastAsia" w:ascii="宋体" w:hAnsi="宋体" w:cs="宋体"/>
                <w:sz w:val="21"/>
                <w:szCs w:val="21"/>
              </w:rPr>
              <w:t xml:space="preserve">支持磁盘、网络、存储节点亚健康管理功能，并进行告警。</w:t>
            </w:r>
            <w:bookmarkEnd w:id="117"/>
            <w:r>
              <w:rPr>
                <w:rFonts w:ascii="宋体" w:hAnsi="宋体" w:cs="宋体"/>
                <w:sz w:val="21"/>
                <w:szCs w:val="21"/>
              </w:rPr>
              <w:t xml:space="preserve"> </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pStyle w:val="1065"/>
              <w:ind w:firstLine="0"/>
              <w:jc w:val="left"/>
              <w:rPr>
                <w:rFonts w:ascii="宋体" w:hAnsi="宋体" w:cs="宋体"/>
                <w:sz w:val="21"/>
                <w:szCs w:val="21"/>
              </w:rPr>
            </w:pPr>
            <w:r/>
            <w:bookmarkStart w:id="118" w:name="_Toc243493695"/>
            <w:r>
              <w:rPr>
                <w:rFonts w:hint="eastAsia" w:ascii="宋体" w:hAnsi="宋体" w:cs="宋体"/>
                <w:sz w:val="21"/>
                <w:szCs w:val="21"/>
              </w:rPr>
              <w:t xml:space="preserve">▲</w:t>
            </w:r>
            <w:r>
              <w:rPr>
                <w:rFonts w:hint="eastAsia" w:ascii="宋体" w:hAnsi="宋体" w:cs="宋体"/>
                <w:sz w:val="21"/>
                <w:szCs w:val="21"/>
              </w:rPr>
              <w:t xml:space="preserve">支持磁盘拔出和换位的容错功能，2块磁盘被拔出，能够产生自动告警，5分钟内互换槽位插入，系统不发生数据重构</w:t>
            </w:r>
            <w:r>
              <w:rPr>
                <w:rFonts w:hint="eastAsia" w:ascii="宋体" w:hAnsi="宋体" w:cs="宋体"/>
                <w:sz w:val="21"/>
                <w:szCs w:val="21"/>
              </w:rPr>
              <w:t xml:space="preserve">。</w:t>
            </w:r>
            <w:bookmarkEnd w:id="118"/>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pStyle w:val="1065"/>
              <w:ind w:firstLine="0"/>
              <w:jc w:val="left"/>
              <w:rPr>
                <w:rFonts w:ascii="宋体" w:hAnsi="宋体" w:cs="宋体"/>
                <w:sz w:val="21"/>
                <w:szCs w:val="21"/>
              </w:rPr>
            </w:pPr>
            <w:r/>
            <w:bookmarkStart w:id="119" w:name="_Toc243493696"/>
            <w:r>
              <w:rPr>
                <w:rFonts w:hint="eastAsia" w:ascii="宋体" w:hAnsi="宋体" w:cs="宋体"/>
                <w:sz w:val="21"/>
                <w:szCs w:val="21"/>
              </w:rPr>
              <w:t xml:space="preserve">▲</w:t>
            </w:r>
            <w:r>
              <w:rPr>
                <w:rFonts w:hint="eastAsia" w:ascii="宋体" w:hAnsi="宋体" w:cs="宋体"/>
                <w:sz w:val="21"/>
                <w:szCs w:val="21"/>
              </w:rPr>
              <w:t xml:space="preserve">当磁盘故障时，系统能自动进行数据快速重构，固态硬盘1TB重构时间≤15分钟</w:t>
            </w:r>
            <w:r>
              <w:rPr>
                <w:rFonts w:hint="eastAsia" w:ascii="宋体" w:hAnsi="宋体" w:cs="宋体"/>
                <w:sz w:val="21"/>
                <w:szCs w:val="21"/>
              </w:rPr>
              <w:t xml:space="preserve">。</w:t>
            </w:r>
            <w:bookmarkEnd w:id="119"/>
            <w:r/>
            <w:r/>
          </w:p>
        </w:tc>
      </w:tr>
      <w:tr>
        <w:trPr>
          <w:jc w:val="center"/>
          <w:trHeight w:val="446"/>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支持磁盘、网络、存储节点亚健康管理功能，并进行告警。</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超融合系统支持配置EC双活的能力</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支持IOPS及带宽的瞬时冲高（burst）能力，可按照一定规则配置某个卷在多长时间内可以提供的最大IOPS，满足业务量暴增场景性能诉求。</w:t>
            </w:r>
            <w:r/>
          </w:p>
        </w:tc>
      </w:tr>
      <w:tr>
        <w:trPr>
          <w:jc w:val="center"/>
          <w:trHeight w:val="60"/>
        </w:trPr>
        <w:tc>
          <w:tcPr>
            <w:tcW w:w="1838"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存储虚拟化</w:t>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单集群最高可支持扩展至1024个节点。支持在单个集群内按节点维度划分多个资源池，资源池数量最大支持128个；支持图形化界面划分存储资源池，每个存储资源池即为一个故障域，保证可靠性；</w:t>
            </w:r>
            <w:r/>
          </w:p>
        </w:tc>
      </w:tr>
      <w:tr>
        <w:trPr>
          <w:jc w:val="center"/>
          <w:trHeight w:val="60"/>
        </w:trPr>
        <w:tc>
          <w:tcPr>
            <w:tcW w:w="1838"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支持EC（Erasure Code）算法实现数据冗余存储，支持4+2,6+2,8+2等多种冗余配置。</w:t>
            </w:r>
            <w:r/>
          </w:p>
        </w:tc>
      </w:tr>
      <w:tr>
        <w:trPr>
          <w:jc w:val="center"/>
          <w:trHeight w:val="60"/>
        </w:trPr>
        <w:tc>
          <w:tcPr>
            <w:tcW w:w="1838"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支持卷的IOPS、带宽的上限设置，可设置卷的总IOPS和带宽，也可以设置每单位容量的IOPS与带宽，用户可指定Qos策略的运行周期为单次、每天、每周或始终执行；</w:t>
            </w:r>
            <w:r/>
          </w:p>
        </w:tc>
      </w:tr>
      <w:tr>
        <w:trPr>
          <w:jc w:val="center"/>
          <w:trHeight w:val="60"/>
        </w:trPr>
        <w:tc>
          <w:tcPr>
            <w:tcW w:w="18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安全</w:t>
            </w:r>
            <w:r/>
          </w:p>
        </w:tc>
        <w:tc>
          <w:tcPr>
            <w:tcW w:w="8080"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超融合系统支持“三员分立”的管理运维模式，有系统管理员、安全管理员、安全审计员的三员角色，满足高安全场景的权限分离要求,</w:t>
            </w:r>
            <w:r/>
          </w:p>
        </w:tc>
      </w:tr>
      <w:tr>
        <w:trPr>
          <w:jc w:val="center"/>
          <w:trHeight w:val="90"/>
        </w:trPr>
        <w:tc>
          <w:tcPr>
            <w:tcW w:w="1838"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配置</w:t>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每节点配置：CPU≥2颗（≥2.6GHz，≥48核）</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配置≥512G内存</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配置硬盘≥2*960GBSASSSD，≥2*3.2TBNVMeSSD，≥8*8TBHDD</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配置≥4*GE，≥4*10GE（含光模块）</w:t>
            </w:r>
            <w:r/>
          </w:p>
        </w:tc>
      </w:tr>
      <w:tr>
        <w:trPr>
          <w:jc w:val="center"/>
          <w:trHeight w:val="60"/>
        </w:trPr>
        <w:tc>
          <w:tcPr>
            <w:tcW w:w="1838" w:type="dxa"/>
            <w:vAlign w:val="center"/>
            <w:vMerge w:val="continue"/>
            <w:textDirection w:val="lrTb"/>
            <w:noWrap w:val="false"/>
          </w:tcPr>
          <w:p>
            <w:pPr>
              <w:ind w:firstLine="38"/>
              <w:jc w:val="center"/>
              <w:spacing w:line="360" w:lineRule="auto"/>
              <w:widowControl w:val="off"/>
              <w:rPr>
                <w:rFonts w:ascii="宋体" w:hAnsi="宋体"/>
                <w:sz w:val="21"/>
                <w:szCs w:val="21"/>
              </w:rPr>
            </w:pPr>
            <w:r>
              <w:rPr>
                <w:rFonts w:ascii="宋体" w:hAnsi="宋体"/>
                <w:sz w:val="21"/>
                <w:szCs w:val="21"/>
              </w:rPr>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配置≥2块交流电源。</w:t>
            </w:r>
            <w:r/>
          </w:p>
        </w:tc>
      </w:tr>
      <w:tr>
        <w:trPr>
          <w:jc w:val="center"/>
          <w:trHeight w:val="60"/>
        </w:trPr>
        <w:tc>
          <w:tcPr>
            <w:tcW w:w="18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CPU要求</w:t>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采用国产自研ARM架构的CPU</w:t>
            </w:r>
            <w:r/>
          </w:p>
        </w:tc>
      </w:tr>
      <w:tr>
        <w:trPr>
          <w:jc w:val="center"/>
          <w:trHeight w:val="460"/>
        </w:trPr>
        <w:tc>
          <w:tcPr>
            <w:tcW w:w="18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软件授权</w:t>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配置3节点超融合软件授权。</w:t>
            </w:r>
            <w:r/>
          </w:p>
        </w:tc>
      </w:tr>
      <w:tr>
        <w:trPr>
          <w:jc w:val="center"/>
          <w:trHeight w:val="60"/>
        </w:trPr>
        <w:tc>
          <w:tcPr>
            <w:tcW w:w="18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服务</w:t>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42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虚拟化服务器</w:t>
      </w:r>
      <w:r/>
    </w:p>
    <w:tbl>
      <w:tblPr>
        <w:tblW w:w="5000" w:type="pct"/>
        <w:tblInd w:w="-5" w:type="dxa"/>
        <w:tblLook w:val="04A0" w:firstRow="1" w:lastRow="0" w:firstColumn="1" w:lastColumn="0" w:noHBand="0" w:noVBand="1"/>
      </w:tblPr>
      <w:tblGrid>
        <w:gridCol w:w="1843"/>
        <w:gridCol w:w="8011"/>
      </w:tblGrid>
      <w:tr>
        <w:trPr>
          <w:trHeight w:val="280"/>
        </w:trPr>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lang w:bidi="ar"/>
              </w:rPr>
              <w:t xml:space="preserve">指标项</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lang w:bidi="ar"/>
              </w:rPr>
              <w:t xml:space="preserve">技术规格要求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外观</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2U机架式，带导轨，机箱深度小于800mm</w:t>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配置2颗C86处理器，通过中国信息安全测评中心发布的安可测评认证，单颗处理器核心数≥48，线程≥96，基础主频≥2.6Hz，</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配置≥1TB内存</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配置≥1块16口12Gbps独立阵列卡，支持RAID0/1/10/5/6/直通,≥4GB缓存带电池</w:t>
            </w:r>
            <w:r/>
          </w:p>
        </w:tc>
      </w:tr>
      <w:tr>
        <w:trPr>
          <w:trHeight w:val="520"/>
        </w:trPr>
        <w:tc>
          <w:tcPr>
            <w:shd w:val="clear" w:color="auto" w:fill="auto"/>
            <w:tcBorders>
              <w:top w:val="single" w:color="000000" w:sz="4" w:space="0"/>
              <w:left w:val="single" w:color="000000" w:sz="4" w:space="0"/>
              <w:bottom w:val="non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配置≥3块960GB SATA SSD热插拔硬盘；</w:t>
            </w:r>
            <w:r>
              <w:rPr>
                <w:rFonts w:hint="eastAsia" w:ascii="宋体" w:hAnsi="宋体"/>
                <w:color w:val="000000"/>
                <w:sz w:val="21"/>
                <w:szCs w:val="21"/>
                <w:lang w:bidi="ar"/>
              </w:rPr>
              <w:br/>
              <w:t xml:space="preserve">最大支持≥28块SATA/SAS/NVMeSSD和2个M.2SSD</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最大支持≥12个PCIe插槽</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以太网卡1</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配置≥1块四口1GbERJ45网卡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以太网卡2</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配置≥2块双口10G光口网卡(4个10G模块)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HBA卡</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配置≥2块双口32GFC卡(4个32G模块)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I/O接口</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≥5个USB外置接口(非内置和PCIe转接)，≥2个VGA接口，≥2个OCP3.0接口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配置≥2个2000W1+1热插拔冗余铂金电源，配置国标电源线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远程管理功能</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配置专用的1Gb远程管理接口,远程管理功能全开放。同时支持Android和IOS方式的进行远程管理。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BIOS和BMC冗余</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支持BMC/BIOS固件双镜像保护，运行异常时自动切换到备份镜像运行，提升系统稳定性</w:t>
            </w:r>
            <w:r/>
          </w:p>
        </w:tc>
      </w:tr>
      <w:tr>
        <w:trPr>
          <w:trHeight w:val="1354"/>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统一监控功能</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服务器厂商提供统一监控软件平台，同时支持浪潮、中兴、联想、新华三等国产C86服务器：</w:t>
            </w:r>
            <w:r>
              <w:rPr>
                <w:rFonts w:hint="eastAsia" w:ascii="宋体" w:hAnsi="宋体"/>
                <w:color w:val="000000"/>
                <w:sz w:val="21"/>
                <w:szCs w:val="21"/>
                <w:lang w:bidi="ar"/>
              </w:rPr>
              <w:br/>
              <w:t xml:space="preserve">1、提供不同品牌服务器的远程vKVM功能（远程图形远程控制台）,当服务器系统端宕机时，vKVM管理客户端还可以独立运行；</w:t>
            </w:r>
            <w:r>
              <w:rPr>
                <w:rFonts w:hint="eastAsia" w:ascii="宋体" w:hAnsi="宋体"/>
                <w:color w:val="000000"/>
                <w:sz w:val="21"/>
                <w:szCs w:val="21"/>
                <w:lang w:bidi="ar"/>
              </w:rPr>
              <w:br/>
              <w:t xml:space="preserve">2、支持不同品牌服务器故障告警功能，可以下载不同服务器故障日志和进行日志分析功能，支持通过微信公众号、短信、电话、邮件、钉钉等方式发送告警。</w:t>
            </w:r>
            <w:r>
              <w:rPr>
                <w:rFonts w:hint="eastAsia" w:ascii="宋体" w:hAnsi="宋体"/>
                <w:color w:val="000000"/>
                <w:sz w:val="21"/>
                <w:szCs w:val="21"/>
                <w:lang w:bidi="ar"/>
              </w:rPr>
              <w:br/>
              <w:t xml:space="preserve">3、保修管理：支持不同品牌服务器的过保时间提醒和信息管理功能，支持查询主流国产服务器的过保时间。4、支持对不同品牌服务器的BMC密码进行批量管理；支持设备临时账号检出，临时账号的密码有效期、权限能够进行控制，到期自动进行回收；支持对不同品牌服务器的BMC、BIOS等进行批量固件升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可靠性</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满足高可靠性要求，MTBF大于30万小时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center"/>
              <w:spacing w:line="360" w:lineRule="auto"/>
              <w:rPr>
                <w:rFonts w:ascii="宋体" w:hAnsi="宋体"/>
                <w:color w:val="000000"/>
                <w:sz w:val="21"/>
                <w:szCs w:val="21"/>
                <w:lang w:bidi="ar"/>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065" w:type="pct"/>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隔离区服务器</w:t>
      </w:r>
      <w:r/>
    </w:p>
    <w:tbl>
      <w:tblPr>
        <w:tblW w:w="5000" w:type="pct"/>
        <w:tblInd w:w="-5" w:type="dxa"/>
        <w:tblLook w:val="04A0" w:firstRow="1" w:lastRow="0" w:firstColumn="1" w:lastColumn="0" w:noHBand="0" w:noVBand="1"/>
      </w:tblPr>
      <w:tblGrid>
        <w:gridCol w:w="1831"/>
        <w:gridCol w:w="8023"/>
      </w:tblGrid>
      <w:tr>
        <w:trPr>
          <w:trHeight w:val="280"/>
        </w:trPr>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lang w:bidi="ar"/>
              </w:rPr>
              <w:t xml:space="preserve">指标项</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lang w:bidi="ar"/>
              </w:rPr>
              <w:t xml:space="preserve">技术规格要求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外观</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2U机架式，带导轨，机箱深度小于800mm</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配置2颗C86处理器，通过中国信息安全测评中心发布的安可测评认证，单颗处理器核心数≥48，线程≥96，基础主频≥2.6Hz，支持睿频、全核心超线程技术；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配置≥8*64GB DDR5 5600MHz RDIMM</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配置≥1块16口12Gbps独立阵列卡，支持RAID0/1/10/5/6/直通,≥4GB缓存带电池</w:t>
            </w:r>
            <w:r/>
          </w:p>
        </w:tc>
      </w:tr>
      <w:tr>
        <w:trPr>
          <w:trHeight w:val="520"/>
        </w:trPr>
        <w:tc>
          <w:tcPr>
            <w:shd w:val="clear" w:color="auto" w:fill="auto"/>
            <w:tcBorders>
              <w:top w:val="single" w:color="000000" w:sz="4" w:space="0"/>
              <w:left w:val="single" w:color="000000" w:sz="4" w:space="0"/>
              <w:bottom w:val="non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配置≥3块960GB SATA SSD热插拔硬盘；</w:t>
            </w:r>
            <w:r>
              <w:rPr>
                <w:rFonts w:hint="eastAsia" w:ascii="宋体" w:hAnsi="宋体"/>
                <w:color w:val="000000"/>
                <w:sz w:val="21"/>
                <w:szCs w:val="21"/>
                <w:lang w:bidi="ar"/>
              </w:rPr>
              <w:br/>
              <w:t xml:space="preserve">最大支持≥28块SATA/SAS/NVMeSSD和2个M.2SSD</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最大支持≥12个PCIe插槽</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以太网卡1</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配置≥1块四口1GbERJ45网卡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以太网卡2</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配置≥2块双口10G光口网卡(4个10G模块)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I/O接口</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≥5个USB外置接口，≥2个VGA接口，≥2个OCP3.0接口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配置≥2个2000W1+1热插拔冗余铂金电源，配置国标电源线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远程管理功能</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配置专用的1Gb远程管理接口,远程管理功能全开放。同时支持Android和IOS方式的进行远程管理。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BIOS和BMC冗余</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支持BMC/BIOS固件双镜像保护，运行异常时自动切换到备份镜像运行，提升系统稳定性。</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统一监控功能</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color w:val="000000"/>
                <w:sz w:val="21"/>
                <w:szCs w:val="21"/>
                <w:lang w:bidi="ar"/>
              </w:rPr>
              <w:t xml:space="preserve">服务器厂商提供统一监控软件平台，同时支持浪潮、中兴、联想、新华三等国产C86服务器：</w:t>
            </w:r>
            <w:r>
              <w:rPr>
                <w:rFonts w:hint="eastAsia" w:ascii="宋体" w:hAnsi="宋体"/>
                <w:color w:val="000000"/>
                <w:sz w:val="21"/>
                <w:szCs w:val="21"/>
                <w:lang w:bidi="ar"/>
              </w:rPr>
              <w:br/>
              <w:t xml:space="preserve">1、提供不同品牌服务器的远程vKVM功能（远程图形远程控制台）,当服务器系统端宕机时，vKVM管理客户端还可以独立运行；</w:t>
            </w:r>
            <w:r>
              <w:rPr>
                <w:rFonts w:hint="eastAsia" w:ascii="宋体" w:hAnsi="宋体"/>
                <w:color w:val="000000"/>
                <w:sz w:val="21"/>
                <w:szCs w:val="21"/>
                <w:lang w:bidi="ar"/>
              </w:rPr>
              <w:br/>
              <w:t xml:space="preserve">2、支持不同品牌服务器故障告警功能，可以下载不同服务器故障日志和进行日志分析功能，支持通过微信公众号、短信、电话、邮件、钉钉等方式发送告警。</w:t>
            </w:r>
            <w:r>
              <w:rPr>
                <w:rFonts w:hint="eastAsia" w:ascii="宋体" w:hAnsi="宋体"/>
                <w:color w:val="000000"/>
                <w:sz w:val="21"/>
                <w:szCs w:val="21"/>
                <w:lang w:bidi="ar"/>
              </w:rPr>
              <w:br/>
              <w:t xml:space="preserve">3、保修管理：支持不同品牌服务器的过保时间提醒和信息管理功能，支持查询主流国产服务器的过保时间。</w:t>
            </w:r>
            <w:r/>
          </w:p>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4、支持对不同品牌服务器的BMC密码进行批量管理；支持设备临时账号检出，临时账号的密码有效期、权限能够进行控制，到期自动进行回收；支持对不同品牌服务器的BMC、BIOS等进行批量固件升级。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可靠性</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满足高可靠性要求，MTBF大于30万小时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lang w:bidi="ar"/>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42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防勒索软件</w:t>
      </w:r>
      <w:r/>
    </w:p>
    <w:tbl>
      <w:tblPr>
        <w:tblStyle w:val="923"/>
        <w:tblW w:w="0" w:type="auto"/>
        <w:tblInd w:w="-5" w:type="dxa"/>
        <w:tblCellMar>
          <w:left w:w="108" w:type="dxa"/>
          <w:right w:w="108" w:type="dxa"/>
        </w:tblCellMar>
        <w:tblLook w:val="04A0" w:firstRow="1" w:lastRow="0" w:firstColumn="1" w:lastColumn="0" w:noHBand="0" w:noVBand="1"/>
      </w:tblPr>
      <w:tblGrid>
        <w:gridCol w:w="1843"/>
        <w:gridCol w:w="7938"/>
      </w:tblGrid>
      <w:tr>
        <w:trPr/>
        <w:tc>
          <w:tcPr>
            <w:shd w:val="clear" w:color="auto" w:fill="d8d8d8" w:themeFill="background1" w:themeFillShade="D8"/>
            <w:tcW w:w="1843" w:type="dxa"/>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指标项</w:t>
            </w:r>
            <w:r/>
          </w:p>
        </w:tc>
        <w:tc>
          <w:tcPr>
            <w:shd w:val="clear" w:color="auto" w:fill="d8d8d8" w:themeFill="background1" w:themeFillShade="D8"/>
            <w:tcW w:w="7938" w:type="dxa"/>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技术规格及参数</w:t>
            </w:r>
            <w:r/>
          </w:p>
        </w:tc>
      </w:tr>
      <w:tr>
        <w:trPr/>
        <w:tc>
          <w:tcPr>
            <w:tcW w:w="184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支持存储类型</w:t>
            </w:r>
            <w:r/>
          </w:p>
        </w:tc>
        <w:tc>
          <w:tcPr>
            <w:tcW w:w="7938"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支持SAN存储及NAS文件系统</w:t>
            </w:r>
            <w:r/>
          </w:p>
        </w:tc>
      </w:tr>
      <w:tr>
        <w:trPr>
          <w:trHeight w:val="291"/>
        </w:trPr>
        <w:tc>
          <w:tcPr>
            <w:tcW w:w="184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自动化容灾保护</w:t>
            </w:r>
            <w:r/>
          </w:p>
        </w:tc>
        <w:tc>
          <w:tcPr>
            <w:tcW w:w="7938"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支持自定义容灾保护策略，可制定不同的保护策略自动完成应用保护</w:t>
            </w:r>
            <w:r/>
          </w:p>
        </w:tc>
      </w:tr>
      <w:tr>
        <w:trPr/>
        <w:tc>
          <w:tcPr>
            <w:tcW w:w="184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物理链路管理</w:t>
            </w:r>
            <w:r/>
          </w:p>
        </w:tc>
        <w:tc>
          <w:tcPr>
            <w:tcW w:w="7938"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支持复制链路物理断开，对生产站点不可见，仅在数据复制期间连通</w:t>
            </w:r>
            <w:r/>
          </w:p>
        </w:tc>
      </w:tr>
      <w:tr>
        <w:trPr/>
        <w:tc>
          <w:tcPr>
            <w:tcW w:w="184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恢复功能</w:t>
            </w:r>
            <w:r/>
          </w:p>
        </w:tc>
        <w:tc>
          <w:tcPr>
            <w:tcW w:w="7938"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一键式快速恢复，支持通过快照回滚快速完成恢复，并自动还原恢复前的复制及备份能力</w:t>
            </w:r>
            <w:r/>
          </w:p>
        </w:tc>
      </w:tr>
      <w:tr>
        <w:trPr/>
        <w:tc>
          <w:tcPr>
            <w:tcW w:w="184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容灾监控</w:t>
            </w:r>
            <w:r/>
          </w:p>
        </w:tc>
        <w:tc>
          <w:tcPr>
            <w:tcW w:w="7938"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端到端的可视化容灾拓扑：监控网元与组网故障点；容灾保护与恢复流程可视化</w:t>
            </w:r>
            <w:r/>
          </w:p>
        </w:tc>
      </w:tr>
      <w:tr>
        <w:trPr/>
        <w:tc>
          <w:tcPr>
            <w:tcW w:w="184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服务</w:t>
            </w:r>
            <w:r/>
          </w:p>
        </w:tc>
        <w:tc>
          <w:tcPr>
            <w:tcW w:w="7938"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42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容灾服务器</w:t>
      </w:r>
      <w:r/>
    </w:p>
    <w:tbl>
      <w:tblPr>
        <w:tblW w:w="5000" w:type="pct"/>
        <w:tblInd w:w="-5" w:type="dxa"/>
        <w:tblLook w:val="04A0" w:firstRow="1" w:lastRow="0" w:firstColumn="1" w:lastColumn="0" w:noHBand="0" w:noVBand="1"/>
      </w:tblPr>
      <w:tblGrid>
        <w:gridCol w:w="1831"/>
        <w:gridCol w:w="8023"/>
      </w:tblGrid>
      <w:tr>
        <w:trPr>
          <w:trHeight w:val="280"/>
        </w:trPr>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lang w:bidi="ar"/>
              </w:rPr>
              <w:t xml:space="preserve">指标项</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lang w:bidi="ar"/>
              </w:rPr>
              <w:t xml:space="preserve">技术规格要求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外观</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2U机架式，带导轨，机箱深度小于800mm</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配置2颗C86处理器，通过中国信息安全测评中心发布的安可测评认证，单颗处理器核心数≥48，线程≥96，基础主频≥2.6Hz，支持睿频、全核心超线程技术；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配置≥16*64GB DDR5 5600MHz RDIMM</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配置≥1块16口12Gbps独立阵列卡，支持RAID0/1/10/5/6/直通,≥4GB缓存带电池</w:t>
            </w:r>
            <w:r/>
          </w:p>
        </w:tc>
      </w:tr>
      <w:tr>
        <w:trPr>
          <w:trHeight w:val="520"/>
        </w:trPr>
        <w:tc>
          <w:tcPr>
            <w:shd w:val="clear" w:color="auto" w:fill="auto"/>
            <w:tcBorders>
              <w:top w:val="single" w:color="000000" w:sz="4" w:space="0"/>
              <w:left w:val="single" w:color="000000" w:sz="4" w:space="0"/>
              <w:bottom w:val="non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配置≥3块960GB SATA SSD热插拔硬盘；</w:t>
            </w:r>
            <w:r>
              <w:rPr>
                <w:rFonts w:hint="eastAsia" w:ascii="宋体" w:hAnsi="宋体"/>
                <w:color w:val="000000"/>
                <w:sz w:val="21"/>
                <w:szCs w:val="21"/>
                <w:lang w:bidi="ar"/>
              </w:rPr>
              <w:br/>
              <w:t xml:space="preserve">最大支持≥28块SATA/SAS/NVMeSSD和2个M.2SSD</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最大支持≥12个PCIe插槽</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以太网卡1</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配置≥1块四口1GbERJ45网卡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以太网卡2</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配置≥2块双口10G光口网卡(4个10G模块)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HBA卡</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配置≥1块双口32GFC卡(2个32G模块)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I/O接口</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≥5个USB外置接口，≥2个VGA接口，≥2个OCP3.0接口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配置≥2个2000W1+1热插拔冗余铂金电源，配置国标电源线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远程管理功能</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配置专用的1Gb远程管理接口,远程管理功能全开放。同时支持Android和IOS方式的进行远程管理。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BIOS和BMC冗余</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支持BMC/BIOS固件双镜像保护，运行异常时自动切换到备份镜像运行，提升系统稳定性。</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统一监控功能</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服务器厂商提供统一监控软件平台，同时支持浪潮、中兴、联想、新华三等国产C86服务器：</w:t>
            </w:r>
            <w:r>
              <w:rPr>
                <w:rFonts w:hint="eastAsia" w:ascii="宋体" w:hAnsi="宋体"/>
                <w:color w:val="000000"/>
                <w:sz w:val="21"/>
                <w:szCs w:val="21"/>
                <w:lang w:bidi="ar"/>
              </w:rPr>
              <w:br/>
              <w:t xml:space="preserve">1、提供不同品牌服务器的远程vKVM功能（远程图形远程控制台）,当服务器系统端宕机时，vKVM管理客户端还可以独立运行；</w:t>
            </w:r>
            <w:r>
              <w:rPr>
                <w:rFonts w:hint="eastAsia" w:ascii="宋体" w:hAnsi="宋体"/>
                <w:color w:val="000000"/>
                <w:sz w:val="21"/>
                <w:szCs w:val="21"/>
                <w:lang w:bidi="ar"/>
              </w:rPr>
              <w:br/>
              <w:t xml:space="preserve">2、支持不同品牌服务器故障告警功能，可以下载不同服务器故障日志和进行日志分析功能，支持通过微信公众号、短信、电话、邮件、钉钉等方式发送告警。</w:t>
            </w:r>
            <w:r>
              <w:rPr>
                <w:rFonts w:hint="eastAsia" w:ascii="宋体" w:hAnsi="宋体"/>
                <w:color w:val="000000"/>
                <w:sz w:val="21"/>
                <w:szCs w:val="21"/>
                <w:lang w:bidi="ar"/>
              </w:rPr>
              <w:br/>
              <w:t xml:space="preserve">3、保修管理：支持不同品牌服务器的过保时间提醒和信息管理功能，支持查询主流国产服务器的过保时间。</w:t>
            </w:r>
            <w:r>
              <w:rPr>
                <w:rFonts w:hint="eastAsia" w:ascii="宋体" w:hAnsi="宋体"/>
                <w:color w:val="000000"/>
                <w:sz w:val="21"/>
                <w:szCs w:val="21"/>
                <w:lang w:bidi="ar"/>
              </w:rPr>
              <w:br/>
              <w:t xml:space="preserve">4、支持对不同品牌服务器的BMC密码进行批量管理；支持设备临时账号检出，临时账号的密码有效期、权限能够进行控制，到期自动进行回收；支持对不同品牌服务器的BMC、BIOS等进行批量固件升级。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可靠性</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满足高可靠性要求，MTBF大于30万小时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left="0"/>
              <w:jc w:val="center"/>
              <w:spacing w:line="360" w:lineRule="auto"/>
              <w:rPr>
                <w:rFonts w:ascii="宋体" w:hAnsi="宋体"/>
                <w:color w:val="000000"/>
                <w:sz w:val="21"/>
                <w:szCs w:val="21"/>
                <w:lang w:bidi="ar"/>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42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sz w:val="21"/>
          <w:szCs w:val="21"/>
        </w:rPr>
      </w:pPr>
      <w:r>
        <w:rPr>
          <w:rFonts w:hint="eastAsia" w:ascii="宋体" w:hAnsi="宋体"/>
          <w:sz w:val="21"/>
          <w:szCs w:val="21"/>
        </w:rPr>
        <w:t xml:space="preserve">实施集成运维服务</w:t>
      </w:r>
      <w:r/>
    </w:p>
    <w:tbl>
      <w:tblPr>
        <w:tblStyle w:val="923"/>
        <w:tblW w:w="9923" w:type="dxa"/>
        <w:tblInd w:w="-5" w:type="dxa"/>
        <w:tblCellMar>
          <w:left w:w="108" w:type="dxa"/>
          <w:right w:w="108" w:type="dxa"/>
        </w:tblCellMar>
        <w:tblLook w:val="04A0" w:firstRow="1" w:lastRow="0" w:firstColumn="1" w:lastColumn="0" w:noHBand="0" w:noVBand="1"/>
      </w:tblPr>
      <w:tblGrid>
        <w:gridCol w:w="1838"/>
        <w:gridCol w:w="8085"/>
      </w:tblGrid>
      <w:tr>
        <w:trPr>
          <w:trHeight w:val="531"/>
        </w:trPr>
        <w:tc>
          <w:tcPr>
            <w:shd w:val="clear" w:color="auto" w:fill="d8d8d8" w:themeFill="background1" w:themeFillShade="D8"/>
            <w:tcW w:w="1838" w:type="dxa"/>
            <w:vAlign w:val="center"/>
            <w:textDirection w:val="lrTb"/>
            <w:noWrap w:val="false"/>
          </w:tcPr>
          <w:p>
            <w:pPr>
              <w:ind w:left="0"/>
              <w:jc w:val="center"/>
              <w:spacing w:line="360" w:lineRule="auto"/>
              <w:rPr>
                <w:rFonts w:ascii="宋体" w:hAnsi="宋体"/>
                <w:sz w:val="21"/>
                <w:szCs w:val="21"/>
              </w:rPr>
            </w:pPr>
            <w:r>
              <w:rPr>
                <w:rFonts w:hint="eastAsia" w:ascii="宋体" w:hAnsi="宋体"/>
                <w:b/>
                <w:bCs/>
                <w:sz w:val="21"/>
                <w:szCs w:val="21"/>
              </w:rPr>
              <w:t xml:space="preserve">指标项</w:t>
            </w:r>
            <w:r/>
          </w:p>
        </w:tc>
        <w:tc>
          <w:tcPr>
            <w:shd w:val="clear" w:color="auto" w:fill="d8d8d8" w:themeFill="background1" w:themeFillShade="D8"/>
            <w:tcW w:w="8085" w:type="dxa"/>
            <w:vAlign w:val="center"/>
            <w:textDirection w:val="lrTb"/>
            <w:noWrap w:val="false"/>
          </w:tcPr>
          <w:p>
            <w:pPr>
              <w:ind w:left="0"/>
              <w:jc w:val="center"/>
              <w:spacing w:line="360" w:lineRule="auto"/>
              <w:rPr>
                <w:rFonts w:ascii="宋体" w:hAnsi="宋体"/>
                <w:sz w:val="21"/>
                <w:szCs w:val="21"/>
              </w:rPr>
            </w:pPr>
            <w:r>
              <w:rPr>
                <w:rFonts w:hint="eastAsia" w:ascii="宋体" w:hAnsi="宋体"/>
                <w:b/>
                <w:bCs/>
                <w:sz w:val="21"/>
                <w:szCs w:val="21"/>
              </w:rPr>
              <w:t xml:space="preserve">技术规格及参数</w:t>
            </w:r>
            <w:r/>
          </w:p>
        </w:tc>
      </w:tr>
      <w:tr>
        <w:trPr/>
        <w:tc>
          <w:tcPr>
            <w:tcW w:w="183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服务内容</w:t>
            </w:r>
            <w:r/>
          </w:p>
        </w:tc>
        <w:tc>
          <w:tcPr>
            <w:tcW w:w="8085"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提供本项目管理、项目规划、项目实施服务，实施内容包括项目内软硬件、数据库等，并提供五年数据中心运维服务，包含五年不限次数7</w:t>
            </w:r>
            <w:r>
              <w:rPr>
                <w:rFonts w:ascii="宋体" w:hAnsi="宋体"/>
                <w:sz w:val="21"/>
                <w:szCs w:val="21"/>
              </w:rPr>
              <w:t xml:space="preserve">*</w:t>
            </w:r>
            <w:r>
              <w:rPr>
                <w:rFonts w:hint="eastAsia" w:ascii="宋体" w:hAnsi="宋体"/>
                <w:sz w:val="21"/>
                <w:szCs w:val="21"/>
              </w:rPr>
              <w:t xml:space="preserve">24应急服务，</w:t>
            </w:r>
            <w:bookmarkStart w:id="120" w:name="OLE_LINK52"/>
            <w:r>
              <w:rPr>
                <w:rFonts w:hint="eastAsia" w:ascii="宋体" w:hAnsi="宋体"/>
                <w:sz w:val="21"/>
                <w:szCs w:val="21"/>
              </w:rPr>
              <w:t xml:space="preserve">半小时内响应，</w:t>
            </w:r>
            <w:r>
              <w:rPr>
                <w:rFonts w:ascii="宋体" w:hAnsi="宋体"/>
                <w:sz w:val="21"/>
                <w:szCs w:val="21"/>
              </w:rPr>
              <w:t xml:space="preserve">4</w:t>
            </w:r>
            <w:r>
              <w:rPr>
                <w:rFonts w:hint="eastAsia" w:ascii="宋体" w:hAnsi="宋体"/>
                <w:sz w:val="21"/>
                <w:szCs w:val="21"/>
              </w:rPr>
              <w:t xml:space="preserve">小时到达</w:t>
            </w:r>
            <w:bookmarkEnd w:id="120"/>
            <w:r>
              <w:rPr>
                <w:rFonts w:hint="eastAsia" w:ascii="宋体" w:hAnsi="宋体"/>
                <w:sz w:val="21"/>
                <w:szCs w:val="21"/>
              </w:rPr>
              <w:t xml:space="preserve">用户现场服务，</w:t>
            </w:r>
            <w:r>
              <w:rPr>
                <w:rFonts w:hint="eastAsia" w:ascii="宋体" w:hAnsi="宋体"/>
                <w:sz w:val="21"/>
                <w:szCs w:val="21"/>
              </w:rPr>
              <w:t xml:space="preserve">每年</w:t>
            </w:r>
            <w:r>
              <w:rPr>
                <w:rFonts w:hint="eastAsia" w:ascii="宋体" w:hAnsi="宋体"/>
                <w:sz w:val="21"/>
                <w:szCs w:val="21"/>
              </w:rPr>
              <w:t xml:space="preserve">12次巡检服务。</w:t>
            </w:r>
            <w:r/>
          </w:p>
        </w:tc>
      </w:tr>
    </w:tbl>
    <w:p>
      <w:pPr>
        <w:ind w:left="420"/>
        <w:spacing w:line="360" w:lineRule="auto"/>
        <w:widowControl w:val="off"/>
        <w:rPr>
          <w:rFonts w:ascii="宋体" w:hAnsi="宋体"/>
          <w:sz w:val="21"/>
          <w:szCs w:val="21"/>
        </w:rPr>
      </w:pPr>
      <w:r>
        <w:rPr>
          <w:rFonts w:ascii="宋体" w:hAnsi="宋体"/>
          <w:sz w:val="21"/>
          <w:szCs w:val="21"/>
        </w:rPr>
      </w:r>
      <w:r/>
    </w:p>
    <w:p>
      <w:pPr>
        <w:numPr>
          <w:ilvl w:val="1"/>
          <w:numId w:val="2"/>
        </w:numPr>
        <w:spacing w:line="360" w:lineRule="auto"/>
        <w:widowControl w:val="off"/>
        <w:rPr>
          <w:rFonts w:ascii="宋体" w:hAnsi="宋体"/>
          <w:sz w:val="21"/>
          <w:szCs w:val="21"/>
        </w:rPr>
      </w:pPr>
      <w:r>
        <w:rPr>
          <w:rFonts w:hint="eastAsia" w:ascii="宋体" w:hAnsi="宋体"/>
          <w:sz w:val="21"/>
          <w:szCs w:val="21"/>
        </w:rPr>
        <w:t xml:space="preserve">数据库服务</w:t>
      </w:r>
      <w:r/>
    </w:p>
    <w:tbl>
      <w:tblPr>
        <w:tblW w:w="5000" w:type="pct"/>
        <w:tblLook w:val="04A0" w:firstRow="1" w:lastRow="0" w:firstColumn="1" w:lastColumn="0" w:noHBand="0" w:noVBand="1"/>
      </w:tblPr>
      <w:tblGrid>
        <w:gridCol w:w="1827"/>
        <w:gridCol w:w="8027"/>
      </w:tblGrid>
      <w:tr>
        <w:trPr>
          <w:trHeight w:val="280"/>
        </w:trPr>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指标项</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技术规格要求</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提供五年数据库运维服务，服务内容包括：</w:t>
            </w:r>
            <w:r/>
          </w:p>
          <w:p>
            <w:pPr>
              <w:numPr>
                <w:ilvl w:val="0"/>
                <w:numId w:val="3"/>
              </w:numPr>
              <w:ind w:left="0"/>
              <w:jc w:val="left"/>
              <w:spacing w:line="360" w:lineRule="auto"/>
              <w:rPr>
                <w:rFonts w:ascii="宋体" w:hAnsi="宋体"/>
                <w:sz w:val="21"/>
                <w:szCs w:val="21"/>
              </w:rPr>
            </w:pPr>
            <w:r>
              <w:rPr>
                <w:rFonts w:hint="eastAsia" w:ascii="宋体" w:hAnsi="宋体"/>
                <w:sz w:val="21"/>
                <w:szCs w:val="21"/>
              </w:rPr>
              <w:t xml:space="preserve">数据库部署服务；</w:t>
            </w:r>
            <w:r/>
          </w:p>
          <w:p>
            <w:pPr>
              <w:numPr>
                <w:ilvl w:val="0"/>
                <w:numId w:val="3"/>
              </w:numPr>
              <w:ind w:left="0"/>
              <w:jc w:val="left"/>
              <w:spacing w:line="360" w:lineRule="auto"/>
              <w:rPr>
                <w:rFonts w:ascii="宋体" w:hAnsi="宋体"/>
                <w:sz w:val="21"/>
                <w:szCs w:val="21"/>
              </w:rPr>
            </w:pPr>
            <w:r>
              <w:rPr>
                <w:rFonts w:hint="eastAsia" w:ascii="宋体" w:hAnsi="宋体"/>
                <w:sz w:val="21"/>
                <w:szCs w:val="21"/>
              </w:rPr>
              <w:t xml:space="preserve">数据库性能调优服务；</w:t>
            </w:r>
            <w:r/>
          </w:p>
          <w:p>
            <w:pPr>
              <w:numPr>
                <w:ilvl w:val="0"/>
                <w:numId w:val="3"/>
              </w:numPr>
              <w:ind w:left="0"/>
              <w:jc w:val="left"/>
              <w:spacing w:line="360" w:lineRule="auto"/>
              <w:rPr>
                <w:rFonts w:ascii="宋体" w:hAnsi="宋体"/>
                <w:sz w:val="21"/>
                <w:szCs w:val="21"/>
              </w:rPr>
            </w:pPr>
            <w:r>
              <w:rPr>
                <w:rFonts w:hint="eastAsia" w:ascii="宋体" w:hAnsi="宋体"/>
                <w:sz w:val="21"/>
                <w:szCs w:val="21"/>
              </w:rPr>
              <w:t xml:space="preserve">数据库五年不限次数响应服务，响应时间为</w:t>
            </w:r>
            <w:r>
              <w:rPr>
                <w:rFonts w:ascii="宋体" w:hAnsi="宋体"/>
                <w:sz w:val="21"/>
                <w:szCs w:val="21"/>
              </w:rPr>
              <w:t xml:space="preserve">30</w:t>
            </w:r>
            <w:r>
              <w:rPr>
                <w:rFonts w:hint="eastAsia" w:ascii="宋体" w:hAnsi="宋体"/>
                <w:sz w:val="21"/>
                <w:szCs w:val="21"/>
              </w:rPr>
              <w:t xml:space="preserve">分钟，</w:t>
            </w:r>
            <w:bookmarkStart w:id="121" w:name="OLE_LINK37"/>
            <w:r/>
            <w:bookmarkStart w:id="122" w:name="OLE_LINK39"/>
            <w:r>
              <w:rPr>
                <w:rFonts w:ascii="宋体" w:hAnsi="宋体"/>
                <w:sz w:val="21"/>
                <w:szCs w:val="21"/>
              </w:rPr>
              <w:t xml:space="preserve">4</w:t>
            </w:r>
            <w:r>
              <w:rPr>
                <w:rFonts w:hint="eastAsia" w:ascii="宋体" w:hAnsi="宋体"/>
                <w:sz w:val="21"/>
                <w:szCs w:val="21"/>
              </w:rPr>
              <w:t xml:space="preserve">小时内到达</w:t>
            </w:r>
            <w:bookmarkEnd w:id="121"/>
            <w:r/>
            <w:bookmarkEnd w:id="122"/>
            <w:r>
              <w:rPr>
                <w:rFonts w:hint="eastAsia" w:ascii="宋体" w:hAnsi="宋体"/>
                <w:sz w:val="21"/>
                <w:szCs w:val="21"/>
              </w:rPr>
              <w:t xml:space="preserve">用户现场；</w:t>
            </w:r>
            <w:r/>
          </w:p>
          <w:p>
            <w:pPr>
              <w:numPr>
                <w:ilvl w:val="0"/>
                <w:numId w:val="3"/>
              </w:numPr>
              <w:ind w:left="0"/>
              <w:jc w:val="left"/>
              <w:spacing w:line="360" w:lineRule="auto"/>
              <w:rPr>
                <w:rFonts w:ascii="宋体" w:hAnsi="宋体"/>
                <w:sz w:val="21"/>
                <w:szCs w:val="21"/>
              </w:rPr>
            </w:pPr>
            <w:r>
              <w:rPr>
                <w:rFonts w:hint="eastAsia" w:ascii="宋体" w:hAnsi="宋体"/>
                <w:sz w:val="21"/>
                <w:szCs w:val="21"/>
              </w:rPr>
              <w:t xml:space="preserve">每年不少于12</w:t>
            </w:r>
            <w:r>
              <w:rPr>
                <w:rFonts w:hint="eastAsia" w:ascii="宋体" w:hAnsi="宋体"/>
                <w:sz w:val="21"/>
                <w:szCs w:val="21"/>
              </w:rPr>
              <w:t xml:space="preserve">次</w:t>
            </w:r>
            <w:r>
              <w:rPr>
                <w:rFonts w:hint="eastAsia" w:ascii="宋体" w:hAnsi="宋体"/>
                <w:sz w:val="21"/>
                <w:szCs w:val="21"/>
              </w:rPr>
              <w:t xml:space="preserve">数据库巡检服务；</w:t>
            </w:r>
            <w:r/>
          </w:p>
          <w:p>
            <w:pPr>
              <w:numPr>
                <w:ilvl w:val="0"/>
                <w:numId w:val="3"/>
              </w:numPr>
              <w:ind w:left="0"/>
              <w:jc w:val="left"/>
              <w:spacing w:line="360" w:lineRule="auto"/>
              <w:rPr>
                <w:rFonts w:ascii="宋体" w:hAnsi="宋体"/>
                <w:sz w:val="21"/>
                <w:szCs w:val="21"/>
              </w:rPr>
            </w:pPr>
            <w:r>
              <w:rPr>
                <w:rFonts w:hint="eastAsia" w:ascii="宋体" w:hAnsi="宋体"/>
                <w:sz w:val="21"/>
                <w:szCs w:val="21"/>
              </w:rPr>
              <w:t xml:space="preserve">数据库补丁升级服务；</w:t>
            </w:r>
            <w:r/>
          </w:p>
        </w:tc>
      </w:tr>
    </w:tbl>
    <w:p>
      <w:pPr>
        <w:ind w:left="0"/>
        <w:spacing w:line="360" w:lineRule="auto"/>
        <w:widowControl w:val="off"/>
        <w:rPr>
          <w:rFonts w:ascii="宋体" w:hAnsi="宋体"/>
          <w:sz w:val="21"/>
          <w:szCs w:val="21"/>
        </w:rPr>
      </w:pPr>
      <w:r>
        <w:rPr>
          <w:rFonts w:ascii="宋体" w:hAnsi="宋体"/>
          <w:sz w:val="21"/>
          <w:szCs w:val="21"/>
        </w:rPr>
      </w:r>
      <w:r/>
    </w:p>
    <w:p>
      <w:pPr>
        <w:numPr>
          <w:ilvl w:val="1"/>
          <w:numId w:val="2"/>
        </w:numPr>
        <w:spacing w:line="360" w:lineRule="auto"/>
        <w:widowControl w:val="off"/>
        <w:rPr>
          <w:rFonts w:ascii="宋体" w:hAnsi="宋体"/>
          <w:sz w:val="21"/>
          <w:szCs w:val="21"/>
        </w:rPr>
      </w:pPr>
      <w:r>
        <w:rPr>
          <w:rFonts w:hint="eastAsia" w:ascii="宋体" w:hAnsi="宋体"/>
          <w:sz w:val="21"/>
          <w:szCs w:val="21"/>
        </w:rPr>
        <w:t xml:space="preserve">数据容灾备份服务</w:t>
      </w:r>
      <w:r/>
    </w:p>
    <w:tbl>
      <w:tblPr>
        <w:tblW w:w="5000" w:type="pct"/>
        <w:tblLook w:val="04A0" w:firstRow="1" w:lastRow="0" w:firstColumn="1" w:lastColumn="0" w:noHBand="0" w:noVBand="1"/>
      </w:tblPr>
      <w:tblGrid>
        <w:gridCol w:w="1839"/>
        <w:gridCol w:w="8015"/>
      </w:tblGrid>
      <w:tr>
        <w:trPr>
          <w:trHeight w:val="280"/>
        </w:trPr>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指标项</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技术规格要求</w:t>
            </w:r>
            <w:r/>
          </w:p>
        </w:tc>
      </w:tr>
      <w:tr>
        <w:trPr>
          <w:trHeight w:val="2467"/>
        </w:trPr>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提供</w:t>
            </w:r>
            <w:r>
              <w:rPr>
                <w:rFonts w:hint="eastAsia" w:ascii="宋体" w:hAnsi="宋体"/>
                <w:sz w:val="21"/>
                <w:szCs w:val="21"/>
              </w:rPr>
              <w:t xml:space="preserve">容灾备份服务，服务内容包括：</w:t>
            </w:r>
            <w:r/>
          </w:p>
          <w:p>
            <w:pPr>
              <w:numPr>
                <w:ilvl w:val="0"/>
                <w:numId w:val="4"/>
              </w:numPr>
              <w:ind w:left="0"/>
              <w:spacing w:line="360" w:lineRule="auto"/>
              <w:rPr>
                <w:rFonts w:ascii="宋体" w:hAnsi="宋体"/>
                <w:sz w:val="21"/>
                <w:szCs w:val="21"/>
              </w:rPr>
            </w:pPr>
            <w:r>
              <w:rPr>
                <w:rFonts w:hint="eastAsia" w:ascii="宋体" w:hAnsi="宋体"/>
                <w:sz w:val="21"/>
                <w:szCs w:val="21"/>
              </w:rPr>
              <w:t xml:space="preserve">备份日常工作值守服务</w:t>
            </w:r>
            <w:r/>
          </w:p>
          <w:p>
            <w:pPr>
              <w:numPr>
                <w:ilvl w:val="0"/>
                <w:numId w:val="4"/>
              </w:numPr>
              <w:ind w:left="0"/>
              <w:spacing w:line="360" w:lineRule="auto"/>
              <w:rPr>
                <w:rFonts w:ascii="宋体" w:hAnsi="宋体"/>
                <w:sz w:val="21"/>
                <w:szCs w:val="21"/>
              </w:rPr>
            </w:pPr>
            <w:r>
              <w:rPr>
                <w:rFonts w:hint="eastAsia" w:ascii="宋体" w:hAnsi="宋体"/>
                <w:sz w:val="21"/>
                <w:szCs w:val="21"/>
              </w:rPr>
              <w:t xml:space="preserve">备份软件故障排查服务</w:t>
            </w:r>
            <w:r/>
          </w:p>
          <w:p>
            <w:pPr>
              <w:numPr>
                <w:ilvl w:val="0"/>
                <w:numId w:val="4"/>
              </w:numPr>
              <w:ind w:left="0"/>
              <w:spacing w:line="360" w:lineRule="auto"/>
              <w:rPr>
                <w:rFonts w:ascii="宋体" w:hAnsi="宋体"/>
                <w:sz w:val="21"/>
                <w:szCs w:val="21"/>
              </w:rPr>
            </w:pPr>
            <w:r>
              <w:rPr>
                <w:rFonts w:hint="eastAsia" w:ascii="宋体" w:hAnsi="宋体"/>
                <w:sz w:val="21"/>
                <w:szCs w:val="21"/>
              </w:rPr>
              <w:t xml:space="preserve">备份软件产品安装部署服务</w:t>
            </w:r>
            <w:r/>
          </w:p>
          <w:p>
            <w:pPr>
              <w:numPr>
                <w:ilvl w:val="0"/>
                <w:numId w:val="4"/>
              </w:numPr>
              <w:ind w:left="0"/>
              <w:spacing w:line="360" w:lineRule="auto"/>
              <w:rPr>
                <w:rFonts w:ascii="宋体" w:hAnsi="宋体"/>
                <w:sz w:val="21"/>
                <w:szCs w:val="21"/>
              </w:rPr>
            </w:pPr>
            <w:r>
              <w:rPr>
                <w:rFonts w:hint="eastAsia" w:ascii="宋体" w:hAnsi="宋体"/>
                <w:sz w:val="21"/>
                <w:szCs w:val="21"/>
              </w:rPr>
              <w:t xml:space="preserve">数据库备份恢复服务</w:t>
            </w:r>
            <w:r/>
          </w:p>
          <w:p>
            <w:pPr>
              <w:numPr>
                <w:ilvl w:val="0"/>
                <w:numId w:val="4"/>
              </w:numPr>
              <w:ind w:left="0"/>
              <w:spacing w:line="360" w:lineRule="auto"/>
              <w:rPr>
                <w:rFonts w:ascii="宋体" w:hAnsi="宋体"/>
                <w:sz w:val="21"/>
                <w:szCs w:val="21"/>
              </w:rPr>
            </w:pPr>
            <w:r>
              <w:rPr>
                <w:rFonts w:hint="eastAsia" w:ascii="宋体" w:hAnsi="宋体"/>
                <w:sz w:val="21"/>
                <w:szCs w:val="21"/>
              </w:rPr>
              <w:t xml:space="preserve">备份容灾还原演练服务</w:t>
            </w:r>
            <w:r/>
          </w:p>
          <w:p>
            <w:pPr>
              <w:numPr>
                <w:ilvl w:val="0"/>
                <w:numId w:val="4"/>
              </w:numPr>
              <w:ind w:left="0"/>
              <w:spacing w:line="360" w:lineRule="auto"/>
              <w:rPr>
                <w:rFonts w:ascii="宋体" w:hAnsi="宋体"/>
                <w:sz w:val="21"/>
                <w:szCs w:val="21"/>
              </w:rPr>
            </w:pPr>
            <w:r>
              <w:rPr>
                <w:rFonts w:hint="eastAsia" w:ascii="宋体" w:hAnsi="宋体"/>
                <w:sz w:val="21"/>
                <w:szCs w:val="21"/>
              </w:rPr>
              <w:t xml:space="preserve">重要时期的安全保障</w:t>
            </w:r>
            <w:r/>
          </w:p>
          <w:p>
            <w:pPr>
              <w:numPr>
                <w:ilvl w:val="0"/>
                <w:numId w:val="4"/>
              </w:numPr>
              <w:ind w:left="0"/>
              <w:spacing w:line="360" w:lineRule="auto"/>
              <w:rPr>
                <w:rFonts w:ascii="宋体" w:hAnsi="宋体"/>
                <w:sz w:val="21"/>
                <w:szCs w:val="21"/>
              </w:rPr>
            </w:pPr>
            <w:r>
              <w:rPr>
                <w:rFonts w:hint="eastAsia" w:ascii="宋体" w:hAnsi="宋体"/>
                <w:sz w:val="21"/>
                <w:szCs w:val="21"/>
              </w:rPr>
              <w:t xml:space="preserve">备份性能、存储资源优化</w:t>
            </w:r>
            <w:r/>
          </w:p>
          <w:p>
            <w:pPr>
              <w:numPr>
                <w:ilvl w:val="0"/>
                <w:numId w:val="4"/>
              </w:numPr>
              <w:ind w:left="0"/>
              <w:spacing w:line="360" w:lineRule="auto"/>
              <w:rPr>
                <w:rFonts w:ascii="宋体" w:hAnsi="宋体"/>
                <w:sz w:val="21"/>
                <w:szCs w:val="21"/>
              </w:rPr>
            </w:pPr>
            <w:r>
              <w:rPr>
                <w:rFonts w:hint="eastAsia" w:ascii="宋体" w:hAnsi="宋体"/>
                <w:sz w:val="21"/>
                <w:szCs w:val="21"/>
              </w:rPr>
              <w:t xml:space="preserve">软件版本升级服务</w:t>
            </w:r>
            <w:r/>
          </w:p>
          <w:p>
            <w:pPr>
              <w:ind w:left="0"/>
              <w:spacing w:line="360" w:lineRule="auto"/>
              <w:rPr>
                <w:rFonts w:ascii="宋体" w:hAnsi="宋体"/>
                <w:sz w:val="21"/>
                <w:szCs w:val="21"/>
              </w:rPr>
            </w:pPr>
            <w:r>
              <w:rPr>
                <w:rFonts w:hint="eastAsia" w:ascii="宋体" w:hAnsi="宋体"/>
                <w:sz w:val="21"/>
                <w:szCs w:val="21"/>
              </w:rPr>
              <w:t xml:space="preserve">9、备份调研评估</w:t>
            </w:r>
            <w:r/>
          </w:p>
          <w:p>
            <w:pPr>
              <w:pStyle w:val="875"/>
              <w:ind w:left="0" w:firstLine="0"/>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五年服务，</w:t>
            </w:r>
            <w:r>
              <w:rPr>
                <w:rFonts w:hint="eastAsia" w:ascii="宋体" w:hAnsi="宋体"/>
                <w:color w:val="000000"/>
                <w:sz w:val="21"/>
                <w:szCs w:val="21"/>
              </w:rPr>
              <w:t xml:space="preserve">半小时内响应、4小时内到达现场</w:t>
            </w:r>
            <w:r/>
          </w:p>
        </w:tc>
      </w:tr>
    </w:tbl>
    <w:p>
      <w:pPr>
        <w:pStyle w:val="889"/>
        <w:ind w:firstLine="420"/>
        <w:rPr>
          <w:rFonts w:ascii="宋体" w:hAnsi="宋体"/>
          <w:sz w:val="21"/>
          <w:szCs w:val="21"/>
        </w:rPr>
      </w:pPr>
      <w:r>
        <w:rPr>
          <w:rFonts w:ascii="宋体" w:hAnsi="宋体"/>
          <w:sz w:val="21"/>
          <w:szCs w:val="21"/>
        </w:rPr>
      </w:r>
      <w:r/>
    </w:p>
    <w:p>
      <w:pPr>
        <w:pStyle w:val="889"/>
        <w:ind w:firstLine="420"/>
        <w:rPr>
          <w:rFonts w:ascii="宋体" w:hAnsi="宋体"/>
          <w:sz w:val="21"/>
          <w:szCs w:val="21"/>
        </w:rPr>
      </w:pPr>
      <w:r>
        <w:rPr>
          <w:rFonts w:hint="eastAsia" w:ascii="宋体" w:hAnsi="宋体"/>
          <w:sz w:val="21"/>
          <w:szCs w:val="21"/>
        </w:rPr>
        <w:t xml:space="preserve">2、AI服务器</w:t>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AI服务器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8080"/>
      </w:tblGrid>
      <w:tr>
        <w:trPr/>
        <w:tc>
          <w:tcPr>
            <w:shd w:val="clear" w:color="auto" w:fill="d8d8d8" w:themeFill="background1" w:themeFillShade="D8"/>
            <w:tcW w:w="1838"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指标项</w:t>
            </w:r>
            <w:r/>
          </w:p>
        </w:tc>
        <w:tc>
          <w:tcPr>
            <w:shd w:val="clear" w:color="auto" w:fill="d8d8d8" w:themeFill="background1" w:themeFillShade="D8"/>
            <w:tcW w:w="808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技术规格及参数</w:t>
            </w:r>
            <w:r/>
          </w:p>
        </w:tc>
      </w:tr>
      <w:tr>
        <w:trPr/>
        <w:tc>
          <w:tcPr>
            <w:tcW w:w="1838"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AI服务器</w:t>
            </w:r>
            <w:r/>
          </w:p>
        </w:tc>
        <w:tc>
          <w:tcPr>
            <w:tcW w:w="8080"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1、总体要求：国产品牌，≤4U机架式服务器；</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2、处理器：配置≥4颗国产化ARM架构CPU处理器，单颗处理器物理核心数≥48核，主频≥2.6GHz，CPU符合安全可靠测评要求。</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3、内存：配置≥1024GB DDR4内存；</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4、硬盘：支持热插拔SATA/NVMe/SSD硬盘，硬盘配置：2块≥960G SSD企业级硬盘，2块≥3840G NVNe SSD企业级硬盘；</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5、AI处理器：配置≥8块AI处理器，（单个AI处理器非稀疏算力不低于280TFLOPS@FP16，内存≥64GB HBM）。</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6、AI处理器：AI处理器间支持8卡fullmesh全互联，芯片互联带宽不低于390GB/s, AI处理器直出200GE网络接口保证节点间互联带宽。</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7、网络：配置≥8个200GE 网口（含200G光模块）；≥4个25GE网口（含25G光模块）；</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8、RAID卡：支持RAID 0, 1, 5, 6, 10, 50, 60；4GB Cache，配置超级电容掉电保护</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9、可管理性：服务器管理系统支持国产自研管理芯片，管理芯片厂家为国产厂家；</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10、自主可控：推理服务器的AI处理器和CPU均为国产自主可控,且采用同一厂商开发设计。</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11、电源：配置≥4块2600W交流电源模块，支持冗余；</w:t>
            </w:r>
            <w:r/>
          </w:p>
        </w:tc>
      </w:tr>
      <w:tr>
        <w:trPr/>
        <w:tc>
          <w:tcPr>
            <w:tcW w:w="1838"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服务</w:t>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pStyle w:val="889"/>
        <w:ind w:firstLine="420"/>
        <w:rPr>
          <w:rFonts w:ascii="宋体" w:hAnsi="宋体"/>
          <w:color w:val="000000"/>
          <w:sz w:val="21"/>
          <w:szCs w:val="21"/>
        </w:rPr>
      </w:pPr>
      <w:r>
        <w:rPr>
          <w:rFonts w:ascii="宋体" w:hAnsi="宋体"/>
          <w:color w:val="000000"/>
          <w:sz w:val="21"/>
          <w:szCs w:val="21"/>
        </w:rPr>
      </w:r>
      <w:r/>
    </w:p>
    <w:p>
      <w:pPr>
        <w:pStyle w:val="889"/>
        <w:ind w:firstLine="420"/>
        <w:rPr>
          <w:rFonts w:ascii="宋体" w:hAnsi="宋体"/>
          <w:color w:val="000000"/>
          <w:sz w:val="21"/>
          <w:szCs w:val="21"/>
        </w:rPr>
      </w:pPr>
      <w:r>
        <w:rPr>
          <w:rFonts w:hint="eastAsia" w:ascii="宋体" w:hAnsi="宋体"/>
          <w:color w:val="000000"/>
          <w:sz w:val="21"/>
          <w:szCs w:val="21"/>
        </w:rPr>
        <w:t xml:space="preserve">3、网络线路</w:t>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VPN专线</w:t>
      </w:r>
      <w:r/>
    </w:p>
    <w:tbl>
      <w:tblPr>
        <w:tblW w:w="9923" w:type="dxa"/>
        <w:tblInd w:w="-5" w:type="dxa"/>
        <w:tblLook w:val="04A0" w:firstRow="1" w:lastRow="0" w:firstColumn="1" w:lastColumn="0" w:noHBand="0" w:noVBand="1"/>
      </w:tblPr>
      <w:tblGrid>
        <w:gridCol w:w="1843"/>
        <w:gridCol w:w="8080"/>
      </w:tblGrid>
      <w:tr>
        <w:trPr>
          <w:trHeight w:val="740"/>
        </w:trPr>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指标项</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技术规格及参数</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jc w:val="center"/>
              <w:spacing w:line="360" w:lineRule="auto"/>
              <w:rPr>
                <w:rFonts w:ascii="宋体" w:hAnsi="宋体"/>
                <w:color w:val="000000"/>
                <w:sz w:val="21"/>
                <w:szCs w:val="21"/>
                <w:lang w:bidi="ar"/>
              </w:rPr>
            </w:pPr>
            <w:r>
              <w:rPr>
                <w:rFonts w:hint="eastAsia" w:ascii="宋体" w:hAnsi="宋体"/>
                <w:color w:val="000000"/>
                <w:sz w:val="21"/>
                <w:szCs w:val="21"/>
                <w:lang w:bidi="ar"/>
              </w:rPr>
              <w:t xml:space="preserve">VPN专线</w:t>
            </w:r>
            <w:r/>
          </w:p>
        </w:tc>
        <w:tc>
          <w:tcPr>
            <w:shd w:val="clear" w:color="auto" w:fill="auto"/>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一、线路速率不低于200M，77条（社区服务站）；</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二、线路速率不低于500M，13条</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（相城二级医院：1</w:t>
            </w:r>
            <w:r>
              <w:rPr>
                <w:rFonts w:hint="eastAsia" w:ascii="宋体" w:hAnsi="宋体"/>
                <w:bCs/>
                <w:sz w:val="21"/>
                <w:szCs w:val="21"/>
              </w:rPr>
              <w:t xml:space="preserve">、</w:t>
            </w:r>
            <w:r>
              <w:rPr>
                <w:rFonts w:hint="eastAsia" w:ascii="宋体" w:hAnsi="宋体"/>
                <w:bCs/>
                <w:sz w:val="21"/>
                <w:szCs w:val="21"/>
              </w:rPr>
              <w:t xml:space="preserve">苏州市相城区中医医院</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w:t>
            </w:r>
            <w:r>
              <w:rPr>
                <w:rFonts w:hint="eastAsia" w:ascii="宋体" w:hAnsi="宋体"/>
                <w:bCs/>
                <w:sz w:val="21"/>
                <w:szCs w:val="21"/>
              </w:rPr>
              <w:t xml:space="preserve">苏州市相城区第二人民医院</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w:t>
            </w:r>
            <w:r>
              <w:rPr>
                <w:rFonts w:hint="eastAsia" w:ascii="宋体" w:hAnsi="宋体"/>
                <w:bCs/>
                <w:sz w:val="21"/>
                <w:szCs w:val="21"/>
              </w:rPr>
              <w:t xml:space="preserve">苏州市相城区第三人民医院</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4</w:t>
            </w:r>
            <w:r>
              <w:rPr>
                <w:rFonts w:hint="eastAsia" w:ascii="宋体" w:hAnsi="宋体"/>
                <w:bCs/>
                <w:sz w:val="21"/>
                <w:szCs w:val="21"/>
              </w:rPr>
              <w:t xml:space="preserve">、</w:t>
            </w:r>
            <w:r>
              <w:rPr>
                <w:rFonts w:hint="eastAsia" w:ascii="宋体" w:hAnsi="宋体"/>
                <w:bCs/>
                <w:sz w:val="21"/>
                <w:szCs w:val="21"/>
              </w:rPr>
              <w:t xml:space="preserve">苏州市相城区漕湖人民医院</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5</w:t>
            </w:r>
            <w:r>
              <w:rPr>
                <w:rFonts w:hint="eastAsia" w:ascii="宋体" w:hAnsi="宋体"/>
                <w:bCs/>
                <w:sz w:val="21"/>
                <w:szCs w:val="21"/>
              </w:rPr>
              <w:t xml:space="preserve">、</w:t>
            </w:r>
            <w:r>
              <w:rPr>
                <w:rFonts w:hint="eastAsia" w:ascii="宋体" w:hAnsi="宋体"/>
                <w:bCs/>
                <w:sz w:val="21"/>
                <w:szCs w:val="21"/>
              </w:rPr>
              <w:t xml:space="preserve">苏州市相城区阳澄湖人民医院</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6</w:t>
            </w:r>
            <w:r>
              <w:rPr>
                <w:rFonts w:hint="eastAsia" w:ascii="宋体" w:hAnsi="宋体"/>
                <w:bCs/>
                <w:sz w:val="21"/>
                <w:szCs w:val="21"/>
              </w:rPr>
              <w:t xml:space="preserve">、</w:t>
            </w:r>
            <w:r>
              <w:rPr>
                <w:rFonts w:hint="eastAsia" w:ascii="宋体" w:hAnsi="宋体"/>
                <w:bCs/>
                <w:sz w:val="21"/>
                <w:szCs w:val="21"/>
              </w:rPr>
              <w:t xml:space="preserve">苏州市相城区元和街道社区卫生服务中心</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7</w:t>
            </w:r>
            <w:r>
              <w:rPr>
                <w:rFonts w:hint="eastAsia" w:ascii="宋体" w:hAnsi="宋体"/>
                <w:bCs/>
                <w:sz w:val="21"/>
                <w:szCs w:val="21"/>
              </w:rPr>
              <w:t xml:space="preserve">、</w:t>
            </w:r>
            <w:r>
              <w:rPr>
                <w:rFonts w:hint="eastAsia" w:ascii="宋体" w:hAnsi="宋体"/>
                <w:bCs/>
                <w:sz w:val="21"/>
                <w:szCs w:val="21"/>
              </w:rPr>
              <w:t xml:space="preserve">苏州市相城区太平街道社区卫生服务中心</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8</w:t>
            </w:r>
            <w:r>
              <w:rPr>
                <w:rFonts w:hint="eastAsia" w:ascii="宋体" w:hAnsi="宋体"/>
                <w:bCs/>
                <w:sz w:val="21"/>
                <w:szCs w:val="21"/>
              </w:rPr>
              <w:t xml:space="preserve">、</w:t>
            </w:r>
            <w:r>
              <w:rPr>
                <w:rFonts w:hint="eastAsia" w:ascii="宋体" w:hAnsi="宋体"/>
                <w:bCs/>
                <w:sz w:val="21"/>
                <w:szCs w:val="21"/>
              </w:rPr>
              <w:t xml:space="preserve">苏州市相城区黄桥街道社区卫生服务中心</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9</w:t>
            </w:r>
            <w:r>
              <w:rPr>
                <w:rFonts w:hint="eastAsia" w:ascii="宋体" w:hAnsi="宋体"/>
                <w:bCs/>
                <w:sz w:val="21"/>
                <w:szCs w:val="21"/>
              </w:rPr>
              <w:t xml:space="preserve">、</w:t>
            </w:r>
            <w:r>
              <w:rPr>
                <w:rFonts w:hint="eastAsia" w:ascii="宋体" w:hAnsi="宋体"/>
                <w:bCs/>
                <w:sz w:val="21"/>
                <w:szCs w:val="21"/>
              </w:rPr>
              <w:t xml:space="preserve">苏州市相城区黄埭镇社区卫生服务中心</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10</w:t>
            </w:r>
            <w:r>
              <w:rPr>
                <w:rFonts w:hint="eastAsia" w:ascii="宋体" w:hAnsi="宋体"/>
                <w:bCs/>
                <w:sz w:val="21"/>
                <w:szCs w:val="21"/>
              </w:rPr>
              <w:t xml:space="preserve">、</w:t>
            </w:r>
            <w:r>
              <w:rPr>
                <w:rFonts w:hint="eastAsia" w:ascii="宋体" w:hAnsi="宋体"/>
                <w:bCs/>
                <w:sz w:val="21"/>
                <w:szCs w:val="21"/>
              </w:rPr>
              <w:t xml:space="preserve">苏州市阳澄湖生态休闲旅游度假区卫生院</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11</w:t>
            </w:r>
            <w:r>
              <w:rPr>
                <w:rFonts w:hint="eastAsia" w:ascii="宋体" w:hAnsi="宋体"/>
                <w:bCs/>
                <w:sz w:val="21"/>
                <w:szCs w:val="21"/>
              </w:rPr>
              <w:t xml:space="preserve">、</w:t>
            </w:r>
            <w:r>
              <w:rPr>
                <w:rFonts w:hint="eastAsia" w:ascii="宋体" w:hAnsi="宋体"/>
                <w:bCs/>
                <w:sz w:val="21"/>
                <w:szCs w:val="21"/>
              </w:rPr>
              <w:t xml:space="preserve">苏州市相城区漕湖街道社区卫生服务中心</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12</w:t>
            </w:r>
            <w:r>
              <w:rPr>
                <w:rFonts w:hint="eastAsia" w:ascii="宋体" w:hAnsi="宋体"/>
                <w:bCs/>
                <w:sz w:val="21"/>
                <w:szCs w:val="21"/>
              </w:rPr>
              <w:t xml:space="preserve">、</w:t>
            </w:r>
            <w:r>
              <w:rPr>
                <w:rFonts w:hint="eastAsia" w:ascii="宋体" w:hAnsi="宋体"/>
                <w:bCs/>
                <w:sz w:val="21"/>
                <w:szCs w:val="21"/>
              </w:rPr>
              <w:t xml:space="preserve">苏州市相城区北河泾街道社区卫生服务中心</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13</w:t>
            </w:r>
            <w:r>
              <w:rPr>
                <w:rFonts w:hint="eastAsia" w:ascii="宋体" w:hAnsi="宋体"/>
                <w:bCs/>
                <w:sz w:val="21"/>
                <w:szCs w:val="21"/>
              </w:rPr>
              <w:t xml:space="preserve">、</w:t>
            </w:r>
            <w:r>
              <w:rPr>
                <w:rFonts w:hint="eastAsia" w:ascii="宋体" w:hAnsi="宋体"/>
                <w:bCs/>
                <w:sz w:val="21"/>
                <w:szCs w:val="21"/>
              </w:rPr>
              <w:t xml:space="preserve">苏州市相城区澄阳街道社区卫生服务中心；</w:t>
            </w:r>
            <w:r/>
          </w:p>
          <w:p>
            <w:pPr>
              <w:ind w:left="0"/>
              <w:jc w:val="left"/>
              <w:spacing w:line="360" w:lineRule="auto"/>
              <w:widowControl w:val="off"/>
              <w:rPr>
                <w:rFonts w:ascii="宋体" w:hAnsi="宋体"/>
                <w:bCs/>
                <w:sz w:val="21"/>
                <w:szCs w:val="21"/>
              </w:rPr>
            </w:pPr>
            <w:r>
              <w:rPr>
                <w:rFonts w:hint="eastAsia" w:ascii="宋体" w:hAnsi="宋体"/>
                <w:bCs/>
                <w:sz w:val="21"/>
                <w:szCs w:val="21"/>
              </w:rPr>
              <w:t xml:space="preserve">三、线路速率不低于1000M，1条（相城人民医院）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jc w:val="center"/>
              <w:spacing w:line="360" w:lineRule="auto"/>
              <w:widowControl w:val="off"/>
              <w:rPr>
                <w:rFonts w:ascii="宋体" w:hAnsi="宋体"/>
                <w:color w:val="000000"/>
                <w:sz w:val="21"/>
                <w:szCs w:val="21"/>
                <w:lang w:bidi="ar"/>
              </w:rPr>
            </w:pPr>
            <w:r>
              <w:rPr>
                <w:rFonts w:hint="eastAsia" w:ascii="宋体" w:hAnsi="宋体"/>
                <w:bCs/>
                <w:sz w:val="21"/>
                <w:szCs w:val="21"/>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ind w:left="0"/>
              <w:jc w:val="left"/>
              <w:spacing w:line="360" w:lineRule="auto"/>
              <w:widowControl w:val="off"/>
              <w:rPr>
                <w:rFonts w:ascii="宋体" w:hAnsi="宋体"/>
                <w:color w:val="000000"/>
                <w:sz w:val="21"/>
                <w:szCs w:val="21"/>
                <w:lang w:bidi="ar"/>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pStyle w:val="889"/>
        <w:ind w:firstLine="420"/>
        <w:rPr>
          <w:rFonts w:ascii="宋体" w:hAnsi="宋体"/>
          <w:color w:val="000000"/>
          <w:sz w:val="21"/>
          <w:szCs w:val="21"/>
        </w:rPr>
      </w:pPr>
      <w:r>
        <w:rPr>
          <w:rFonts w:ascii="宋体" w:hAnsi="宋体"/>
          <w:color w:val="000000"/>
          <w:sz w:val="21"/>
          <w:szCs w:val="21"/>
        </w:rPr>
      </w:r>
      <w:r/>
    </w:p>
    <w:p>
      <w:pPr>
        <w:pStyle w:val="889"/>
        <w:ind w:firstLine="420"/>
        <w:rPr>
          <w:rFonts w:ascii="宋体" w:hAnsi="宋体"/>
          <w:color w:val="000000"/>
          <w:sz w:val="21"/>
          <w:szCs w:val="21"/>
        </w:rPr>
      </w:pPr>
      <w:r>
        <w:rPr>
          <w:rFonts w:hint="eastAsia" w:ascii="宋体" w:hAnsi="宋体"/>
          <w:color w:val="000000"/>
          <w:sz w:val="21"/>
          <w:szCs w:val="21"/>
        </w:rPr>
        <w:t xml:space="preserve">4、信创部分</w:t>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信创正版核心业务数据库软件</w:t>
      </w:r>
      <w:r/>
    </w:p>
    <w:tbl>
      <w:tblPr>
        <w:tblW w:w="991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1833"/>
        <w:gridCol w:w="8080"/>
      </w:tblGrid>
      <w:tr>
        <w:trPr>
          <w:trHeight w:val="621"/>
        </w:trPr>
        <w:tc>
          <w:tcPr>
            <w:shd w:val="clear" w:color="auto" w:fill="bfbfbf" w:themeFill="background1" w:themeFillShade="BF"/>
            <w:tcW w:w="183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
                <w:bCs/>
                <w:color w:val="000000"/>
                <w:sz w:val="21"/>
                <w:szCs w:val="21"/>
              </w:rPr>
              <w:t xml:space="preserve">指标项</w:t>
            </w:r>
            <w:r/>
          </w:p>
        </w:tc>
        <w:tc>
          <w:tcPr>
            <w:shd w:val="clear" w:color="auto" w:fill="bfbfbf" w:themeFill="background1" w:themeFillShade="BF"/>
            <w:tcW w:w="808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
                <w:bCs/>
                <w:color w:val="000000"/>
                <w:sz w:val="21"/>
                <w:szCs w:val="21"/>
              </w:rPr>
              <w:t xml:space="preserve">技术规格及参数</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产品合规性</w:t>
            </w:r>
            <w:r/>
          </w:p>
        </w:tc>
        <w:tc>
          <w:tcPr>
            <w:tcW w:w="8080" w:type="dxa"/>
            <w:vAlign w:val="center"/>
            <w:textDirection w:val="lrTb"/>
            <w:noWrap w:val="false"/>
          </w:tcPr>
          <w:p>
            <w:pPr>
              <w:ind w:left="0"/>
              <w:spacing w:line="360" w:lineRule="auto"/>
            </w:pPr>
            <w:r>
              <w:rPr>
                <w:rFonts w:hint="eastAsia" w:ascii="宋体" w:hAnsi="宋体"/>
                <w:sz w:val="21"/>
                <w:szCs w:val="21"/>
              </w:rPr>
              <w:t xml:space="preserve">产品符合安全可靠测评要求，通过中国信息安全测评中心测评，在安全可靠测评结果公告集中式数据库内。</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产品原创性</w:t>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数据库产品拥有自主知识产权，避免潜在的产权纠纷；产品源代码自主代码率不低于99%，具备相应的代码自主率测试报告，以及获得产品原创性测评证书。</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产品创新专利能力</w:t>
            </w:r>
            <w:r/>
          </w:p>
        </w:tc>
        <w:tc>
          <w:tcPr>
            <w:tcW w:w="8080" w:type="dxa"/>
            <w:vAlign w:val="center"/>
            <w:textDirection w:val="lrTb"/>
            <w:noWrap w:val="false"/>
          </w:tcPr>
          <w:p>
            <w:pPr>
              <w:pStyle w:val="1282"/>
              <w:ind w:firstLine="0"/>
              <w:spacing w:line="360" w:lineRule="auto"/>
              <w:rPr>
                <w:rFonts w:hAnsi="宋体" w:cs="宋体"/>
                <w:szCs w:val="21"/>
              </w:rPr>
            </w:pPr>
            <w:r>
              <w:rPr>
                <w:rFonts w:hint="eastAsia" w:hAnsi="宋体" w:cs="宋体"/>
                <w:szCs w:val="21"/>
              </w:rPr>
              <w:t xml:space="preserve">数据库产品获得专利密集型产品认定，且产品所使用的专利总数不少于10个。</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生态兼容</w:t>
            </w:r>
            <w:r/>
          </w:p>
        </w:tc>
        <w:tc>
          <w:tcPr>
            <w:tcW w:w="8080" w:type="dxa"/>
            <w:vAlign w:val="center"/>
            <w:textDirection w:val="lrTb"/>
            <w:noWrap w:val="false"/>
          </w:tcPr>
          <w:p>
            <w:pPr>
              <w:pStyle w:val="1282"/>
              <w:ind w:firstLine="0"/>
              <w:spacing w:line="360" w:lineRule="auto"/>
              <w:rPr>
                <w:rFonts w:hAnsi="宋体" w:cs="宋体"/>
                <w:szCs w:val="21"/>
              </w:rPr>
            </w:pPr>
            <w:r>
              <w:rPr>
                <w:rFonts w:hint="eastAsia" w:hAnsi="宋体" w:cs="宋体"/>
                <w:szCs w:val="21"/>
              </w:rPr>
              <w:t xml:space="preserve">兼容国内主流厂商硬件，支持多种硬件体系，可运行于海光、飞腾、鲲鹏等硬件体系之上；支持多种国产操作系统，如麒麟、统信等。</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基本功能</w:t>
            </w:r>
            <w:r/>
          </w:p>
        </w:tc>
        <w:tc>
          <w:tcPr>
            <w:tcW w:w="8080" w:type="dxa"/>
            <w:vAlign w:val="center"/>
            <w:textDirection w:val="lrTb"/>
            <w:noWrap w:val="false"/>
          </w:tcPr>
          <w:p>
            <w:pPr>
              <w:pStyle w:val="1282"/>
              <w:ind w:firstLine="0"/>
              <w:spacing w:line="360" w:lineRule="auto"/>
              <w:rPr>
                <w:rFonts w:hAnsi="宋体" w:cs="宋体"/>
                <w:szCs w:val="21"/>
              </w:rPr>
            </w:pPr>
            <w:r>
              <w:rPr>
                <w:rFonts w:hint="eastAsia" w:hAnsi="宋体" w:cs="宋体"/>
                <w:szCs w:val="21"/>
              </w:rPr>
              <w:t xml:space="preserve">①支持PLSQL对象，包括函数、存储过程、对象类型体、包、触发器，用于实现复杂判断和运算功能。</w:t>
            </w:r>
            <w:r/>
          </w:p>
          <w:p>
            <w:pPr>
              <w:pStyle w:val="1282"/>
              <w:ind w:firstLine="0"/>
              <w:spacing w:line="360" w:lineRule="auto"/>
              <w:rPr>
                <w:rFonts w:hAnsi="宋体" w:cs="宋体"/>
                <w:szCs w:val="21"/>
              </w:rPr>
            </w:pPr>
            <w:r>
              <w:rPr>
                <w:rFonts w:hint="eastAsia" w:hAnsi="宋体" w:cs="宋体"/>
                <w:szCs w:val="21"/>
              </w:rPr>
              <w:t xml:space="preserve">②支持分区功能。支持范围分区、List分区和hash分区，支持分区索引。</w:t>
            </w:r>
            <w:r/>
          </w:p>
          <w:p>
            <w:pPr>
              <w:pStyle w:val="1282"/>
              <w:ind w:firstLine="0"/>
              <w:spacing w:line="360" w:lineRule="auto"/>
              <w:rPr>
                <w:rFonts w:hAnsi="宋体" w:cs="宋体"/>
                <w:szCs w:val="21"/>
              </w:rPr>
            </w:pPr>
            <w:r>
              <w:rPr>
                <w:rFonts w:hint="eastAsia" w:hAnsi="宋体" w:cs="宋体"/>
                <w:szCs w:val="21"/>
              </w:rPr>
              <w:t xml:space="preserve">③支持物化视图，支持完全、增量、手工、自动、定时、永不刷新，系统的物化视图支持对象类型的表。</w:t>
            </w:r>
            <w:r/>
          </w:p>
          <w:p>
            <w:pPr>
              <w:ind w:left="0"/>
              <w:spacing w:line="360" w:lineRule="auto"/>
              <w:rPr>
                <w:rFonts w:ascii="宋体" w:hAnsi="宋体"/>
                <w:sz w:val="21"/>
                <w:szCs w:val="21"/>
              </w:rPr>
            </w:pPr>
            <w:r>
              <w:rPr>
                <w:rFonts w:hint="eastAsia" w:ascii="宋体" w:hAnsi="宋体"/>
                <w:sz w:val="21"/>
                <w:szCs w:val="21"/>
              </w:rPr>
              <w:t xml:space="preserve">④NDP接口兼容时间间隔数据类型，支持INTERVAL类型的数据库表列元信息的识别与处理，支持INTERVAL类型的输入输出参数的绑定与传输，支持结果集中INTERVAL类型值的解析与处理。</w:t>
            </w:r>
            <w:r/>
          </w:p>
          <w:p>
            <w:pPr>
              <w:ind w:left="0"/>
              <w:spacing w:line="360" w:lineRule="auto"/>
            </w:pPr>
            <w:r>
              <w:rPr>
                <w:rFonts w:hint="eastAsia" w:ascii="宋体" w:hAnsi="宋体"/>
                <w:sz w:val="21"/>
                <w:szCs w:val="21"/>
              </w:rPr>
              <w:t xml:space="preserve">⑤</w:t>
            </w:r>
            <w:r>
              <w:rPr>
                <w:rFonts w:hint="eastAsia" w:ascii="宋体" w:hAnsi="宋体"/>
                <w:sz w:val="21"/>
                <w:szCs w:val="21"/>
              </w:rPr>
              <w:t xml:space="preserve">提供QueryMapping查询映射功能，支持对DQL、DML及特定DDL等SQL语法的解析；支持语句级的Wildcard模式，以实现对表名、列名及变长数组的模糊匹配。</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可靠性</w:t>
            </w:r>
            <w:r/>
          </w:p>
        </w:tc>
        <w:tc>
          <w:tcPr>
            <w:tcW w:w="8080" w:type="dxa"/>
            <w:vAlign w:val="center"/>
            <w:textDirection w:val="lrTb"/>
            <w:noWrap w:val="false"/>
          </w:tcPr>
          <w:p>
            <w:pPr>
              <w:pStyle w:val="1282"/>
              <w:ind w:firstLine="0"/>
              <w:spacing w:line="360" w:lineRule="auto"/>
              <w:rPr>
                <w:rFonts w:hAnsi="宋体" w:cs="宋体"/>
                <w:szCs w:val="21"/>
              </w:rPr>
            </w:pPr>
            <w:r>
              <w:rPr>
                <w:rFonts w:hint="eastAsia" w:hAnsi="宋体" w:cs="宋体"/>
                <w:szCs w:val="21"/>
              </w:rPr>
              <w:t xml:space="preserve">①支持物理备份恢复。支持备份点恢复，时间点恢复，完全恢复；可提供完全恢复模式和指定时间点恢复模式，可恢复到崩溃时间点或指定时间点数据。</w:t>
            </w:r>
            <w:r/>
          </w:p>
          <w:p>
            <w:pPr>
              <w:pStyle w:val="1282"/>
              <w:ind w:firstLine="0"/>
              <w:spacing w:line="360" w:lineRule="auto"/>
              <w:rPr>
                <w:rFonts w:hAnsi="宋体" w:cs="宋体"/>
                <w:szCs w:val="21"/>
              </w:rPr>
            </w:pPr>
            <w:r>
              <w:rPr>
                <w:rFonts w:hint="eastAsia" w:hAnsi="宋体" w:cs="宋体"/>
                <w:szCs w:val="21"/>
              </w:rPr>
              <w:t xml:space="preserve">②支持逻辑备份恢复。可对库、用户、模式、表、选定的数据行进行备份和恢复，支持压缩、加密和并行处理，支持跨平台恢复。</w:t>
            </w:r>
            <w:r/>
          </w:p>
          <w:p>
            <w:pPr>
              <w:pStyle w:val="1282"/>
              <w:ind w:firstLine="0"/>
              <w:spacing w:line="360" w:lineRule="auto"/>
              <w:rPr>
                <w:rFonts w:hAnsi="宋体" w:cs="宋体"/>
                <w:szCs w:val="21"/>
              </w:rPr>
            </w:pPr>
            <w:r>
              <w:rPr>
                <w:rFonts w:hint="eastAsia" w:hAnsi="宋体"/>
                <w:szCs w:val="21"/>
              </w:rPr>
              <w:t xml:space="preserve">③支持数据库逻辑备份和逻辑还原支持命令行下以百分比形式展示进度，展示粒度包括：总体进度展示、单个数据库对象（含表数据）的导出导入进度展示，以便准确把握较大文件备份恢复操作的完成时间以及对系统的影响。</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安全性</w:t>
            </w:r>
            <w:r/>
          </w:p>
        </w:tc>
        <w:tc>
          <w:tcPr>
            <w:tcW w:w="8080"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①支持对指定的表开启防篡改能力，开启后，对重要数据的增、删、改操作，记录篡改校验信息，并提供篡改校验能力。</w:t>
            </w:r>
            <w:r/>
          </w:p>
          <w:p>
            <w:pPr>
              <w:ind w:left="0"/>
              <w:jc w:val="left"/>
              <w:spacing w:line="360" w:lineRule="auto"/>
              <w:rPr>
                <w:rFonts w:ascii="宋体" w:hAnsi="宋体"/>
                <w:sz w:val="21"/>
                <w:szCs w:val="21"/>
              </w:rPr>
            </w:pPr>
            <w:r>
              <w:rPr>
                <w:rFonts w:hint="eastAsia" w:ascii="宋体" w:hAnsi="宋体"/>
                <w:sz w:val="21"/>
                <w:szCs w:val="21"/>
              </w:rPr>
              <w:t xml:space="preserve">②支持对指定的表开启追溯能力，开启后，对数据的变更具有全向追溯能力，能够记录数据变更的历史信息以及相应的操作记录；</w:t>
            </w:r>
            <w:r/>
          </w:p>
          <w:p>
            <w:pPr>
              <w:ind w:left="0"/>
              <w:jc w:val="left"/>
              <w:spacing w:line="360" w:lineRule="auto"/>
              <w:rPr>
                <w:rFonts w:ascii="宋体" w:hAnsi="宋体"/>
                <w:sz w:val="21"/>
                <w:szCs w:val="21"/>
              </w:rPr>
            </w:pPr>
            <w:r>
              <w:rPr>
                <w:rFonts w:hint="eastAsia" w:ascii="宋体" w:hAnsi="宋体"/>
                <w:sz w:val="21"/>
                <w:szCs w:val="21"/>
              </w:rPr>
              <w:t xml:space="preserve">③数据库访问控制文件支持强身份认证，支持的认证方式需包含scram-sha-256、md5、LDAP、SSL和GSSAPI多种方式。</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易运维</w:t>
            </w:r>
            <w:r/>
          </w:p>
        </w:tc>
        <w:tc>
          <w:tcPr>
            <w:tcW w:w="808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①产品具有配套的运维管理平台工具，满足T/CCSA 575-2024《数据库集中运维管理平台技术要求》，且通过中国信通院数据库管理平台基础能力测试。</w:t>
            </w:r>
            <w:r/>
          </w:p>
          <w:p>
            <w:pPr>
              <w:ind w:left="0"/>
              <w:spacing w:line="360" w:lineRule="auto"/>
              <w:rPr>
                <w:rFonts w:ascii="宋体" w:hAnsi="宋体"/>
                <w:sz w:val="21"/>
                <w:szCs w:val="21"/>
              </w:rPr>
            </w:pPr>
            <w:r>
              <w:rPr>
                <w:rFonts w:hint="eastAsia" w:ascii="宋体" w:hAnsi="宋体"/>
                <w:sz w:val="21"/>
                <w:szCs w:val="21"/>
              </w:rPr>
              <w:t xml:space="preserve">②支持生成活动会话历史（Active Session History）报告，可对活动会话每秒采样一次，记录活动会话的等待时间。可自动采集和保存数据，报告支持文本和网页两种形式，支持中文、英文两种语言。</w:t>
            </w:r>
            <w:r/>
          </w:p>
        </w:tc>
      </w:tr>
      <w:tr>
        <w:trPr>
          <w:trHeight w:val="55"/>
        </w:trPr>
        <w:tc>
          <w:tcPr>
            <w:tcW w:w="18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集群软件</w:t>
            </w:r>
            <w:r/>
          </w:p>
        </w:tc>
        <w:tc>
          <w:tcPr>
            <w:tcW w:w="8080"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①集群支持快速切换，在主数据库出现故障时，能够快速切换到备用数据库，保证业务正常运行。</w:t>
            </w:r>
            <w:r/>
          </w:p>
          <w:p>
            <w:pPr>
              <w:ind w:left="0"/>
              <w:jc w:val="left"/>
              <w:spacing w:line="360" w:lineRule="auto"/>
              <w:rPr>
                <w:rFonts w:ascii="宋体" w:hAnsi="宋体"/>
                <w:sz w:val="21"/>
                <w:szCs w:val="21"/>
              </w:rPr>
            </w:pPr>
            <w:r>
              <w:rPr>
                <w:rFonts w:hint="eastAsia" w:ascii="宋体" w:hAnsi="宋体"/>
                <w:sz w:val="21"/>
                <w:szCs w:val="21"/>
              </w:rPr>
              <w:t xml:space="preserve">②集群支持在多网络段IP组网环境中部署，并做到软件层冗余。在多网段有大部分故障的场景下，仍可以找寻可用的网络进行通信，而不会触发集群间的故障转移。</w:t>
            </w:r>
            <w:r/>
          </w:p>
          <w:p>
            <w:pPr>
              <w:ind w:left="0"/>
              <w:jc w:val="left"/>
              <w:spacing w:line="360" w:lineRule="auto"/>
              <w:rPr>
                <w:rFonts w:ascii="宋体" w:hAnsi="宋体"/>
                <w:sz w:val="21"/>
                <w:szCs w:val="21"/>
              </w:rPr>
            </w:pPr>
            <w:r>
              <w:rPr>
                <w:rFonts w:hint="eastAsia" w:ascii="宋体" w:hAnsi="宋体"/>
                <w:sz w:val="21"/>
                <w:szCs w:val="21"/>
              </w:rPr>
              <w:t xml:space="preserve">③OCI接口支持读写分离，可在不改动业务SQL的前提下，将数据库读操作和写操作分流到不同节点处理。包括：支持智能区分读写操作类型，将查询等读语句自动路由至备机；支持精准感知事务上下文，确保写操作及事务内相关语句可正确发往主机；支持集群状态监测机制，可通过设置monitorinterval参数配置监测间隔时间，定时更新在线的主备机状态信息，检测并响应主备角色切换。</w:t>
            </w:r>
            <w:r/>
          </w:p>
        </w:tc>
      </w:tr>
      <w:tr>
        <w:trPr>
          <w:trHeight w:val="55"/>
        </w:trPr>
        <w:tc>
          <w:tcPr>
            <w:tcW w:w="183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szCs w:val="21"/>
              </w:rPr>
              <w:t xml:space="preserve">服务</w:t>
            </w:r>
            <w:r/>
          </w:p>
        </w:tc>
        <w:tc>
          <w:tcPr>
            <w:tcW w:w="808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42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信创正版重要业务数据库软件</w:t>
      </w:r>
      <w:r/>
    </w:p>
    <w:tbl>
      <w:tblPr>
        <w:tblW w:w="5000" w:type="pct"/>
        <w:tblInd w:w="-5" w:type="dxa"/>
        <w:tblLook w:val="04A0" w:firstRow="1" w:lastRow="0" w:firstColumn="1" w:lastColumn="0" w:noHBand="0" w:noVBand="1"/>
      </w:tblPr>
      <w:tblGrid>
        <w:gridCol w:w="1788"/>
        <w:gridCol w:w="8066"/>
      </w:tblGrid>
      <w:tr>
        <w:trPr>
          <w:trHeight w:val="581"/>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line="360" w:lineRule="auto"/>
              <w:widowControl w:val="off"/>
              <w:rPr>
                <w:rFonts w:ascii="宋体" w:hAnsi="宋体"/>
                <w:color w:val="000000"/>
                <w:sz w:val="21"/>
                <w:szCs w:val="21"/>
                <w:lang w:bidi="ar"/>
              </w:rPr>
            </w:pPr>
            <w:r>
              <w:rPr>
                <w:rFonts w:hint="eastAsia" w:ascii="宋体" w:hAnsi="宋体"/>
                <w:b/>
                <w:bCs/>
                <w:color w:val="000000"/>
                <w:sz w:val="21"/>
                <w:szCs w:val="21"/>
              </w:rPr>
              <w:t xml:space="preserve">指标项</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
                <w:bCs/>
                <w:color w:val="000000"/>
                <w:sz w:val="21"/>
                <w:szCs w:val="21"/>
              </w:rPr>
              <w:t xml:space="preserve">技术规格及参数</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产品属性</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产品需为国产集中式关系型数据库。</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安可目录</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数据库产品通过中国信息安全测评中心或国家保密科技测评中心的安全可靠评测，且在集中式数据库目录中。</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技术路线</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数据库属于opengauss技术路线。</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信创性能</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针对国产处理器平台有专门的优化技术，要求在2路国产处理器平台上TPCC测试中100仓数据量性能能达到150万tpmC以上</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全文检索</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支持B-TREE索引、GIN倒排索引、Gist空间索引、UBtree等多种索引访问方式。支持同一模式（schema）下不同表创建同名索引，支持中文的全文检索功能，能够支持like操作符的全文检索，中文全文检索功能不依赖中文词典。</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内存引擎</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内置内存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存储引擎</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基于数据库内核本身，不通过插件或第三方软件即可实现在同一数据库实例中，同时支持行存表和列存表，可通过查看表详情或内置视图明确该表属于行存还是列存形态。在同一个事务中，可分别对行存表和列存表进行增删改查操作，并且支持将行存表与列存表进行多表关联查询操作。</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数据压缩</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支持表压缩功能，能够分别支持行存表压缩和列存表压缩。</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智能优化</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支持AI功能,通过结合深度强化学习和全局搜索算法等AI技术，实现在无需人工干</w:t>
            </w:r>
            <w:r>
              <w:rPr>
                <w:rFonts w:hint="eastAsia" w:ascii="宋体" w:hAnsi="宋体"/>
                <w:bCs/>
                <w:sz w:val="21"/>
                <w:szCs w:val="21"/>
              </w:rPr>
              <w:t xml:space="preserve">预的情况下，获取最佳数据库参数配置。索引推荐功能支持用户在数据库中直接进行操作，对用户输入的单条查询语句生成推荐的索引。</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查询优化</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对于简单sql，可跳过执行器执行框架，并且直接调用存储接口，加速简单查询的执行速度。</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数据防篡改</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支持账本数据库，具备数据防篡改能力，自动为表数据添加摘要信息，自动创建一张历史表记录对应用户表中数据的变更行为，确保数据库的变更能被有效记录、查询和追溯。</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索引支持</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数据库支持向量数据的存储使用能力，支持向量索引，且向量索引支持并行创建，提升处理大规模向量数 据集的效率。</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数据复制</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数据库软件自身具有对象和数据的同步复制功能，无需通过额外的同步软件即可支持表中数据的实时双向复</w:t>
            </w:r>
            <w:r>
              <w:rPr>
                <w:rFonts w:hint="eastAsia" w:ascii="宋体" w:hAnsi="宋体"/>
                <w:bCs/>
                <w:sz w:val="21"/>
                <w:szCs w:val="21"/>
              </w:rPr>
              <w:t xml:space="preserve">制、实时单向复制，且可支持在ARM硬件和X86平台之间的表中数据的实时双向复制、实时单向复制。支持CREATE/DROP/ALTER/TRUNCATE/RENAME TABLE、CREATE/DROP/ALTER/TRUNCATE TABLE PARTITION、CREATE/DROP/ALTER/TRUNCATE TABLE SUBPARTITION，CREATE/ALTER/DROP INDEX，CREATE/DROP FUNCTION，CREATE/DROP PROCEDURE的DDL操作的同步复制。</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坏块修复</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数据库内核自带检测坏块函数，可以通过该内置函数发现丢失的文件，并可以修复。对于表文件损坏的页面，不借助任何工具通过备库自动修复。</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读写性能</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数据库产品支持批量写入和批量读取接口 API，按单表(表宽不少于 50 列,行平均大小不低于 300 字节规格)批量写入性能达到 10万行以上/秒，读取能力达到30万行以上/秒。</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并发性能</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在2路国产处理器平台上，在不低于100张千万行表的数据规模下，持续10分钟的不低于1000并发操作，数据库的批量数据插入的事务处理能力可达120万次/秒、单值插入数据的的事务处理能力可达10万次/秒、删除数据的事务处理能力可达60万次/秒、单值数据查询的事务处理能力可达100万次/秒。</w:t>
            </w:r>
            <w:r/>
          </w:p>
        </w:tc>
      </w:tr>
      <w:tr>
        <w:trPr/>
        <w:tc>
          <w:tcPr>
            <w:shd w:val="clear" w:color="auto"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spacing w:line="360" w:lineRule="auto"/>
              <w:widowControl w:val="off"/>
              <w:rPr>
                <w:rFonts w:ascii="宋体" w:hAnsi="宋体"/>
                <w:sz w:val="21"/>
                <w:szCs w:val="21"/>
                <w:lang w:bidi="ar"/>
              </w:rPr>
            </w:pPr>
            <w:r>
              <w:rPr>
                <w:rFonts w:hint="eastAsia" w:ascii="宋体" w:hAnsi="宋体"/>
                <w:bCs/>
                <w:sz w:val="21"/>
                <w:szCs w:val="21"/>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pStyle w:val="889"/>
      </w:p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信创中间件</w:t>
      </w:r>
      <w:r/>
    </w:p>
    <w:tbl>
      <w:tblPr>
        <w:tblStyle w:val="923"/>
        <w:tblW w:w="5000" w:type="pct"/>
        <w:tblInd w:w="-5" w:type="dxa"/>
        <w:tblCellMar>
          <w:left w:w="108" w:type="dxa"/>
          <w:right w:w="108" w:type="dxa"/>
        </w:tblCellMar>
        <w:tblLook w:val="04A0" w:firstRow="1" w:lastRow="0" w:firstColumn="1" w:lastColumn="0" w:noHBand="0" w:noVBand="1"/>
      </w:tblPr>
      <w:tblGrid>
        <w:gridCol w:w="1689"/>
        <w:gridCol w:w="8165"/>
      </w:tblGrid>
      <w:tr>
        <w:trPr>
          <w:trHeight w:val="651"/>
        </w:trPr>
        <w:tc>
          <w:tcPr>
            <w:shd w:val="clear" w:color="auto" w:fill="d8d8d8" w:themeFill="background1" w:themeFillShade="D8"/>
            <w:tcW w:w="857" w:type="pct"/>
            <w:vAlign w:val="center"/>
            <w:textDirection w:val="lrTb"/>
            <w:noWrap w:val="false"/>
          </w:tcPr>
          <w:p>
            <w:pPr>
              <w:ind w:left="0"/>
              <w:jc w:val="center"/>
              <w:spacing w:line="360" w:lineRule="auto"/>
              <w:rPr>
                <w:rFonts w:ascii="宋体" w:hAnsi="宋体"/>
                <w:sz w:val="24"/>
                <w:szCs w:val="24"/>
                <w14:ligatures w14:val="standardContextual"/>
              </w:rPr>
            </w:pPr>
            <w:r>
              <w:rPr>
                <w:rFonts w:hint="eastAsia" w:ascii="宋体" w:hAnsi="宋体"/>
                <w:b/>
                <w:bCs/>
                <w:color w:val="000000"/>
                <w:sz w:val="21"/>
                <w:szCs w:val="21"/>
              </w:rPr>
              <w:t xml:space="preserve">指标项</w:t>
            </w:r>
            <w:r/>
          </w:p>
        </w:tc>
        <w:tc>
          <w:tcPr>
            <w:shd w:val="clear" w:color="auto" w:fill="d8d8d8" w:themeFill="background1" w:themeFillShade="D8"/>
            <w:tcW w:w="4143" w:type="pct"/>
            <w:vAlign w:val="center"/>
            <w:textDirection w:val="lrTb"/>
            <w:noWrap w:val="false"/>
          </w:tcPr>
          <w:p>
            <w:pPr>
              <w:ind w:left="0"/>
              <w:jc w:val="center"/>
              <w:spacing w:line="360" w:lineRule="auto"/>
              <w:rPr>
                <w:rFonts w:ascii="宋体" w:hAnsi="宋体"/>
                <w:sz w:val="24"/>
                <w:szCs w:val="24"/>
                <w14:ligatures w14:val="standardContextual"/>
              </w:rPr>
            </w:pPr>
            <w:r>
              <w:rPr>
                <w:rFonts w:hint="eastAsia" w:ascii="宋体" w:hAnsi="宋体"/>
                <w:b/>
                <w:bCs/>
                <w:color w:val="000000"/>
                <w:sz w:val="21"/>
                <w:szCs w:val="21"/>
              </w:rPr>
              <w:t xml:space="preserve">技术规格及参数</w:t>
            </w:r>
            <w:r/>
          </w:p>
        </w:tc>
      </w:tr>
      <w:tr>
        <w:trPr/>
        <w:tc>
          <w:tcPr>
            <w:tcW w:w="857" w:type="pct"/>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软件成熟度</w:t>
            </w:r>
            <w:r/>
          </w:p>
        </w:tc>
        <w:tc>
          <w:tcPr>
            <w:tcW w:w="4143" w:type="pct"/>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自主可控，拥有完全自主知识产权，符合项目国产化建设要求。</w:t>
            </w:r>
            <w:r/>
          </w:p>
        </w:tc>
      </w:tr>
      <w:tr>
        <w:trPr/>
        <w:tc>
          <w:tcPr>
            <w:tcW w:w="857" w:type="pct"/>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行业标准</w:t>
            </w:r>
            <w:r/>
          </w:p>
        </w:tc>
        <w:tc>
          <w:tcPr>
            <w:tcW w:w="4143" w:type="pct"/>
            <w:vAlign w:val="center"/>
            <w:textDirection w:val="lrTb"/>
            <w:noWrap w:val="false"/>
          </w:tcPr>
          <w:p>
            <w:pPr>
              <w:ind w:left="0"/>
              <w:spacing w:line="360" w:lineRule="auto"/>
              <w:rPr>
                <w:rFonts w:ascii="宋体" w:hAnsi="宋体"/>
                <w:bCs/>
                <w:sz w:val="21"/>
                <w:szCs w:val="21"/>
              </w:rPr>
            </w:pPr>
            <w:r>
              <w:rPr>
                <w:rFonts w:ascii="宋体" w:hAnsi="宋体"/>
                <w:bCs/>
                <w:sz w:val="21"/>
                <w:szCs w:val="21"/>
              </w:rPr>
              <w:t xml:space="preserve">兼容适配国产主流软硬件平台，如操作系统:麒麟软件、统信UOS</w:t>
            </w:r>
            <w:r>
              <w:rPr>
                <w:rFonts w:hint="eastAsia" w:ascii="宋体" w:hAnsi="宋体"/>
                <w:bCs/>
                <w:sz w:val="21"/>
                <w:szCs w:val="21"/>
              </w:rPr>
              <w:t xml:space="preserve">等</w:t>
            </w:r>
            <w:r>
              <w:rPr>
                <w:rFonts w:ascii="宋体" w:hAnsi="宋体"/>
                <w:bCs/>
                <w:sz w:val="21"/>
                <w:szCs w:val="21"/>
              </w:rPr>
              <w:t xml:space="preserve">；数据库：达梦、人大金仓、神州通用等；芯片：龙芯、飞腾等。</w:t>
            </w:r>
            <w:r/>
          </w:p>
        </w:tc>
      </w:tr>
      <w:tr>
        <w:trPr/>
        <w:tc>
          <w:tcPr>
            <w:tcW w:w="857" w:type="pct"/>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性能要求</w:t>
            </w:r>
            <w:r/>
          </w:p>
        </w:tc>
        <w:tc>
          <w:tcPr>
            <w:tcW w:w="4143" w:type="pct"/>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为保证系统稳定运行，中间件需具有较高负载能力，要求在麒麟、鲲鹏</w:t>
            </w:r>
            <w:r>
              <w:rPr>
                <w:rFonts w:hint="eastAsia" w:ascii="宋体" w:hAnsi="宋体"/>
                <w:bCs/>
                <w:sz w:val="21"/>
                <w:szCs w:val="21"/>
              </w:rPr>
              <w:t xml:space="preserve">等</w:t>
            </w:r>
            <w:r>
              <w:rPr>
                <w:rFonts w:hint="eastAsia" w:ascii="宋体" w:hAnsi="宋体"/>
                <w:bCs/>
                <w:sz w:val="21"/>
                <w:szCs w:val="21"/>
              </w:rPr>
              <w:t xml:space="preserve">国产环境下，满足一百万在线用户访问能力，且TPS（每秒事务数）大于70000，平均响应时间低于16毫秒，事务通过率100%。</w:t>
            </w:r>
            <w:r/>
          </w:p>
        </w:tc>
      </w:tr>
      <w:tr>
        <w:trPr/>
        <w:tc>
          <w:tcPr>
            <w:tcW w:w="857" w:type="pct"/>
            <w:vAlign w:val="center"/>
            <w:vMerge w:val="continue"/>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tcW w:w="4143" w:type="pct"/>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为确保信创</w:t>
            </w:r>
            <w:r>
              <w:rPr>
                <w:rFonts w:hint="eastAsia" w:ascii="宋体" w:hAnsi="宋体"/>
                <w:bCs/>
                <w:sz w:val="21"/>
                <w:szCs w:val="21"/>
              </w:rPr>
              <w:t xml:space="preserve">改造后新系统性能显著优于老系统，所选中间件产品需与开源 Apache Tomcat 进行严格对比，在国产环境同等硬件及软件配置条件下，必须展现出良好的性能优势，各项性能指标应明显高于 Tomcat。具体性能指标要求如下：静态页面访问与JSP页面访问均≥70000 TPS/S，且性能指标均为Tomcat9.0的130%及以上；日志页面访问与JDBC查询均≥85000 TPS/S ，且性能指标均为Tomcat9.0的250%及以上；Servlet页面访问≥100000TPS/S，且性能指标为Tomcat9.0的</w:t>
            </w:r>
            <w:r>
              <w:rPr>
                <w:rFonts w:hint="eastAsia" w:ascii="宋体" w:hAnsi="宋体"/>
                <w:bCs/>
                <w:sz w:val="21"/>
                <w:szCs w:val="21"/>
              </w:rPr>
              <w:t xml:space="preserve">160%及以上</w:t>
            </w:r>
            <w:r>
              <w:rPr>
                <w:rFonts w:hint="eastAsia" w:ascii="宋体" w:hAnsi="宋体"/>
                <w:bCs/>
                <w:sz w:val="21"/>
                <w:szCs w:val="21"/>
              </w:rPr>
              <w:t xml:space="preserve">。</w:t>
            </w:r>
            <w:r/>
          </w:p>
        </w:tc>
      </w:tr>
      <w:tr>
        <w:trPr/>
        <w:tc>
          <w:tcPr>
            <w:tcW w:w="857" w:type="pct"/>
            <w:vAlign w:val="center"/>
            <w:vMerge w:val="continue"/>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tcW w:w="4143" w:type="pct"/>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中间件厂商具备良好的云原生中间件管理研发能力，具备成熟的云原生中间件管理平台，可实现中间件在云原生环境的统一纳管和运维；</w:t>
            </w:r>
            <w:r/>
          </w:p>
        </w:tc>
      </w:tr>
      <w:tr>
        <w:trPr/>
        <w:tc>
          <w:tcPr>
            <w:tcW w:w="857" w:type="pct"/>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服务</w:t>
            </w:r>
            <w:r/>
          </w:p>
        </w:tc>
        <w:tc>
          <w:tcPr>
            <w:tcW w:w="4143" w:type="pct"/>
            <w:vAlign w:val="center"/>
            <w:textDirection w:val="lrTb"/>
            <w:noWrap w:val="false"/>
          </w:tcPr>
          <w:p>
            <w:pPr>
              <w:ind w:left="0"/>
              <w:jc w:val="left"/>
              <w:spacing w:line="360" w:lineRule="auto"/>
              <w:rPr>
                <w:rFonts w:ascii="宋体" w:hAnsi="宋体"/>
                <w:bCs/>
                <w:sz w:val="21"/>
                <w:szCs w:val="21"/>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0"/>
        <w:spacing w:line="360" w:lineRule="auto"/>
        <w:widowControl w:val="off"/>
        <w:rPr>
          <w:rFonts w:ascii="宋体" w:hAnsi="宋体"/>
          <w:color w:val="000000"/>
          <w:sz w:val="21"/>
          <w:szCs w:val="21"/>
        </w:rPr>
      </w:pPr>
      <w:r>
        <w:rPr>
          <w:rFonts w:ascii="宋体" w:hAnsi="宋体"/>
          <w:color w:val="000000"/>
          <w:sz w:val="21"/>
          <w:szCs w:val="21"/>
        </w:rPr>
      </w:r>
      <w:r/>
    </w:p>
    <w:p>
      <w:pPr>
        <w:numPr>
          <w:ilvl w:val="1"/>
          <w:numId w:val="2"/>
        </w:numPr>
        <w:spacing w:line="360" w:lineRule="auto"/>
        <w:widowControl w:val="off"/>
        <w:rPr>
          <w:rFonts w:ascii="宋体" w:hAnsi="宋体"/>
          <w:color w:val="000000"/>
          <w:sz w:val="21"/>
          <w:szCs w:val="21"/>
        </w:rPr>
      </w:pPr>
      <w:r>
        <w:rPr>
          <w:rFonts w:hint="eastAsia" w:ascii="宋体" w:hAnsi="宋体"/>
          <w:color w:val="000000"/>
          <w:sz w:val="21"/>
          <w:szCs w:val="21"/>
        </w:rPr>
        <w:t xml:space="preserve">国产信创操作系统</w:t>
      </w:r>
      <w:r/>
    </w:p>
    <w:tbl>
      <w:tblPr>
        <w:tblStyle w:val="923"/>
        <w:tblW w:w="9781" w:type="dxa"/>
        <w:tblInd w:w="-5" w:type="dxa"/>
        <w:tblCellMar>
          <w:left w:w="108" w:type="dxa"/>
          <w:right w:w="108" w:type="dxa"/>
        </w:tblCellMar>
        <w:tblLook w:val="04A0" w:firstRow="1" w:lastRow="0" w:firstColumn="1" w:lastColumn="0" w:noHBand="0" w:noVBand="1"/>
      </w:tblPr>
      <w:tblGrid>
        <w:gridCol w:w="1735"/>
        <w:gridCol w:w="8046"/>
      </w:tblGrid>
      <w:tr>
        <w:trPr>
          <w:trHeight w:val="611"/>
        </w:trPr>
        <w:tc>
          <w:tcPr>
            <w:shd w:val="clear" w:color="auto" w:fill="d8d8d8" w:themeFill="background1" w:themeFillShade="D8"/>
            <w:tcW w:w="1735" w:type="dxa"/>
            <w:vAlign w:val="center"/>
            <w:textDirection w:val="lrTb"/>
            <w:noWrap w:val="false"/>
          </w:tcPr>
          <w:p>
            <w:pPr>
              <w:ind w:left="0"/>
              <w:jc w:val="center"/>
              <w:spacing w:line="360" w:lineRule="auto"/>
              <w:rPr>
                <w:rFonts w:ascii="宋体" w:hAnsi="宋体"/>
                <w:sz w:val="24"/>
                <w:szCs w:val="24"/>
              </w:rPr>
            </w:pPr>
            <w:r>
              <w:rPr>
                <w:rFonts w:hint="eastAsia" w:ascii="宋体" w:hAnsi="宋体"/>
                <w:b/>
                <w:bCs/>
                <w:color w:val="000000"/>
                <w:sz w:val="21"/>
                <w:szCs w:val="21"/>
              </w:rPr>
              <w:t xml:space="preserve">指标项</w:t>
            </w:r>
            <w:r/>
          </w:p>
        </w:tc>
        <w:tc>
          <w:tcPr>
            <w:shd w:val="clear" w:color="auto" w:fill="d8d8d8" w:themeFill="background1" w:themeFillShade="D8"/>
            <w:tcW w:w="8046" w:type="dxa"/>
            <w:vAlign w:val="center"/>
            <w:textDirection w:val="lrTb"/>
            <w:noWrap w:val="false"/>
          </w:tcPr>
          <w:p>
            <w:pPr>
              <w:ind w:left="0"/>
              <w:jc w:val="center"/>
              <w:spacing w:line="360" w:lineRule="auto"/>
              <w:rPr>
                <w:rFonts w:ascii="宋体" w:hAnsi="宋体"/>
                <w:sz w:val="24"/>
                <w:szCs w:val="24"/>
              </w:rPr>
            </w:pPr>
            <w:r>
              <w:rPr>
                <w:rFonts w:hint="eastAsia" w:ascii="宋体" w:hAnsi="宋体"/>
                <w:b/>
                <w:bCs/>
                <w:color w:val="000000"/>
                <w:sz w:val="21"/>
                <w:szCs w:val="21"/>
              </w:rPr>
              <w:t xml:space="preserve">技术规格及参数</w:t>
            </w:r>
            <w:r/>
          </w:p>
        </w:tc>
      </w:tr>
      <w:tr>
        <w:trPr/>
        <w:tc>
          <w:tcPr>
            <w:shd w:val="clear" w:color="auto" w:fill="auto"/>
            <w:tcW w:w="1735"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基本功能</w:t>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支持外部函数，包括C语言和Java语言外部函数，并支持在数据库中执行这些外部函数。</w:t>
            </w:r>
            <w:r/>
          </w:p>
        </w:tc>
      </w:tr>
      <w:tr>
        <w:trPr/>
        <w:tc>
          <w:tcPr>
            <w:shd w:val="clear" w:color="auto" w:fill="auto"/>
            <w:tcW w:w="1735" w:type="dxa"/>
            <w:vAlign w:val="center"/>
            <w:vMerge w:val="continue"/>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多版本并发控制（MVCC）机制，实现写操作不阻塞读操作；支持事务管理机制，包括事务提交、事务回滚及回滚至保存点；支持读未提交、读已提交、可串行化等事务隔离级别；支持手动加锁；支持嵌套事务；支持自治事务。</w:t>
            </w:r>
            <w:r/>
          </w:p>
        </w:tc>
      </w:tr>
      <w:tr>
        <w:trPr/>
        <w:tc>
          <w:tcPr>
            <w:shd w:val="clear" w:color="auto" w:fill="auto"/>
            <w:tcW w:w="1735" w:type="dxa"/>
            <w:vAlign w:val="center"/>
            <w:vMerge w:val="continue"/>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支持在线重建索引，且重建过程中不阻塞其他会话对相关表的查询。</w:t>
            </w:r>
            <w:r/>
          </w:p>
        </w:tc>
      </w:tr>
      <w:tr>
        <w:trPr/>
        <w:tc>
          <w:tcPr>
            <w:shd w:val="clear" w:color="auto" w:fill="auto"/>
            <w:tcW w:w="1735" w:type="dxa"/>
            <w:vAlign w:val="center"/>
            <w:vMerge w:val="continue"/>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具备触发器重命名功能，可通过类似ALTER TRIGGER...RENAME TO的语法实现。</w:t>
            </w:r>
            <w:r/>
          </w:p>
        </w:tc>
      </w:tr>
      <w:tr>
        <w:trPr/>
        <w:tc>
          <w:tcPr>
            <w:shd w:val="clear" w:color="auto" w:fill="auto"/>
            <w:tcW w:w="1735"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可靠性</w:t>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支持物理备份与恢复，提供全量、增量、差异备份及恢复能力；支持按指定时间点恢</w:t>
            </w:r>
            <w:r>
              <w:rPr>
                <w:rFonts w:hint="eastAsia" w:ascii="宋体" w:hAnsi="宋体"/>
                <w:bCs/>
                <w:sz w:val="21"/>
                <w:szCs w:val="21"/>
              </w:rPr>
              <w:t xml:space="preserve">复；支持归档备份、自动备份及备份压缩；支持逻辑备份与还原，覆盖数据库级、模式级、用户级、表级。</w:t>
            </w:r>
            <w:r/>
          </w:p>
        </w:tc>
      </w:tr>
      <w:tr>
        <w:trPr/>
        <w:tc>
          <w:tcPr>
            <w:shd w:val="clear" w:color="auto" w:fill="auto"/>
            <w:tcW w:w="1735" w:type="dxa"/>
            <w:vAlign w:val="center"/>
            <w:vMerge w:val="continue"/>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提供数据页级恢复功能，允许从备份中还原并恢复指定的数据页。</w:t>
            </w:r>
            <w:r/>
          </w:p>
        </w:tc>
      </w:tr>
      <w:tr>
        <w:trPr/>
        <w:tc>
          <w:tcPr>
            <w:shd w:val="clear" w:color="auto" w:fill="auto"/>
            <w:tcW w:w="1735"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安全性</w:t>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支持全库加密，可在数据库初始化阶段配置加密选项，支持DES_ECB、DES_CBC等加密类型。</w:t>
            </w:r>
            <w:r/>
          </w:p>
        </w:tc>
      </w:tr>
      <w:tr>
        <w:trPr/>
        <w:tc>
          <w:tcPr>
            <w:shd w:val="clear" w:color="auto" w:fill="auto"/>
            <w:tcW w:w="1735" w:type="dxa"/>
            <w:vAlign w:val="center"/>
            <w:vMerge w:val="continue"/>
            <w:textDirection w:val="lrTb"/>
            <w:noWrap w:val="false"/>
          </w:tcPr>
          <w:p>
            <w:pPr>
              <w:ind w:left="0"/>
              <w:spacing w:line="360" w:lineRule="auto"/>
              <w:rPr>
                <w:rFonts w:ascii="宋体" w:hAnsi="宋体"/>
                <w:sz w:val="24"/>
                <w:szCs w:val="24"/>
              </w:rPr>
            </w:pPr>
            <w:r>
              <w:rPr>
                <w:rFonts w:ascii="宋体" w:hAnsi="宋体"/>
                <w:sz w:val="24"/>
                <w:szCs w:val="24"/>
              </w:rPr>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支持多种身份鉴别方式，包括主机操作系统账户、用户名/口令、SSL证书等。</w:t>
            </w:r>
            <w:r/>
          </w:p>
        </w:tc>
      </w:tr>
      <w:tr>
        <w:trPr/>
        <w:tc>
          <w:tcPr>
            <w:shd w:val="clear" w:color="auto" w:fill="auto"/>
            <w:tcW w:w="1735" w:type="dxa"/>
            <w:vAlign w:val="center"/>
            <w:vMerge w:val="continue"/>
            <w:textDirection w:val="lrTb"/>
            <w:noWrap w:val="false"/>
          </w:tcPr>
          <w:p>
            <w:pPr>
              <w:ind w:left="0"/>
              <w:spacing w:line="360" w:lineRule="auto"/>
              <w:rPr>
                <w:rFonts w:ascii="宋体" w:hAnsi="宋体"/>
                <w:sz w:val="24"/>
                <w:szCs w:val="24"/>
              </w:rPr>
            </w:pPr>
            <w:r>
              <w:rPr>
                <w:rFonts w:ascii="宋体" w:hAnsi="宋体"/>
                <w:sz w:val="24"/>
                <w:szCs w:val="24"/>
              </w:rPr>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支持双密码认证机制，可为同一用户配置主密码和辅助密码，任一密码均可用于登录认证。</w:t>
            </w:r>
            <w:r/>
          </w:p>
        </w:tc>
      </w:tr>
      <w:tr>
        <w:trPr/>
        <w:tc>
          <w:tcPr>
            <w:shd w:val="clear" w:color="auto" w:fill="auto"/>
            <w:tcW w:w="1735"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集群支持</w:t>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支持主备集群自动切换和手工切换功能，当主库发生故障时，系统可自动将备库切换为主库；同时支持通过监控平台执行命令进行手工主备切换。</w:t>
            </w:r>
            <w:r/>
          </w:p>
        </w:tc>
      </w:tr>
      <w:tr>
        <w:trPr/>
        <w:tc>
          <w:tcPr>
            <w:shd w:val="clear" w:color="auto" w:fill="auto"/>
            <w:tcW w:w="1735" w:type="dxa"/>
            <w:vAlign w:val="center"/>
            <w:vMerge w:val="continue"/>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支持至少5种备库复制模式，包括同步复制、异步复制等模式；支持特定备库复制模式之间的在线切换。</w:t>
            </w:r>
            <w:r/>
          </w:p>
        </w:tc>
      </w:tr>
      <w:tr>
        <w:trPr/>
        <w:tc>
          <w:tcPr>
            <w:shd w:val="clear" w:color="auto" w:fill="auto"/>
            <w:tcW w:w="1735"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集群功能</w:t>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支持主备集群自动切换和手工切换功能，当主库发生故障时，系统可自动将备库切换为主库；同时支持通过监控平台执行命令进行手工主备切换。</w:t>
            </w:r>
            <w:r/>
          </w:p>
        </w:tc>
      </w:tr>
      <w:tr>
        <w:trPr/>
        <w:tc>
          <w:tcPr>
            <w:shd w:val="clear" w:color="auto" w:fill="auto"/>
            <w:tcW w:w="1735" w:type="dxa"/>
            <w:vAlign w:val="center"/>
            <w:vMerge w:val="continue"/>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bCs/>
                <w:sz w:val="21"/>
                <w:szCs w:val="21"/>
              </w:rPr>
              <w:t xml:space="preserve">支持至少5种备库复制模式，包括同步复制、异步复制等模式；支持特定备库复制模式之间的在线切换。</w:t>
            </w:r>
            <w:r/>
          </w:p>
        </w:tc>
      </w:tr>
      <w:tr>
        <w:trPr/>
        <w:tc>
          <w:tcPr>
            <w:shd w:val="clear" w:color="auto" w:fill="auto"/>
            <w:tcW w:w="1735"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服务</w:t>
            </w:r>
            <w:r/>
          </w:p>
        </w:tc>
        <w:tc>
          <w:tcPr>
            <w:shd w:val="clear" w:color="auto" w:fill="auto"/>
            <w:tcW w:w="8046" w:type="dxa"/>
            <w:vAlign w:val="center"/>
            <w:textDirection w:val="lrTb"/>
            <w:noWrap w:val="false"/>
          </w:tcPr>
          <w:p>
            <w:pPr>
              <w:ind w:left="0"/>
              <w:jc w:val="left"/>
              <w:spacing w:line="360" w:lineRule="auto"/>
              <w:rPr>
                <w:rFonts w:ascii="宋体" w:hAnsi="宋体"/>
                <w:bCs/>
                <w:sz w:val="21"/>
                <w:szCs w:val="21"/>
              </w:rPr>
            </w:pPr>
            <w:r>
              <w:rPr>
                <w:rFonts w:hint="eastAsia" w:ascii="宋体" w:hAnsi="宋体"/>
                <w:sz w:val="21"/>
                <w:szCs w:val="21"/>
              </w:rPr>
              <w:t xml:space="preserve">五年服务，</w:t>
            </w:r>
            <w:r>
              <w:rPr>
                <w:rFonts w:hint="eastAsia" w:ascii="宋体" w:hAnsi="宋体" w:cs="Times New Roman"/>
                <w:color w:val="000000"/>
                <w:sz w:val="21"/>
                <w:szCs w:val="21"/>
              </w:rPr>
              <w:t xml:space="preserve">半小时内响应、4小时内到达现场</w:t>
            </w:r>
            <w:r/>
          </w:p>
        </w:tc>
      </w:tr>
    </w:tbl>
    <w:p>
      <w:pPr>
        <w:ind w:left="0"/>
        <w:spacing w:line="360" w:lineRule="auto"/>
        <w:tabs>
          <w:tab w:val="left" w:pos="0" w:leader="none"/>
        </w:tabs>
        <w:rPr>
          <w:rFonts w:ascii="宋体" w:hAnsi="宋体"/>
          <w:b/>
          <w:bCs/>
          <w:color w:val="000000"/>
          <w:sz w:val="21"/>
          <w:szCs w:val="21"/>
          <w14:ligatures w14:val="standardContextual"/>
        </w:rPr>
      </w:pPr>
      <w:r>
        <w:rPr>
          <w:rFonts w:ascii="宋体" w:hAnsi="宋体"/>
          <w:b/>
          <w:bCs/>
          <w:color w:val="000000"/>
          <w:sz w:val="21"/>
          <w:szCs w:val="21"/>
          <w14:ligatures w14:val="standardContextual"/>
        </w:rPr>
      </w:r>
      <w:r/>
    </w:p>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服务器产品中带★项，需要满足《通用服务器政府采购需求标准(2023 版)》要求，并在附件8</w:t>
      </w:r>
      <w:r>
        <w:rPr>
          <w:rFonts w:hint="eastAsia" w:ascii="宋体" w:hAnsi="宋体" w:cs="Times New Roman"/>
          <w:b/>
          <w:color w:val="000000"/>
          <w:sz w:val="21"/>
          <w:szCs w:val="21"/>
        </w:rPr>
        <w:t xml:space="preserve">技术参数响应及偏离表中</w:t>
      </w:r>
      <w:r>
        <w:rPr>
          <w:rFonts w:hint="eastAsia" w:ascii="宋体" w:hAnsi="宋体" w:cs="Times New Roman"/>
          <w:b/>
          <w:color w:val="000000"/>
          <w:sz w:val="21"/>
          <w:szCs w:val="21"/>
        </w:rPr>
        <w:t xml:space="preserve">逐</w:t>
      </w:r>
      <w:r>
        <w:rPr>
          <w:rFonts w:hint="eastAsia" w:ascii="宋体" w:hAnsi="宋体" w:cs="Times New Roman"/>
          <w:b/>
          <w:color w:val="000000"/>
          <w:sz w:val="21"/>
          <w:szCs w:val="21"/>
        </w:rPr>
        <w:t xml:space="preserve">条列出</w:t>
      </w:r>
      <w:r>
        <w:rPr>
          <w:rFonts w:hint="eastAsia" w:ascii="宋体" w:hAnsi="宋体" w:cs="Times New Roman"/>
          <w:b/>
          <w:color w:val="000000"/>
          <w:sz w:val="21"/>
          <w:szCs w:val="21"/>
        </w:rPr>
        <w:t xml:space="preserve">，不允许出现负偏离，不满足视为非实质性响应。</w:t>
      </w:r>
      <w:r/>
    </w:p>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（三）交货地点</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采购方指定地点。</w:t>
      </w:r>
      <w:r/>
    </w:p>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（四）技术、质量要求</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1、所提供产品质量必须符合国家相关标准。所有报价的产品，各项技术应当符合国家（强制性）标准及各项规范要求；国家没有相应标准、规范的，可使用行业标准、规定；非标准设备按招标约定的技术要求和规范。</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2、投标人必须明确所投产品一些必须说明的技术参数，以及明确生产厂家、型号规格等，并提供详细的技术参数及性能说明书。</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3、中标人如果对招标文件提出的技术规格与要求存在某些条款不响应时，应在投标文件中逐条列出，未列出的视同响应。</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4、投标单位应提供货物的免费送货、安装、调试及培训使用。</w:t>
      </w:r>
      <w:r/>
    </w:p>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（五）安装调试要求</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1、设备安装须符合国家最新的有关标准和规范。</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2、安装完毕后，中标方应派遣有经验的工程技术人员进行设备的调试及试运行,并负责测试和调试所需的人员、工具、材料、仪器及一切费用，并填写测试报告交由采购单位存档。</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3、中标方应遵守现场的一切规章制度，应自行负责施工现场的安全管理，安全、文明安装和调试；</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4、中标方负责保管、看护进场的设备及附配件；</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5、中标方应对设备及附配件、安装设备（工具）等提供适当的保护、包装或覆盖等处理，以免受损；</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6、无论安装调试期间或保修过程中，中标方负责及时清理垃圾；</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7、中标方承担安装调试期间安装场所的安全以及设备和安装调试人员的安全责任。</w:t>
      </w:r>
      <w:r/>
    </w:p>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（六）售后服务要求</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1、质保期：</w:t>
      </w:r>
      <w:r>
        <w:rPr>
          <w:rFonts w:hint="eastAsia" w:ascii="宋体" w:hAnsi="宋体" w:cs="Times New Roman"/>
          <w:color w:val="000000"/>
          <w:sz w:val="21"/>
          <w:szCs w:val="21"/>
          <w:u w:val="single"/>
        </w:rPr>
        <w:t xml:space="preserve">5年</w:t>
      </w:r>
      <w:r>
        <w:rPr>
          <w:rFonts w:hint="eastAsia" w:ascii="宋体" w:hAnsi="宋体" w:cs="Times New Roman"/>
          <w:color w:val="000000"/>
          <w:sz w:val="21"/>
          <w:szCs w:val="21"/>
        </w:rPr>
        <w:t xml:space="preserve">，全免费上门质保服务，投标单位至少提供</w:t>
      </w:r>
      <w:r>
        <w:rPr>
          <w:rFonts w:hint="eastAsia" w:ascii="宋体" w:hAnsi="宋体" w:cs="Times New Roman"/>
          <w:color w:val="000000"/>
          <w:sz w:val="21"/>
          <w:szCs w:val="21"/>
          <w:u w:val="single"/>
        </w:rPr>
        <w:t xml:space="preserve">5年</w:t>
      </w:r>
      <w:r>
        <w:rPr>
          <w:rFonts w:hint="eastAsia" w:ascii="宋体" w:hAnsi="宋体" w:cs="Times New Roman"/>
          <w:color w:val="000000"/>
          <w:sz w:val="21"/>
          <w:szCs w:val="21"/>
        </w:rPr>
        <w:t xml:space="preserve">全免费上门质保服务。因人为因素出现的故障不在免费质保范围内。</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2、按合同定期到货和安装，安装前中标人需把设备资料报招标人审核。</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3、终身维修并标明保修期后的具体维修维护事宜。</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4、在质保期满后，中标人需长期提供优惠价格的主要零配件。</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5、在使用过程中发生问题，供应商在接到通知后，半小时内响应、</w:t>
      </w:r>
      <w:r>
        <w:rPr>
          <w:rFonts w:ascii="宋体" w:hAnsi="宋体" w:cs="Times New Roman"/>
          <w:color w:val="000000"/>
          <w:sz w:val="21"/>
          <w:szCs w:val="21"/>
        </w:rPr>
        <w:t xml:space="preserve">4</w:t>
      </w:r>
      <w:r>
        <w:rPr>
          <w:rFonts w:hint="eastAsia" w:ascii="宋体" w:hAnsi="宋体" w:cs="Times New Roman"/>
          <w:color w:val="000000"/>
          <w:sz w:val="21"/>
          <w:szCs w:val="21"/>
        </w:rPr>
        <w:t xml:space="preserve">小时内到达现场、24小时内修复问题。如果不能解决问题，请提供解决方案或提供备用机。</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6、在免费质保期内，供应商应对货物出现的质量问题负责处理解决。</w:t>
      </w:r>
      <w:r/>
    </w:p>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（七）项目验收要求</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1、投标设备由招标人及有关部门进行验收；</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2、设备到达招标人指定地点，应提前通知招标人，由招标人会同专业人员根据有关清单进行验收；</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3、设备安装调试完成后，中标人需提供质保书、保修证明等书面资料，并按国家制造和安装的标准要求检测验收，质保期自出具验收合格报告之日起算。</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4、投标人的报价包含了招标人现有场地条件下，进行中标设备的安装调试达到可使用状态，并验收合格前的所有费用及现场所有的配套管理费用。中标设备的安装数量以本招标文件的《招标清单》为准。中标后须按招标人要求进行安装，因变更等可能的变化而引起的设备安装数量变化，以实际安装数量进行结算，变化部分的单价按中标价执行，但增加的金额不得超过本招标文件的相关规定。</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5、验收标准：设备安装后，招标人按国际和国家标准及厂方标准进行质量验收。</w:t>
      </w:r>
      <w:r>
        <w:rPr>
          <w:rFonts w:hint="eastAsia" w:ascii="宋体" w:hAnsi="宋体" w:cs="Times New Roman"/>
          <w:color w:val="000000"/>
          <w:sz w:val="21"/>
          <w:szCs w:val="21"/>
        </w:rPr>
        <w:t xml:space="preserve">中标人应依据甲方提供的验收标准及验收手册进行验收。</w:t>
      </w:r>
      <w:r>
        <w:rPr>
          <w:rFonts w:hint="eastAsia" w:ascii="宋体" w:hAnsi="宋体" w:cs="Times New Roman"/>
          <w:color w:val="000000"/>
          <w:sz w:val="21"/>
          <w:szCs w:val="21"/>
        </w:rPr>
        <w:t xml:space="preserve">当双方对验收标准有争议时，可委托双方一致认可的国家相关权威检测中心进行检测，费用由中标人承担</w:t>
      </w:r>
      <w:r>
        <w:rPr>
          <w:rFonts w:hint="eastAsia" w:ascii="宋体" w:hAnsi="宋体" w:cs="Times New Roman"/>
          <w:color w:val="000000"/>
          <w:sz w:val="21"/>
          <w:szCs w:val="21"/>
        </w:rPr>
        <w:t xml:space="preserve">，只有在设备完全正常运转和招标人确认后，设备的安装工作才能认为已全部完成。</w:t>
      </w:r>
      <w:r/>
    </w:p>
    <w:p>
      <w:pPr>
        <w:ind w:left="0" w:firstLine="422"/>
        <w:spacing w:line="360" w:lineRule="auto"/>
        <w:tabs>
          <w:tab w:val="left" w:pos="0" w:leader="none"/>
        </w:tabs>
        <w:rPr>
          <w:rFonts w:ascii="宋体" w:hAnsi="宋体" w:cs="Times New Roman"/>
          <w:b/>
          <w:color w:val="000000"/>
          <w:sz w:val="21"/>
          <w:szCs w:val="21"/>
        </w:rPr>
      </w:pPr>
      <w:r>
        <w:rPr>
          <w:rFonts w:hint="eastAsia" w:ascii="宋体" w:hAnsi="宋体" w:cs="Times New Roman"/>
          <w:b/>
          <w:color w:val="000000"/>
          <w:sz w:val="21"/>
          <w:szCs w:val="21"/>
        </w:rPr>
        <w:t xml:space="preserve">（八）其他要求</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1、对相关信息安全的要求</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1）中标人应严格遵守采购方关于信息安全和保密方面的规定，未经采购方书面同意不得将采购人信息数据向任何单位和个人提供和泄露，必须有严格的数据保密措施，保证这些信息在项目开始之日起至相关保密资料合法进入公众领域之日止的安全，如因操作不当导致数据泄密的，采购方有权要求服务方采取措施消除影响，并赔偿采购方损失，影响严重的将追究法律责任。</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（2）中标人应建立并实际运行项目进展期间的信息安全管理规范，以确保项目启动、实施及实施后的信息安全管理。</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sz w:val="21"/>
          <w:szCs w:val="21"/>
        </w:rPr>
        <w:t xml:space="preserve">（3）</w:t>
      </w:r>
      <w:r>
        <w:rPr>
          <w:rFonts w:ascii="宋体" w:hAnsi="宋体" w:cs="Times New Roman"/>
          <w:color w:val="000000"/>
          <w:sz w:val="21"/>
          <w:szCs w:val="21"/>
        </w:rPr>
        <w:t xml:space="preserve">本项目为能保</w:t>
      </w:r>
      <w:r>
        <w:rPr>
          <w:rFonts w:ascii="宋体" w:hAnsi="宋体" w:cs="Times New Roman"/>
          <w:color w:val="000000"/>
          <w:sz w:val="21"/>
          <w:szCs w:val="21"/>
        </w:rPr>
        <w:t xml:space="preserve">证在规定时间内完成项目建设，要求投标人针对本项目配备实施</w:t>
      </w:r>
      <w:r>
        <w:rPr>
          <w:rFonts w:hint="eastAsia" w:ascii="宋体" w:hAnsi="宋体" w:cs="Times New Roman"/>
          <w:color w:val="000000"/>
          <w:sz w:val="21"/>
          <w:szCs w:val="21"/>
        </w:rPr>
        <w:t xml:space="preserve">人员不少于2名，其中</w:t>
      </w:r>
      <w:r>
        <w:rPr>
          <w:rFonts w:ascii="宋体" w:hAnsi="宋体" w:cs="Times New Roman"/>
          <w:color w:val="000000"/>
          <w:sz w:val="21"/>
          <w:szCs w:val="21"/>
        </w:rPr>
        <w:t xml:space="preserve">项目</w:t>
      </w:r>
      <w:r>
        <w:rPr>
          <w:rFonts w:hint="eastAsia" w:ascii="宋体" w:hAnsi="宋体" w:cs="Times New Roman"/>
          <w:color w:val="000000"/>
          <w:sz w:val="21"/>
          <w:szCs w:val="21"/>
        </w:rPr>
        <w:t xml:space="preserve">负责人</w:t>
      </w:r>
      <w:r>
        <w:rPr>
          <w:rFonts w:ascii="宋体" w:hAnsi="宋体" w:cs="Times New Roman"/>
          <w:color w:val="000000"/>
          <w:sz w:val="21"/>
          <w:szCs w:val="21"/>
        </w:rPr>
        <w:t xml:space="preserve">1名，</w:t>
      </w:r>
      <w:r>
        <w:rPr>
          <w:rFonts w:hint="eastAsia" w:ascii="宋体" w:hAnsi="宋体" w:cs="Times New Roman"/>
          <w:color w:val="000000"/>
          <w:sz w:val="21"/>
          <w:szCs w:val="21"/>
        </w:rPr>
        <w:t xml:space="preserve">技术负责人1名</w:t>
      </w:r>
      <w:r>
        <w:rPr>
          <w:rFonts w:ascii="宋体" w:hAnsi="宋体" w:cs="Times New Roman"/>
          <w:color w:val="000000"/>
          <w:sz w:val="21"/>
          <w:szCs w:val="21"/>
        </w:rPr>
        <w:t xml:space="preserve">。</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2、关于知识产权的要求</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（1）非因本合同而产生的知识产权，归属依法已经拥有该权利的一方所有。除非另有约定，任何一方均不可凭借本合同取得另一方所拥有的著作权、专利权、商标权或任何其他知识产权。</w:t>
      </w:r>
      <w:r/>
    </w:p>
    <w:p>
      <w:pPr>
        <w:ind w:left="0" w:firstLine="420"/>
        <w:spacing w:line="360" w:lineRule="auto"/>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2）中标人应保证采购方在使用该货物或其任何一部分时不受任何第三方提出的侵犯其著作权、商标权、专利权等知识产权方面的起诉；如果任何第三方提出侵权指控，那么中标人须与该第三方交涉并承担由此发生的一切责任、费用和赔偿。</w:t>
      </w:r>
      <w:r/>
    </w:p>
    <w:p>
      <w:pPr>
        <w:ind w:left="0" w:firstLine="420"/>
        <w:spacing w:line="360" w:lineRule="auto"/>
        <w:tabs>
          <w:tab w:val="left" w:pos="0" w:leader="none"/>
        </w:tabs>
        <w:rPr>
          <w:rFonts w:ascii="宋体" w:hAnsi="宋体" w:cs="Times New Roman"/>
          <w:color w:val="000000"/>
          <w:sz w:val="21"/>
          <w:szCs w:val="21"/>
        </w:rPr>
      </w:pPr>
      <w:r>
        <w:rPr>
          <w:rFonts w:ascii="宋体" w:hAnsi="宋体" w:cs="Times New Roman"/>
          <w:color w:val="000000"/>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w:t>
      </w:r>
      <w:r>
        <w:rPr>
          <w:rFonts w:hint="eastAsia" w:ascii="Times New Roman" w:hAnsi="Times New Roman" w:cs="Times New Roman"/>
          <w:b/>
          <w:sz w:val="21"/>
        </w:rPr>
        <w:t xml:space="preserve">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3" w:name="OLE_LINK31"/>
      <w:r/>
      <w:bookmarkStart w:id="124"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w:t>
      </w:r>
      <w:r>
        <w:rPr>
          <w:rFonts w:hint="eastAsia" w:ascii="宋体" w:hAnsi="宋体"/>
          <w:sz w:val="21"/>
          <w:szCs w:val="21"/>
        </w:rPr>
        <w:t xml:space="preserve">虚假《声明函》、虚假证明文件谋取中标、成交的，依照《中华人民共和国政府采购法》等法律法规规定追究相应责任。</w:t>
      </w:r>
      <w:bookmarkEnd w:id="123"/>
      <w:bookmarkEnd w:id="124"/>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w:t>
      </w:r>
      <w:r>
        <w:rPr>
          <w:rFonts w:hint="eastAsia" w:ascii="宋体" w:hAnsi="宋体"/>
          <w:sz w:val="21"/>
        </w:rPr>
        <w:t xml:space="preserve">《关于调整优化节能产品、环境标志产品政府采购执行机制的通知》（财库〔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3"/>
        <w:ind w:left="0" w:firstLine="0"/>
        <w:jc w:val="center"/>
        <w:rPr>
          <w:rFonts w:ascii="宋体" w:hAnsi="宋体"/>
          <w:b/>
          <w:sz w:val="44"/>
          <w:szCs w:val="22"/>
        </w:rPr>
      </w:pPr>
      <w:r/>
      <w:bookmarkStart w:id="125" w:name="_Toc11789"/>
      <w:r/>
      <w:bookmarkStart w:id="126" w:name="_Toc5111"/>
      <w:r/>
      <w:bookmarkStart w:id="127" w:name="_Hlk55741158"/>
      <w:r>
        <w:rPr>
          <w:rFonts w:hint="eastAsia" w:ascii="宋体" w:hAnsi="宋体"/>
          <w:b/>
          <w:sz w:val="44"/>
          <w:szCs w:val="22"/>
        </w:rPr>
        <w:br w:type="page" w:clear="all"/>
      </w:r>
      <w:bookmarkStart w:id="128" w:name="_Toc243493697"/>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5"/>
      <w:r/>
      <w:bookmarkEnd w:id="126"/>
      <w:r/>
      <w:bookmarkEnd w:id="128"/>
      <w:r/>
      <w:r/>
    </w:p>
    <w:p>
      <w:pPr>
        <w:ind w:left="0"/>
        <w:jc w:val="center"/>
        <w:rPr>
          <w:rFonts w:ascii="宋体" w:hAnsi="宋体"/>
          <w:b/>
          <w:sz w:val="32"/>
          <w:szCs w:val="32"/>
        </w:rPr>
      </w:pPr>
      <w:r/>
      <w:bookmarkStart w:id="130" w:name="_Toc57376410"/>
      <w:r/>
      <w:bookmarkStart w:id="131" w:name="_Toc27667"/>
      <w:r/>
      <w:bookmarkStart w:id="132" w:name="_Toc8564"/>
      <w:r/>
      <w:bookmarkEnd w:id="127"/>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szCs w:val="21"/>
        </w:rPr>
        <w:t xml:space="preserve">苏州市相城区医疗信息中心服务器采购</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JSZC-320500-JZCG-G2026-0345</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pPr>
      <w:r>
        <w:rPr>
          <w:rFonts w:hint="eastAsia" w:ascii="宋体" w:hAnsi="宋体"/>
          <w:sz w:val="21"/>
        </w:rPr>
        <w:t xml:space="preserve">传真：</w:t>
      </w:r>
      <w:r/>
    </w:p>
    <w:p>
      <w:pPr>
        <w:pStyle w:val="922"/>
        <w:ind w:left="0" w:firstLine="400"/>
        <w:spacing w:line="360" w:lineRule="auto"/>
      </w:pPr>
      <w:r/>
      <w:r/>
    </w:p>
    <w:p>
      <w:pPr>
        <w:ind w:left="0" w:firstLine="420"/>
        <w:spacing w:line="360" w:lineRule="auto"/>
        <w:rPr>
          <w:rFonts w:ascii="宋体" w:hAnsi="宋体"/>
          <w:sz w:val="21"/>
          <w:szCs w:val="21"/>
        </w:rPr>
      </w:pPr>
      <w:r>
        <w:rPr>
          <w:rFonts w:hint="eastAsia" w:ascii="宋体" w:hAnsi="宋体"/>
          <w:color w:val="000000"/>
          <w:sz w:val="21"/>
          <w:szCs w:val="21"/>
        </w:rPr>
        <w:t xml:space="preserve">根据《中华人民共和国民法典》</w:t>
      </w:r>
      <w:r>
        <w:rPr>
          <w:rFonts w:hint="eastAsia" w:ascii="宋体" w:hAnsi="宋体"/>
          <w:sz w:val="21"/>
          <w:szCs w:val="21"/>
        </w:rPr>
        <w:t xml:space="preserve">及其他有关法律法规，甲、乙双方在平等、自愿、协商一致的基础上，就甲方向乙方采购事宜，订立本合同。</w:t>
      </w:r>
      <w:r/>
    </w:p>
    <w:p>
      <w:pPr>
        <w:ind w:left="0" w:firstLine="420"/>
        <w:spacing w:line="360" w:lineRule="auto"/>
        <w:rPr>
          <w:rFonts w:ascii="宋体" w:hAnsi="宋体"/>
          <w:b/>
          <w:sz w:val="21"/>
          <w:szCs w:val="21"/>
        </w:rPr>
      </w:pPr>
      <w:r>
        <w:rPr>
          <w:rFonts w:ascii="宋体" w:hAnsi="宋体"/>
          <w:b/>
          <w:sz w:val="21"/>
          <w:szCs w:val="21"/>
        </w:rPr>
      </w:r>
      <w:r/>
    </w:p>
    <w:p>
      <w:pPr>
        <w:numPr>
          <w:ilvl w:val="0"/>
          <w:numId w:val="5"/>
        </w:numPr>
        <w:ind w:left="0" w:firstLine="420"/>
        <w:spacing w:line="360" w:lineRule="auto"/>
        <w:rPr>
          <w:rFonts w:ascii="宋体" w:hAnsi="宋体"/>
          <w:b/>
          <w:bCs/>
          <w:sz w:val="21"/>
          <w:szCs w:val="21"/>
        </w:rPr>
      </w:pPr>
      <w:r>
        <w:rPr>
          <w:rFonts w:hint="eastAsia" w:ascii="宋体" w:hAnsi="宋体"/>
          <w:b/>
          <w:bCs/>
          <w:sz w:val="21"/>
          <w:szCs w:val="21"/>
        </w:rPr>
        <w:t xml:space="preserve">合同文件</w:t>
      </w:r>
      <w:r/>
    </w:p>
    <w:p>
      <w:pPr>
        <w:ind w:left="0" w:firstLine="420"/>
        <w:spacing w:line="360" w:lineRule="auto"/>
        <w:rPr>
          <w:rFonts w:ascii="宋体" w:hAnsi="宋体"/>
          <w:sz w:val="21"/>
          <w:szCs w:val="21"/>
        </w:rPr>
      </w:pPr>
      <w:r>
        <w:rPr>
          <w:rFonts w:hint="eastAsia" w:ascii="宋体" w:hAnsi="宋体"/>
          <w:sz w:val="21"/>
          <w:szCs w:val="21"/>
        </w:rPr>
        <w:t xml:space="preserve">1.合同文件适用法律</w:t>
      </w:r>
      <w:r/>
    </w:p>
    <w:p>
      <w:pPr>
        <w:ind w:left="0" w:firstLine="420"/>
        <w:spacing w:line="360" w:lineRule="auto"/>
        <w:rPr>
          <w:rFonts w:ascii="宋体" w:hAnsi="宋体"/>
          <w:sz w:val="21"/>
          <w:szCs w:val="21"/>
        </w:rPr>
      </w:pPr>
      <w:r>
        <w:rPr>
          <w:rFonts w:hint="eastAsia" w:ascii="宋体" w:hAnsi="宋体"/>
          <w:sz w:val="21"/>
          <w:szCs w:val="21"/>
        </w:rPr>
        <w:t xml:space="preserve">1.1适用于合同文件的法律是中华人民共和国现行法律、法规及甲方所在地的地方性法规。</w:t>
      </w:r>
      <w:r/>
    </w:p>
    <w:p>
      <w:pPr>
        <w:ind w:left="0" w:firstLine="420"/>
        <w:spacing w:line="360" w:lineRule="auto"/>
        <w:rPr>
          <w:rFonts w:ascii="宋体" w:hAnsi="宋体"/>
          <w:sz w:val="21"/>
          <w:szCs w:val="21"/>
        </w:rPr>
      </w:pPr>
      <w:r>
        <w:rPr>
          <w:rFonts w:hint="eastAsia" w:ascii="宋体" w:hAnsi="宋体"/>
          <w:sz w:val="21"/>
          <w:szCs w:val="21"/>
        </w:rPr>
        <w:t xml:space="preserve">2.合同文件组成和解释顺序</w:t>
      </w:r>
      <w:r/>
    </w:p>
    <w:p>
      <w:pPr>
        <w:ind w:left="0" w:firstLine="420"/>
        <w:spacing w:line="360" w:lineRule="auto"/>
        <w:rPr>
          <w:rFonts w:ascii="宋体" w:hAnsi="宋体"/>
          <w:sz w:val="21"/>
          <w:szCs w:val="21"/>
        </w:rPr>
      </w:pPr>
      <w:r>
        <w:rPr>
          <w:rFonts w:hint="eastAsia" w:ascii="宋体" w:hAnsi="宋体"/>
          <w:sz w:val="21"/>
          <w:szCs w:val="21"/>
        </w:rPr>
        <w:t xml:space="preserve">合同文件的组成和解释顺序如下：</w:t>
      </w:r>
      <w:r/>
    </w:p>
    <w:p>
      <w:pPr>
        <w:ind w:left="0" w:firstLine="420"/>
        <w:spacing w:line="360" w:lineRule="auto"/>
        <w:rPr>
          <w:rFonts w:ascii="宋体" w:hAnsi="宋体"/>
          <w:sz w:val="21"/>
          <w:szCs w:val="21"/>
        </w:rPr>
      </w:pPr>
      <w:r>
        <w:rPr>
          <w:rFonts w:hint="eastAsia" w:ascii="宋体" w:hAnsi="宋体"/>
          <w:sz w:val="21"/>
          <w:szCs w:val="21"/>
        </w:rPr>
        <w:t xml:space="preserve">2.1本合同内所有条款</w:t>
      </w:r>
      <w:r/>
    </w:p>
    <w:p>
      <w:pPr>
        <w:ind w:left="0" w:firstLine="420"/>
        <w:spacing w:line="360" w:lineRule="auto"/>
        <w:rPr>
          <w:rFonts w:ascii="宋体" w:hAnsi="宋体"/>
          <w:sz w:val="21"/>
          <w:szCs w:val="21"/>
        </w:rPr>
      </w:pPr>
      <w:r>
        <w:rPr>
          <w:rFonts w:hint="eastAsia" w:ascii="宋体" w:hAnsi="宋体"/>
          <w:sz w:val="21"/>
          <w:szCs w:val="21"/>
        </w:rPr>
        <w:t xml:space="preserve">2.2洽商、变更等明确双方权利义务的纪要、协议</w:t>
      </w:r>
      <w:r/>
    </w:p>
    <w:p>
      <w:pPr>
        <w:ind w:left="0" w:firstLine="420"/>
        <w:spacing w:line="360" w:lineRule="auto"/>
        <w:rPr>
          <w:rFonts w:ascii="宋体" w:hAnsi="宋体"/>
          <w:sz w:val="21"/>
          <w:szCs w:val="21"/>
        </w:rPr>
      </w:pPr>
      <w:r>
        <w:rPr>
          <w:rFonts w:hint="eastAsia" w:ascii="宋体" w:hAnsi="宋体"/>
          <w:sz w:val="21"/>
          <w:szCs w:val="21"/>
        </w:rPr>
        <w:t xml:space="preserve">2.3中标通知书、投标书和采购文件</w:t>
      </w:r>
      <w:r/>
    </w:p>
    <w:p>
      <w:pPr>
        <w:ind w:left="0" w:firstLine="420"/>
        <w:spacing w:line="360" w:lineRule="auto"/>
        <w:rPr>
          <w:rFonts w:ascii="宋体" w:hAnsi="宋体"/>
          <w:sz w:val="21"/>
          <w:szCs w:val="21"/>
        </w:rPr>
      </w:pPr>
      <w:r>
        <w:rPr>
          <w:rFonts w:hint="eastAsia" w:ascii="宋体" w:hAnsi="宋体"/>
          <w:sz w:val="21"/>
          <w:szCs w:val="21"/>
        </w:rPr>
        <w:t xml:space="preserve">2.4标准、规范和其它有关技术资料、技术要求</w:t>
      </w:r>
      <w:r/>
    </w:p>
    <w:p>
      <w:pPr>
        <w:ind w:left="0" w:firstLine="420"/>
        <w:spacing w:line="360" w:lineRule="auto"/>
        <w:rPr>
          <w:rFonts w:ascii="宋体" w:hAnsi="宋体"/>
          <w:sz w:val="21"/>
          <w:szCs w:val="21"/>
        </w:rPr>
      </w:pPr>
      <w:r>
        <w:rPr>
          <w:rFonts w:hint="eastAsia" w:ascii="宋体" w:hAnsi="宋体"/>
          <w:sz w:val="21"/>
          <w:szCs w:val="21"/>
        </w:rPr>
        <w:t xml:space="preserve">3.合同文件使用文字</w:t>
      </w:r>
      <w:r/>
    </w:p>
    <w:p>
      <w:pPr>
        <w:ind w:left="0" w:firstLine="420"/>
        <w:spacing w:line="360" w:lineRule="auto"/>
        <w:rPr>
          <w:rFonts w:ascii="宋体" w:hAnsi="宋体"/>
          <w:sz w:val="21"/>
          <w:szCs w:val="21"/>
        </w:rPr>
      </w:pPr>
      <w:r>
        <w:rPr>
          <w:rFonts w:hint="eastAsia" w:ascii="宋体" w:hAnsi="宋体"/>
          <w:sz w:val="21"/>
          <w:szCs w:val="21"/>
        </w:rPr>
        <w:t xml:space="preserve">3.1合同文件使用中文书写、解释和说明</w:t>
      </w:r>
      <w:r/>
    </w:p>
    <w:p>
      <w:pPr>
        <w:ind w:left="0" w:firstLine="420"/>
        <w:spacing w:line="360" w:lineRule="auto"/>
        <w:rPr>
          <w:rFonts w:ascii="宋体" w:hAnsi="宋体"/>
          <w:sz w:val="21"/>
          <w:szCs w:val="21"/>
        </w:rPr>
      </w:pPr>
      <w:r>
        <w:rPr>
          <w:rFonts w:hint="eastAsia" w:ascii="宋体" w:hAnsi="宋体"/>
          <w:sz w:val="21"/>
          <w:szCs w:val="21"/>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numPr>
          <w:ilvl w:val="0"/>
          <w:numId w:val="5"/>
        </w:numPr>
        <w:ind w:left="0" w:firstLine="420"/>
        <w:spacing w:line="360" w:lineRule="auto"/>
        <w:rPr>
          <w:rFonts w:ascii="宋体" w:hAnsi="宋体"/>
          <w:b/>
          <w:bCs/>
          <w:sz w:val="21"/>
          <w:szCs w:val="21"/>
        </w:rPr>
      </w:pPr>
      <w:r>
        <w:rPr>
          <w:rFonts w:hint="eastAsia" w:ascii="宋体" w:hAnsi="宋体"/>
          <w:b/>
          <w:bCs/>
          <w:sz w:val="21"/>
          <w:szCs w:val="21"/>
        </w:rPr>
        <w:t xml:space="preserve">产品、数量、金额</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2"/>
        <w:gridCol w:w="1516"/>
        <w:gridCol w:w="2052"/>
        <w:gridCol w:w="720"/>
        <w:gridCol w:w="900"/>
        <w:gridCol w:w="1512"/>
        <w:gridCol w:w="1400"/>
        <w:gridCol w:w="937"/>
      </w:tblGrid>
      <w:tr>
        <w:trPr>
          <w:cantSplit/>
          <w:trHeight w:val="454"/>
        </w:trPr>
        <w:tc>
          <w:tcPr>
            <w:tcW w:w="752"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1516"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产品名称</w:t>
            </w:r>
            <w:r/>
          </w:p>
        </w:tc>
        <w:tc>
          <w:tcPr>
            <w:tcW w:w="2052"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品牌、型号、规格</w:t>
            </w:r>
            <w:r/>
          </w:p>
        </w:tc>
        <w:tc>
          <w:tcPr>
            <w:tcW w:w="720"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数量</w:t>
            </w:r>
            <w:r/>
          </w:p>
        </w:tc>
        <w:tc>
          <w:tcPr>
            <w:tcW w:w="900"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单位</w:t>
            </w:r>
            <w:r/>
          </w:p>
        </w:tc>
        <w:tc>
          <w:tcPr>
            <w:tcW w:w="1512"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单价（元）</w:t>
            </w:r>
            <w:r/>
          </w:p>
        </w:tc>
        <w:tc>
          <w:tcPr>
            <w:tcW w:w="1400"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总价（元）</w:t>
            </w:r>
            <w:r/>
          </w:p>
        </w:tc>
        <w:tc>
          <w:tcPr>
            <w:tcW w:w="937"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备注</w:t>
            </w:r>
            <w:r/>
          </w:p>
        </w:tc>
      </w:tr>
      <w:tr>
        <w:trPr>
          <w:cantSplit/>
          <w:trHeight w:val="497"/>
        </w:trPr>
        <w:tc>
          <w:tcPr>
            <w:tcW w:w="7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1516" w:type="dxa"/>
            <w:vAlign w:val="center"/>
            <w:textDirection w:val="lrTb"/>
            <w:noWrap w:val="false"/>
          </w:tcPr>
          <w:p>
            <w:pPr>
              <w:pStyle w:val="1283"/>
              <w:ind w:left="0"/>
              <w:jc w:val="center"/>
              <w:spacing w:line="360" w:lineRule="auto"/>
              <w:rPr>
                <w:rFonts w:ascii="宋体" w:hAnsi="宋体"/>
                <w:sz w:val="21"/>
                <w:szCs w:val="21"/>
              </w:rPr>
            </w:pPr>
            <w:r>
              <w:rPr>
                <w:rFonts w:ascii="宋体" w:hAnsi="宋体"/>
                <w:sz w:val="21"/>
                <w:szCs w:val="21"/>
              </w:rPr>
            </w:r>
            <w:r/>
          </w:p>
        </w:tc>
        <w:tc>
          <w:tcPr>
            <w:tcW w:w="2052" w:type="dxa"/>
            <w:vAlign w:val="center"/>
            <w:textDirection w:val="lrTb"/>
            <w:noWrap w:val="false"/>
          </w:tcPr>
          <w:p>
            <w:pPr>
              <w:ind w:left="0"/>
              <w:jc w:val="center"/>
              <w:spacing w:line="360" w:lineRule="auto"/>
              <w:rPr>
                <w:rFonts w:ascii="宋体" w:hAnsi="宋体"/>
                <w:color w:val="404040"/>
                <w:sz w:val="21"/>
                <w:szCs w:val="21"/>
              </w:rPr>
            </w:pPr>
            <w:r>
              <w:rPr>
                <w:rFonts w:ascii="宋体" w:hAnsi="宋体"/>
                <w:color w:val="404040"/>
                <w:sz w:val="21"/>
                <w:szCs w:val="21"/>
              </w:rPr>
            </w:r>
            <w:r/>
          </w:p>
        </w:tc>
        <w:tc>
          <w:tcPr>
            <w:tcW w:w="72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512"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400"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tcW w:w="937"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cantSplit/>
          <w:trHeight w:val="497"/>
        </w:trPr>
        <w:tc>
          <w:tcPr>
            <w:tcW w:w="7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1516" w:type="dxa"/>
            <w:vAlign w:val="center"/>
            <w:textDirection w:val="lrTb"/>
            <w:noWrap w:val="false"/>
          </w:tcPr>
          <w:p>
            <w:pPr>
              <w:pStyle w:val="1283"/>
              <w:ind w:left="0"/>
              <w:jc w:val="center"/>
              <w:spacing w:line="360" w:lineRule="auto"/>
              <w:rPr>
                <w:rFonts w:ascii="宋体" w:hAnsi="宋体"/>
                <w:sz w:val="21"/>
                <w:szCs w:val="21"/>
              </w:rPr>
            </w:pPr>
            <w:r>
              <w:rPr>
                <w:rFonts w:ascii="宋体" w:hAnsi="宋体"/>
                <w:sz w:val="21"/>
                <w:szCs w:val="21"/>
              </w:rPr>
            </w:r>
            <w:r/>
          </w:p>
        </w:tc>
        <w:tc>
          <w:tcPr>
            <w:tcW w:w="2052" w:type="dxa"/>
            <w:vAlign w:val="center"/>
            <w:textDirection w:val="lrTb"/>
            <w:noWrap w:val="false"/>
          </w:tcPr>
          <w:p>
            <w:pPr>
              <w:ind w:left="0"/>
              <w:jc w:val="center"/>
              <w:spacing w:line="360" w:lineRule="auto"/>
              <w:rPr>
                <w:rFonts w:ascii="宋体" w:hAnsi="宋体"/>
                <w:color w:val="404040"/>
                <w:sz w:val="21"/>
                <w:szCs w:val="21"/>
              </w:rPr>
            </w:pPr>
            <w:r>
              <w:rPr>
                <w:rFonts w:ascii="宋体" w:hAnsi="宋体"/>
                <w:color w:val="404040"/>
                <w:sz w:val="21"/>
                <w:szCs w:val="21"/>
              </w:rPr>
            </w:r>
            <w:r/>
          </w:p>
        </w:tc>
        <w:tc>
          <w:tcPr>
            <w:tcW w:w="72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512"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400"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tc>
        <w:tc>
          <w:tcPr>
            <w:tcW w:w="937"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合同总金额</w:t>
      </w:r>
      <w:r>
        <w:rPr>
          <w:rFonts w:hint="eastAsia" w:ascii="宋体" w:hAnsi="宋体"/>
          <w:sz w:val="21"/>
          <w:szCs w:val="21"/>
          <w:lang w:val="zh-CN"/>
        </w:rPr>
        <w:t xml:space="preserve">人民币元（大写：</w:t>
      </w:r>
      <w:r>
        <w:rPr>
          <w:rFonts w:hint="eastAsia" w:ascii="宋体" w:hAnsi="宋体"/>
          <w:sz w:val="21"/>
          <w:szCs w:val="21"/>
        </w:rPr>
        <w:t xml:space="preserve">XXXXX元</w:t>
      </w:r>
      <w:r>
        <w:rPr>
          <w:rFonts w:hint="eastAsia" w:ascii="宋体" w:hAnsi="宋体"/>
          <w:sz w:val="21"/>
          <w:szCs w:val="21"/>
          <w:lang w:val="zh-CN"/>
        </w:rPr>
        <w:t xml:space="preserve">）</w:t>
      </w:r>
      <w:r>
        <w:rPr>
          <w:rFonts w:hint="eastAsia" w:ascii="宋体" w:hAnsi="宋体"/>
          <w:sz w:val="21"/>
          <w:szCs w:val="21"/>
        </w:rPr>
        <w:t xml:space="preserve">，合同单价包括以上物品及其辅助材料、安装、调试、人工、机械、运输、仓储、保险、运费、报关、各种税费、劳保、售后服务、专利技术及质保期间的一切费用。</w:t>
      </w:r>
      <w:r>
        <w:rPr>
          <w:rFonts w:hint="eastAsia" w:ascii="宋体" w:hAnsi="宋体"/>
          <w:color w:val="000000"/>
          <w:sz w:val="21"/>
          <w:szCs w:val="21"/>
        </w:rPr>
        <w:t xml:space="preserve">本合同为固定单价合同</w:t>
      </w:r>
      <w:r>
        <w:rPr>
          <w:rFonts w:hint="eastAsia" w:ascii="宋体" w:hAnsi="宋体"/>
          <w:sz w:val="21"/>
          <w:szCs w:val="21"/>
        </w:rPr>
        <w:t xml:space="preserve">，结算时供货数量根据甲方需求按实结算，单价固定不变。未经甲方书面同意，甲方不承担任何其他费用。</w:t>
      </w:r>
      <w:r/>
    </w:p>
    <w:p>
      <w:pPr>
        <w:ind w:left="0" w:firstLine="420"/>
        <w:spacing w:line="360" w:lineRule="auto"/>
        <w:rPr>
          <w:rFonts w:ascii="宋体" w:hAnsi="宋体"/>
          <w:b/>
          <w:bCs/>
          <w:sz w:val="21"/>
          <w:szCs w:val="21"/>
        </w:rPr>
      </w:pPr>
      <w:r>
        <w:rPr>
          <w:rFonts w:hint="eastAsia" w:ascii="宋体" w:hAnsi="宋体"/>
          <w:b/>
          <w:bCs/>
          <w:sz w:val="21"/>
          <w:szCs w:val="21"/>
        </w:rPr>
        <w:t xml:space="preserve">第三条质量及验收标准</w:t>
      </w:r>
      <w:r/>
    </w:p>
    <w:p>
      <w:pPr>
        <w:ind w:left="0" w:firstLine="420"/>
        <w:spacing w:line="360" w:lineRule="auto"/>
        <w:rPr>
          <w:rFonts w:ascii="宋体" w:hAnsi="宋体"/>
          <w:sz w:val="21"/>
          <w:szCs w:val="21"/>
        </w:rPr>
      </w:pPr>
      <w:r>
        <w:rPr>
          <w:rFonts w:hint="eastAsia" w:ascii="宋体" w:hAnsi="宋体"/>
          <w:sz w:val="21"/>
          <w:szCs w:val="21"/>
        </w:rPr>
        <w:t xml:space="preserve">1、对于出卖的标的物，乙方应当拥有完整物权，并且乙方负有保证第三人不得向甲方主张任何权利（包括知识产权）的义务。</w:t>
      </w:r>
      <w:r/>
    </w:p>
    <w:p>
      <w:pPr>
        <w:ind w:left="0" w:firstLine="420"/>
        <w:spacing w:line="360" w:lineRule="auto"/>
        <w:rPr>
          <w:rFonts w:ascii="宋体" w:hAnsi="宋体"/>
          <w:sz w:val="21"/>
          <w:szCs w:val="21"/>
        </w:rPr>
      </w:pPr>
      <w:r>
        <w:rPr>
          <w:rFonts w:hint="eastAsia" w:ascii="宋体" w:hAnsi="宋体"/>
          <w:sz w:val="21"/>
          <w:szCs w:val="21"/>
        </w:rPr>
        <w:t xml:space="preserve">2、乙方保证其所供货物是全新的、未用过的，并且是非长期积压的库存商品，并完全符合本合同规定的规格、型号、数量及其他要求、国家规定、行业标准和厂家有关规定的合格产品。标的物还应具有以下特殊标准（具体根据标的物自身的特点设置）：</w:t>
      </w:r>
      <w:r/>
    </w:p>
    <w:p>
      <w:pPr>
        <w:ind w:left="0" w:firstLine="420"/>
        <w:spacing w:line="360" w:lineRule="auto"/>
        <w:rPr>
          <w:rFonts w:ascii="宋体" w:hAnsi="宋体"/>
          <w:sz w:val="21"/>
          <w:szCs w:val="21"/>
        </w:rPr>
      </w:pPr>
      <w:r>
        <w:rPr>
          <w:rFonts w:hint="eastAsia" w:ascii="宋体" w:hAnsi="宋体"/>
          <w:sz w:val="21"/>
          <w:szCs w:val="21"/>
        </w:rPr>
        <w:t xml:space="preserve">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left="0" w:firstLine="420"/>
        <w:spacing w:line="360" w:lineRule="auto"/>
        <w:rPr>
          <w:rFonts w:ascii="宋体" w:hAnsi="宋体"/>
          <w:sz w:val="21"/>
          <w:szCs w:val="21"/>
        </w:rPr>
      </w:pPr>
      <w:r>
        <w:rPr>
          <w:rFonts w:hint="eastAsia" w:ascii="宋体" w:hAnsi="宋体"/>
          <w:sz w:val="21"/>
          <w:szCs w:val="21"/>
        </w:rPr>
        <w:t xml:space="preserve">3、乙方交货前，应提前24小时通知甲方代表：</w:t>
      </w:r>
      <w:r>
        <w:rPr>
          <w:rFonts w:hint="eastAsia" w:ascii="宋体" w:hAnsi="宋体"/>
          <w:sz w:val="21"/>
          <w:szCs w:val="21"/>
          <w:u w:val="single"/>
        </w:rPr>
        <w:t xml:space="preserve">（电话：             ）</w:t>
      </w:r>
      <w:r>
        <w:rPr>
          <w:rFonts w:hint="eastAsia" w:ascii="宋体" w:hAnsi="宋体"/>
          <w:sz w:val="21"/>
          <w:szCs w:val="21"/>
        </w:rPr>
        <w:t xml:space="preserve">，交货时由双方共同验收，如果甲方在验收中，发现货物不符合甲方要求、货物短缺、质次、损坏、产地和规格不符及单据缺少等问题，甲方有权拒付相应货款，乙方应立即无条件为甲方调换或补齐，超过本合同规定交货期限调换或补交的，即作为乙方逾期交货处理。</w:t>
      </w:r>
      <w:r/>
    </w:p>
    <w:p>
      <w:pPr>
        <w:ind w:left="0" w:firstLine="420"/>
        <w:spacing w:line="360" w:lineRule="auto"/>
        <w:rPr>
          <w:rFonts w:ascii="宋体" w:hAnsi="宋体"/>
          <w:sz w:val="21"/>
          <w:szCs w:val="21"/>
        </w:rPr>
      </w:pPr>
      <w:r>
        <w:rPr>
          <w:rFonts w:hint="eastAsia" w:ascii="宋体" w:hAnsi="宋体"/>
          <w:sz w:val="21"/>
          <w:szCs w:val="21"/>
        </w:rPr>
        <w:t xml:space="preserve">4、即使甲方已验收收取货物，如甲方在产品保修期内有证据证明发现质量或规格不符合合同约定、或为假冒伪劣产品、或有其他缺陷，仍有权向乙方提出索赔，根据具体情况要求乙方全部或部分退换货物、降价补偿、修理及要求乙方承担违约责任。乙方在接到甲方书面异议后，应在10天内负责处理，否则，即视为默认甲方提出的异议和处理意见。</w:t>
      </w:r>
      <w:r/>
    </w:p>
    <w:p>
      <w:pPr>
        <w:ind w:left="0" w:firstLine="420"/>
        <w:spacing w:line="360" w:lineRule="auto"/>
        <w:rPr>
          <w:rFonts w:ascii="宋体" w:hAnsi="宋体"/>
          <w:sz w:val="21"/>
          <w:szCs w:val="21"/>
        </w:rPr>
      </w:pPr>
      <w:r>
        <w:rPr>
          <w:rFonts w:hint="eastAsia" w:ascii="宋体" w:hAnsi="宋体"/>
          <w:sz w:val="21"/>
          <w:szCs w:val="21"/>
        </w:rPr>
        <w:t xml:space="preserve">5、包装标准：按样品为准。原包装，符合运输要求且无破损。</w:t>
      </w:r>
      <w:r/>
    </w:p>
    <w:p>
      <w:pPr>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lang w:val="zh-CN"/>
        </w:rPr>
        <w:t xml:space="preserve">货物的验收包括：数量、外观、质量、性能、质保单、包装和乙方承诺的其它指标。</w:t>
      </w:r>
      <w:r>
        <w:rPr>
          <w:rFonts w:hint="eastAsia" w:ascii="宋体" w:hAnsi="宋体"/>
          <w:sz w:val="21"/>
          <w:szCs w:val="21"/>
        </w:rPr>
        <w:t xml:space="preserve">验收标准：合同、封存样品（若有），若不明确时参照国家相关技术规范与标准。</w:t>
      </w:r>
      <w:r/>
    </w:p>
    <w:p>
      <w:pPr>
        <w:ind w:left="0" w:firstLine="420"/>
        <w:spacing w:line="360" w:lineRule="auto"/>
        <w:rPr>
          <w:rFonts w:ascii="宋体" w:hAnsi="宋体"/>
          <w:sz w:val="21"/>
          <w:szCs w:val="21"/>
        </w:rPr>
      </w:pPr>
      <w:r>
        <w:rPr>
          <w:rFonts w:hint="eastAsia" w:ascii="宋体" w:hAnsi="宋体"/>
          <w:sz w:val="21"/>
          <w:szCs w:val="21"/>
        </w:rPr>
        <w:t xml:space="preserve">7、货物的所有权在送达甲方之日起归甲方所有，但在货物通过甲方的验收前，与货物有关的一切风险和责任由乙方承担。</w:t>
      </w:r>
      <w:r/>
    </w:p>
    <w:p>
      <w:pPr>
        <w:ind w:left="0" w:firstLine="420"/>
        <w:spacing w:line="360" w:lineRule="auto"/>
        <w:rPr>
          <w:rFonts w:ascii="宋体" w:hAnsi="宋体"/>
          <w:sz w:val="21"/>
          <w:szCs w:val="21"/>
          <w:lang w:val="zh-CN"/>
        </w:rPr>
      </w:pPr>
      <w:r>
        <w:rPr>
          <w:rFonts w:hint="eastAsia" w:ascii="宋体" w:hAnsi="宋体"/>
          <w:sz w:val="21"/>
          <w:szCs w:val="21"/>
        </w:rPr>
        <w:t xml:space="preserve">8、</w:t>
      </w:r>
      <w:r>
        <w:rPr>
          <w:rFonts w:hint="eastAsia" w:ascii="宋体" w:hAnsi="宋体"/>
          <w:sz w:val="21"/>
          <w:szCs w:val="21"/>
          <w:lang w:val="zh-CN"/>
        </w:rPr>
        <w:t xml:space="preserve">质保期内货物质量出现问题，乙方负责包修、包退、包换，费用由乙方承担。</w:t>
      </w:r>
      <w:r/>
    </w:p>
    <w:p>
      <w:pPr>
        <w:ind w:left="0" w:firstLine="420"/>
        <w:spacing w:line="360" w:lineRule="auto"/>
        <w:rPr>
          <w:rFonts w:ascii="宋体" w:hAnsi="宋体"/>
          <w:b/>
          <w:bCs/>
          <w:sz w:val="21"/>
          <w:szCs w:val="21"/>
        </w:rPr>
      </w:pPr>
      <w:r>
        <w:rPr>
          <w:rFonts w:hint="eastAsia" w:ascii="宋体" w:hAnsi="宋体"/>
          <w:b/>
          <w:bCs/>
          <w:sz w:val="21"/>
          <w:szCs w:val="21"/>
        </w:rPr>
        <w:t xml:space="preserve">第四条伴随服务</w:t>
      </w:r>
      <w:r/>
    </w:p>
    <w:p>
      <w:pPr>
        <w:ind w:left="0" w:firstLine="420"/>
        <w:spacing w:line="360" w:lineRule="auto"/>
        <w:rPr>
          <w:rFonts w:ascii="宋体" w:hAnsi="宋体"/>
          <w:sz w:val="21"/>
          <w:szCs w:val="21"/>
        </w:rPr>
      </w:pPr>
      <w:r>
        <w:rPr>
          <w:rFonts w:hint="eastAsia" w:ascii="宋体" w:hAnsi="宋体"/>
          <w:sz w:val="21"/>
          <w:szCs w:val="21"/>
        </w:rPr>
        <w:t xml:space="preserve">1、乙方除应履行按期按量交付合格标的物的义务之外，还应提供下列服务。</w:t>
      </w:r>
      <w:r/>
    </w:p>
    <w:p>
      <w:pPr>
        <w:ind w:left="0" w:firstLine="420"/>
        <w:spacing w:line="360" w:lineRule="auto"/>
        <w:rPr>
          <w:rFonts w:ascii="宋体" w:hAnsi="宋体"/>
          <w:sz w:val="21"/>
          <w:szCs w:val="21"/>
        </w:rPr>
      </w:pPr>
      <w:r>
        <w:rPr>
          <w:rFonts w:hint="eastAsia" w:ascii="宋体" w:hAnsi="宋体"/>
          <w:sz w:val="21"/>
          <w:szCs w:val="21"/>
        </w:rPr>
        <w:t xml:space="preserve">1.1、标的物的现场安装、启动、调试、监督；</w:t>
      </w:r>
      <w:r/>
    </w:p>
    <w:p>
      <w:pPr>
        <w:ind w:left="0" w:firstLine="420"/>
        <w:spacing w:line="360" w:lineRule="auto"/>
        <w:rPr>
          <w:rFonts w:ascii="宋体" w:hAnsi="宋体"/>
          <w:sz w:val="21"/>
          <w:szCs w:val="21"/>
        </w:rPr>
      </w:pPr>
      <w:r>
        <w:rPr>
          <w:rFonts w:hint="eastAsia" w:ascii="宋体" w:hAnsi="宋体"/>
          <w:sz w:val="21"/>
          <w:szCs w:val="21"/>
        </w:rPr>
        <w:t xml:space="preserve">1.2、提供标的物组装和一般维修所必须的工具；</w:t>
      </w:r>
      <w:r/>
    </w:p>
    <w:p>
      <w:pPr>
        <w:ind w:left="0" w:firstLine="420"/>
        <w:spacing w:line="360" w:lineRule="auto"/>
        <w:rPr>
          <w:rFonts w:ascii="宋体" w:hAnsi="宋体"/>
          <w:sz w:val="21"/>
          <w:szCs w:val="21"/>
        </w:rPr>
      </w:pPr>
      <w:r>
        <w:rPr>
          <w:rFonts w:hint="eastAsia" w:ascii="宋体" w:hAnsi="宋体"/>
          <w:sz w:val="21"/>
          <w:szCs w:val="21"/>
        </w:rPr>
        <w:t xml:space="preserve">1.3、在合同规定的期限内对所提供标的物实行运行监督、维修服务的前提条件是该服务并不能免除乙方在质量保证期内所承担的义务；</w:t>
      </w:r>
      <w:r/>
    </w:p>
    <w:p>
      <w:pPr>
        <w:ind w:left="0" w:firstLine="420"/>
        <w:spacing w:line="360" w:lineRule="auto"/>
        <w:rPr>
          <w:rFonts w:ascii="宋体" w:hAnsi="宋体"/>
          <w:sz w:val="21"/>
          <w:szCs w:val="21"/>
        </w:rPr>
      </w:pPr>
      <w:r>
        <w:rPr>
          <w:rFonts w:hint="eastAsia" w:ascii="宋体" w:hAnsi="宋体"/>
          <w:sz w:val="21"/>
          <w:szCs w:val="21"/>
        </w:rPr>
        <w:t xml:space="preserve">1.4、对甲方技术人员的技术指导或培训。</w:t>
      </w:r>
      <w:r/>
    </w:p>
    <w:p>
      <w:pPr>
        <w:ind w:left="0" w:firstLine="420"/>
        <w:spacing w:line="360" w:lineRule="auto"/>
        <w:rPr>
          <w:rFonts w:ascii="宋体" w:hAnsi="宋体"/>
          <w:sz w:val="21"/>
          <w:szCs w:val="21"/>
        </w:rPr>
      </w:pPr>
      <w:r>
        <w:rPr>
          <w:rFonts w:hint="eastAsia" w:ascii="宋体" w:hAnsi="宋体"/>
          <w:sz w:val="21"/>
          <w:szCs w:val="21"/>
        </w:rPr>
        <w:t xml:space="preserve">2、除合同另有规定之外，伴随服务的费用均已含在合同价款中，甲方不再另行进行支付。</w:t>
      </w:r>
      <w:r/>
    </w:p>
    <w:p>
      <w:pPr>
        <w:ind w:left="0" w:firstLine="420"/>
        <w:spacing w:line="360" w:lineRule="auto"/>
        <w:rPr>
          <w:rFonts w:ascii="宋体" w:hAnsi="宋体"/>
          <w:sz w:val="21"/>
          <w:szCs w:val="21"/>
        </w:rPr>
      </w:pPr>
      <w:r>
        <w:rPr>
          <w:rFonts w:hint="eastAsia" w:ascii="宋体" w:hAnsi="宋体"/>
          <w:sz w:val="21"/>
          <w:szCs w:val="21"/>
        </w:rPr>
        <w:t xml:space="preserve">3、乙方在投标前，已前往项目现场，查看图纸、熟悉现场，并确认工程结构及相关尺寸与所投标货物相匹配。</w:t>
      </w:r>
      <w:r/>
    </w:p>
    <w:p>
      <w:pPr>
        <w:ind w:left="0" w:firstLine="420"/>
        <w:spacing w:line="360" w:lineRule="auto"/>
        <w:rPr>
          <w:rFonts w:ascii="宋体" w:hAnsi="宋体"/>
          <w:b/>
          <w:bCs/>
          <w:sz w:val="21"/>
          <w:szCs w:val="21"/>
        </w:rPr>
      </w:pPr>
      <w:r>
        <w:rPr>
          <w:rFonts w:hint="eastAsia" w:ascii="宋体" w:hAnsi="宋体"/>
          <w:b/>
          <w:bCs/>
          <w:sz w:val="21"/>
          <w:szCs w:val="21"/>
        </w:rPr>
        <w:t xml:space="preserve">第五条产品保修期及售后服务</w:t>
      </w:r>
      <w:r/>
    </w:p>
    <w:p>
      <w:pPr>
        <w:ind w:left="0" w:firstLine="420"/>
        <w:spacing w:line="360" w:lineRule="auto"/>
        <w:rPr>
          <w:rFonts w:ascii="宋体" w:hAnsi="宋体"/>
          <w:sz w:val="21"/>
          <w:szCs w:val="21"/>
        </w:rPr>
      </w:pPr>
      <w:r>
        <w:rPr>
          <w:rFonts w:hint="eastAsia" w:ascii="宋体" w:hAnsi="宋体"/>
          <w:sz w:val="21"/>
          <w:szCs w:val="21"/>
        </w:rPr>
        <w:t xml:space="preserve">产品的保修期限为</w:t>
      </w:r>
      <w:r>
        <w:rPr>
          <w:rFonts w:hint="eastAsia" w:ascii="宋体" w:hAnsi="宋体"/>
          <w:sz w:val="21"/>
          <w:szCs w:val="21"/>
          <w:u w:val="single"/>
        </w:rPr>
        <w:t xml:space="preserve">5</w:t>
      </w:r>
      <w:r>
        <w:rPr>
          <w:rFonts w:hint="eastAsia" w:ascii="宋体" w:hAnsi="宋体"/>
          <w:sz w:val="21"/>
          <w:szCs w:val="21"/>
        </w:rPr>
        <w:t xml:space="preserve">年，</w:t>
      </w:r>
      <w:bookmarkStart w:id="133" w:name="OLE_LINK50"/>
      <w:r/>
      <w:bookmarkStart w:id="134" w:name="OLE_LINK51"/>
      <w:r>
        <w:rPr>
          <w:rFonts w:hint="eastAsia" w:ascii="宋体" w:hAnsi="宋体"/>
          <w:sz w:val="21"/>
          <w:szCs w:val="21"/>
        </w:rPr>
        <w:t xml:space="preserve">自甲方验收合格后交付之日起算</w:t>
      </w:r>
      <w:bookmarkEnd w:id="133"/>
      <w:r/>
      <w:bookmarkEnd w:id="134"/>
      <w:r>
        <w:rPr>
          <w:rFonts w:hint="eastAsia" w:ascii="宋体" w:hAnsi="宋体"/>
          <w:sz w:val="21"/>
          <w:szCs w:val="21"/>
        </w:rPr>
        <w:t xml:space="preserve">。保修期内，乙方应对由于质量问题的任何不足或故障负责，费用由乙方负担。乙方拒绝维修或更换或在规定期限内拖延修复的，甲方可以自行或者委托他人修复。修复费用及修复期间造成的其他损失由乙方承担。</w:t>
      </w:r>
      <w:r/>
    </w:p>
    <w:p>
      <w:pPr>
        <w:ind w:left="0" w:firstLine="420"/>
        <w:spacing w:line="360" w:lineRule="auto"/>
        <w:rPr>
          <w:rFonts w:ascii="宋体" w:hAnsi="宋体"/>
          <w:b/>
          <w:bCs/>
          <w:sz w:val="21"/>
          <w:szCs w:val="21"/>
        </w:rPr>
      </w:pPr>
      <w:r>
        <w:rPr>
          <w:rFonts w:hint="eastAsia" w:ascii="宋体" w:hAnsi="宋体"/>
          <w:b/>
          <w:bCs/>
          <w:sz w:val="21"/>
          <w:szCs w:val="21"/>
        </w:rPr>
        <w:t xml:space="preserve">第六条履行地点及方式</w:t>
      </w:r>
      <w:r/>
    </w:p>
    <w:p>
      <w:pPr>
        <w:ind w:left="0" w:firstLine="420"/>
        <w:spacing w:line="360" w:lineRule="auto"/>
        <w:rPr>
          <w:rFonts w:ascii="宋体" w:hAnsi="宋体"/>
          <w:sz w:val="21"/>
          <w:szCs w:val="21"/>
        </w:rPr>
      </w:pPr>
      <w:r>
        <w:rPr>
          <w:rFonts w:hint="eastAsia" w:ascii="宋体" w:hAnsi="宋体"/>
          <w:sz w:val="21"/>
          <w:szCs w:val="21"/>
        </w:rPr>
        <w:t xml:space="preserve">1、乙方送货按照甲方指定地点：</w:t>
      </w:r>
      <w:r>
        <w:rPr>
          <w:rFonts w:hint="eastAsia" w:ascii="宋体" w:hAnsi="宋体"/>
          <w:sz w:val="21"/>
          <w:szCs w:val="21"/>
          <w:u w:val="single"/>
        </w:rPr>
        <w:t xml:space="preserve">     </w:t>
      </w:r>
      <w:r>
        <w:rPr>
          <w:rFonts w:hint="eastAsia" w:ascii="宋体" w:hAnsi="宋体"/>
          <w:sz w:val="21"/>
          <w:szCs w:val="21"/>
        </w:rPr>
        <w:t xml:space="preserve">，乙方送货上门，并承担全部装卸、搬运及上楼等工作及费用。</w:t>
      </w:r>
      <w:r/>
    </w:p>
    <w:p>
      <w:pPr>
        <w:ind w:left="0" w:firstLine="420"/>
        <w:spacing w:line="360" w:lineRule="auto"/>
        <w:rPr>
          <w:rFonts w:ascii="宋体" w:hAnsi="宋体"/>
          <w:sz w:val="21"/>
          <w:szCs w:val="21"/>
        </w:rPr>
      </w:pPr>
      <w:r>
        <w:rPr>
          <w:rFonts w:hint="eastAsia" w:ascii="宋体" w:hAnsi="宋体"/>
          <w:sz w:val="21"/>
          <w:szCs w:val="21"/>
        </w:rPr>
        <w:t xml:space="preserve">2、乙方按甲方需求交货。交货时间:</w:t>
      </w:r>
      <w:r>
        <w:rPr>
          <w:rFonts w:hint="eastAsia" w:ascii="宋体" w:hAnsi="宋体"/>
          <w:sz w:val="21"/>
          <w:szCs w:val="21"/>
          <w:lang w:val="zh-CN"/>
        </w:rPr>
        <w:t xml:space="preserve">年  月  日</w:t>
      </w:r>
      <w:r>
        <w:rPr>
          <w:rFonts w:hint="eastAsia" w:ascii="宋体" w:hAnsi="宋体"/>
          <w:sz w:val="21"/>
          <w:szCs w:val="21"/>
        </w:rPr>
        <w:t xml:space="preserve">前，发货前应书面通知甲方。</w:t>
      </w:r>
      <w:r/>
    </w:p>
    <w:p>
      <w:pPr>
        <w:ind w:left="0" w:firstLine="420"/>
        <w:spacing w:line="360" w:lineRule="auto"/>
        <w:rPr>
          <w:rFonts w:ascii="宋体" w:hAnsi="宋体"/>
          <w:sz w:val="21"/>
          <w:szCs w:val="21"/>
        </w:rPr>
      </w:pPr>
      <w:r>
        <w:rPr>
          <w:rFonts w:hint="eastAsia" w:ascii="宋体" w:hAnsi="宋体"/>
          <w:sz w:val="21"/>
          <w:szCs w:val="21"/>
        </w:rPr>
        <w:t xml:space="preserve">3、在交货前，乙方应对标的物的质量、规格、性能、数量等进行详细而全面的检验，并出具一份合格检验证明，合格检验证明作为甲方验收的依据，但不能作为有关标的物质量、规格、数量或性能的最终检验结果。乙方应确保所供货物及安装均能满足相关主管部门的验收合格要求。</w:t>
      </w:r>
      <w:r/>
    </w:p>
    <w:p>
      <w:pPr>
        <w:ind w:left="0" w:firstLine="420"/>
        <w:spacing w:line="360" w:lineRule="auto"/>
        <w:rPr>
          <w:rFonts w:ascii="宋体" w:hAnsi="宋体"/>
          <w:sz w:val="21"/>
          <w:szCs w:val="21"/>
        </w:rPr>
      </w:pPr>
      <w:r>
        <w:rPr>
          <w:rFonts w:hint="eastAsia" w:ascii="宋体" w:hAnsi="宋体"/>
          <w:sz w:val="21"/>
          <w:szCs w:val="21"/>
        </w:rPr>
        <w:t xml:space="preserve">4、甲方根据合同规定的内容和验收标准进行验收，同时比较乙方出具的检验证明，经检验无误后出具验收合格证明，该证明作为最终付款所需文件的组成部分。</w:t>
      </w:r>
      <w:r/>
    </w:p>
    <w:p>
      <w:pPr>
        <w:ind w:left="0" w:firstLine="420"/>
        <w:spacing w:line="360" w:lineRule="auto"/>
        <w:rPr>
          <w:rFonts w:ascii="宋体" w:hAnsi="宋体"/>
          <w:sz w:val="21"/>
          <w:szCs w:val="21"/>
        </w:rPr>
      </w:pPr>
      <w:r>
        <w:rPr>
          <w:rFonts w:hint="eastAsia" w:ascii="宋体" w:hAnsi="宋体"/>
          <w:sz w:val="21"/>
          <w:szCs w:val="21"/>
        </w:rPr>
        <w:t xml:space="preserve">5、验收期限自标的物交付之日起三十天内。特殊情况需延长的，双方应在合同的特殊条款中约定。</w:t>
      </w:r>
      <w:r/>
    </w:p>
    <w:p>
      <w:pPr>
        <w:ind w:left="0" w:firstLine="420"/>
        <w:spacing w:line="360" w:lineRule="auto"/>
        <w:rPr>
          <w:rFonts w:ascii="宋体" w:hAnsi="宋体"/>
          <w:sz w:val="21"/>
          <w:szCs w:val="21"/>
        </w:rPr>
      </w:pPr>
      <w:r>
        <w:rPr>
          <w:rFonts w:hint="eastAsia" w:ascii="宋体" w:hAnsi="宋体"/>
          <w:sz w:val="21"/>
          <w:szCs w:val="21"/>
        </w:rPr>
        <w:t xml:space="preserve">6、如双方对验收结果有分歧，则以苏州市技术质量监督局的检验结果为准，检验费用由有过失的一方支付。</w:t>
      </w:r>
      <w:r/>
    </w:p>
    <w:p>
      <w:pPr>
        <w:ind w:left="0" w:firstLine="420"/>
        <w:spacing w:line="360" w:lineRule="auto"/>
        <w:rPr>
          <w:rFonts w:ascii="宋体" w:hAnsi="宋体"/>
          <w:b/>
          <w:bCs/>
          <w:sz w:val="21"/>
          <w:szCs w:val="21"/>
        </w:rPr>
      </w:pPr>
      <w:r>
        <w:rPr>
          <w:rFonts w:hint="eastAsia" w:ascii="宋体" w:hAnsi="宋体"/>
          <w:b/>
          <w:bCs/>
          <w:sz w:val="21"/>
          <w:szCs w:val="21"/>
        </w:rPr>
        <w:t xml:space="preserve">第七条付款方式</w:t>
      </w:r>
      <w:r/>
    </w:p>
    <w:p>
      <w:pPr>
        <w:ind w:left="0" w:firstLine="420"/>
        <w:spacing w:line="480" w:lineRule="exact"/>
        <w:rPr>
          <w:rFonts w:ascii="宋体" w:hAnsi="宋体"/>
          <w:sz w:val="21"/>
          <w:szCs w:val="21"/>
        </w:rPr>
      </w:pPr>
      <w:r>
        <w:rPr>
          <w:rFonts w:hint="eastAsia" w:ascii="宋体" w:hAnsi="宋体"/>
          <w:sz w:val="21"/>
          <w:szCs w:val="21"/>
        </w:rPr>
        <w:t xml:space="preserve">（1）第一期款项 </w:t>
      </w:r>
      <w:r/>
    </w:p>
    <w:p>
      <w:pPr>
        <w:ind w:left="0" w:firstLine="420"/>
        <w:spacing w:line="480" w:lineRule="exact"/>
        <w:rPr>
          <w:rFonts w:ascii="宋体" w:hAnsi="宋体"/>
          <w:sz w:val="21"/>
          <w:szCs w:val="21"/>
        </w:rPr>
      </w:pPr>
      <w:r>
        <w:rPr>
          <w:rFonts w:hint="eastAsia" w:ascii="宋体" w:hAnsi="宋体"/>
          <w:sz w:val="21"/>
          <w:szCs w:val="21"/>
        </w:rPr>
        <w:t xml:space="preserve">合同签订生效，乙方工程师进场履职且正式提交项目实施方案并经甲方核验无误后，甲方向乙方支付合同总价60%预付款。</w:t>
      </w:r>
      <w:r/>
    </w:p>
    <w:p>
      <w:pPr>
        <w:ind w:left="0" w:firstLine="420"/>
        <w:spacing w:line="480" w:lineRule="exact"/>
        <w:rPr>
          <w:rFonts w:ascii="宋体" w:hAnsi="宋体"/>
          <w:sz w:val="21"/>
          <w:szCs w:val="21"/>
        </w:rPr>
      </w:pPr>
      <w:r>
        <w:rPr>
          <w:rFonts w:hint="eastAsia" w:ascii="宋体" w:hAnsi="宋体"/>
          <w:sz w:val="21"/>
          <w:szCs w:val="21"/>
        </w:rPr>
        <w:t xml:space="preserve">（2）第二期款项</w:t>
      </w:r>
      <w:r/>
    </w:p>
    <w:p>
      <w:pPr>
        <w:ind w:left="0" w:firstLine="420"/>
        <w:spacing w:line="480" w:lineRule="exact"/>
        <w:rPr>
          <w:rFonts w:ascii="宋体" w:hAnsi="宋体"/>
          <w:sz w:val="21"/>
          <w:szCs w:val="21"/>
        </w:rPr>
      </w:pPr>
      <w:r>
        <w:rPr>
          <w:rFonts w:hint="eastAsia" w:ascii="宋体" w:hAnsi="宋体"/>
          <w:sz w:val="21"/>
          <w:szCs w:val="21"/>
        </w:rPr>
        <w:t xml:space="preserve">每个系统（产品）完成安装调试并验收合格后一周内，甲方向乙方支付该系统（产品）合同额的20%，整体付款至该系统（产品）合同额的80%。</w:t>
      </w:r>
      <w:r/>
    </w:p>
    <w:p>
      <w:pPr>
        <w:ind w:left="0" w:firstLine="420"/>
        <w:spacing w:line="480" w:lineRule="exact"/>
        <w:rPr>
          <w:rFonts w:ascii="宋体" w:hAnsi="宋体"/>
          <w:sz w:val="21"/>
          <w:szCs w:val="21"/>
        </w:rPr>
      </w:pPr>
      <w:r>
        <w:rPr>
          <w:rFonts w:hint="eastAsia" w:ascii="宋体" w:hAnsi="宋体"/>
          <w:sz w:val="21"/>
          <w:szCs w:val="21"/>
        </w:rPr>
        <w:t xml:space="preserve">（3）第三期款项</w:t>
      </w:r>
      <w:r/>
    </w:p>
    <w:p>
      <w:pPr>
        <w:ind w:left="0" w:firstLine="420"/>
        <w:spacing w:line="480" w:lineRule="exact"/>
        <w:rPr>
          <w:rFonts w:ascii="宋体" w:hAnsi="宋体"/>
          <w:sz w:val="21"/>
          <w:szCs w:val="21"/>
        </w:rPr>
      </w:pPr>
      <w:r>
        <w:rPr>
          <w:rFonts w:hint="eastAsia" w:ascii="宋体" w:hAnsi="宋体"/>
          <w:sz w:val="21"/>
          <w:szCs w:val="21"/>
        </w:rPr>
        <w:t xml:space="preserve">所有系统（产品）完成安装、调试，系统（产品）整体验收合格后一周内，甲方向乙方支付合同总价20%款项；累计付款至合同总价的100%。</w:t>
      </w:r>
      <w:r/>
    </w:p>
    <w:p>
      <w:pPr>
        <w:ind w:left="0" w:firstLine="420"/>
        <w:spacing w:line="360" w:lineRule="auto"/>
        <w:rPr>
          <w:rFonts w:ascii="宋体" w:hAnsi="宋体"/>
          <w:b/>
          <w:bCs/>
          <w:sz w:val="21"/>
          <w:szCs w:val="21"/>
        </w:rPr>
      </w:pPr>
      <w:r>
        <w:rPr>
          <w:rFonts w:hint="eastAsia" w:ascii="宋体" w:hAnsi="宋体"/>
          <w:b/>
          <w:bCs/>
          <w:sz w:val="21"/>
          <w:szCs w:val="21"/>
        </w:rPr>
        <w:t xml:space="preserve">第八条违约责任</w:t>
      </w:r>
      <w:r/>
    </w:p>
    <w:p>
      <w:pPr>
        <w:ind w:left="0" w:firstLine="420"/>
        <w:spacing w:line="360" w:lineRule="auto"/>
        <w:rPr>
          <w:rFonts w:ascii="宋体" w:hAnsi="宋体"/>
          <w:sz w:val="21"/>
          <w:szCs w:val="21"/>
        </w:rPr>
      </w:pPr>
      <w:r>
        <w:rPr>
          <w:rFonts w:hint="eastAsia" w:ascii="宋体" w:hAnsi="宋体"/>
          <w:sz w:val="21"/>
          <w:szCs w:val="21"/>
        </w:rPr>
        <w:t xml:space="preserve">1、乙方逾期交货的，每逾期一天应向甲方支付合同总金额0</w:t>
      </w:r>
      <w:r>
        <w:rPr>
          <w:rFonts w:ascii="宋体" w:hAnsi="宋体"/>
          <w:sz w:val="21"/>
          <w:szCs w:val="21"/>
        </w:rPr>
        <w:t xml:space="preserve">.</w:t>
      </w: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rPr>
        <w:t xml:space="preserve">的违约金，逾期超过6</w:t>
      </w:r>
      <w:r>
        <w:rPr>
          <w:rFonts w:hint="eastAsia" w:ascii="宋体" w:hAnsi="宋体"/>
          <w:sz w:val="21"/>
          <w:szCs w:val="21"/>
          <w:u w:val="single"/>
        </w:rPr>
        <w:t xml:space="preserve">0</w:t>
      </w:r>
      <w:r>
        <w:rPr>
          <w:rFonts w:hint="eastAsia" w:ascii="宋体" w:hAnsi="宋体"/>
          <w:sz w:val="21"/>
          <w:szCs w:val="21"/>
        </w:rPr>
        <w:t xml:space="preserve">天，甲方有权单方面解除本合同。</w:t>
      </w:r>
      <w:r/>
    </w:p>
    <w:p>
      <w:pPr>
        <w:ind w:left="0" w:firstLine="420"/>
        <w:spacing w:line="360" w:lineRule="auto"/>
        <w:rPr>
          <w:rFonts w:ascii="宋体" w:hAnsi="宋体"/>
          <w:sz w:val="21"/>
          <w:szCs w:val="21"/>
        </w:rPr>
      </w:pPr>
      <w:r>
        <w:rPr>
          <w:rFonts w:hint="eastAsia" w:ascii="宋体" w:hAnsi="宋体"/>
          <w:sz w:val="21"/>
          <w:szCs w:val="21"/>
        </w:rPr>
        <w:t xml:space="preserve">2、乙方交付货物不符合合同要求、国家规范或为假冒伪劣产品的，甲方有权拒收、退货，并可选择要求更换合格货物或直接解除合同，甲方要求更换货物的，乙方除应按甲方要求更换外，还应按合同总金额的</w:t>
      </w:r>
      <w:r>
        <w:rPr>
          <w:rFonts w:hint="eastAsia" w:ascii="宋体" w:hAnsi="宋体"/>
          <w:sz w:val="21"/>
          <w:szCs w:val="21"/>
          <w:u w:val="single"/>
        </w:rPr>
        <w:t xml:space="preserve">10</w:t>
      </w:r>
      <w:r>
        <w:rPr>
          <w:rFonts w:hint="eastAsia" w:ascii="宋体" w:hAnsi="宋体"/>
          <w:sz w:val="21"/>
          <w:szCs w:val="21"/>
        </w:rPr>
        <w:t xml:space="preserve">%支付违约金，甲方解除合同的，乙方按本条第5款承担违约责任。</w:t>
      </w:r>
      <w:r/>
    </w:p>
    <w:p>
      <w:pPr>
        <w:ind w:left="0" w:firstLine="420"/>
        <w:spacing w:line="360" w:lineRule="auto"/>
        <w:rPr>
          <w:rFonts w:ascii="宋体" w:hAnsi="宋体"/>
          <w:sz w:val="21"/>
          <w:szCs w:val="21"/>
        </w:rPr>
      </w:pPr>
      <w:r>
        <w:rPr>
          <w:rFonts w:hint="eastAsia" w:ascii="宋体" w:hAnsi="宋体"/>
          <w:sz w:val="21"/>
          <w:szCs w:val="21"/>
        </w:rPr>
        <w:t xml:space="preserve">3、未经甲方书面同意，乙方不得转让其在本合同下的全部或部分权利或义务，否则甲方有权单方解除本合同。</w:t>
      </w:r>
      <w:r/>
    </w:p>
    <w:p>
      <w:pPr>
        <w:ind w:left="0" w:firstLine="420"/>
        <w:spacing w:line="360" w:lineRule="auto"/>
        <w:rPr>
          <w:rFonts w:ascii="宋体" w:hAnsi="宋体"/>
          <w:sz w:val="21"/>
          <w:szCs w:val="21"/>
        </w:rPr>
      </w:pPr>
      <w:r>
        <w:rPr>
          <w:rFonts w:hint="eastAsia" w:ascii="宋体" w:hAnsi="宋体"/>
          <w:sz w:val="21"/>
          <w:szCs w:val="21"/>
        </w:rPr>
        <w:t xml:space="preserve">4、乙方不履行本合同约定其他义务，经甲方书面通知后15日内仍未改正的，甲方有权单方解除本合同。</w:t>
      </w:r>
      <w:r/>
    </w:p>
    <w:p>
      <w:pPr>
        <w:ind w:left="0" w:firstLine="420"/>
        <w:spacing w:line="360" w:lineRule="auto"/>
        <w:rPr>
          <w:rFonts w:ascii="宋体" w:hAnsi="宋体"/>
          <w:sz w:val="21"/>
          <w:szCs w:val="21"/>
        </w:rPr>
      </w:pPr>
      <w:r>
        <w:rPr>
          <w:rFonts w:hint="eastAsia" w:ascii="宋体" w:hAnsi="宋体"/>
          <w:sz w:val="21"/>
          <w:szCs w:val="21"/>
        </w:rPr>
        <w:t xml:space="preserve">5、乙方无合同或法律依据单方面解除合同或甲方因乙方违约而解除合同的，乙方除应退还甲方已付货款外（如有），还应向甲方支付合同总金额10％的违约金。违约金不足以弥补甲方损失的，乙方应予以补足。</w:t>
      </w:r>
      <w:r/>
    </w:p>
    <w:p>
      <w:pPr>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lang w:val="zh-CN"/>
        </w:rPr>
        <w:t xml:space="preserve">质保期内货物质量出现问题，乙方负责包修、包退、包换，费用由乙方承担。</w:t>
      </w:r>
      <w:r/>
    </w:p>
    <w:p>
      <w:pPr>
        <w:ind w:left="0" w:firstLine="420"/>
        <w:spacing w:line="360" w:lineRule="auto"/>
        <w:rPr>
          <w:rFonts w:ascii="宋体" w:hAnsi="宋体"/>
          <w:b/>
          <w:bCs/>
          <w:sz w:val="21"/>
          <w:szCs w:val="21"/>
        </w:rPr>
      </w:pPr>
      <w:r>
        <w:rPr>
          <w:rFonts w:hint="eastAsia" w:ascii="宋体" w:hAnsi="宋体"/>
          <w:b/>
          <w:bCs/>
          <w:sz w:val="21"/>
          <w:szCs w:val="21"/>
        </w:rPr>
        <w:t xml:space="preserve">第九条争议解决</w:t>
      </w:r>
      <w:r/>
    </w:p>
    <w:p>
      <w:pPr>
        <w:ind w:left="0" w:firstLine="420"/>
        <w:spacing w:line="360" w:lineRule="auto"/>
        <w:rPr>
          <w:rFonts w:ascii="宋体" w:hAnsi="宋体"/>
          <w:sz w:val="21"/>
          <w:szCs w:val="21"/>
        </w:rPr>
      </w:pPr>
      <w:r>
        <w:rPr>
          <w:rFonts w:hint="eastAsia" w:ascii="宋体" w:hAnsi="宋体"/>
          <w:sz w:val="21"/>
          <w:szCs w:val="21"/>
        </w:rPr>
        <w:t xml:space="preserve">在本合同履行过程中出现的任何争议，双方应通过友好协商解决；协商不成的，任何一方应向甲方所在地人民法院起诉。</w:t>
      </w:r>
      <w:r/>
    </w:p>
    <w:p>
      <w:pPr>
        <w:ind w:left="0" w:firstLine="420"/>
        <w:spacing w:line="360" w:lineRule="auto"/>
        <w:rPr>
          <w:rFonts w:ascii="宋体" w:hAnsi="宋体"/>
          <w:b/>
          <w:bCs/>
          <w:sz w:val="21"/>
          <w:szCs w:val="21"/>
        </w:rPr>
      </w:pPr>
      <w:r>
        <w:rPr>
          <w:rFonts w:hint="eastAsia" w:ascii="宋体" w:hAnsi="宋体"/>
          <w:b/>
          <w:bCs/>
          <w:sz w:val="21"/>
          <w:szCs w:val="21"/>
        </w:rPr>
        <w:t xml:space="preserve">第十条通知及送达</w:t>
      </w:r>
      <w:r/>
    </w:p>
    <w:p>
      <w:pPr>
        <w:ind w:left="0" w:firstLine="420"/>
        <w:spacing w:line="360" w:lineRule="auto"/>
        <w:rPr>
          <w:rFonts w:ascii="宋体" w:hAnsi="宋体"/>
          <w:sz w:val="21"/>
          <w:szCs w:val="21"/>
        </w:rPr>
      </w:pPr>
      <w:r>
        <w:rPr>
          <w:rFonts w:hint="eastAsia" w:ascii="宋体" w:hAnsi="宋体"/>
          <w:sz w:val="21"/>
          <w:szCs w:val="21"/>
        </w:rPr>
        <w:t xml:space="preserve">一方发给另一方的通知或信件应是中文书面的，并且按本合同中记载的地址或传真送达。对于任何通知或联络，如直接交付，则在接收一方授权人签收时视为收讫；如用传真，在发出后视为收讫；如果通过国内或国际快递方式邮寄，则在寄出后第三天被视作已收讫（无论该信件是否被退回）；如用挂号信、EMS邮寄，在寄出五天后视为收讫（无论该信件是否被退回）。</w:t>
      </w:r>
      <w:r/>
    </w:p>
    <w:p>
      <w:pPr>
        <w:ind w:left="0" w:firstLine="420"/>
        <w:spacing w:line="360" w:lineRule="auto"/>
        <w:rPr>
          <w:rFonts w:ascii="宋体" w:hAnsi="宋体"/>
          <w:b/>
          <w:bCs/>
          <w:sz w:val="21"/>
          <w:szCs w:val="21"/>
        </w:rPr>
      </w:pPr>
      <w:r>
        <w:rPr>
          <w:rFonts w:hint="eastAsia" w:ascii="宋体" w:hAnsi="宋体"/>
          <w:b/>
          <w:bCs/>
          <w:sz w:val="21"/>
          <w:szCs w:val="21"/>
        </w:rPr>
        <w:t xml:space="preserve">第十一条其他</w:t>
      </w:r>
      <w:r/>
    </w:p>
    <w:p>
      <w:pPr>
        <w:ind w:left="0" w:firstLine="420"/>
        <w:spacing w:line="360" w:lineRule="auto"/>
        <w:rPr>
          <w:rFonts w:ascii="宋体" w:hAnsi="宋体"/>
          <w:sz w:val="21"/>
          <w:szCs w:val="21"/>
        </w:rPr>
      </w:pPr>
      <w:r>
        <w:rPr>
          <w:rFonts w:hint="eastAsia" w:ascii="宋体" w:hAnsi="宋体"/>
          <w:sz w:val="21"/>
          <w:szCs w:val="21"/>
        </w:rPr>
        <w:t xml:space="preserve">1、未尽事宜双方友好协商解决，可另行订立书面的补充协议。</w:t>
      </w:r>
      <w:r/>
    </w:p>
    <w:p>
      <w:pPr>
        <w:ind w:left="0" w:firstLine="420"/>
        <w:spacing w:line="360" w:lineRule="auto"/>
        <w:rPr>
          <w:rFonts w:ascii="宋体" w:hAnsi="宋体"/>
          <w:sz w:val="21"/>
          <w:szCs w:val="21"/>
        </w:rPr>
      </w:pPr>
      <w:r>
        <w:rPr>
          <w:rFonts w:hint="eastAsia" w:ascii="宋体" w:hAnsi="宋体"/>
          <w:sz w:val="21"/>
          <w:szCs w:val="21"/>
        </w:rPr>
        <w:t xml:space="preserve">2、因乙方履行、不履行或不当履行本合同项下义务而直接或间接导致甲方、甲方员工或第三人，遭受索赔、损失、损害、承担责任或其他人身、财产或名誉损失的，由乙方承担全部赔偿责任并补偿甲方所遭受之一切损失（包括但不限于律师费用、交通费、鉴定费等）。</w:t>
      </w:r>
      <w:r/>
    </w:p>
    <w:p>
      <w:pPr>
        <w:ind w:left="0" w:firstLine="420"/>
        <w:spacing w:line="360" w:lineRule="auto"/>
        <w:rPr>
          <w:rFonts w:ascii="宋体" w:hAnsi="宋体"/>
          <w:b/>
          <w:bCs/>
          <w:sz w:val="21"/>
          <w:szCs w:val="21"/>
        </w:rPr>
      </w:pPr>
      <w:r>
        <w:rPr>
          <w:rFonts w:hint="eastAsia" w:ascii="宋体" w:hAnsi="宋体"/>
          <w:b/>
          <w:bCs/>
          <w:sz w:val="21"/>
          <w:szCs w:val="21"/>
        </w:rPr>
        <w:t xml:space="preserve">第十二条合同生效</w:t>
      </w:r>
      <w:r/>
    </w:p>
    <w:p>
      <w:pPr>
        <w:ind w:left="0" w:firstLine="420"/>
        <w:spacing w:line="360" w:lineRule="auto"/>
        <w:rPr>
          <w:rFonts w:ascii="宋体" w:hAnsi="宋体"/>
          <w:sz w:val="21"/>
          <w:szCs w:val="21"/>
        </w:rPr>
      </w:pPr>
      <w:r>
        <w:rPr>
          <w:rFonts w:hint="eastAsia" w:ascii="宋体" w:hAnsi="宋体"/>
          <w:sz w:val="21"/>
          <w:szCs w:val="21"/>
        </w:rPr>
        <w:t xml:space="preserve">本合同一式</w:t>
      </w:r>
      <w:r>
        <w:rPr>
          <w:rFonts w:hint="eastAsia" w:ascii="宋体" w:hAnsi="宋体"/>
          <w:sz w:val="21"/>
          <w:szCs w:val="21"/>
          <w:u w:val="single"/>
        </w:rPr>
        <w:t xml:space="preserve">伍</w:t>
      </w:r>
      <w:r>
        <w:rPr>
          <w:rFonts w:hint="eastAsia" w:ascii="宋体" w:hAnsi="宋体"/>
          <w:sz w:val="21"/>
          <w:szCs w:val="21"/>
        </w:rPr>
        <w:t xml:space="preserve">份，甲乙双方各执</w:t>
      </w:r>
      <w:r>
        <w:rPr>
          <w:rFonts w:hint="eastAsia" w:ascii="宋体" w:hAnsi="宋体"/>
          <w:sz w:val="21"/>
          <w:szCs w:val="21"/>
          <w:u w:val="single"/>
        </w:rPr>
        <w:t xml:space="preserve">贰</w:t>
      </w:r>
      <w:r>
        <w:rPr>
          <w:rFonts w:hint="eastAsia" w:ascii="宋体" w:hAnsi="宋体"/>
          <w:sz w:val="21"/>
          <w:szCs w:val="21"/>
        </w:rPr>
        <w:t xml:space="preserve">份，采购代理机构</w:t>
      </w:r>
      <w:r>
        <w:rPr>
          <w:rFonts w:hint="eastAsia" w:ascii="宋体" w:hAnsi="宋体"/>
          <w:sz w:val="21"/>
          <w:szCs w:val="21"/>
          <w:u w:val="single"/>
        </w:rPr>
        <w:t xml:space="preserve">壹</w:t>
      </w:r>
      <w:r>
        <w:rPr>
          <w:rFonts w:hint="eastAsia" w:ascii="宋体" w:hAnsi="宋体"/>
          <w:sz w:val="21"/>
          <w:szCs w:val="21"/>
        </w:rPr>
        <w:t xml:space="preserve">份，各份具有同等法律效力，经甲乙双方签章后生效。</w:t>
      </w:r>
      <w:r/>
    </w:p>
    <w:p>
      <w:pPr>
        <w:ind w:left="0" w:firstLine="420"/>
        <w:spacing w:line="360" w:lineRule="auto"/>
        <w:rPr>
          <w:rFonts w:ascii="宋体" w:hAnsi="宋体"/>
          <w:sz w:val="21"/>
          <w:szCs w:val="21"/>
        </w:rPr>
      </w:pPr>
      <w:r>
        <w:rPr>
          <w:rFonts w:hint="eastAsia" w:ascii="宋体" w:hAnsi="宋体"/>
          <w:sz w:val="21"/>
          <w:szCs w:val="21"/>
        </w:rPr>
        <w:t xml:space="preserve">（以下无正文）</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b/>
          <w:sz w:val="21"/>
          <w:szCs w:val="21"/>
        </w:rPr>
      </w:pPr>
      <w:r>
        <w:rPr>
          <w:rFonts w:hint="eastAsia" w:ascii="宋体" w:hAnsi="宋体"/>
          <w:b/>
          <w:sz w:val="21"/>
          <w:szCs w:val="21"/>
        </w:rPr>
        <w:t xml:space="preserve">甲方（盖章）：                                      乙方（盖章）：</w:t>
      </w:r>
      <w:r/>
    </w:p>
    <w:p>
      <w:pPr>
        <w:ind w:left="0" w:firstLine="420"/>
        <w:spacing w:line="360" w:lineRule="auto"/>
        <w:rPr>
          <w:rFonts w:ascii="宋体" w:hAnsi="宋体"/>
          <w:b/>
          <w:sz w:val="21"/>
          <w:szCs w:val="21"/>
        </w:rPr>
      </w:pPr>
      <w:r>
        <w:rPr>
          <w:rFonts w:ascii="宋体" w:hAnsi="宋体"/>
          <w:b/>
          <w:sz w:val="21"/>
          <w:szCs w:val="21"/>
        </w:rPr>
      </w:r>
      <w:r/>
    </w:p>
    <w:p>
      <w:pPr>
        <w:ind w:left="0" w:firstLine="420"/>
        <w:spacing w:line="360" w:lineRule="auto"/>
        <w:rPr>
          <w:rFonts w:ascii="宋体" w:hAnsi="宋体"/>
          <w:sz w:val="21"/>
          <w:szCs w:val="21"/>
        </w:rPr>
      </w:pPr>
      <w:r>
        <w:rPr>
          <w:rFonts w:hint="eastAsia" w:ascii="宋体" w:hAnsi="宋体"/>
          <w:b/>
          <w:sz w:val="21"/>
          <w:szCs w:val="21"/>
        </w:rPr>
        <w:t xml:space="preserve">法定代表人或授权代表（签字）：                      法定代表人或授权代表（签字）：</w:t>
      </w:r>
      <w:r/>
    </w:p>
    <w:p>
      <w:pPr>
        <w:ind w:left="0"/>
        <w:jc w:val="left"/>
        <w:rPr>
          <w:rFonts w:ascii="宋体" w:hAnsi="宋体"/>
          <w:b/>
          <w:sz w:val="44"/>
          <w:szCs w:val="22"/>
        </w:rPr>
      </w:pPr>
      <w:r>
        <w:rPr>
          <w:rFonts w:ascii="宋体" w:hAnsi="宋体"/>
          <w:b/>
          <w:sz w:val="44"/>
          <w:szCs w:val="22"/>
        </w:rPr>
        <w:br w:type="page" w:clear="all"/>
      </w:r>
      <w:r/>
    </w:p>
    <w:p>
      <w:pPr>
        <w:pStyle w:val="863"/>
        <w:ind w:left="0" w:firstLine="0"/>
        <w:jc w:val="center"/>
        <w:rPr>
          <w:rFonts w:ascii="宋体" w:hAnsi="宋体"/>
          <w:b/>
          <w:sz w:val="44"/>
          <w:szCs w:val="22"/>
        </w:rPr>
      </w:pPr>
      <w:r/>
      <w:bookmarkStart w:id="135" w:name="_Toc243493698"/>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30"/>
      <w:r/>
      <w:bookmarkEnd w:id="131"/>
      <w:r/>
      <w:bookmarkEnd w:id="132"/>
      <w:r/>
      <w:bookmarkEnd w:id="135"/>
      <w:r/>
      <w:r/>
    </w:p>
    <w:p>
      <w:pPr>
        <w:ind w:left="0" w:firstLine="422"/>
        <w:spacing w:line="360" w:lineRule="auto"/>
        <w:rPr>
          <w:rFonts w:ascii="宋体" w:hAnsi="宋体"/>
          <w:b/>
          <w:sz w:val="21"/>
          <w:szCs w:val="21"/>
        </w:rPr>
      </w:pPr>
      <w:r/>
      <w:bookmarkStart w:id="137" w:name="_Toc17476"/>
      <w:r/>
      <w:bookmarkStart w:id="138" w:name="_Toc16264"/>
      <w:r/>
      <w:bookmarkStart w:id="139" w:name="_Toc698"/>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40" w:name="OLE_LINK13"/>
      <w:r/>
      <w:bookmarkStart w:id="141" w:name="OLE_LINK14"/>
      <w:r>
        <w:rPr>
          <w:rFonts w:ascii="宋体" w:hAnsi="宋体"/>
          <w:sz w:val="21"/>
        </w:rPr>
        <w:t xml:space="preserve">5</w:t>
      </w:r>
      <w:r>
        <w:rPr>
          <w:rFonts w:hint="eastAsia" w:ascii="宋体" w:hAnsi="宋体"/>
          <w:sz w:val="21"/>
        </w:rPr>
        <w:t xml:space="preserve">.</w:t>
      </w:r>
      <w:r>
        <w:rPr>
          <w:rFonts w:hint="eastAsia" w:ascii="宋体" w:hAnsi="宋体"/>
          <w:sz w:val="21"/>
        </w:rPr>
        <w:t xml:space="preserve">针对中小</w:t>
      </w:r>
      <w:r>
        <w:rPr>
          <w:rFonts w:hint="eastAsia" w:ascii="宋体" w:hAnsi="宋体"/>
          <w:sz w:val="21"/>
        </w:rPr>
        <w:t xml:space="preserve">企业、残疾人福利</w:t>
      </w:r>
      <w:r>
        <w:rPr>
          <w:rFonts w:hint="eastAsia" w:ascii="宋体" w:hAnsi="宋体"/>
          <w:sz w:val="21"/>
        </w:rPr>
        <w:t xml:space="preserve">性单位</w:t>
      </w:r>
      <w:r>
        <w:rPr>
          <w:rFonts w:hint="eastAsia" w:ascii="宋体" w:hAnsi="宋体"/>
          <w:sz w:val="21"/>
        </w:rPr>
        <w:t xml:space="preserve">和监狱企业的评审：</w:t>
      </w:r>
      <w:bookmarkEnd w:id="140"/>
      <w:bookmarkEnd w:id="141"/>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2" w:name="OLE_LINK29"/>
      <w:r/>
      <w:bookmarkStart w:id="143"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4" w:name="OLE_LINK17"/>
      <w:r/>
      <w:bookmarkStart w:id="145"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4"/>
      <w:bookmarkEnd w:id="145"/>
      <w:bookmarkEnd w:id="146"/>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42"/>
      <w:bookmarkEnd w:id="143"/>
      <w:r/>
    </w:p>
    <w:p>
      <w:pPr>
        <w:ind w:left="0"/>
      </w:pPr>
      <w:r/>
      <w:r/>
    </w:p>
    <w:p>
      <w:pPr>
        <w:pStyle w:val="875"/>
      </w:pPr>
      <w:r/>
      <w:r/>
    </w:p>
    <w:p>
      <w:r/>
      <w:r/>
    </w:p>
    <w:p>
      <w:pPr>
        <w:pStyle w:val="875"/>
      </w:pPr>
      <w:r/>
      <w:r/>
    </w:p>
    <w:p>
      <w:r/>
      <w:r/>
    </w:p>
    <w:p>
      <w:pPr>
        <w:pStyle w:val="875"/>
      </w:pPr>
      <w:r/>
      <w:r/>
    </w:p>
    <w:p>
      <w:r/>
      <w:r/>
    </w:p>
    <w:p>
      <w:pPr>
        <w:pStyle w:val="875"/>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30</w:t>
            </w:r>
            <w:r>
              <w:rPr>
                <w:rFonts w:hint="eastAsia" w:ascii="宋体" w:hAnsi="宋体"/>
                <w:sz w:val="21"/>
                <w:szCs w:val="21"/>
              </w:rPr>
              <w:t xml:space="preserve">％×100</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3</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w:t>
            </w:r>
            <w:r>
              <w:rPr>
                <w:rFonts w:hint="eastAsia" w:ascii="宋体" w:hAnsi="宋体" w:cs="Tahoma"/>
                <w:b/>
                <w:sz w:val="21"/>
                <w:szCs w:val="21"/>
              </w:rPr>
              <w:t xml:space="preserve">0分）</w:t>
            </w:r>
            <w:r/>
          </w:p>
        </w:tc>
        <w:tc>
          <w:tcPr>
            <w:tcW w:w="1418" w:type="dxa"/>
            <w:vAlign w:val="center"/>
            <w:textDirection w:val="lrTb"/>
            <w:noWrap/>
          </w:tcPr>
          <w:p>
            <w:pPr>
              <w:ind w:left="0"/>
              <w:jc w:val="center"/>
              <w:rPr>
                <w:rFonts w:ascii="宋体" w:hAnsi="宋体" w:cs="Tahoma"/>
                <w:b/>
                <w:sz w:val="21"/>
                <w:szCs w:val="21"/>
              </w:rPr>
            </w:pPr>
            <w:r>
              <w:rPr>
                <w:rFonts w:hint="eastAsia" w:ascii="宋体" w:hAnsi="宋体"/>
                <w:b/>
                <w:sz w:val="21"/>
                <w:szCs w:val="21"/>
              </w:rPr>
              <w:t xml:space="preserve">▲</w:t>
            </w:r>
            <w:r>
              <w:rPr>
                <w:rFonts w:hint="eastAsia" w:ascii="宋体" w:hAnsi="宋体"/>
                <w:b/>
                <w:bCs/>
                <w:sz w:val="21"/>
                <w:szCs w:val="21"/>
              </w:rPr>
              <w:t xml:space="preserve">技术参数响应</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根据投标人所投产品的技术参数对招标文件采购需求中各项技术参数的逐项投标响应情况，由评委进行评议并打分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根据投标设备的主要技术参数及功能的符合性进行评分，带</w:t>
            </w:r>
            <w:bookmarkStart w:id="147" w:name="OLE_LINK45"/>
            <w:r>
              <w:rPr>
                <w:rFonts w:hint="eastAsia" w:ascii="宋体" w:hAnsi="宋体"/>
                <w:sz w:val="21"/>
                <w:szCs w:val="21"/>
              </w:rPr>
              <w:t xml:space="preserve">“▲”项</w:t>
            </w:r>
            <w:bookmarkEnd w:id="147"/>
            <w:r>
              <w:rPr>
                <w:rFonts w:hint="eastAsia" w:ascii="宋体" w:hAnsi="宋体"/>
                <w:sz w:val="21"/>
                <w:szCs w:val="21"/>
              </w:rPr>
              <w:t xml:space="preserve">为重要参数</w:t>
            </w:r>
            <w:r>
              <w:rPr>
                <w:rFonts w:hint="eastAsia" w:ascii="宋体" w:hAnsi="宋体"/>
                <w:sz w:val="21"/>
                <w:szCs w:val="21"/>
              </w:rPr>
              <w:t xml:space="preserve">，</w:t>
            </w:r>
            <w:bookmarkStart w:id="148" w:name="OLE_LINK40"/>
            <w:r/>
            <w:bookmarkStart w:id="149" w:name="OLE_LINK44"/>
            <w:r>
              <w:rPr>
                <w:rFonts w:hint="eastAsia" w:ascii="宋体" w:hAnsi="宋体"/>
                <w:sz w:val="21"/>
                <w:szCs w:val="21"/>
              </w:rPr>
              <w:t xml:space="preserve">每满足一条得</w:t>
            </w:r>
            <w:r>
              <w:rPr>
                <w:rFonts w:ascii="宋体" w:hAnsi="宋体"/>
                <w:sz w:val="21"/>
                <w:szCs w:val="21"/>
              </w:rPr>
              <w:t xml:space="preserve">3</w:t>
            </w:r>
            <w:r>
              <w:rPr>
                <w:rFonts w:hint="eastAsia" w:ascii="宋体" w:hAnsi="宋体"/>
                <w:sz w:val="21"/>
                <w:szCs w:val="21"/>
              </w:rPr>
              <w:t xml:space="preserve">分，最多</w:t>
            </w:r>
            <w:r>
              <w:rPr>
                <w:rFonts w:hint="eastAsia" w:ascii="宋体" w:hAnsi="宋体"/>
                <w:sz w:val="21"/>
                <w:szCs w:val="21"/>
              </w:rPr>
              <w:t xml:space="preserve">3</w:t>
            </w:r>
            <w:r>
              <w:rPr>
                <w:rFonts w:hint="eastAsia" w:ascii="宋体" w:hAnsi="宋体"/>
                <w:sz w:val="21"/>
                <w:szCs w:val="21"/>
              </w:rPr>
              <w:t xml:space="preserve">0分</w:t>
            </w:r>
            <w:bookmarkEnd w:id="148"/>
            <w:r/>
            <w:bookmarkEnd w:id="149"/>
            <w:r>
              <w:rPr>
                <w:rFonts w:hint="eastAsia" w:ascii="宋体" w:hAnsi="宋体"/>
                <w:sz w:val="21"/>
                <w:szCs w:val="21"/>
              </w:rPr>
              <w:t xml:space="preserve">。</w:t>
            </w:r>
            <w:r/>
          </w:p>
          <w:p>
            <w:pPr>
              <w:ind w:left="0"/>
              <w:widowControl w:val="off"/>
              <w:rPr>
                <w:rFonts w:ascii="宋体" w:hAnsi="宋体"/>
                <w:b/>
                <w:sz w:val="21"/>
                <w:szCs w:val="21"/>
              </w:rPr>
            </w:pPr>
            <w:r>
              <w:rPr>
                <w:rFonts w:hint="eastAsia" w:ascii="宋体" w:hAnsi="宋体"/>
                <w:b/>
                <w:sz w:val="21"/>
                <w:szCs w:val="21"/>
              </w:rPr>
              <w:t xml:space="preserve">注：带“</w:t>
            </w:r>
            <w:r>
              <w:rPr>
                <w:rFonts w:hint="eastAsia" w:ascii="宋体" w:hAnsi="宋体"/>
                <w:b/>
                <w:sz w:val="21"/>
                <w:szCs w:val="21"/>
              </w:rPr>
              <w:t xml:space="preserve">▲</w:t>
            </w:r>
            <w:r>
              <w:rPr>
                <w:rFonts w:hint="eastAsia" w:ascii="宋体" w:hAnsi="宋体"/>
                <w:b/>
                <w:sz w:val="21"/>
                <w:szCs w:val="21"/>
              </w:rPr>
              <w:t xml:space="preserve">”项技术参数，投标文件中需</w:t>
            </w:r>
            <w:r>
              <w:rPr>
                <w:rFonts w:hint="eastAsia" w:ascii="宋体" w:hAnsi="宋体"/>
                <w:b/>
                <w:sz w:val="21"/>
                <w:szCs w:val="21"/>
              </w:rPr>
              <w:t xml:space="preserve">提供</w:t>
            </w:r>
            <w:r>
              <w:rPr>
                <w:rFonts w:hint="eastAsia" w:ascii="宋体" w:hAnsi="宋体"/>
                <w:b/>
                <w:sz w:val="21"/>
                <w:szCs w:val="21"/>
              </w:rPr>
              <w:t xml:space="preserve">以下任意一种证明材料1</w:t>
            </w:r>
            <w:r>
              <w:rPr>
                <w:rFonts w:ascii="宋体" w:hAnsi="宋体"/>
                <w:b/>
                <w:sz w:val="21"/>
                <w:szCs w:val="21"/>
              </w:rPr>
              <w:t xml:space="preserve">.</w:t>
            </w:r>
            <w:r>
              <w:rPr>
                <w:rFonts w:hint="eastAsia" w:ascii="宋体" w:hAnsi="宋体"/>
                <w:b/>
                <w:sz w:val="21"/>
                <w:szCs w:val="21"/>
              </w:rPr>
              <w:t xml:space="preserve">官网截图</w:t>
            </w:r>
            <w:r>
              <w:rPr>
                <w:rFonts w:hint="eastAsia" w:ascii="宋体" w:hAnsi="宋体"/>
                <w:b/>
                <w:sz w:val="21"/>
                <w:szCs w:val="21"/>
              </w:rPr>
              <w:t xml:space="preserve">并加盖投标单位公章；2</w:t>
            </w:r>
            <w:r>
              <w:rPr>
                <w:rFonts w:ascii="宋体" w:hAnsi="宋体"/>
                <w:b/>
                <w:sz w:val="21"/>
                <w:szCs w:val="21"/>
              </w:rPr>
              <w:t xml:space="preserve">.</w:t>
            </w:r>
            <w:r>
              <w:rPr>
                <w:rFonts w:hint="eastAsia" w:ascii="宋体" w:hAnsi="宋体"/>
                <w:b/>
                <w:sz w:val="21"/>
                <w:szCs w:val="21"/>
              </w:rPr>
              <w:t xml:space="preserve">产品彩页</w:t>
            </w:r>
            <w:r>
              <w:rPr>
                <w:rFonts w:hint="eastAsia" w:ascii="宋体" w:hAnsi="宋体"/>
                <w:b/>
                <w:sz w:val="21"/>
                <w:szCs w:val="21"/>
              </w:rPr>
              <w:t xml:space="preserve">复印件并加盖投标单位公章；3</w:t>
            </w:r>
            <w:r>
              <w:rPr>
                <w:rFonts w:ascii="宋体" w:hAnsi="宋体"/>
                <w:b/>
                <w:sz w:val="21"/>
                <w:szCs w:val="21"/>
              </w:rPr>
              <w:t xml:space="preserve">.</w:t>
            </w:r>
            <w:r>
              <w:rPr>
                <w:rFonts w:hint="eastAsia" w:ascii="宋体" w:hAnsi="宋体"/>
                <w:b/>
                <w:sz w:val="21"/>
                <w:szCs w:val="21"/>
              </w:rPr>
              <w:t xml:space="preserve">技术白皮书</w:t>
            </w:r>
            <w:r>
              <w:rPr>
                <w:rFonts w:hint="eastAsia" w:ascii="宋体" w:hAnsi="宋体"/>
                <w:b/>
                <w:sz w:val="21"/>
                <w:szCs w:val="21"/>
              </w:rPr>
              <w:t xml:space="preserve">复印件并加盖投标单位公章；4</w:t>
            </w:r>
            <w:r>
              <w:rPr>
                <w:rFonts w:ascii="宋体" w:hAnsi="宋体"/>
                <w:b/>
                <w:sz w:val="21"/>
                <w:szCs w:val="21"/>
              </w:rPr>
              <w:t xml:space="preserve">.</w:t>
            </w:r>
            <w:r>
              <w:rPr>
                <w:rFonts w:hint="eastAsia" w:ascii="宋体" w:hAnsi="宋体"/>
                <w:b/>
                <w:sz w:val="21"/>
                <w:szCs w:val="21"/>
              </w:rPr>
              <w:t xml:space="preserve">第三方检测机构出具的检测报告</w:t>
            </w:r>
            <w:r>
              <w:rPr>
                <w:rFonts w:hint="eastAsia" w:ascii="宋体" w:hAnsi="宋体"/>
                <w:b/>
                <w:sz w:val="21"/>
                <w:szCs w:val="21"/>
              </w:rPr>
              <w:t xml:space="preserve">复印件</w:t>
            </w:r>
            <w:r>
              <w:rPr>
                <w:rFonts w:hint="eastAsia" w:ascii="宋体" w:hAnsi="宋体"/>
                <w:b/>
                <w:sz w:val="21"/>
                <w:szCs w:val="21"/>
              </w:rPr>
              <w:t xml:space="preserve">并加盖投标单位公章</w:t>
            </w:r>
            <w:r>
              <w:rPr>
                <w:rFonts w:hint="eastAsia" w:ascii="宋体" w:hAnsi="宋体"/>
                <w:b/>
                <w:sz w:val="21"/>
                <w:szCs w:val="21"/>
              </w:rPr>
              <w:t xml:space="preserve">；</w:t>
            </w:r>
            <w:r>
              <w:rPr>
                <w:rFonts w:hint="eastAsia" w:ascii="宋体" w:hAnsi="宋体"/>
                <w:b/>
                <w:sz w:val="21"/>
                <w:szCs w:val="21"/>
              </w:rPr>
              <w:t xml:space="preserve">未按要求提供证明材料的不得分。</w:t>
            </w:r>
            <w:r/>
          </w:p>
        </w:tc>
        <w:tc>
          <w:tcPr>
            <w:tcW w:w="113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0</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sz w:val="21"/>
                <w:szCs w:val="21"/>
              </w:rPr>
            </w:pPr>
            <w:r>
              <w:rPr>
                <w:rFonts w:hint="eastAsia" w:ascii="宋体" w:hAnsi="宋体"/>
                <w:sz w:val="21"/>
                <w:szCs w:val="21"/>
              </w:rPr>
              <w:t xml:space="preserve">整体技术方案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根据投标单位对本项目的理解，提供项目总体设计方案。包括但不限于：</w:t>
            </w:r>
            <w:r/>
          </w:p>
          <w:p>
            <w:pPr>
              <w:ind w:left="0"/>
              <w:widowControl w:val="off"/>
              <w:rPr>
                <w:rFonts w:ascii="宋体" w:hAnsi="宋体"/>
                <w:sz w:val="21"/>
                <w:szCs w:val="21"/>
              </w:rPr>
            </w:pPr>
            <w:r>
              <w:rPr>
                <w:rFonts w:hint="eastAsia" w:ascii="宋体" w:hAnsi="宋体"/>
                <w:sz w:val="21"/>
                <w:szCs w:val="21"/>
              </w:rPr>
              <w:t xml:space="preserve">（1）整体架构方案；</w:t>
            </w:r>
            <w:r/>
          </w:p>
          <w:p>
            <w:pPr>
              <w:ind w:left="0"/>
              <w:widowControl w:val="off"/>
              <w:rPr>
                <w:rFonts w:ascii="宋体" w:hAnsi="宋体"/>
                <w:sz w:val="21"/>
                <w:szCs w:val="21"/>
              </w:rPr>
            </w:pPr>
            <w:r>
              <w:rPr>
                <w:rFonts w:hint="eastAsia" w:ascii="宋体" w:hAnsi="宋体"/>
                <w:sz w:val="21"/>
                <w:szCs w:val="21"/>
              </w:rPr>
              <w:t xml:space="preserve">（2）安全与可靠性规划；</w:t>
            </w:r>
            <w:r/>
          </w:p>
          <w:p>
            <w:pPr>
              <w:ind w:left="0"/>
              <w:widowControl w:val="off"/>
              <w:rPr>
                <w:rFonts w:ascii="宋体" w:hAnsi="宋体"/>
                <w:sz w:val="21"/>
                <w:szCs w:val="21"/>
              </w:rPr>
            </w:pPr>
            <w:r>
              <w:rPr>
                <w:rFonts w:hint="eastAsia" w:ascii="宋体" w:hAnsi="宋体"/>
                <w:sz w:val="21"/>
                <w:szCs w:val="21"/>
              </w:rPr>
              <w:t xml:space="preserve">（3）集成部署、备份与可用性规划；</w:t>
            </w:r>
            <w:r/>
          </w:p>
          <w:p>
            <w:pPr>
              <w:ind w:left="0"/>
              <w:widowControl w:val="off"/>
              <w:rPr>
                <w:rFonts w:ascii="宋体" w:hAnsi="宋体"/>
                <w:sz w:val="21"/>
                <w:szCs w:val="21"/>
              </w:rPr>
            </w:pPr>
            <w:r>
              <w:rPr>
                <w:rFonts w:hint="eastAsia" w:ascii="宋体" w:hAnsi="宋体"/>
                <w:sz w:val="21"/>
                <w:szCs w:val="21"/>
              </w:rPr>
              <w:t xml:space="preserve">（4）运维管理方案。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w:t>
            </w:r>
            <w:r>
              <w:rPr>
                <w:rFonts w:ascii="宋体" w:hAnsi="宋体"/>
                <w:color w:val="000000"/>
                <w:sz w:val="21"/>
                <w:szCs w:val="21"/>
                <w:lang w:bidi="ar"/>
              </w:rPr>
              <w:t xml:space="preserve">.5</w:t>
            </w:r>
            <w:r>
              <w:rPr>
                <w:rFonts w:hint="eastAsia" w:ascii="宋体" w:hAnsi="宋体"/>
                <w:color w:val="000000"/>
                <w:sz w:val="21"/>
                <w:szCs w:val="21"/>
                <w:lang w:bidi="ar"/>
              </w:rPr>
              <w:t xml:space="preserve">分；内容基本合理、具有一定的可行性、具有一定的操作性、与项目实际基本贴合的得1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ascii="宋体" w:hAnsi="宋体"/>
                <w:sz w:val="21"/>
                <w:szCs w:val="21"/>
              </w:rPr>
              <w:t xml:space="preserve">组织实施方案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根据投标单位对本项目的理解，提供项目组织实施方案。包括但不限于：</w:t>
            </w:r>
            <w:r/>
          </w:p>
          <w:p>
            <w:pPr>
              <w:ind w:left="0"/>
              <w:widowControl w:val="off"/>
              <w:rPr>
                <w:rFonts w:ascii="宋体" w:hAnsi="宋体"/>
                <w:sz w:val="21"/>
                <w:szCs w:val="21"/>
              </w:rPr>
            </w:pPr>
            <w:r>
              <w:rPr>
                <w:rFonts w:hint="eastAsia" w:ascii="宋体" w:hAnsi="宋体"/>
                <w:sz w:val="21"/>
                <w:szCs w:val="21"/>
              </w:rPr>
              <w:t xml:space="preserve">（1）实施团队；</w:t>
            </w:r>
            <w:r/>
          </w:p>
          <w:p>
            <w:pPr>
              <w:ind w:left="0"/>
              <w:widowControl w:val="off"/>
              <w:rPr>
                <w:rFonts w:ascii="宋体" w:hAnsi="宋体"/>
                <w:sz w:val="21"/>
                <w:szCs w:val="21"/>
              </w:rPr>
            </w:pPr>
            <w:r>
              <w:rPr>
                <w:rFonts w:hint="eastAsia" w:ascii="宋体" w:hAnsi="宋体"/>
                <w:sz w:val="21"/>
                <w:szCs w:val="21"/>
              </w:rPr>
              <w:t xml:space="preserve">（2）设备供货、进度控制；</w:t>
            </w:r>
            <w:r/>
          </w:p>
          <w:p>
            <w:pPr>
              <w:ind w:left="0"/>
              <w:widowControl w:val="off"/>
              <w:rPr>
                <w:rFonts w:ascii="宋体" w:hAnsi="宋体"/>
                <w:sz w:val="21"/>
                <w:szCs w:val="21"/>
              </w:rPr>
            </w:pPr>
            <w:r>
              <w:rPr>
                <w:rFonts w:hint="eastAsia" w:ascii="宋体" w:hAnsi="宋体"/>
                <w:sz w:val="21"/>
                <w:szCs w:val="21"/>
              </w:rPr>
              <w:t xml:space="preserve">（3）系统定制；</w:t>
            </w:r>
            <w:r/>
          </w:p>
          <w:p>
            <w:pPr>
              <w:ind w:left="0"/>
              <w:widowControl w:val="off"/>
              <w:rPr>
                <w:rFonts w:ascii="宋体" w:hAnsi="宋体"/>
                <w:sz w:val="21"/>
                <w:szCs w:val="21"/>
              </w:rPr>
            </w:pPr>
            <w:r>
              <w:rPr>
                <w:rFonts w:hint="eastAsia" w:ascii="宋体" w:hAnsi="宋体"/>
                <w:sz w:val="21"/>
                <w:szCs w:val="21"/>
              </w:rPr>
              <w:t xml:space="preserve">（4）安装调试。</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w:t>
            </w:r>
            <w:r>
              <w:rPr>
                <w:rFonts w:ascii="宋体" w:hAnsi="宋体"/>
                <w:color w:val="000000"/>
                <w:sz w:val="21"/>
                <w:szCs w:val="21"/>
                <w:lang w:bidi="ar"/>
              </w:rPr>
              <w:t xml:space="preserve">.5</w:t>
            </w:r>
            <w:r>
              <w:rPr>
                <w:rFonts w:hint="eastAsia" w:ascii="宋体" w:hAnsi="宋体"/>
                <w:color w:val="000000"/>
                <w:sz w:val="21"/>
                <w:szCs w:val="21"/>
                <w:lang w:bidi="ar"/>
              </w:rPr>
              <w:t xml:space="preserve">分；内容基本合理、具有一定的可行性、具有一定的操作性、与项目实际基本贴合的得1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sz w:val="21"/>
                <w:szCs w:val="21"/>
              </w:rPr>
              <w:t xml:space="preserve">服务保障方案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根据投标单位对本项目的理解，提供服务保障方案。包括但不限于：</w:t>
            </w:r>
            <w:r/>
          </w:p>
          <w:p>
            <w:pPr>
              <w:ind w:left="0"/>
              <w:widowControl w:val="off"/>
              <w:rPr>
                <w:rFonts w:ascii="宋体" w:hAnsi="宋体"/>
                <w:bCs/>
                <w:sz w:val="21"/>
                <w:szCs w:val="21"/>
              </w:rPr>
            </w:pPr>
            <w:r>
              <w:rPr>
                <w:rFonts w:hint="eastAsia" w:ascii="宋体" w:hAnsi="宋体"/>
                <w:bCs/>
                <w:sz w:val="21"/>
                <w:szCs w:val="21"/>
              </w:rPr>
              <w:t xml:space="preserve">（1）售后服务；</w:t>
            </w:r>
            <w:r/>
          </w:p>
          <w:p>
            <w:pPr>
              <w:ind w:left="0"/>
              <w:widowControl w:val="off"/>
              <w:rPr>
                <w:rFonts w:ascii="宋体" w:hAnsi="宋体"/>
                <w:bCs/>
                <w:sz w:val="21"/>
                <w:szCs w:val="21"/>
              </w:rPr>
            </w:pPr>
            <w:r>
              <w:rPr>
                <w:rFonts w:hint="eastAsia" w:ascii="宋体" w:hAnsi="宋体"/>
                <w:bCs/>
                <w:sz w:val="21"/>
                <w:szCs w:val="21"/>
              </w:rPr>
              <w:t xml:space="preserve">（2）培训服务；</w:t>
            </w:r>
            <w:r/>
          </w:p>
          <w:p>
            <w:pPr>
              <w:ind w:left="0"/>
              <w:widowControl w:val="off"/>
              <w:rPr>
                <w:rFonts w:ascii="宋体" w:hAnsi="宋体"/>
                <w:bCs/>
                <w:sz w:val="21"/>
                <w:szCs w:val="21"/>
              </w:rPr>
            </w:pPr>
            <w:r>
              <w:rPr>
                <w:rFonts w:hint="eastAsia" w:ascii="宋体" w:hAnsi="宋体"/>
                <w:bCs/>
                <w:sz w:val="21"/>
                <w:szCs w:val="21"/>
              </w:rPr>
              <w:t xml:space="preserve">（3）质量管理；</w:t>
            </w:r>
            <w:r/>
          </w:p>
          <w:p>
            <w:pPr>
              <w:ind w:left="0"/>
              <w:widowControl w:val="off"/>
              <w:rPr>
                <w:rFonts w:ascii="宋体" w:hAnsi="宋体"/>
                <w:bCs/>
                <w:sz w:val="21"/>
                <w:szCs w:val="21"/>
              </w:rPr>
            </w:pPr>
            <w:r>
              <w:rPr>
                <w:rFonts w:hint="eastAsia" w:ascii="宋体" w:hAnsi="宋体"/>
                <w:bCs/>
                <w:sz w:val="21"/>
                <w:szCs w:val="21"/>
              </w:rPr>
              <w:t xml:space="preserve">（4）风险应急管理；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w:t>
            </w:r>
            <w:r>
              <w:rPr>
                <w:rFonts w:ascii="宋体" w:hAnsi="宋体"/>
                <w:color w:val="000000"/>
                <w:sz w:val="21"/>
                <w:szCs w:val="21"/>
                <w:lang w:bidi="ar"/>
              </w:rPr>
              <w:t xml:space="preserve">.5</w:t>
            </w:r>
            <w:r>
              <w:rPr>
                <w:rFonts w:hint="eastAsia" w:ascii="宋体" w:hAnsi="宋体"/>
                <w:color w:val="000000"/>
                <w:sz w:val="21"/>
                <w:szCs w:val="21"/>
                <w:lang w:bidi="ar"/>
              </w:rPr>
              <w:t xml:space="preserve">分；内容基本合理、具有一定的可行性、具有一定的操作性、与项目实际基本贴合的得1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ascii="宋体" w:hAnsi="宋体"/>
                <w:bCs/>
                <w:sz w:val="21"/>
                <w:szCs w:val="21"/>
              </w:rPr>
              <w:t xml:space="preserve">10</w:t>
            </w:r>
            <w:r/>
          </w:p>
        </w:tc>
      </w:tr>
      <w:tr>
        <w:trPr>
          <w:trHeight w:val="416"/>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项目配置人员</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（1）项目负责人具有信息系统项目管理师证书得1</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技术负责人具有信息系统项目管理师证书</w:t>
            </w:r>
            <w:r>
              <w:rPr>
                <w:rFonts w:hint="eastAsia" w:ascii="宋体" w:hAnsi="宋体"/>
                <w:sz w:val="21"/>
                <w:szCs w:val="21"/>
              </w:rPr>
              <w:t xml:space="preserve">得1</w:t>
            </w:r>
            <w:r>
              <w:rPr>
                <w:rFonts w:ascii="宋体" w:hAnsi="宋体"/>
                <w:sz w:val="21"/>
                <w:szCs w:val="21"/>
              </w:rPr>
              <w:t xml:space="preserve">.5</w:t>
            </w:r>
            <w:r>
              <w:rPr>
                <w:rFonts w:hint="eastAsia" w:ascii="宋体" w:hAnsi="宋体"/>
                <w:sz w:val="21"/>
                <w:szCs w:val="21"/>
              </w:rPr>
              <w:t xml:space="preserve">分；</w:t>
            </w:r>
            <w:r/>
          </w:p>
          <w:p>
            <w:pPr>
              <w:pStyle w:val="875"/>
              <w:ind w:left="0" w:firstLine="0"/>
            </w:pPr>
            <w:r>
              <w:rPr>
                <w:rFonts w:hint="eastAsia" w:ascii="宋体" w:hAnsi="宋体" w:cs="宋体"/>
                <w:b/>
                <w:bCs/>
                <w:sz w:val="21"/>
                <w:szCs w:val="21"/>
              </w:rPr>
              <w:t xml:space="preserve">注：投标文件中提供相关人员证书扫描件及投标单位为其缴纳的最近一期社保证明材料</w:t>
            </w:r>
            <w:r>
              <w:rPr>
                <w:rFonts w:hint="eastAsia" w:ascii="宋体" w:hAnsi="宋体"/>
                <w:b/>
                <w:bCs/>
                <w:sz w:val="21"/>
                <w:szCs w:val="21"/>
              </w:rPr>
              <w:t xml:space="preserve">并加盖投标单位公章</w:t>
            </w:r>
            <w:r>
              <w:rPr>
                <w:rFonts w:hint="eastAsia" w:ascii="宋体" w:hAnsi="宋体" w:cs="宋体"/>
                <w:b/>
                <w:bCs/>
                <w:sz w:val="21"/>
                <w:szCs w:val="21"/>
              </w:rPr>
              <w:t xml:space="preserve">，未提供不得分。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3</w:t>
            </w:r>
            <w:r/>
          </w:p>
        </w:tc>
      </w:tr>
      <w:tr>
        <w:trPr>
          <w:trHeight w:val="416"/>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w:t>
            </w:r>
            <w:r>
              <w:rPr>
                <w:rFonts w:hint="eastAsia" w:ascii="宋体" w:hAnsi="宋体"/>
                <w:b/>
                <w:bCs/>
                <w:sz w:val="21"/>
                <w:szCs w:val="21"/>
              </w:rPr>
              <w:t xml:space="preserve">企业综合实力</w:t>
            </w:r>
            <w:r/>
          </w:p>
        </w:tc>
        <w:tc>
          <w:tcPr>
            <w:tcW w:w="6373"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（1）投标人具有有效期内的质量管理体系认证证书、环境管理体系认证证书，每项证书得1分，最高得</w:t>
            </w:r>
            <w:r>
              <w:rPr>
                <w:rFonts w:ascii="宋体" w:hAnsi="宋体"/>
                <w:sz w:val="21"/>
                <w:szCs w:val="21"/>
              </w:rPr>
              <w:t xml:space="preserve">2</w:t>
            </w:r>
            <w:r>
              <w:rPr>
                <w:rFonts w:hint="eastAsia" w:ascii="宋体" w:hAnsi="宋体"/>
                <w:sz w:val="21"/>
                <w:szCs w:val="21"/>
              </w:rPr>
              <w:t xml:space="preserve">分。</w:t>
            </w:r>
            <w:r/>
          </w:p>
          <w:p>
            <w:pPr>
              <w:ind w:left="0"/>
              <w:spacing w:line="360" w:lineRule="auto"/>
              <w:rPr>
                <w:rFonts w:ascii="宋体" w:hAnsi="宋体"/>
                <w:b/>
                <w:sz w:val="21"/>
                <w:szCs w:val="21"/>
              </w:rPr>
            </w:pPr>
            <w:r>
              <w:rPr>
                <w:rFonts w:hint="eastAsia" w:ascii="宋体" w:hAnsi="宋体" w:cs="Times New Roman"/>
                <w:b/>
                <w:sz w:val="21"/>
                <w:szCs w:val="21"/>
              </w:rPr>
              <w:t xml:space="preserve">注：投标文件中</w:t>
            </w:r>
            <w:r>
              <w:rPr>
                <w:rFonts w:hint="eastAsia" w:ascii="宋体" w:hAnsi="宋体"/>
                <w:b/>
                <w:sz w:val="21"/>
                <w:szCs w:val="21"/>
              </w:rPr>
              <w:t xml:space="preserve">需</w:t>
            </w:r>
            <w:r>
              <w:rPr>
                <w:rFonts w:hint="eastAsia" w:ascii="宋体" w:hAnsi="宋体"/>
                <w:b/>
                <w:sz w:val="21"/>
                <w:szCs w:val="21"/>
              </w:rPr>
              <w:t xml:space="preserve">提供证书复印件或在中国国家认证认可监督管理委员会网站完整查询截图，未按要求提供材料不得分。</w:t>
            </w:r>
            <w:r/>
          </w:p>
          <w:p>
            <w:pPr>
              <w:ind w:left="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）投标人具有有效期内的信息安全</w:t>
            </w:r>
            <w:r>
              <w:rPr>
                <w:rFonts w:hint="eastAsia" w:ascii="宋体" w:hAnsi="宋体"/>
                <w:sz w:val="21"/>
                <w:szCs w:val="21"/>
              </w:rPr>
              <w:t xml:space="preserve">管理体系</w:t>
            </w:r>
            <w:r>
              <w:rPr>
                <w:rFonts w:hint="eastAsia" w:ascii="宋体" w:hAnsi="宋体"/>
                <w:sz w:val="21"/>
                <w:szCs w:val="21"/>
              </w:rPr>
              <w:t xml:space="preserve">认证证书</w:t>
            </w:r>
            <w:r>
              <w:rPr>
                <w:rFonts w:hint="eastAsia" w:ascii="宋体" w:hAnsi="宋体"/>
                <w:sz w:val="21"/>
                <w:szCs w:val="21"/>
              </w:rPr>
              <w:t xml:space="preserve">的得2分</w:t>
            </w:r>
            <w:r>
              <w:rPr>
                <w:rFonts w:hint="eastAsia" w:ascii="宋体" w:hAnsi="宋体"/>
                <w:sz w:val="21"/>
                <w:szCs w:val="21"/>
              </w:rPr>
              <w:t xml:space="preserve">，最高得</w:t>
            </w:r>
            <w:r>
              <w:rPr>
                <w:rFonts w:ascii="宋体" w:hAnsi="宋体"/>
                <w:sz w:val="21"/>
                <w:szCs w:val="21"/>
              </w:rPr>
              <w:t xml:space="preserve">2</w:t>
            </w:r>
            <w:r>
              <w:rPr>
                <w:rFonts w:hint="eastAsia" w:ascii="宋体" w:hAnsi="宋体"/>
                <w:sz w:val="21"/>
                <w:szCs w:val="21"/>
              </w:rPr>
              <w:t xml:space="preserve">分。</w:t>
            </w:r>
            <w:r/>
          </w:p>
          <w:p>
            <w:pPr>
              <w:ind w:left="0"/>
              <w:spacing w:line="360" w:lineRule="auto"/>
              <w:rPr>
                <w:rFonts w:ascii="宋体" w:hAnsi="宋体"/>
                <w:b/>
                <w:sz w:val="21"/>
                <w:szCs w:val="21"/>
              </w:rPr>
            </w:pPr>
            <w:r>
              <w:rPr>
                <w:rFonts w:hint="eastAsia" w:ascii="宋体" w:hAnsi="宋体" w:cs="Times New Roman"/>
                <w:b/>
                <w:sz w:val="21"/>
                <w:szCs w:val="21"/>
              </w:rPr>
              <w:t xml:space="preserve">注：投标文件中</w:t>
            </w:r>
            <w:r>
              <w:rPr>
                <w:rFonts w:hint="eastAsia" w:ascii="宋体" w:hAnsi="宋体"/>
                <w:b/>
                <w:sz w:val="21"/>
                <w:szCs w:val="21"/>
              </w:rPr>
              <w:t xml:space="preserve">需</w:t>
            </w:r>
            <w:r>
              <w:rPr>
                <w:rFonts w:hint="eastAsia" w:ascii="宋体" w:hAnsi="宋体"/>
                <w:b/>
                <w:sz w:val="21"/>
                <w:szCs w:val="21"/>
              </w:rPr>
              <w:t xml:space="preserve">提供证书复印件或在中国国家认证认可监督管理委员会网站完整查询截图，未按要求提供材料不得分。</w:t>
            </w:r>
            <w:r/>
          </w:p>
          <w:p>
            <w:pPr>
              <w:ind w:left="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）投标单位提供202</w:t>
            </w:r>
            <w:r>
              <w:rPr>
                <w:rFonts w:ascii="宋体" w:hAnsi="宋体"/>
                <w:sz w:val="21"/>
                <w:szCs w:val="21"/>
              </w:rPr>
              <w:t xml:space="preserve">3</w:t>
            </w:r>
            <w:r>
              <w:rPr>
                <w:rFonts w:hint="eastAsia" w:ascii="宋体" w:hAnsi="宋体"/>
                <w:sz w:val="21"/>
                <w:szCs w:val="21"/>
              </w:rPr>
              <w:t xml:space="preserve">年1月1日起（以合同签订时间为准）至今独立承担的类似项目业绩，每提供一份得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注：投标文件中</w:t>
            </w:r>
            <w:r>
              <w:rPr>
                <w:rFonts w:hint="eastAsia" w:ascii="宋体" w:hAnsi="宋体"/>
                <w:b/>
                <w:sz w:val="21"/>
                <w:szCs w:val="21"/>
              </w:rPr>
              <w:t xml:space="preserve">需</w:t>
            </w:r>
            <w:r>
              <w:rPr>
                <w:rFonts w:hint="eastAsia" w:ascii="宋体" w:hAnsi="宋体"/>
                <w:b/>
                <w:sz w:val="21"/>
                <w:szCs w:val="21"/>
              </w:rPr>
              <w:t xml:space="preserve">提供合同复印件</w:t>
            </w:r>
            <w:r>
              <w:rPr>
                <w:rFonts w:hint="eastAsia" w:ascii="宋体" w:hAnsi="宋体"/>
                <w:b/>
                <w:sz w:val="21"/>
                <w:szCs w:val="21"/>
              </w:rPr>
              <w:t xml:space="preserve">和任意一期发票</w:t>
            </w:r>
            <w:r>
              <w:rPr>
                <w:rFonts w:hint="eastAsia" w:ascii="宋体" w:hAnsi="宋体"/>
                <w:b/>
                <w:sz w:val="21"/>
                <w:szCs w:val="21"/>
              </w:rPr>
              <w:t xml:space="preserve">并加盖投标单位公章，未提供或提供不全不得分。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7</w:t>
            </w:r>
            <w:r/>
          </w:p>
        </w:tc>
      </w:tr>
    </w:tbl>
    <w:p>
      <w:pPr>
        <w:ind w:left="0" w:firstLine="422"/>
        <w:spacing w:line="360" w:lineRule="auto"/>
        <w:rPr>
          <w:rFonts w:ascii="宋体" w:hAnsi="宋体"/>
          <w:b/>
          <w:sz w:val="21"/>
        </w:rPr>
      </w:pPr>
      <w:r>
        <w:rPr>
          <w:rFonts w:hint="eastAsia" w:ascii="宋体" w:hAnsi="宋体"/>
          <w:b/>
          <w:bCs/>
          <w:sz w:val="21"/>
        </w:rPr>
        <w:t xml:space="preserve">注：表格中标▲项为客观分</w:t>
      </w:r>
      <w:r>
        <w:rPr>
          <w:rFonts w:hint="eastAsia" w:ascii="宋体" w:hAnsi="宋体"/>
          <w:b/>
          <w:sz w:val="21"/>
        </w:rPr>
        <w:t xml:space="preserve">。</w:t>
      </w:r>
      <w:r>
        <w:t xml:space="preserve"> </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442" w:hanging="960"/>
        <w:tabs>
          <w:tab w:val="left" w:pos="1442" w:leader="none"/>
        </w:tabs>
      </w:pPr>
      <w:rPr>
        <w:rFonts w:hint="default" w:cs="Times New Roman"/>
      </w:rPr>
    </w:lvl>
    <w:lvl w:ilvl="1">
      <w:start w:val="1"/>
      <w:numFmt w:val="lowerLetter"/>
      <w:isLgl w:val="false"/>
      <w:suff w:val="tab"/>
      <w:lvlText w:val="%2)"/>
      <w:lvlJc w:val="left"/>
      <w:pPr>
        <w:ind w:left="1322" w:hanging="420"/>
        <w:tabs>
          <w:tab w:val="left" w:pos="1322" w:leader="none"/>
        </w:tabs>
      </w:pPr>
      <w:rPr>
        <w:rFonts w:cs="Times New Roman"/>
      </w:rPr>
    </w:lvl>
    <w:lvl w:ilvl="2">
      <w:start w:val="1"/>
      <w:numFmt w:val="lowerRoman"/>
      <w:isLgl w:val="false"/>
      <w:suff w:val="tab"/>
      <w:lvlText w:val="%3."/>
      <w:lvlJc w:val="right"/>
      <w:pPr>
        <w:ind w:left="1742" w:hanging="420"/>
        <w:tabs>
          <w:tab w:val="left" w:pos="1742" w:leader="none"/>
        </w:tabs>
      </w:pPr>
      <w:rPr>
        <w:rFonts w:cs="Times New Roman"/>
      </w:rPr>
    </w:lvl>
    <w:lvl w:ilvl="3">
      <w:start w:val="1"/>
      <w:numFmt w:val="decimal"/>
      <w:isLgl w:val="false"/>
      <w:suff w:val="tab"/>
      <w:lvlText w:val="%4."/>
      <w:lvlJc w:val="left"/>
      <w:pPr>
        <w:ind w:left="2162" w:hanging="420"/>
        <w:tabs>
          <w:tab w:val="left" w:pos="2162" w:leader="none"/>
        </w:tabs>
      </w:pPr>
      <w:rPr>
        <w:rFonts w:cs="Times New Roman"/>
      </w:rPr>
    </w:lvl>
    <w:lvl w:ilvl="4">
      <w:start w:val="1"/>
      <w:numFmt w:val="lowerLetter"/>
      <w:isLgl w:val="false"/>
      <w:suff w:val="tab"/>
      <w:lvlText w:val="%5)"/>
      <w:lvlJc w:val="left"/>
      <w:pPr>
        <w:ind w:left="2582" w:hanging="420"/>
        <w:tabs>
          <w:tab w:val="left" w:pos="2582" w:leader="none"/>
        </w:tabs>
      </w:pPr>
      <w:rPr>
        <w:rFonts w:cs="Times New Roman"/>
      </w:rPr>
    </w:lvl>
    <w:lvl w:ilvl="5">
      <w:start w:val="1"/>
      <w:numFmt w:val="lowerRoman"/>
      <w:isLgl w:val="false"/>
      <w:suff w:val="tab"/>
      <w:lvlText w:val="%6."/>
      <w:lvlJc w:val="right"/>
      <w:pPr>
        <w:ind w:left="3002" w:hanging="420"/>
        <w:tabs>
          <w:tab w:val="left" w:pos="3002" w:leader="none"/>
        </w:tabs>
      </w:pPr>
      <w:rPr>
        <w:rFonts w:cs="Times New Roman"/>
      </w:rPr>
    </w:lvl>
    <w:lvl w:ilvl="6">
      <w:start w:val="1"/>
      <w:numFmt w:val="decimal"/>
      <w:isLgl w:val="false"/>
      <w:suff w:val="tab"/>
      <w:lvlText w:val="%7."/>
      <w:lvlJc w:val="left"/>
      <w:pPr>
        <w:ind w:left="3422" w:hanging="420"/>
        <w:tabs>
          <w:tab w:val="left" w:pos="3422" w:leader="none"/>
        </w:tabs>
      </w:pPr>
      <w:rPr>
        <w:rFonts w:cs="Times New Roman"/>
      </w:rPr>
    </w:lvl>
    <w:lvl w:ilvl="7">
      <w:start w:val="1"/>
      <w:numFmt w:val="lowerLetter"/>
      <w:isLgl w:val="false"/>
      <w:suff w:val="tab"/>
      <w:lvlText w:val="%8)"/>
      <w:lvlJc w:val="left"/>
      <w:pPr>
        <w:ind w:left="3842" w:hanging="420"/>
        <w:tabs>
          <w:tab w:val="left" w:pos="3842" w:leader="none"/>
        </w:tabs>
      </w:pPr>
      <w:rPr>
        <w:rFonts w:cs="Times New Roman"/>
      </w:rPr>
    </w:lvl>
    <w:lvl w:ilvl="8">
      <w:start w:val="1"/>
      <w:numFmt w:val="lowerRoman"/>
      <w:isLgl w:val="false"/>
      <w:suff w:val="tab"/>
      <w:lvlText w:val="%9."/>
      <w:lvlJc w:val="right"/>
      <w:pPr>
        <w:ind w:left="4262" w:hanging="420"/>
        <w:tabs>
          <w:tab w:val="left" w:pos="4262"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863"/>
    <w:uiPriority w:val="9"/>
    <w:rPr>
      <w:rFonts w:ascii="Arial" w:hAnsi="Arial" w:eastAsia="Arial" w:cs="Arial"/>
      <w:sz w:val="40"/>
      <w:szCs w:val="40"/>
    </w:rPr>
  </w:style>
  <w:style w:type="character" w:styleId="15">
    <w:name w:val="Heading 2 Char"/>
    <w:basedOn w:val="872"/>
    <w:link w:val="864"/>
    <w:uiPriority w:val="9"/>
    <w:rPr>
      <w:rFonts w:ascii="Arial" w:hAnsi="Arial" w:eastAsia="Arial" w:cs="Arial"/>
      <w:sz w:val="34"/>
    </w:rPr>
  </w:style>
  <w:style w:type="character" w:styleId="17">
    <w:name w:val="Heading 3 Char"/>
    <w:basedOn w:val="872"/>
    <w:link w:val="865"/>
    <w:uiPriority w:val="9"/>
    <w:rPr>
      <w:rFonts w:ascii="Arial" w:hAnsi="Arial" w:eastAsia="Arial" w:cs="Arial"/>
      <w:sz w:val="30"/>
      <w:szCs w:val="30"/>
    </w:rPr>
  </w:style>
  <w:style w:type="character" w:styleId="19">
    <w:name w:val="Heading 4 Char"/>
    <w:basedOn w:val="872"/>
    <w:link w:val="866"/>
    <w:uiPriority w:val="9"/>
    <w:rPr>
      <w:rFonts w:ascii="Arial" w:hAnsi="Arial" w:eastAsia="Arial" w:cs="Arial"/>
      <w:b/>
      <w:bCs/>
      <w:sz w:val="26"/>
      <w:szCs w:val="26"/>
    </w:rPr>
  </w:style>
  <w:style w:type="character" w:styleId="21">
    <w:name w:val="Heading 5 Char"/>
    <w:basedOn w:val="872"/>
    <w:link w:val="867"/>
    <w:uiPriority w:val="9"/>
    <w:rPr>
      <w:rFonts w:ascii="Arial" w:hAnsi="Arial" w:eastAsia="Arial" w:cs="Arial"/>
      <w:b/>
      <w:bCs/>
      <w:sz w:val="24"/>
      <w:szCs w:val="24"/>
    </w:rPr>
  </w:style>
  <w:style w:type="character" w:styleId="23">
    <w:name w:val="Heading 6 Char"/>
    <w:basedOn w:val="872"/>
    <w:link w:val="868"/>
    <w:uiPriority w:val="9"/>
    <w:rPr>
      <w:rFonts w:ascii="Arial" w:hAnsi="Arial" w:eastAsia="Arial" w:cs="Arial"/>
      <w:b/>
      <w:bCs/>
      <w:sz w:val="22"/>
      <w:szCs w:val="22"/>
    </w:rPr>
  </w:style>
  <w:style w:type="character" w:styleId="25">
    <w:name w:val="Heading 7 Char"/>
    <w:basedOn w:val="872"/>
    <w:link w:val="869"/>
    <w:uiPriority w:val="9"/>
    <w:rPr>
      <w:rFonts w:ascii="Arial" w:hAnsi="Arial" w:eastAsia="Arial" w:cs="Arial"/>
      <w:b/>
      <w:bCs/>
      <w:i/>
      <w:iCs/>
      <w:sz w:val="22"/>
      <w:szCs w:val="22"/>
    </w:rPr>
  </w:style>
  <w:style w:type="character" w:styleId="27">
    <w:name w:val="Heading 8 Char"/>
    <w:basedOn w:val="872"/>
    <w:link w:val="870"/>
    <w:uiPriority w:val="9"/>
    <w:rPr>
      <w:rFonts w:ascii="Arial" w:hAnsi="Arial" w:eastAsia="Arial" w:cs="Arial"/>
      <w:i/>
      <w:iCs/>
      <w:sz w:val="22"/>
      <w:szCs w:val="22"/>
    </w:rPr>
  </w:style>
  <w:style w:type="character" w:styleId="29">
    <w:name w:val="Heading 9 Char"/>
    <w:basedOn w:val="872"/>
    <w:link w:val="87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2"/>
    <w:next w:val="862"/>
    <w:link w:val="34"/>
    <w:uiPriority w:val="10"/>
    <w:qFormat/>
    <w:pPr>
      <w:contextualSpacing/>
      <w:spacing w:before="300" w:after="200"/>
    </w:pPr>
    <w:rPr>
      <w:sz w:val="48"/>
      <w:szCs w:val="48"/>
    </w:rPr>
  </w:style>
  <w:style w:type="character" w:styleId="34">
    <w:name w:val="Title Char"/>
    <w:basedOn w:val="872"/>
    <w:link w:val="33"/>
    <w:uiPriority w:val="10"/>
    <w:rPr>
      <w:sz w:val="48"/>
      <w:szCs w:val="48"/>
    </w:rPr>
  </w:style>
  <w:style w:type="character" w:styleId="36">
    <w:name w:val="Subtitle Char"/>
    <w:basedOn w:val="872"/>
    <w:link w:val="909"/>
    <w:uiPriority w:val="11"/>
    <w:rPr>
      <w:sz w:val="24"/>
      <w:szCs w:val="24"/>
    </w:rPr>
  </w:style>
  <w:style w:type="character" w:styleId="38">
    <w:name w:val="Quote Char"/>
    <w:link w:val="1114"/>
    <w:uiPriority w:val="29"/>
    <w:rPr>
      <w:i/>
    </w:rPr>
  </w:style>
  <w:style w:type="character" w:styleId="40">
    <w:name w:val="Intense Quote Char"/>
    <w:link w:val="1240"/>
    <w:uiPriority w:val="30"/>
    <w:rPr>
      <w:i/>
    </w:rPr>
  </w:style>
  <w:style w:type="character" w:styleId="42">
    <w:name w:val="Header Char"/>
    <w:basedOn w:val="872"/>
    <w:link w:val="907"/>
    <w:uiPriority w:val="99"/>
  </w:style>
  <w:style w:type="character" w:styleId="44">
    <w:name w:val="Footer Char"/>
    <w:basedOn w:val="872"/>
    <w:link w:val="905"/>
    <w:uiPriority w:val="99"/>
  </w:style>
  <w:style w:type="character" w:styleId="46">
    <w:name w:val="Caption Char"/>
    <w:basedOn w:val="882"/>
    <w:link w:val="905"/>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2"/>
    <w:uiPriority w:val="99"/>
    <w:rPr>
      <w:sz w:val="18"/>
    </w:rPr>
  </w:style>
  <w:style w:type="character" w:styleId="178">
    <w:name w:val="Endnote Text Char"/>
    <w:link w:val="902"/>
    <w:uiPriority w:val="99"/>
    <w:rPr>
      <w:sz w:val="20"/>
    </w:rPr>
  </w:style>
  <w:style w:type="character" w:styleId="179">
    <w:name w:val="endnote reference"/>
    <w:basedOn w:val="872"/>
    <w:uiPriority w:val="99"/>
    <w:semiHidden/>
    <w:unhideWhenUsed/>
    <w:rPr>
      <w:vertAlign w:val="superscript"/>
    </w:rPr>
  </w:style>
  <w:style w:type="paragraph" w:styleId="189">
    <w:name w:val="TOC Heading"/>
    <w:uiPriority w:val="39"/>
    <w:unhideWhenUsed/>
  </w:style>
  <w:style w:type="paragraph" w:styleId="190">
    <w:name w:val="table of figures"/>
    <w:basedOn w:val="862"/>
    <w:next w:val="862"/>
    <w:uiPriority w:val="99"/>
    <w:unhideWhenUsed/>
    <w:pPr>
      <w:spacing w:after="0" w:afterAutospacing="0"/>
    </w:pPr>
  </w:style>
  <w:style w:type="paragraph" w:styleId="862" w:default="1">
    <w:name w:val="Normal"/>
    <w:next w:val="875"/>
    <w:qFormat/>
    <w:pPr>
      <w:ind w:left="1024"/>
      <w:jc w:val="both"/>
    </w:pPr>
    <w:rPr>
      <w:rFonts w:ascii="Calibri" w:hAnsi="Calibri"/>
    </w:rPr>
  </w:style>
  <w:style w:type="paragraph" w:styleId="863">
    <w:name w:val="Heading 1"/>
    <w:basedOn w:val="862"/>
    <w:next w:val="862"/>
    <w:qFormat/>
    <w:pPr>
      <w:ind w:left="432" w:firstLine="18"/>
      <w:spacing w:before="340" w:after="330" w:line="578" w:lineRule="auto"/>
      <w:outlineLvl w:val="0"/>
    </w:pPr>
  </w:style>
  <w:style w:type="paragraph" w:styleId="864">
    <w:name w:val="Heading 2"/>
    <w:basedOn w:val="862"/>
    <w:next w:val="862"/>
    <w:qFormat/>
    <w:pPr>
      <w:ind w:left="576" w:firstLine="24"/>
      <w:spacing w:before="260" w:after="260" w:line="416" w:lineRule="auto"/>
      <w:outlineLvl w:val="1"/>
    </w:pPr>
    <w:rPr>
      <w:rFonts w:ascii="Times New Roman" w:hAnsi="Times New Roman" w:cs="Times New Roman"/>
    </w:rPr>
  </w:style>
  <w:style w:type="paragraph" w:styleId="865">
    <w:name w:val="Heading 3"/>
    <w:basedOn w:val="862"/>
    <w:next w:val="876"/>
    <w:qFormat/>
    <w:pPr>
      <w:ind w:left="720"/>
      <w:spacing w:before="260" w:after="260" w:line="416" w:lineRule="auto"/>
      <w:outlineLvl w:val="2"/>
    </w:pPr>
    <w:rPr>
      <w:rFonts w:ascii="Times New Roman" w:hAnsi="Times New Roman" w:cs="Times New Roman"/>
    </w:rPr>
  </w:style>
  <w:style w:type="paragraph" w:styleId="866">
    <w:name w:val="Heading 4"/>
    <w:basedOn w:val="863"/>
    <w:next w:val="862"/>
    <w:qFormat/>
    <w:pPr>
      <w:ind w:left="864" w:firstLine="24"/>
      <w:spacing w:before="280" w:after="290" w:line="376" w:lineRule="auto"/>
      <w:outlineLvl w:val="3"/>
    </w:pPr>
    <w:rPr>
      <w:rFonts w:ascii="Times New Roman" w:hAnsi="Times New Roman" w:cs="Times New Roman"/>
    </w:rPr>
  </w:style>
  <w:style w:type="paragraph" w:styleId="867">
    <w:name w:val="Heading 5"/>
    <w:basedOn w:val="863"/>
    <w:next w:val="862"/>
    <w:qFormat/>
    <w:pPr>
      <w:ind w:left="1008"/>
      <w:spacing w:before="280" w:after="290" w:line="376" w:lineRule="auto"/>
      <w:outlineLvl w:val="4"/>
    </w:pPr>
    <w:rPr>
      <w:rFonts w:ascii="Times New Roman" w:hAnsi="Times New Roman" w:cs="Times New Roman"/>
    </w:rPr>
  </w:style>
  <w:style w:type="paragraph" w:styleId="868">
    <w:name w:val="Heading 6"/>
    <w:basedOn w:val="863"/>
    <w:next w:val="862"/>
    <w:qFormat/>
    <w:pPr>
      <w:ind w:left="1152" w:firstLine="20"/>
      <w:spacing w:before="240" w:after="64" w:line="320" w:lineRule="auto"/>
      <w:outlineLvl w:val="5"/>
    </w:pPr>
    <w:rPr>
      <w:rFonts w:ascii="Times New Roman" w:hAnsi="Times New Roman" w:cs="Times New Roman"/>
    </w:rPr>
  </w:style>
  <w:style w:type="paragraph" w:styleId="869">
    <w:name w:val="Heading 7"/>
    <w:basedOn w:val="863"/>
    <w:next w:val="862"/>
    <w:qFormat/>
    <w:pPr>
      <w:ind w:left="1296" w:firstLine="14"/>
      <w:spacing w:before="240" w:after="64" w:line="320" w:lineRule="auto"/>
      <w:outlineLvl w:val="6"/>
    </w:pPr>
    <w:rPr>
      <w:rFonts w:ascii="Times New Roman" w:hAnsi="Times New Roman" w:cs="Times New Roman"/>
    </w:rPr>
  </w:style>
  <w:style w:type="paragraph" w:styleId="870">
    <w:name w:val="Heading 8"/>
    <w:basedOn w:val="863"/>
    <w:next w:val="862"/>
    <w:qFormat/>
    <w:pPr>
      <w:ind w:left="1440"/>
      <w:spacing w:before="240" w:after="64" w:line="320" w:lineRule="auto"/>
      <w:outlineLvl w:val="7"/>
    </w:pPr>
    <w:rPr>
      <w:rFonts w:ascii="Times New Roman" w:hAnsi="Times New Roman" w:cs="Times New Roman"/>
    </w:rPr>
  </w:style>
  <w:style w:type="paragraph" w:styleId="871">
    <w:name w:val="Heading 9"/>
    <w:basedOn w:val="863"/>
    <w:next w:val="862"/>
    <w:qFormat/>
    <w:pPr>
      <w:ind w:left="1584" w:firstLine="22"/>
      <w:spacing w:before="240" w:after="64" w:line="320" w:lineRule="auto"/>
      <w:outlineLvl w:val="8"/>
    </w:pPr>
    <w:rPr>
      <w:rFonts w:ascii="Times New Roman" w:hAnsi="Times New Roman" w:cs="Times New Roman"/>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Body Text Indent"/>
    <w:basedOn w:val="862"/>
    <w:next w:val="862"/>
    <w:link w:val="1285"/>
    <w:uiPriority w:val="99"/>
    <w:qFormat/>
    <w:pPr>
      <w:ind w:left="420" w:firstLine="1188"/>
      <w:spacing w:line="360" w:lineRule="exact"/>
    </w:pPr>
    <w:rPr>
      <w:rFonts w:ascii="Times New Roman" w:hAnsi="Times New Roman" w:cs="Times New Roman"/>
    </w:rPr>
  </w:style>
  <w:style w:type="paragraph" w:styleId="876" w:customStyle="1">
    <w:name w:val="正文2"/>
    <w:basedOn w:val="862"/>
    <w:next w:val="862"/>
    <w:qFormat/>
    <w:pPr>
      <w:ind w:left="0" w:hanging="2155"/>
      <w:spacing w:line="360" w:lineRule="auto"/>
      <w:shd w:val="clear" w:color="auto" w:fill="ffffff"/>
    </w:pPr>
    <w:rPr>
      <w:rFonts w:ascii="宋体" w:hAnsi="宋体"/>
    </w:rPr>
  </w:style>
  <w:style w:type="paragraph" w:styleId="877">
    <w:name w:val="toc 7"/>
    <w:basedOn w:val="863"/>
    <w:next w:val="862"/>
    <w:qFormat/>
    <w:pPr>
      <w:ind w:left="1640" w:firstLine="3784"/>
      <w:spacing w:before="0" w:after="0" w:line="360" w:lineRule="auto"/>
    </w:pPr>
    <w:rPr>
      <w:rFonts w:ascii="Times New Roman" w:hAnsi="Times New Roman" w:cs="Times New Roman"/>
    </w:rPr>
  </w:style>
  <w:style w:type="paragraph" w:styleId="878">
    <w:name w:val="List Bullet 4"/>
    <w:basedOn w:val="863"/>
    <w:next w:val="879"/>
    <w:qFormat/>
    <w:pPr>
      <w:ind w:left="1620" w:firstLine="2652"/>
      <w:spacing w:before="0" w:after="0" w:line="360" w:lineRule="auto"/>
    </w:pPr>
    <w:rPr>
      <w:rFonts w:ascii="Times New Roman" w:hAnsi="Times New Roman" w:cs="Times New Roman"/>
    </w:rPr>
  </w:style>
  <w:style w:type="paragraph" w:styleId="879">
    <w:name w:val="List Bullet 2"/>
    <w:basedOn w:val="863"/>
    <w:next w:val="862"/>
    <w:qFormat/>
    <w:pPr>
      <w:ind w:left="900" w:firstLine="2652"/>
      <w:spacing w:before="0" w:after="0" w:line="360" w:lineRule="auto"/>
    </w:pPr>
    <w:rPr>
      <w:rFonts w:ascii="Times New Roman" w:hAnsi="Times New Roman" w:cs="Times New Roman"/>
    </w:rPr>
  </w:style>
  <w:style w:type="paragraph" w:styleId="880">
    <w:name w:val="List Number"/>
    <w:basedOn w:val="863"/>
    <w:next w:val="862"/>
    <w:qFormat/>
    <w:pPr>
      <w:ind w:left="454" w:firstLine="2788"/>
      <w:spacing w:before="0" w:after="0" w:line="240" w:lineRule="auto"/>
    </w:pPr>
    <w:rPr>
      <w:rFonts w:ascii="Times New Roman" w:hAnsi="Times New Roman" w:cs="Times New Roman"/>
    </w:rPr>
  </w:style>
  <w:style w:type="paragraph" w:styleId="881">
    <w:name w:val="Normal Indent"/>
    <w:basedOn w:val="862"/>
    <w:next w:val="862"/>
    <w:link w:val="931"/>
    <w:qFormat/>
    <w:pPr>
      <w:ind w:left="420" w:firstLine="4772"/>
    </w:pPr>
  </w:style>
  <w:style w:type="paragraph" w:styleId="882">
    <w:name w:val="Caption"/>
    <w:basedOn w:val="863"/>
    <w:next w:val="862"/>
    <w:qFormat/>
    <w:pPr>
      <w:ind w:left="200" w:firstLine="2248"/>
      <w:jc w:val="center"/>
      <w:spacing w:before="0" w:after="0" w:line="240" w:lineRule="auto"/>
    </w:pPr>
    <w:rPr>
      <w:rFonts w:ascii="Times New Roman" w:hAnsi="Times New Roman" w:cs="Times New Roman"/>
    </w:rPr>
  </w:style>
  <w:style w:type="paragraph" w:styleId="883">
    <w:name w:val="List Bullet"/>
    <w:basedOn w:val="863"/>
    <w:next w:val="862"/>
    <w:qFormat/>
    <w:pPr>
      <w:ind w:left="900" w:firstLine="2652"/>
      <w:spacing w:before="0" w:after="0" w:line="360" w:lineRule="auto"/>
    </w:pPr>
    <w:rPr>
      <w:rFonts w:ascii="Times New Roman" w:hAnsi="Times New Roman" w:cs="Times New Roman"/>
    </w:rPr>
  </w:style>
  <w:style w:type="paragraph" w:styleId="884">
    <w:name w:val="Document Map"/>
    <w:basedOn w:val="863"/>
    <w:next w:val="885"/>
    <w:qFormat/>
    <w:pPr>
      <w:ind w:left="0" w:firstLine="4"/>
      <w:spacing w:before="0" w:after="0" w:line="240" w:lineRule="auto"/>
      <w:shd w:val="clear" w:color="000000" w:fill="000080"/>
    </w:pPr>
    <w:rPr>
      <w:rFonts w:ascii="Times New Roman" w:hAnsi="Times New Roman" w:cs="Times New Roman"/>
    </w:rPr>
  </w:style>
  <w:style w:type="paragraph" w:styleId="885">
    <w:name w:val="annotation subject"/>
    <w:next w:val="862"/>
    <w:qFormat/>
    <w:pPr>
      <w:ind w:firstLine="4608"/>
      <w:spacing w:line="360" w:lineRule="auto"/>
    </w:pPr>
    <w:rPr>
      <w:rFonts w:ascii="Calibri" w:hAnsi="Calibri"/>
    </w:rPr>
  </w:style>
  <w:style w:type="paragraph" w:styleId="886">
    <w:name w:val="annotation text"/>
    <w:basedOn w:val="863"/>
    <w:next w:val="862"/>
    <w:qFormat/>
    <w:pPr>
      <w:ind w:left="0" w:firstLine="3584"/>
      <w:spacing w:before="0" w:after="0" w:line="360" w:lineRule="auto"/>
    </w:pPr>
    <w:rPr>
      <w:rFonts w:ascii="Times New Roman" w:hAnsi="Times New Roman" w:cs="Times New Roman"/>
    </w:rPr>
  </w:style>
  <w:style w:type="paragraph" w:styleId="887">
    <w:name w:val="Body Text 3"/>
    <w:basedOn w:val="863"/>
    <w:next w:val="862"/>
    <w:qFormat/>
    <w:pPr>
      <w:ind w:left="0" w:firstLine="2048"/>
      <w:spacing w:before="0" w:after="0" w:line="500" w:lineRule="exact"/>
    </w:pPr>
    <w:rPr>
      <w:rFonts w:ascii="Times New Roman" w:hAnsi="Times New Roman" w:cs="Times New Roman"/>
    </w:rPr>
  </w:style>
  <w:style w:type="paragraph" w:styleId="888">
    <w:name w:val="List Bullet 3"/>
    <w:basedOn w:val="863"/>
    <w:next w:val="862"/>
    <w:qFormat/>
    <w:pPr>
      <w:ind w:left="900" w:firstLine="2652"/>
      <w:spacing w:before="0" w:after="0" w:line="360" w:lineRule="auto"/>
    </w:pPr>
    <w:rPr>
      <w:rFonts w:ascii="Times New Roman" w:hAnsi="Times New Roman" w:cs="Times New Roman"/>
    </w:rPr>
  </w:style>
  <w:style w:type="paragraph" w:styleId="889">
    <w:name w:val="Body Text"/>
    <w:basedOn w:val="862"/>
    <w:next w:val="862"/>
    <w:qFormat/>
    <w:pPr>
      <w:ind w:left="0" w:firstLine="2560"/>
    </w:pPr>
    <w:rPr>
      <w:rFonts w:ascii="Times New Roman" w:hAnsi="Times New Roman" w:cs="Times New Roman"/>
    </w:rPr>
  </w:style>
  <w:style w:type="paragraph" w:styleId="890">
    <w:name w:val="List Number 3"/>
    <w:basedOn w:val="863"/>
    <w:next w:val="862"/>
    <w:qFormat/>
    <w:pPr>
      <w:ind w:left="420" w:firstLine="3584"/>
      <w:spacing w:before="0" w:after="0" w:line="240" w:lineRule="auto"/>
    </w:pPr>
    <w:rPr>
      <w:rFonts w:ascii="Times New Roman" w:hAnsi="Times New Roman" w:cs="Times New Roman"/>
    </w:rPr>
  </w:style>
  <w:style w:type="paragraph" w:styleId="891">
    <w:name w:val="List 2"/>
    <w:basedOn w:val="863"/>
    <w:next w:val="877"/>
    <w:qFormat/>
    <w:pPr>
      <w:ind w:left="100" w:firstLine="3640"/>
      <w:spacing w:before="0" w:after="0" w:line="240" w:lineRule="auto"/>
    </w:pPr>
    <w:rPr>
      <w:rFonts w:ascii="Times New Roman" w:hAnsi="Times New Roman" w:cs="Times New Roman"/>
    </w:rPr>
  </w:style>
  <w:style w:type="paragraph" w:styleId="892">
    <w:name w:val="Block Text"/>
    <w:basedOn w:val="863"/>
    <w:next w:val="862"/>
    <w:qFormat/>
    <w:pPr>
      <w:ind w:left="420" w:right="33" w:firstLine="2560"/>
      <w:spacing w:before="0" w:after="0" w:line="240" w:lineRule="auto"/>
    </w:pPr>
    <w:rPr>
      <w:rFonts w:ascii="Times New Roman" w:hAnsi="Times New Roman" w:cs="Times New Roman"/>
    </w:rPr>
  </w:style>
  <w:style w:type="paragraph" w:styleId="893">
    <w:name w:val="toc 5"/>
    <w:basedOn w:val="863"/>
    <w:next w:val="862"/>
    <w:qFormat/>
    <w:pPr>
      <w:ind w:left="1160" w:firstLine="3784"/>
      <w:spacing w:before="0" w:after="0" w:line="360" w:lineRule="auto"/>
    </w:pPr>
    <w:rPr>
      <w:rFonts w:ascii="Times New Roman" w:hAnsi="Times New Roman" w:cs="Times New Roman"/>
    </w:rPr>
  </w:style>
  <w:style w:type="paragraph" w:styleId="894">
    <w:name w:val="toc 3"/>
    <w:basedOn w:val="863"/>
    <w:next w:val="862"/>
    <w:qFormat/>
    <w:pPr>
      <w:ind w:left="0" w:firstLine="1024"/>
      <w:spacing w:before="0" w:after="0" w:line="360" w:lineRule="auto"/>
    </w:pPr>
    <w:rPr>
      <w:rFonts w:ascii="Times New Roman" w:hAnsi="Times New Roman" w:cs="Times New Roman"/>
    </w:rPr>
  </w:style>
  <w:style w:type="paragraph" w:styleId="895">
    <w:name w:val="Plain Text"/>
    <w:basedOn w:val="863"/>
    <w:next w:val="896"/>
    <w:qFormat/>
    <w:pPr>
      <w:ind w:left="0" w:firstLine="2048"/>
      <w:spacing w:before="0" w:after="0" w:line="240" w:lineRule="auto"/>
    </w:pPr>
    <w:rPr>
      <w:rFonts w:ascii="Times New Roman" w:hAnsi="Times New Roman" w:cs="Times New Roman"/>
    </w:rPr>
  </w:style>
  <w:style w:type="paragraph" w:styleId="896">
    <w:name w:val="toc 1"/>
    <w:basedOn w:val="863"/>
    <w:next w:val="862"/>
    <w:uiPriority w:val="39"/>
    <w:qFormat/>
    <w:pPr>
      <w:ind w:left="0" w:firstLine="4608"/>
      <w:spacing w:before="0" w:after="0" w:line="240" w:lineRule="auto"/>
    </w:pPr>
    <w:rPr>
      <w:rFonts w:ascii="Times New Roman" w:hAnsi="Times New Roman" w:cs="Times New Roman"/>
    </w:rPr>
  </w:style>
  <w:style w:type="paragraph" w:styleId="897">
    <w:name w:val="List Bullet 5"/>
    <w:basedOn w:val="863"/>
    <w:next w:val="898"/>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qFormat/>
    <w:pPr>
      <w:ind w:left="420" w:firstLine="2724"/>
      <w:spacing w:after="120" w:line="360" w:lineRule="auto"/>
    </w:pPr>
    <w:rPr>
      <w:rFonts w:ascii="Calibri" w:hAnsi="Calibri"/>
    </w:rPr>
  </w:style>
  <w:style w:type="paragraph" w:styleId="899">
    <w:name w:val="toc 8"/>
    <w:basedOn w:val="863"/>
    <w:next w:val="862"/>
    <w:qFormat/>
    <w:pPr>
      <w:ind w:left="1880" w:firstLine="3784"/>
      <w:spacing w:before="0" w:after="0" w:line="360" w:lineRule="auto"/>
    </w:pPr>
    <w:rPr>
      <w:rFonts w:ascii="Times New Roman" w:hAnsi="Times New Roman" w:cs="Times New Roman"/>
    </w:rPr>
  </w:style>
  <w:style w:type="paragraph" w:styleId="900">
    <w:name w:val="Date"/>
    <w:basedOn w:val="863"/>
    <w:next w:val="862"/>
    <w:qFormat/>
    <w:pPr>
      <w:ind w:left="0" w:firstLine="2560"/>
      <w:spacing w:before="0" w:after="0" w:line="240" w:lineRule="auto"/>
    </w:pPr>
    <w:rPr>
      <w:rFonts w:ascii="Times New Roman" w:hAnsi="Times New Roman" w:cs="Times New Roman"/>
    </w:rPr>
  </w:style>
  <w:style w:type="paragraph" w:styleId="901">
    <w:name w:val="Body Text Indent 2"/>
    <w:basedOn w:val="863"/>
    <w:next w:val="875"/>
    <w:qFormat/>
    <w:pPr>
      <w:ind w:left="481" w:firstLine="2784"/>
      <w:spacing w:before="0" w:after="0" w:line="400" w:lineRule="exact"/>
    </w:pPr>
    <w:rPr>
      <w:rFonts w:ascii="Times New Roman" w:hAnsi="Times New Roman" w:cs="Times New Roman"/>
    </w:rPr>
  </w:style>
  <w:style w:type="paragraph" w:styleId="902">
    <w:name w:val="endnote text"/>
    <w:basedOn w:val="863"/>
    <w:next w:val="903"/>
    <w:qFormat/>
    <w:pPr>
      <w:ind w:left="0" w:firstLine="2560"/>
      <w:spacing w:before="0" w:after="0" w:line="360" w:lineRule="auto"/>
    </w:pPr>
    <w:rPr>
      <w:rFonts w:ascii="Times New Roman" w:hAnsi="Times New Roman" w:cs="Times New Roman"/>
    </w:rPr>
  </w:style>
  <w:style w:type="paragraph" w:styleId="903" w:customStyle="1">
    <w:name w:val="Char11"/>
    <w:basedOn w:val="863"/>
    <w:next w:val="862"/>
    <w:qFormat/>
    <w:pPr>
      <w:ind w:left="0" w:firstLine="3584"/>
      <w:spacing w:before="0" w:after="0" w:line="240" w:lineRule="auto"/>
    </w:pPr>
    <w:rPr>
      <w:rFonts w:ascii="Times New Roman" w:hAnsi="Times New Roman" w:cs="Times New Roman"/>
    </w:rPr>
  </w:style>
  <w:style w:type="paragraph" w:styleId="904">
    <w:name w:val="Balloon Text"/>
    <w:basedOn w:val="863"/>
    <w:next w:val="880"/>
    <w:qFormat/>
    <w:pPr>
      <w:ind w:left="0" w:firstLine="2048"/>
      <w:spacing w:before="0" w:after="0" w:line="240" w:lineRule="auto"/>
    </w:pPr>
    <w:rPr>
      <w:rFonts w:ascii="Times New Roman" w:hAnsi="Times New Roman" w:cs="Times New Roman"/>
    </w:rPr>
  </w:style>
  <w:style w:type="paragraph" w:styleId="905">
    <w:name w:val="Footer"/>
    <w:basedOn w:val="862"/>
    <w:next w:val="906"/>
    <w:link w:val="932"/>
    <w:qFormat/>
    <w:pPr>
      <w:ind w:left="0" w:firstLine="3584"/>
    </w:pPr>
  </w:style>
  <w:style w:type="paragraph" w:styleId="906" w:customStyle="1">
    <w:name w:val="Char Char Char Char Char Char Char Char Char Char Char Char Char"/>
    <w:basedOn w:val="863"/>
    <w:next w:val="862"/>
    <w:qFormat/>
    <w:pPr>
      <w:ind w:left="0" w:firstLine="3584"/>
      <w:spacing w:before="0" w:after="160" w:line="240" w:lineRule="exact"/>
    </w:pPr>
    <w:rPr>
      <w:rFonts w:ascii="Times New Roman" w:hAnsi="Times New Roman" w:cs="Times New Roman"/>
    </w:rPr>
  </w:style>
  <w:style w:type="paragraph" w:styleId="907">
    <w:name w:val="Header"/>
    <w:basedOn w:val="863"/>
    <w:next w:val="900"/>
    <w:link w:val="933"/>
    <w:qFormat/>
    <w:pPr>
      <w:ind w:left="0" w:firstLine="3584"/>
      <w:jc w:val="center"/>
      <w:spacing w:before="0" w:after="0" w:line="240" w:lineRule="auto"/>
    </w:pPr>
  </w:style>
  <w:style w:type="paragraph" w:styleId="908">
    <w:name w:val="toc 4"/>
    <w:basedOn w:val="863"/>
    <w:next w:val="862"/>
    <w:qFormat/>
    <w:pPr>
      <w:ind w:left="1260" w:firstLine="1024"/>
      <w:spacing w:before="0" w:after="0" w:line="240" w:lineRule="auto"/>
    </w:pPr>
    <w:rPr>
      <w:rFonts w:ascii="Times New Roman" w:hAnsi="Times New Roman" w:cs="Times New Roman"/>
    </w:rPr>
  </w:style>
  <w:style w:type="paragraph" w:styleId="909">
    <w:name w:val="Subtitle"/>
    <w:next w:val="862"/>
    <w:qFormat/>
    <w:pPr>
      <w:ind w:left="1024"/>
      <w:jc w:val="center"/>
      <w:spacing w:after="60"/>
    </w:pPr>
    <w:rPr>
      <w:rFonts w:ascii="Calibri" w:hAnsi="Calibri"/>
    </w:rPr>
  </w:style>
  <w:style w:type="paragraph" w:styleId="910">
    <w:name w:val="List"/>
    <w:basedOn w:val="863"/>
    <w:next w:val="911"/>
    <w:qFormat/>
    <w:pPr>
      <w:ind w:left="200" w:firstLine="3640"/>
      <w:spacing w:before="0" w:after="0" w:line="240" w:lineRule="auto"/>
    </w:pPr>
    <w:rPr>
      <w:rFonts w:ascii="Times New Roman" w:hAnsi="Times New Roman" w:cs="Times New Roman"/>
    </w:rPr>
  </w:style>
  <w:style w:type="paragraph" w:styleId="911">
    <w:name w:val="Body Text First Indent"/>
    <w:next w:val="862"/>
    <w:qFormat/>
    <w:pPr>
      <w:ind w:left="420" w:firstLine="3748"/>
      <w:spacing w:after="120"/>
    </w:pPr>
    <w:rPr>
      <w:rFonts w:ascii="Calibri" w:hAnsi="Calibri"/>
    </w:rPr>
  </w:style>
  <w:style w:type="paragraph" w:styleId="912">
    <w:name w:val="footnote text"/>
    <w:basedOn w:val="863"/>
    <w:next w:val="892"/>
    <w:qFormat/>
    <w:pPr>
      <w:ind w:left="0" w:firstLine="3584"/>
      <w:spacing w:before="0" w:after="0" w:line="360" w:lineRule="auto"/>
    </w:pPr>
    <w:rPr>
      <w:rFonts w:ascii="Times New Roman" w:hAnsi="Times New Roman" w:cs="Times New Roman"/>
    </w:rPr>
  </w:style>
  <w:style w:type="paragraph" w:styleId="913">
    <w:name w:val="toc 6"/>
    <w:basedOn w:val="863"/>
    <w:next w:val="862"/>
    <w:qFormat/>
    <w:pPr>
      <w:ind w:left="1400" w:firstLine="3784"/>
      <w:spacing w:before="0" w:after="0" w:line="360" w:lineRule="auto"/>
    </w:pPr>
    <w:rPr>
      <w:rFonts w:ascii="Times New Roman" w:hAnsi="Times New Roman" w:cs="Times New Roman"/>
    </w:rPr>
  </w:style>
  <w:style w:type="paragraph" w:styleId="914">
    <w:name w:val="List 5"/>
    <w:basedOn w:val="863"/>
    <w:next w:val="889"/>
    <w:qFormat/>
    <w:pPr>
      <w:ind w:left="2100" w:firstLine="3676"/>
      <w:spacing w:before="0" w:after="0" w:line="240" w:lineRule="auto"/>
    </w:pPr>
    <w:rPr>
      <w:rFonts w:ascii="Times New Roman" w:hAnsi="Times New Roman" w:cs="Times New Roman"/>
    </w:rPr>
  </w:style>
  <w:style w:type="paragraph" w:styleId="915">
    <w:name w:val="Body Text Indent 3"/>
    <w:basedOn w:val="863"/>
    <w:next w:val="913"/>
    <w:qFormat/>
    <w:pPr>
      <w:ind w:left="480" w:firstLine="2784"/>
      <w:spacing w:before="0" w:after="0" w:line="400" w:lineRule="exact"/>
    </w:pPr>
    <w:rPr>
      <w:rFonts w:ascii="Times New Roman" w:hAnsi="Times New Roman" w:cs="Times New Roman"/>
    </w:rPr>
  </w:style>
  <w:style w:type="paragraph" w:styleId="916">
    <w:name w:val="toc 2"/>
    <w:basedOn w:val="863"/>
    <w:next w:val="862"/>
    <w:qFormat/>
    <w:pPr>
      <w:ind w:left="0" w:firstLine="1024"/>
      <w:spacing w:before="0" w:after="0" w:line="360" w:lineRule="auto"/>
    </w:pPr>
    <w:rPr>
      <w:rFonts w:ascii="Times New Roman" w:hAnsi="Times New Roman" w:cs="Times New Roman"/>
    </w:rPr>
  </w:style>
  <w:style w:type="paragraph" w:styleId="917">
    <w:name w:val="toc 9"/>
    <w:basedOn w:val="863"/>
    <w:next w:val="862"/>
    <w:qFormat/>
    <w:pPr>
      <w:ind w:left="2120" w:firstLine="3784"/>
      <w:spacing w:before="0" w:after="0" w:line="360" w:lineRule="auto"/>
    </w:pPr>
    <w:rPr>
      <w:rFonts w:ascii="Times New Roman" w:hAnsi="Times New Roman" w:cs="Times New Roman"/>
    </w:rPr>
  </w:style>
  <w:style w:type="paragraph" w:styleId="918">
    <w:name w:val="Body Text 2"/>
    <w:basedOn w:val="863"/>
    <w:next w:val="883"/>
    <w:qFormat/>
    <w:pPr>
      <w:ind w:left="0" w:firstLine="1024"/>
      <w:spacing w:before="0" w:after="120" w:line="480" w:lineRule="auto"/>
    </w:pPr>
    <w:rPr>
      <w:rFonts w:ascii="Times New Roman" w:hAnsi="Times New Roman" w:cs="Times New Roman"/>
    </w:rPr>
  </w:style>
  <w:style w:type="paragraph" w:styleId="919">
    <w:name w:val="HTML Preformatted"/>
    <w:basedOn w:val="863"/>
    <w:next w:val="882"/>
    <w:qFormat/>
    <w:pPr>
      <w:ind w:left="0" w:firstLine="2048"/>
      <w:spacing w:before="0" w:after="0" w:line="253" w:lineRule="atLeast"/>
    </w:pPr>
    <w:rPr>
      <w:rFonts w:ascii="Times New Roman" w:hAnsi="Times New Roman" w:cs="Times New Roman"/>
    </w:rPr>
  </w:style>
  <w:style w:type="paragraph" w:styleId="920">
    <w:name w:val="Normal (Web)"/>
    <w:basedOn w:val="862"/>
    <w:next w:val="891"/>
    <w:uiPriority w:val="99"/>
    <w:qFormat/>
    <w:pPr>
      <w:ind w:left="15" w:right="15" w:firstLine="4608"/>
      <w:spacing w:before="60" w:after="60" w:line="312" w:lineRule="auto"/>
    </w:pPr>
    <w:rPr>
      <w:rFonts w:ascii="Times New Roman" w:hAnsi="Times New Roman" w:cs="Times New Roman"/>
    </w:rPr>
  </w:style>
  <w:style w:type="paragraph" w:styleId="921">
    <w:name w:val="index 1"/>
    <w:basedOn w:val="863"/>
    <w:next w:val="862"/>
    <w:qFormat/>
    <w:pPr>
      <w:ind w:left="0" w:firstLine="3584"/>
      <w:spacing w:before="0" w:after="0" w:line="240" w:lineRule="auto"/>
    </w:pPr>
    <w:rPr>
      <w:rFonts w:ascii="Times New Roman" w:hAnsi="Times New Roman" w:cs="Times New Roman"/>
    </w:rPr>
  </w:style>
  <w:style w:type="paragraph" w:styleId="922">
    <w:name w:val="Body Text First Indent 2"/>
    <w:basedOn w:val="875"/>
    <w:unhideWhenUsed/>
    <w:qFormat/>
    <w:pPr>
      <w:ind w:firstLine="420"/>
    </w:pPr>
  </w:style>
  <w:style w:type="table" w:styleId="92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4">
    <w:name w:val="Strong"/>
    <w:uiPriority w:val="22"/>
    <w:qFormat/>
    <w:rPr>
      <w:rFonts w:ascii="Times New Roman" w:hAnsi="Times New Roman" w:eastAsia="宋体" w:cs="Times New Roman"/>
      <w:b/>
      <w:sz w:val="20"/>
    </w:rPr>
  </w:style>
  <w:style w:type="character" w:styleId="925">
    <w:name w:val="page number"/>
    <w:qFormat/>
    <w:rPr>
      <w:rFonts w:ascii="Times New Roman" w:hAnsi="Times New Roman" w:eastAsia="宋体" w:cs="Times New Roman"/>
      <w:sz w:val="20"/>
    </w:rPr>
  </w:style>
  <w:style w:type="character" w:styleId="926">
    <w:name w:val="FollowedHyperlink"/>
    <w:qFormat/>
    <w:rPr>
      <w:rFonts w:ascii="Times New Roman" w:hAnsi="Times New Roman" w:eastAsia="宋体" w:cs="Times New Roman"/>
      <w:color w:val="800080"/>
      <w:sz w:val="20"/>
      <w:u w:val="single"/>
    </w:rPr>
  </w:style>
  <w:style w:type="character" w:styleId="927">
    <w:name w:val="Emphasis"/>
    <w:uiPriority w:val="20"/>
    <w:qFormat/>
    <w:rPr>
      <w:rFonts w:ascii="Times New Roman" w:hAnsi="Times New Roman" w:eastAsia="宋体" w:cs="Times New Roman"/>
      <w:i/>
      <w:sz w:val="21"/>
    </w:rPr>
  </w:style>
  <w:style w:type="character" w:styleId="928">
    <w:name w:val="Hyperlink"/>
    <w:uiPriority w:val="99"/>
    <w:qFormat/>
    <w:rPr>
      <w:rFonts w:ascii="Times New Roman" w:hAnsi="Times New Roman" w:eastAsia="宋体" w:cs="Times New Roman"/>
      <w:color w:val="0000ff"/>
      <w:sz w:val="20"/>
      <w:u w:val="single"/>
    </w:rPr>
  </w:style>
  <w:style w:type="character" w:styleId="929">
    <w:name w:val="annotation reference"/>
    <w:qFormat/>
    <w:rPr>
      <w:rFonts w:ascii="Times New Roman" w:hAnsi="Times New Roman" w:eastAsia="宋体" w:cs="Times New Roman"/>
      <w:sz w:val="20"/>
    </w:rPr>
  </w:style>
  <w:style w:type="character" w:styleId="930">
    <w:name w:val="footnote reference"/>
    <w:qFormat/>
    <w:rPr>
      <w:rFonts w:ascii="Times New Roman" w:hAnsi="Times New Roman" w:eastAsia="宋体" w:cs="Times New Roman"/>
      <w:vertAlign w:val="superscript"/>
    </w:rPr>
  </w:style>
  <w:style w:type="character" w:styleId="931" w:customStyle="1">
    <w:name w:val="正文缩进 字符"/>
    <w:link w:val="881"/>
    <w:qFormat/>
    <w:rPr>
      <w:rFonts w:ascii="Calibri" w:hAnsi="Calibri" w:eastAsia="宋体" w:cs="Times New Roman"/>
    </w:rPr>
  </w:style>
  <w:style w:type="character" w:styleId="932" w:customStyle="1">
    <w:name w:val="页脚 字符"/>
    <w:link w:val="905"/>
    <w:qFormat/>
    <w:rPr>
      <w:rFonts w:ascii="Calibri" w:hAnsi="Calibri" w:eastAsia="宋体" w:cs="Times New Roman"/>
    </w:rPr>
  </w:style>
  <w:style w:type="character" w:styleId="933" w:customStyle="1">
    <w:name w:val="页眉 字符"/>
    <w:link w:val="907"/>
    <w:qFormat/>
    <w:rPr>
      <w:rFonts w:ascii="Calibri" w:hAnsi="Calibri" w:eastAsia="宋体" w:cs="Times New Roman"/>
    </w:rPr>
  </w:style>
  <w:style w:type="character" w:styleId="934" w:customStyle="1">
    <w:name w:val="日期 Char"/>
    <w:qFormat/>
    <w:rPr>
      <w:rFonts w:ascii="Times New Roman" w:hAnsi="Times New Roman" w:eastAsia="宋体" w:cs="Times New Roman"/>
      <w:sz w:val="20"/>
    </w:rPr>
  </w:style>
  <w:style w:type="character" w:styleId="935" w:customStyle="1">
    <w:name w:val="批注引用1"/>
    <w:qFormat/>
    <w:rPr>
      <w:rFonts w:ascii="Times New Roman" w:hAnsi="Times New Roman" w:eastAsia="宋体" w:cs="Times New Roman"/>
      <w:sz w:val="20"/>
    </w:rPr>
  </w:style>
  <w:style w:type="character" w:styleId="936" w:customStyle="1">
    <w:name w:val="应答文本 Char Char"/>
    <w:qFormat/>
    <w:rPr>
      <w:rFonts w:ascii="Times New Roman" w:hAnsi="Times New Roman" w:eastAsia="宋体" w:cs="Times New Roman"/>
      <w:sz w:val="20"/>
    </w:rPr>
  </w:style>
  <w:style w:type="character" w:styleId="937" w:customStyle="1">
    <w:name w:val="图片0 Char Char"/>
    <w:qFormat/>
    <w:rPr>
      <w:rFonts w:ascii="Times New Roman" w:hAnsi="Times New Roman" w:eastAsia="宋体" w:cs="Times New Roman"/>
      <w:sz w:val="20"/>
    </w:rPr>
  </w:style>
  <w:style w:type="character" w:styleId="938" w:customStyle="1">
    <w:name w:val="尾注文本 Char"/>
    <w:qFormat/>
    <w:rPr>
      <w:rFonts w:ascii="Times New Roman" w:hAnsi="Times New Roman" w:eastAsia="宋体" w:cs="Times New Roman"/>
      <w:sz w:val="20"/>
    </w:rPr>
  </w:style>
  <w:style w:type="character" w:styleId="939" w:customStyle="1">
    <w:name w:val="文档结构图 字符"/>
    <w:qFormat/>
    <w:rPr>
      <w:rFonts w:ascii="Microsoft YaHei UI" w:hAnsi="Times New Roman" w:eastAsia="Microsoft YaHei UI" w:cs="Times New Roman"/>
      <w:sz w:val="18"/>
      <w:szCs w:val="18"/>
    </w:rPr>
  </w:style>
  <w:style w:type="character" w:styleId="940" w:customStyle="1">
    <w:name w:val="_Style 337"/>
    <w:qFormat/>
    <w:rPr>
      <w:rFonts w:ascii="Times New Roman" w:hAnsi="Times New Roman" w:eastAsia="宋体" w:cs="Times New Roman"/>
      <w:color w:val="auto"/>
      <w:sz w:val="21"/>
    </w:rPr>
  </w:style>
  <w:style w:type="character" w:styleId="941" w:customStyle="1">
    <w:name w:val="正文文本 字符"/>
    <w:qFormat/>
    <w:rPr>
      <w:rFonts w:ascii="Times New Roman" w:hAnsi="Times New Roman" w:eastAsia="宋体" w:cs="Times New Roman"/>
      <w:sz w:val="21"/>
    </w:rPr>
  </w:style>
  <w:style w:type="character" w:styleId="942" w:customStyle="1">
    <w:name w:val="批注文字 字符"/>
    <w:qFormat/>
    <w:rPr>
      <w:rFonts w:ascii="Times New Roman" w:hAnsi="Times New Roman" w:eastAsia="宋体" w:cs="Times New Roman"/>
      <w:sz w:val="20"/>
    </w:rPr>
  </w:style>
  <w:style w:type="character" w:styleId="943" w:customStyle="1">
    <w:name w:val="批注文字 Char1"/>
    <w:qFormat/>
    <w:rPr>
      <w:rFonts w:ascii="Times New Roman" w:hAnsi="Times New Roman" w:eastAsia="宋体" w:cs="Times New Roman"/>
      <w:sz w:val="20"/>
    </w:rPr>
  </w:style>
  <w:style w:type="character" w:styleId="944" w:customStyle="1">
    <w:name w:val="txt"/>
    <w:qFormat/>
    <w:rPr>
      <w:rFonts w:ascii="Times New Roman" w:hAnsi="Times New Roman" w:eastAsia="宋体" w:cs="Times New Roman"/>
      <w:sz w:val="20"/>
    </w:rPr>
  </w:style>
  <w:style w:type="character" w:styleId="945" w:customStyle="1">
    <w:name w:val="标书正文 Char"/>
    <w:qFormat/>
    <w:rPr>
      <w:rFonts w:ascii="Times New Roman" w:hAnsi="Times New Roman" w:eastAsia="宋体" w:cs="Times New Roman"/>
      <w:sz w:val="20"/>
    </w:rPr>
  </w:style>
  <w:style w:type="character" w:styleId="946" w:customStyle="1">
    <w:name w:val="font21"/>
    <w:qFormat/>
    <w:rPr>
      <w:rFonts w:hint="eastAsia" w:ascii="宋体" w:hAnsi="宋体" w:eastAsia="宋体" w:cs="宋体"/>
      <w:color w:val="ff0000"/>
      <w:sz w:val="24"/>
      <w:szCs w:val="24"/>
      <w:u w:val="none"/>
    </w:rPr>
  </w:style>
  <w:style w:type="character" w:styleId="947" w:customStyle="1">
    <w:name w:val="apple-converted-space"/>
    <w:qFormat/>
    <w:rPr>
      <w:rFonts w:ascii="Times New Roman" w:hAnsi="Times New Roman" w:eastAsia="宋体" w:cs="Times New Roman"/>
      <w:sz w:val="20"/>
    </w:rPr>
  </w:style>
  <w:style w:type="character" w:styleId="948" w:customStyle="1">
    <w:name w:val="纯文本 Char1"/>
    <w:qFormat/>
    <w:rPr>
      <w:rFonts w:ascii="Times New Roman" w:hAnsi="Times New Roman" w:eastAsia="宋体" w:cs="Times New Roman"/>
      <w:sz w:val="20"/>
    </w:rPr>
  </w:style>
  <w:style w:type="character" w:styleId="949" w:customStyle="1">
    <w:name w:val="para1"/>
    <w:qFormat/>
    <w:rPr>
      <w:rFonts w:ascii="Times New Roman" w:hAnsi="Times New Roman" w:eastAsia="宋体" w:cs="Times New Roman"/>
      <w:sz w:val="20"/>
    </w:rPr>
  </w:style>
  <w:style w:type="character" w:styleId="950" w:customStyle="1">
    <w:name w:val="HTML 预设格式 Char1"/>
    <w:qFormat/>
    <w:rPr>
      <w:rFonts w:ascii="Times New Roman" w:hAnsi="Times New Roman" w:eastAsia="宋体" w:cs="Times New Roman"/>
      <w:sz w:val="20"/>
    </w:rPr>
  </w:style>
  <w:style w:type="character" w:styleId="951" w:customStyle="1">
    <w:name w:val="批注文字 Char"/>
    <w:qFormat/>
    <w:rPr>
      <w:rFonts w:ascii="Times New Roman" w:hAnsi="Times New Roman" w:eastAsia="宋体" w:cs="Times New Roman"/>
      <w:sz w:val="20"/>
    </w:rPr>
  </w:style>
  <w:style w:type="character" w:styleId="952" w:customStyle="1">
    <w:name w:val="文档结构图 Char"/>
    <w:qFormat/>
    <w:rPr>
      <w:rFonts w:ascii="Times New Roman" w:hAnsi="Times New Roman" w:eastAsia="宋体" w:cs="Times New Roman"/>
      <w:sz w:val="20"/>
    </w:rPr>
  </w:style>
  <w:style w:type="character" w:styleId="953" w:customStyle="1">
    <w:name w:val="超级链接"/>
    <w:qFormat/>
    <w:rPr>
      <w:rFonts w:ascii="Times New Roman" w:hAnsi="Times New Roman" w:eastAsia="宋体" w:cs="Times New Roman"/>
      <w:color w:val="0000ff"/>
      <w:sz w:val="20"/>
      <w:u w:val="single"/>
    </w:rPr>
  </w:style>
  <w:style w:type="character" w:styleId="954" w:customStyle="1">
    <w:name w:val="p141"/>
    <w:qFormat/>
    <w:rPr>
      <w:rFonts w:ascii="Times New Roman" w:hAnsi="Times New Roman" w:eastAsia="宋体" w:cs="Times New Roman"/>
      <w:color w:val="000000"/>
      <w:sz w:val="20"/>
      <w:u w:val="none"/>
    </w:rPr>
  </w:style>
  <w:style w:type="character" w:styleId="955" w:customStyle="1">
    <w:name w:val="宏文本 Char"/>
    <w:qFormat/>
    <w:rPr>
      <w:rFonts w:ascii="Times New Roman" w:hAnsi="Times New Roman" w:eastAsia="宋体" w:cs="Times New Roman"/>
      <w:sz w:val="20"/>
    </w:rPr>
  </w:style>
  <w:style w:type="character" w:styleId="956" w:customStyle="1">
    <w:name w:val="_Style 313"/>
    <w:qFormat/>
    <w:rPr>
      <w:rFonts w:ascii="Times New Roman" w:hAnsi="Times New Roman" w:eastAsia="宋体" w:cs="Times New Roman"/>
      <w:b/>
      <w:i/>
      <w:sz w:val="21"/>
    </w:rPr>
  </w:style>
  <w:style w:type="character" w:styleId="957" w:customStyle="1">
    <w:name w:val="页脚 Char1"/>
    <w:qFormat/>
    <w:rPr>
      <w:rFonts w:ascii="Times New Roman" w:hAnsi="Times New Roman" w:eastAsia="宋体" w:cs="Times New Roman"/>
      <w:sz w:val="20"/>
    </w:rPr>
  </w:style>
  <w:style w:type="character" w:styleId="958" w:customStyle="1">
    <w:name w:val="页眉 Char"/>
    <w:qFormat/>
    <w:rPr>
      <w:rFonts w:ascii="Times New Roman" w:hAnsi="Times New Roman" w:eastAsia="宋体" w:cs="Times New Roman"/>
      <w:sz w:val="20"/>
    </w:rPr>
  </w:style>
  <w:style w:type="character" w:styleId="959" w:customStyle="1">
    <w:name w:val="标题 7 Char"/>
    <w:qFormat/>
    <w:rPr>
      <w:rFonts w:ascii="Times New Roman" w:hAnsi="Times New Roman" w:eastAsia="宋体" w:cs="Times New Roman"/>
      <w:b/>
      <w:sz w:val="20"/>
    </w:rPr>
  </w:style>
  <w:style w:type="character" w:styleId="960" w:customStyle="1">
    <w:name w:val="Char Char12"/>
    <w:qFormat/>
    <w:rPr>
      <w:rFonts w:ascii="Times New Roman" w:hAnsi="Times New Roman" w:eastAsia="宋体" w:cs="Times New Roman"/>
      <w:sz w:val="20"/>
    </w:rPr>
  </w:style>
  <w:style w:type="character" w:styleId="961" w:customStyle="1">
    <w:name w:val="标题 3 Char"/>
    <w:qFormat/>
    <w:rPr>
      <w:rFonts w:ascii="Times New Roman" w:hAnsi="Times New Roman" w:eastAsia="宋体" w:cs="Times New Roman"/>
      <w:b/>
      <w:sz w:val="20"/>
    </w:rPr>
  </w:style>
  <w:style w:type="character" w:styleId="962" w:customStyle="1">
    <w:name w:val="正文（首行缩进 2 字符） Char Char"/>
    <w:qFormat/>
    <w:rPr>
      <w:rFonts w:ascii="Times New Roman" w:hAnsi="Times New Roman" w:eastAsia="宋体" w:cs="Times New Roman"/>
      <w:sz w:val="20"/>
    </w:rPr>
  </w:style>
  <w:style w:type="character" w:styleId="963" w:customStyle="1">
    <w:name w:val="表格用 Char Char"/>
    <w:qFormat/>
    <w:rPr>
      <w:rFonts w:ascii="Times New Roman" w:hAnsi="Times New Roman" w:eastAsia="宋体" w:cs="Times New Roman"/>
      <w:sz w:val="20"/>
    </w:rPr>
  </w:style>
  <w:style w:type="character" w:styleId="964" w:customStyle="1">
    <w:name w:val="正文文本缩进 3 Char1"/>
    <w:qFormat/>
    <w:rPr>
      <w:rFonts w:ascii="Times New Roman" w:hAnsi="Times New Roman" w:eastAsia="宋体" w:cs="Times New Roman"/>
      <w:sz w:val="20"/>
    </w:rPr>
  </w:style>
  <w:style w:type="character" w:styleId="965" w:customStyle="1">
    <w:name w:val="正文缩进 Char"/>
    <w:qFormat/>
    <w:rPr>
      <w:rFonts w:ascii="Times New Roman" w:hAnsi="Times New Roman" w:eastAsia="宋体" w:cs="Times New Roman"/>
      <w:sz w:val="20"/>
    </w:rPr>
  </w:style>
  <w:style w:type="character" w:styleId="966" w:customStyle="1">
    <w:name w:val="批注框文本 Char1"/>
    <w:qFormat/>
    <w:rPr>
      <w:rFonts w:ascii="Times New Roman" w:hAnsi="Times New Roman" w:eastAsia="宋体" w:cs="Times New Roman"/>
      <w:sz w:val="20"/>
    </w:rPr>
  </w:style>
  <w:style w:type="character" w:styleId="967" w:customStyle="1">
    <w:name w:val="Char Char13"/>
    <w:qFormat/>
    <w:rPr>
      <w:rFonts w:ascii="Times New Roman" w:hAnsi="Times New Roman" w:eastAsia="宋体" w:cs="Times New Roman"/>
      <w:sz w:val="20"/>
    </w:rPr>
  </w:style>
  <w:style w:type="character" w:styleId="968" w:customStyle="1">
    <w:name w:val="样式2 Char"/>
    <w:qFormat/>
    <w:rPr>
      <w:rFonts w:ascii="Times New Roman" w:hAnsi="Times New Roman" w:eastAsia="宋体" w:cs="Times New Roman"/>
      <w:b/>
      <w:sz w:val="20"/>
    </w:rPr>
  </w:style>
  <w:style w:type="character" w:styleId="969" w:customStyle="1">
    <w:name w:val="页脚 Char"/>
    <w:qFormat/>
    <w:rPr>
      <w:rFonts w:ascii="Times New Roman" w:hAnsi="Times New Roman" w:eastAsia="宋体" w:cs="Times New Roman"/>
      <w:sz w:val="20"/>
    </w:rPr>
  </w:style>
  <w:style w:type="character" w:styleId="970" w:customStyle="1">
    <w:name w:val="标准文本 Char"/>
    <w:qFormat/>
    <w:rPr>
      <w:rFonts w:ascii="Times New Roman" w:hAnsi="Times New Roman" w:eastAsia="宋体" w:cs="Times New Roman"/>
      <w:sz w:val="20"/>
    </w:rPr>
  </w:style>
  <w:style w:type="character" w:styleId="971" w:customStyle="1">
    <w:name w:val="font01"/>
    <w:qFormat/>
    <w:rPr>
      <w:rFonts w:hint="eastAsia" w:ascii="宋体" w:hAnsi="宋体" w:eastAsia="宋体" w:cs="宋体"/>
      <w:color w:val="000000"/>
      <w:sz w:val="24"/>
      <w:szCs w:val="24"/>
      <w:u w:val="none"/>
    </w:rPr>
  </w:style>
  <w:style w:type="character" w:styleId="972" w:customStyle="1">
    <w:name w:val="标题 3 Char1"/>
    <w:qFormat/>
    <w:rPr>
      <w:rFonts w:ascii="Times New Roman" w:hAnsi="Times New Roman" w:eastAsia="宋体" w:cs="Times New Roman"/>
      <w:b/>
      <w:sz w:val="20"/>
      <w:u w:val="single"/>
    </w:rPr>
  </w:style>
  <w:style w:type="character" w:styleId="973" w:customStyle="1">
    <w:name w:val="表格 Char Char"/>
    <w:qFormat/>
    <w:rPr>
      <w:rFonts w:ascii="Times New Roman" w:hAnsi="Times New Roman" w:eastAsia="宋体" w:cs="Times New Roman"/>
      <w:sz w:val="20"/>
    </w:rPr>
  </w:style>
  <w:style w:type="character" w:styleId="974" w:customStyle="1">
    <w:name w:val="正文首行缩进 Char"/>
    <w:qFormat/>
    <w:rPr>
      <w:rFonts w:ascii="Times New Roman" w:hAnsi="Times New Roman" w:eastAsia="宋体" w:cs="Times New Roman"/>
      <w:sz w:val="20"/>
    </w:rPr>
  </w:style>
  <w:style w:type="character" w:styleId="975" w:customStyle="1">
    <w:name w:val="标题 9 Char"/>
    <w:qFormat/>
    <w:rPr>
      <w:rFonts w:ascii="Times New Roman" w:hAnsi="Times New Roman" w:eastAsia="宋体" w:cs="Times New Roman"/>
      <w:sz w:val="20"/>
    </w:rPr>
  </w:style>
  <w:style w:type="character" w:styleId="976" w:customStyle="1">
    <w:name w:val="lh151"/>
    <w:qFormat/>
    <w:rPr>
      <w:rFonts w:ascii="Times New Roman" w:hAnsi="Times New Roman" w:eastAsia="宋体" w:cs="Times New Roman"/>
      <w:color w:val="666666"/>
      <w:sz w:val="20"/>
    </w:rPr>
  </w:style>
  <w:style w:type="character" w:styleId="977" w:customStyle="1">
    <w:name w:val="日期 Char1"/>
    <w:qFormat/>
    <w:rPr>
      <w:rFonts w:ascii="Times New Roman" w:hAnsi="Times New Roman" w:eastAsia="宋体" w:cs="Times New Roman"/>
      <w:sz w:val="20"/>
    </w:rPr>
  </w:style>
  <w:style w:type="character" w:styleId="978" w:customStyle="1">
    <w:name w:val="图片 Char Char"/>
    <w:qFormat/>
    <w:rPr>
      <w:rFonts w:ascii="Times New Roman" w:hAnsi="Times New Roman" w:eastAsia="宋体" w:cs="Times New Roman"/>
      <w:sz w:val="20"/>
    </w:rPr>
  </w:style>
  <w:style w:type="character" w:styleId="979" w:customStyle="1">
    <w:name w:val="批注框文本 字符"/>
    <w:qFormat/>
    <w:rPr>
      <w:rFonts w:ascii="Times New Roman" w:hAnsi="Times New Roman" w:eastAsia="宋体" w:cs="Times New Roman"/>
      <w:sz w:val="20"/>
    </w:rPr>
  </w:style>
  <w:style w:type="character" w:styleId="980" w:customStyle="1">
    <w:name w:val="HTML 预设格式 Char"/>
    <w:qFormat/>
    <w:rPr>
      <w:rFonts w:ascii="Times New Roman" w:hAnsi="Times New Roman" w:eastAsia="宋体" w:cs="Times New Roman"/>
      <w:sz w:val="20"/>
    </w:rPr>
  </w:style>
  <w:style w:type="character" w:styleId="981" w:customStyle="1">
    <w:name w:val="列出段落 Char"/>
    <w:qFormat/>
    <w:rPr>
      <w:rFonts w:ascii="Times New Roman" w:hAnsi="Times New Roman" w:eastAsia="宋体" w:cs="Times New Roman"/>
      <w:sz w:val="20"/>
    </w:rPr>
  </w:style>
  <w:style w:type="character" w:styleId="982" w:customStyle="1">
    <w:name w:val="标题 5 Char"/>
    <w:qFormat/>
    <w:rPr>
      <w:rFonts w:ascii="Times New Roman" w:hAnsi="Times New Roman" w:eastAsia="宋体" w:cs="Times New Roman"/>
      <w:b/>
      <w:sz w:val="20"/>
    </w:rPr>
  </w:style>
  <w:style w:type="character" w:styleId="983" w:customStyle="1">
    <w:name w:val="链接"/>
    <w:qFormat/>
    <w:rPr>
      <w:rFonts w:ascii="Times New Roman" w:hAnsi="Times New Roman" w:eastAsia="宋体" w:cs="Times New Roman"/>
      <w:color w:val="0000ff"/>
      <w:sz w:val="20"/>
      <w:u w:val="single"/>
    </w:rPr>
  </w:style>
  <w:style w:type="character" w:styleId="984" w:customStyle="1">
    <w:name w:val="18h1"/>
    <w:qFormat/>
    <w:rPr>
      <w:rFonts w:ascii="Times New Roman" w:hAnsi="Times New Roman" w:eastAsia="宋体" w:cs="Times New Roman"/>
      <w:color w:val="3b3b3b"/>
      <w:sz w:val="20"/>
    </w:rPr>
  </w:style>
  <w:style w:type="character" w:styleId="985" w:customStyle="1">
    <w:name w:val="表格文字（两侧对齐） Char Char"/>
    <w:qFormat/>
    <w:rPr>
      <w:rFonts w:ascii="Times New Roman" w:hAnsi="Times New Roman" w:eastAsia="宋体" w:cs="Times New Roman"/>
      <w:sz w:val="20"/>
    </w:rPr>
  </w:style>
  <w:style w:type="character" w:styleId="986" w:customStyle="1">
    <w:name w:val="正文文本缩进 2 Char"/>
    <w:qFormat/>
    <w:rPr>
      <w:rFonts w:ascii="Times New Roman" w:hAnsi="Times New Roman" w:eastAsia="宋体" w:cs="Times New Roman"/>
      <w:sz w:val="20"/>
    </w:rPr>
  </w:style>
  <w:style w:type="character" w:styleId="987" w:customStyle="1">
    <w:name w:val="Char Char14"/>
    <w:qFormat/>
    <w:rPr>
      <w:rFonts w:ascii="Times New Roman" w:hAnsi="Times New Roman" w:eastAsia="宋体" w:cs="Times New Roman"/>
      <w:sz w:val="20"/>
    </w:rPr>
  </w:style>
  <w:style w:type="character" w:styleId="988" w:customStyle="1">
    <w:name w:val="标题 1 Char1"/>
    <w:qFormat/>
    <w:rPr>
      <w:rFonts w:ascii="Times New Roman" w:hAnsi="Times New Roman" w:eastAsia="宋体" w:cs="Times New Roman"/>
      <w:b/>
      <w:sz w:val="20"/>
    </w:rPr>
  </w:style>
  <w:style w:type="character" w:styleId="989" w:customStyle="1">
    <w:name w:val="批注框文本 Char"/>
    <w:qFormat/>
    <w:rPr>
      <w:rFonts w:ascii="Times New Roman" w:hAnsi="Times New Roman" w:eastAsia="宋体" w:cs="Times New Roman"/>
      <w:sz w:val="20"/>
    </w:rPr>
  </w:style>
  <w:style w:type="character" w:styleId="990" w:customStyle="1">
    <w:name w:val="apple-style-span"/>
    <w:qFormat/>
    <w:rPr>
      <w:rFonts w:ascii="Times New Roman" w:hAnsi="Times New Roman" w:eastAsia="宋体" w:cs="Times New Roman"/>
      <w:sz w:val="20"/>
    </w:rPr>
  </w:style>
  <w:style w:type="character" w:styleId="991" w:customStyle="1">
    <w:name w:val="插图 Char Char"/>
    <w:qFormat/>
    <w:rPr>
      <w:rFonts w:ascii="Times New Roman" w:hAnsi="Times New Roman" w:eastAsia="宋体" w:cs="Times New Roman"/>
      <w:sz w:val="20"/>
    </w:rPr>
  </w:style>
  <w:style w:type="character" w:styleId="992" w:customStyle="1">
    <w:name w:val="标题 2 Char1"/>
    <w:qFormat/>
    <w:rPr>
      <w:rFonts w:ascii="Times New Roman" w:hAnsi="Times New Roman" w:eastAsia="宋体" w:cs="Times New Roman"/>
      <w:b/>
      <w:sz w:val="20"/>
    </w:rPr>
  </w:style>
  <w:style w:type="character" w:styleId="993" w:customStyle="1">
    <w:name w:val="_Style 332"/>
    <w:qFormat/>
    <w:rPr>
      <w:rFonts w:ascii="Times New Roman" w:hAnsi="Times New Roman" w:eastAsia="宋体" w:cs="Times New Roman"/>
      <w:i/>
      <w:color w:val="auto"/>
      <w:sz w:val="21"/>
    </w:rPr>
  </w:style>
  <w:style w:type="character" w:styleId="994" w:customStyle="1">
    <w:name w:val="正文文本 3 Char1"/>
    <w:qFormat/>
    <w:rPr>
      <w:rFonts w:ascii="Times New Roman" w:hAnsi="Times New Roman" w:eastAsia="宋体" w:cs="Times New Roman"/>
      <w:sz w:val="20"/>
    </w:rPr>
  </w:style>
  <w:style w:type="character" w:styleId="995" w:customStyle="1">
    <w:name w:val="标题 5 Char1"/>
    <w:qFormat/>
    <w:rPr>
      <w:rFonts w:ascii="Times New Roman" w:hAnsi="Times New Roman" w:eastAsia="宋体" w:cs="Times New Roman"/>
      <w:b/>
      <w:sz w:val="20"/>
    </w:rPr>
  </w:style>
  <w:style w:type="character" w:styleId="996" w:customStyle="1">
    <w:name w:val="批注主题 Char"/>
    <w:qFormat/>
    <w:rPr>
      <w:rFonts w:ascii="Times New Roman" w:hAnsi="Times New Roman" w:eastAsia="宋体" w:cs="Times New Roman"/>
      <w:b/>
      <w:sz w:val="20"/>
    </w:rPr>
  </w:style>
  <w:style w:type="character" w:styleId="997" w:customStyle="1">
    <w:name w:val="标题 1 Char"/>
    <w:qFormat/>
    <w:rPr>
      <w:rFonts w:ascii="Times New Roman" w:hAnsi="Times New Roman" w:eastAsia="宋体" w:cs="Times New Roman"/>
      <w:b/>
      <w:sz w:val="20"/>
    </w:rPr>
  </w:style>
  <w:style w:type="character" w:styleId="998" w:customStyle="1">
    <w:name w:val="正文文本 2 Char1"/>
    <w:qFormat/>
    <w:rPr>
      <w:rFonts w:ascii="Times New Roman" w:hAnsi="Times New Roman" w:eastAsia="宋体" w:cs="Times New Roman"/>
      <w:sz w:val="20"/>
    </w:rPr>
  </w:style>
  <w:style w:type="character" w:styleId="999" w:customStyle="1">
    <w:name w:val="标题 4 Char1"/>
    <w:qFormat/>
    <w:rPr>
      <w:rFonts w:ascii="Times New Roman" w:hAnsi="Times New Roman" w:eastAsia="宋体" w:cs="Times New Roman"/>
      <w:b/>
      <w:sz w:val="20"/>
    </w:rPr>
  </w:style>
  <w:style w:type="character" w:styleId="1000" w:customStyle="1">
    <w:name w:val="正文文本 2 Char"/>
    <w:qFormat/>
    <w:rPr>
      <w:rFonts w:ascii="Times New Roman" w:hAnsi="Times New Roman" w:eastAsia="宋体" w:cs="Times New Roman"/>
      <w:sz w:val="20"/>
    </w:rPr>
  </w:style>
  <w:style w:type="character" w:styleId="1001" w:customStyle="1">
    <w:name w:val="_Style 376"/>
    <w:qFormat/>
    <w:rPr>
      <w:rFonts w:ascii="Times New Roman" w:hAnsi="Times New Roman" w:eastAsia="宋体" w:cs="Times New Roman"/>
      <w:b/>
      <w:color w:val="auto"/>
      <w:sz w:val="21"/>
    </w:rPr>
  </w:style>
  <w:style w:type="character" w:styleId="1002" w:customStyle="1">
    <w:name w:val="062"/>
    <w:qFormat/>
    <w:rPr>
      <w:rFonts w:ascii="Times New Roman" w:hAnsi="Times New Roman" w:eastAsia="宋体" w:cs="Times New Roman"/>
      <w:b/>
      <w:sz w:val="20"/>
    </w:rPr>
  </w:style>
  <w:style w:type="character" w:styleId="1003" w:customStyle="1">
    <w:name w:val="正文文本 Char1"/>
    <w:qFormat/>
    <w:rPr>
      <w:rFonts w:ascii="Times New Roman" w:hAnsi="Times New Roman" w:eastAsia="宋体" w:cs="Times New Roman"/>
      <w:sz w:val="20"/>
    </w:rPr>
  </w:style>
  <w:style w:type="character" w:styleId="1004" w:customStyle="1">
    <w:name w:val="题注 Char"/>
    <w:qFormat/>
    <w:rPr>
      <w:rFonts w:ascii="Times New Roman" w:hAnsi="Times New Roman" w:eastAsia="宋体" w:cs="Times New Roman"/>
      <w:sz w:val="20"/>
    </w:rPr>
  </w:style>
  <w:style w:type="character" w:styleId="1005" w:customStyle="1">
    <w:name w:val="脚注文本 Char"/>
    <w:qFormat/>
    <w:rPr>
      <w:rFonts w:ascii="Times New Roman" w:hAnsi="Times New Roman" w:eastAsia="宋体" w:cs="Times New Roman"/>
      <w:sz w:val="20"/>
    </w:rPr>
  </w:style>
  <w:style w:type="character" w:styleId="1006" w:customStyle="1">
    <w:name w:val="_Style 336"/>
    <w:qFormat/>
    <w:rPr>
      <w:rFonts w:ascii="Times New Roman" w:hAnsi="Times New Roman" w:eastAsia="宋体" w:cs="Times New Roman"/>
      <w:i/>
      <w:color w:val="auto"/>
      <w:sz w:val="21"/>
    </w:rPr>
  </w:style>
  <w:style w:type="character" w:styleId="1007" w:customStyle="1">
    <w:name w:val="表格 Char"/>
    <w:qFormat/>
    <w:rPr>
      <w:rFonts w:ascii="Times New Roman" w:hAnsi="Times New Roman" w:eastAsia="宋体" w:cs="Times New Roman"/>
      <w:color w:val="000000"/>
      <w:sz w:val="20"/>
    </w:rPr>
  </w:style>
  <w:style w:type="character" w:styleId="1008" w:customStyle="1">
    <w:name w:val="批注主题 字符"/>
    <w:qFormat/>
    <w:rPr>
      <w:rFonts w:ascii="Times New Roman" w:hAnsi="Times New Roman" w:eastAsia="宋体" w:cs="Times New Roman"/>
      <w:b/>
      <w:sz w:val="20"/>
    </w:rPr>
  </w:style>
  <w:style w:type="character" w:styleId="1009" w:customStyle="1">
    <w:name w:val="图注 Char Char"/>
    <w:qFormat/>
    <w:rPr>
      <w:rFonts w:ascii="Times New Roman" w:hAnsi="Times New Roman" w:eastAsia="宋体" w:cs="Times New Roman"/>
      <w:sz w:val="20"/>
    </w:rPr>
  </w:style>
  <w:style w:type="character" w:styleId="1010" w:customStyle="1">
    <w:name w:val="页码1"/>
    <w:qFormat/>
    <w:rPr>
      <w:rFonts w:ascii="Times New Roman" w:hAnsi="Times New Roman" w:eastAsia="宋体" w:cs="Times New Roman"/>
      <w:sz w:val="20"/>
    </w:rPr>
  </w:style>
  <w:style w:type="character" w:styleId="1011" w:customStyle="1">
    <w:name w:val="列表框1 Char Char"/>
    <w:qFormat/>
    <w:rPr>
      <w:rFonts w:ascii="Times New Roman" w:hAnsi="Times New Roman" w:eastAsia="宋体" w:cs="Times New Roman"/>
      <w:sz w:val="20"/>
    </w:rPr>
  </w:style>
  <w:style w:type="character" w:styleId="1012" w:customStyle="1">
    <w:name w:val="1ji Char"/>
    <w:qFormat/>
    <w:rPr>
      <w:rFonts w:ascii="Times New Roman" w:hAnsi="Times New Roman" w:eastAsia="宋体" w:cs="Times New Roman"/>
      <w:b/>
      <w:sz w:val="20"/>
    </w:rPr>
  </w:style>
  <w:style w:type="character" w:styleId="1013" w:customStyle="1">
    <w:name w:val="正文文本缩进 Char"/>
    <w:qFormat/>
    <w:rPr>
      <w:rFonts w:ascii="Times New Roman" w:hAnsi="Times New Roman" w:eastAsia="宋体" w:cs="Times New Roman"/>
      <w:sz w:val="20"/>
    </w:rPr>
  </w:style>
  <w:style w:type="character" w:styleId="1014" w:customStyle="1">
    <w:name w:val="标准文本 Char Char"/>
    <w:qFormat/>
    <w:rPr>
      <w:rFonts w:ascii="Times New Roman" w:hAnsi="Times New Roman" w:eastAsia="宋体" w:cs="Times New Roman"/>
      <w:sz w:val="20"/>
    </w:rPr>
  </w:style>
  <w:style w:type="character" w:styleId="1015" w:customStyle="1">
    <w:name w:val="表格用 Char"/>
    <w:qFormat/>
    <w:rPr>
      <w:rFonts w:ascii="Times New Roman" w:hAnsi="Times New Roman" w:eastAsia="宋体" w:cs="Times New Roman"/>
      <w:color w:val="000000"/>
      <w:sz w:val="20"/>
    </w:rPr>
  </w:style>
  <w:style w:type="character" w:styleId="1016" w:customStyle="1">
    <w:name w:val="标题 7 Char1"/>
    <w:qFormat/>
    <w:rPr>
      <w:rFonts w:ascii="Times New Roman" w:hAnsi="Times New Roman" w:eastAsia="宋体" w:cs="Times New Roman"/>
      <w:b/>
      <w:sz w:val="20"/>
    </w:rPr>
  </w:style>
  <w:style w:type="character" w:styleId="1017" w:customStyle="1">
    <w:name w:val="H 3 Char"/>
    <w:qFormat/>
    <w:rPr>
      <w:rFonts w:ascii="Times New Roman" w:hAnsi="Times New Roman" w:eastAsia="宋体" w:cs="Times New Roman"/>
      <w:b/>
      <w:sz w:val="20"/>
    </w:rPr>
  </w:style>
  <w:style w:type="character" w:styleId="1018" w:customStyle="1">
    <w:name w:val="正文文本缩进 3 字符"/>
    <w:qFormat/>
    <w:rPr>
      <w:rFonts w:ascii="Times New Roman" w:hAnsi="Times New Roman" w:eastAsia="宋体" w:cs="Times New Roman"/>
      <w:sz w:val="16"/>
      <w:szCs w:val="16"/>
    </w:rPr>
  </w:style>
  <w:style w:type="character" w:styleId="1019" w:customStyle="1">
    <w:name w:val="标题 Char"/>
    <w:qFormat/>
    <w:rPr>
      <w:rFonts w:ascii="Times New Roman" w:hAnsi="Times New Roman" w:eastAsia="宋体" w:cs="Times New Roman"/>
      <w:b/>
      <w:sz w:val="20"/>
    </w:rPr>
  </w:style>
  <w:style w:type="character" w:styleId="1020" w:customStyle="1">
    <w:name w:val="H 4 Char"/>
    <w:qFormat/>
    <w:rPr>
      <w:rFonts w:ascii="Times New Roman" w:hAnsi="Times New Roman" w:eastAsia="宋体" w:cs="Times New Roman"/>
      <w:b/>
      <w:sz w:val="20"/>
    </w:rPr>
  </w:style>
  <w:style w:type="character" w:styleId="1021" w:customStyle="1">
    <w:name w:val="批注主题 Char1"/>
    <w:qFormat/>
    <w:rPr>
      <w:rFonts w:ascii="Times New Roman" w:hAnsi="Times New Roman" w:eastAsia="宋体" w:cs="Times New Roman"/>
      <w:b/>
      <w:sz w:val="20"/>
    </w:rPr>
  </w:style>
  <w:style w:type="character" w:styleId="1022" w:customStyle="1">
    <w:name w:val="正文文本缩进 Char1"/>
    <w:qFormat/>
    <w:rPr>
      <w:rFonts w:ascii="Times New Roman" w:hAnsi="Times New Roman" w:eastAsia="宋体" w:cs="Times New Roman"/>
      <w:sz w:val="20"/>
    </w:rPr>
  </w:style>
  <w:style w:type="character" w:styleId="1023" w:customStyle="1">
    <w:name w:val="正文文本 3 Char"/>
    <w:qFormat/>
    <w:rPr>
      <w:rFonts w:ascii="Times New Roman" w:hAnsi="Times New Roman" w:eastAsia="宋体" w:cs="Times New Roman"/>
      <w:sz w:val="20"/>
    </w:rPr>
  </w:style>
  <w:style w:type="character" w:styleId="1024" w:customStyle="1">
    <w:name w:val="正文首行缩进 2 Char"/>
    <w:qFormat/>
    <w:rPr>
      <w:rFonts w:ascii="Times New Roman" w:hAnsi="Times New Roman" w:eastAsia="宋体" w:cs="Times New Roman"/>
      <w:sz w:val="20"/>
    </w:rPr>
  </w:style>
  <w:style w:type="character" w:styleId="1025" w:customStyle="1">
    <w:name w:val="页眉 Char1"/>
    <w:qFormat/>
    <w:rPr>
      <w:rFonts w:ascii="Times New Roman" w:hAnsi="Times New Roman" w:eastAsia="宋体" w:cs="Times New Roman"/>
      <w:sz w:val="20"/>
    </w:rPr>
  </w:style>
  <w:style w:type="character" w:styleId="1026" w:customStyle="1">
    <w:name w:val="Char Char2"/>
    <w:qFormat/>
    <w:rPr>
      <w:rFonts w:ascii="Times New Roman" w:hAnsi="Times New Roman" w:eastAsia="宋体" w:cs="Times New Roman"/>
      <w:sz w:val="20"/>
    </w:rPr>
  </w:style>
  <w:style w:type="character" w:styleId="1027" w:customStyle="1">
    <w:name w:val="样式 首行缩进:  2 字符 Char1"/>
    <w:qFormat/>
    <w:rPr>
      <w:rFonts w:ascii="Times New Roman" w:hAnsi="Times New Roman" w:eastAsia="宋体" w:cs="Times New Roman"/>
      <w:sz w:val="20"/>
    </w:rPr>
  </w:style>
  <w:style w:type="character" w:styleId="1028" w:customStyle="1">
    <w:name w:val="标题 2 Char"/>
    <w:qFormat/>
    <w:rPr>
      <w:rFonts w:ascii="Times New Roman" w:hAnsi="Times New Roman" w:eastAsia="宋体" w:cs="Times New Roman"/>
      <w:b/>
      <w:sz w:val="20"/>
    </w:rPr>
  </w:style>
  <w:style w:type="character" w:styleId="1029" w:customStyle="1">
    <w:name w:val="表格文字图表文字 Char Char"/>
    <w:qFormat/>
    <w:rPr>
      <w:rFonts w:ascii="Times New Roman" w:hAnsi="Times New Roman" w:eastAsia="宋体" w:cs="Times New Roman"/>
      <w:sz w:val="20"/>
    </w:rPr>
  </w:style>
  <w:style w:type="character" w:styleId="1030" w:customStyle="1">
    <w:name w:val="图片 Char"/>
    <w:qFormat/>
    <w:rPr>
      <w:rFonts w:ascii="Times New Roman" w:hAnsi="Times New Roman" w:eastAsia="宋体" w:cs="Times New Roman"/>
      <w:sz w:val="20"/>
    </w:rPr>
  </w:style>
  <w:style w:type="character" w:styleId="1031" w:customStyle="1">
    <w:name w:val="标题 6 Char"/>
    <w:qFormat/>
    <w:rPr>
      <w:rFonts w:ascii="Times New Roman" w:hAnsi="Times New Roman" w:eastAsia="宋体" w:cs="Times New Roman"/>
      <w:b/>
      <w:sz w:val="20"/>
    </w:rPr>
  </w:style>
  <w:style w:type="character" w:styleId="1032" w:customStyle="1">
    <w:name w:val="标题 4 Char"/>
    <w:qFormat/>
    <w:rPr>
      <w:rFonts w:ascii="Times New Roman" w:hAnsi="Times New Roman" w:eastAsia="宋体" w:cs="Times New Roman"/>
      <w:b/>
      <w:sz w:val="20"/>
    </w:rPr>
  </w:style>
  <w:style w:type="character" w:styleId="1033" w:customStyle="1">
    <w:name w:val="文档结构图 Char1"/>
    <w:qFormat/>
    <w:rPr>
      <w:rFonts w:ascii="Times New Roman" w:hAnsi="Times New Roman" w:eastAsia="宋体" w:cs="Times New Roman"/>
      <w:sz w:val="20"/>
    </w:rPr>
  </w:style>
  <w:style w:type="character" w:styleId="1034" w:customStyle="1">
    <w:name w:val="项目符0 Char"/>
    <w:qFormat/>
    <w:rPr>
      <w:rFonts w:ascii="Times New Roman" w:hAnsi="Times New Roman" w:eastAsia="宋体" w:cs="Times New Roman"/>
      <w:sz w:val="20"/>
    </w:rPr>
  </w:style>
  <w:style w:type="character" w:styleId="1035" w:customStyle="1">
    <w:name w:val="正文文本缩进 3 Char"/>
    <w:qFormat/>
    <w:rPr>
      <w:rFonts w:ascii="Times New Roman" w:hAnsi="Times New Roman" w:eastAsia="宋体" w:cs="Times New Roman"/>
      <w:sz w:val="20"/>
    </w:rPr>
  </w:style>
  <w:style w:type="character" w:styleId="1036" w:customStyle="1">
    <w:name w:val="Char Char3"/>
    <w:qFormat/>
    <w:rPr>
      <w:rFonts w:ascii="Times New Roman" w:hAnsi="Times New Roman" w:eastAsia="宋体" w:cs="Times New Roman"/>
      <w:sz w:val="20"/>
    </w:rPr>
  </w:style>
  <w:style w:type="character" w:styleId="1037" w:customStyle="1">
    <w:name w:val="纯文本 Char"/>
    <w:qFormat/>
    <w:rPr>
      <w:rFonts w:ascii="Times New Roman" w:hAnsi="Times New Roman" w:eastAsia="宋体" w:cs="Times New Roman"/>
      <w:sz w:val="20"/>
    </w:rPr>
  </w:style>
  <w:style w:type="character" w:styleId="1038" w:customStyle="1">
    <w:name w:val="正文文本缩进 2 Char1"/>
    <w:qFormat/>
    <w:rPr>
      <w:rFonts w:ascii="Times New Roman" w:hAnsi="Times New Roman" w:eastAsia="宋体" w:cs="Times New Roman"/>
      <w:sz w:val="20"/>
    </w:rPr>
  </w:style>
  <w:style w:type="character" w:styleId="1039" w:customStyle="1">
    <w:name w:val="标题 8 Char"/>
    <w:qFormat/>
    <w:rPr>
      <w:rFonts w:ascii="Times New Roman" w:hAnsi="Times New Roman" w:eastAsia="宋体" w:cs="Times New Roman"/>
      <w:sz w:val="20"/>
    </w:rPr>
  </w:style>
  <w:style w:type="character" w:styleId="1040" w:customStyle="1">
    <w:name w:val="标题 6 Char1"/>
    <w:qFormat/>
    <w:rPr>
      <w:rFonts w:ascii="Times New Roman" w:hAnsi="Times New Roman" w:eastAsia="宋体" w:cs="Times New Roman"/>
      <w:b/>
      <w:sz w:val="20"/>
    </w:rPr>
  </w:style>
  <w:style w:type="character" w:styleId="1041" w:customStyle="1">
    <w:name w:val="case31"/>
    <w:qFormat/>
    <w:rPr>
      <w:rFonts w:ascii="Times New Roman" w:hAnsi="Times New Roman" w:eastAsia="宋体" w:cs="Times New Roman"/>
      <w:sz w:val="20"/>
    </w:rPr>
  </w:style>
  <w:style w:type="character" w:styleId="1042" w:customStyle="1">
    <w:name w:val="正文文本 Char"/>
    <w:qFormat/>
    <w:rPr>
      <w:rFonts w:ascii="Times New Roman" w:hAnsi="Times New Roman" w:eastAsia="宋体" w:cs="Times New Roman"/>
      <w:sz w:val="20"/>
    </w:rPr>
  </w:style>
  <w:style w:type="paragraph" w:styleId="1043" w:customStyle="1">
    <w:name w:val="节标题"/>
    <w:basedOn w:val="863"/>
    <w:next w:val="1044"/>
    <w:qFormat/>
    <w:pPr>
      <w:ind w:left="0" w:firstLine="5120"/>
      <w:jc w:val="center"/>
      <w:spacing w:before="0" w:after="0" w:line="289" w:lineRule="atLeast"/>
    </w:pPr>
    <w:rPr>
      <w:rFonts w:ascii="Times New Roman" w:hAnsi="Times New Roman" w:cs="Times New Roman"/>
    </w:rPr>
  </w:style>
  <w:style w:type="paragraph" w:styleId="1044" w:customStyle="1">
    <w:name w:val="文档标题6"/>
    <w:basedOn w:val="869"/>
    <w:next w:val="862"/>
    <w:qFormat/>
    <w:pPr>
      <w:ind w:left="1134" w:firstLine="20"/>
      <w:spacing w:before="280" w:after="280" w:line="360" w:lineRule="auto"/>
      <w:outlineLvl w:val="5"/>
    </w:pPr>
  </w:style>
  <w:style w:type="paragraph" w:styleId="1045" w:customStyle="1">
    <w:name w:val="正文段"/>
    <w:basedOn w:val="863"/>
    <w:next w:val="1046"/>
    <w:qFormat/>
    <w:pPr>
      <w:ind w:left="454" w:firstLine="1222"/>
      <w:spacing w:before="0" w:after="240" w:line="240" w:lineRule="atLeast"/>
    </w:pPr>
    <w:rPr>
      <w:rFonts w:ascii="Times New Roman" w:hAnsi="Times New Roman" w:cs="Times New Roman"/>
    </w:rPr>
  </w:style>
  <w:style w:type="paragraph" w:styleId="1046" w:customStyle="1">
    <w:name w:val="批注主题1"/>
    <w:next w:val="862"/>
    <w:qFormat/>
    <w:pPr>
      <w:ind w:left="200" w:firstLine="4808"/>
      <w:spacing w:line="360" w:lineRule="auto"/>
    </w:pPr>
    <w:rPr>
      <w:rFonts w:ascii="Calibri" w:hAnsi="Calibri"/>
    </w:rPr>
  </w:style>
  <w:style w:type="paragraph" w:styleId="1047" w:customStyle="1">
    <w:name w:val="_Style 224"/>
    <w:next w:val="1048"/>
    <w:qFormat/>
    <w:pPr>
      <w:ind w:firstLine="3584"/>
    </w:pPr>
    <w:rPr>
      <w:rFonts w:ascii="Calibri" w:hAnsi="Calibri"/>
    </w:rPr>
  </w:style>
  <w:style w:type="paragraph" w:styleId="1048" w:customStyle="1">
    <w:name w:val="编号1"/>
    <w:basedOn w:val="863"/>
    <w:next w:val="1049"/>
    <w:qFormat/>
    <w:pPr>
      <w:ind w:left="360" w:right="210" w:firstLine="2200"/>
      <w:spacing w:before="0" w:after="0" w:line="240" w:lineRule="auto"/>
    </w:pPr>
    <w:rPr>
      <w:rFonts w:ascii="Times New Roman" w:hAnsi="Times New Roman" w:cs="Times New Roman"/>
    </w:rPr>
  </w:style>
  <w:style w:type="paragraph" w:styleId="1049" w:customStyle="1">
    <w:name w:val="图片"/>
    <w:basedOn w:val="863"/>
    <w:next w:val="1050"/>
    <w:qFormat/>
    <w:pPr>
      <w:ind w:left="-283" w:firstLine="2674"/>
      <w:jc w:val="center"/>
      <w:spacing w:before="0" w:after="0" w:line="360" w:lineRule="auto"/>
    </w:pPr>
    <w:rPr>
      <w:rFonts w:ascii="Times New Roman" w:hAnsi="Times New Roman" w:cs="Times New Roman"/>
    </w:rPr>
  </w:style>
  <w:style w:type="paragraph" w:styleId="1050" w:customStyle="1">
    <w:name w:val="样式 目录 3 + 左侧:  2 字符"/>
    <w:next w:val="915"/>
    <w:qFormat/>
    <w:pPr>
      <w:ind w:left="400" w:firstLine="5120"/>
      <w:spacing w:line="360" w:lineRule="auto"/>
      <w:widowControl w:val="off"/>
    </w:pPr>
    <w:rPr>
      <w:rFonts w:ascii="Calibri" w:hAnsi="Calibri"/>
    </w:rPr>
  </w:style>
  <w:style w:type="paragraph" w:styleId="1051" w:customStyle="1">
    <w:name w:val="图注"/>
    <w:next w:val="1052"/>
    <w:qFormat/>
    <w:pPr>
      <w:ind w:left="360" w:firstLine="2152"/>
      <w:jc w:val="center"/>
    </w:pPr>
    <w:rPr>
      <w:rFonts w:ascii="Calibri" w:hAnsi="Calibri"/>
    </w:rPr>
  </w:style>
  <w:style w:type="paragraph" w:styleId="1052" w:customStyle="1">
    <w:name w:val="列表编号 41"/>
    <w:basedOn w:val="863"/>
    <w:next w:val="1053"/>
    <w:qFormat/>
    <w:pPr>
      <w:ind w:left="1620" w:firstLine="2712"/>
      <w:spacing w:before="0" w:after="0" w:line="360" w:lineRule="auto"/>
    </w:pPr>
    <w:rPr>
      <w:rFonts w:ascii="Times New Roman" w:hAnsi="Times New Roman" w:cs="Times New Roman"/>
    </w:rPr>
  </w:style>
  <w:style w:type="paragraph" w:styleId="1053" w:customStyle="1">
    <w:name w:val="项目符0"/>
    <w:basedOn w:val="863"/>
    <w:next w:val="1054"/>
    <w:qFormat/>
    <w:pPr>
      <w:ind w:left="300" w:right="57" w:firstLine="2760"/>
      <w:spacing w:before="0" w:after="0" w:line="300" w:lineRule="auto"/>
    </w:pPr>
    <w:rPr>
      <w:rFonts w:ascii="Times New Roman" w:hAnsi="Times New Roman" w:cs="Times New Roman"/>
    </w:rPr>
  </w:style>
  <w:style w:type="paragraph" w:styleId="1054" w:customStyle="1">
    <w:name w:val="宏文本1"/>
    <w:next w:val="1055"/>
    <w:qFormat/>
    <w:pPr>
      <w:ind w:firstLine="5632"/>
      <w:widowControl w:val="off"/>
    </w:pPr>
    <w:rPr>
      <w:rFonts w:ascii="Calibri" w:hAnsi="Calibri"/>
    </w:rPr>
  </w:style>
  <w:style w:type="paragraph" w:styleId="1055" w:customStyle="1">
    <w:name w:val="Item Step in Table"/>
    <w:next w:val="1056"/>
    <w:qFormat/>
    <w:pPr>
      <w:ind w:left="397" w:firstLine="3699"/>
      <w:jc w:val="both"/>
      <w:spacing w:before="40" w:after="40"/>
    </w:pPr>
    <w:rPr>
      <w:rFonts w:ascii="Calibri" w:hAnsi="Calibri"/>
    </w:rPr>
  </w:style>
  <w:style w:type="paragraph" w:styleId="1056" w:customStyle="1">
    <w:name w:val="Char Char Char Char Char Char1 Char Char Char Char Char Char"/>
    <w:basedOn w:val="863"/>
    <w:next w:val="1057"/>
    <w:qFormat/>
    <w:pPr>
      <w:ind w:left="0" w:firstLine="2560"/>
      <w:spacing w:before="0" w:after="0" w:line="240" w:lineRule="auto"/>
    </w:pPr>
    <w:rPr>
      <w:rFonts w:ascii="Times New Roman" w:hAnsi="Times New Roman" w:cs="Times New Roman"/>
    </w:rPr>
  </w:style>
  <w:style w:type="paragraph" w:styleId="1057" w:customStyle="1">
    <w:name w:val="Char Char1"/>
    <w:basedOn w:val="863"/>
    <w:next w:val="1058"/>
    <w:qFormat/>
    <w:pPr>
      <w:ind w:left="0" w:firstLine="3584"/>
      <w:spacing w:before="0" w:after="160" w:line="240" w:lineRule="exact"/>
    </w:pPr>
    <w:rPr>
      <w:rFonts w:ascii="Times New Roman" w:hAnsi="Times New Roman" w:cs="Times New Roman"/>
    </w:rPr>
  </w:style>
  <w:style w:type="paragraph" w:styleId="1058" w:customStyle="1">
    <w:name w:val="样式 标题 3 + 行距: 1.5 倍行距"/>
    <w:basedOn w:val="866"/>
    <w:next w:val="921"/>
    <w:qFormat/>
    <w:pPr>
      <w:ind w:left="200" w:firstLine="18"/>
      <w:spacing w:before="0" w:after="0" w:line="360" w:lineRule="auto"/>
      <w:outlineLvl w:val="2"/>
    </w:pPr>
  </w:style>
  <w:style w:type="paragraph" w:styleId="1059" w:customStyle="1">
    <w:name w:val="xl76"/>
    <w:basedOn w:val="863"/>
    <w:next w:val="918"/>
    <w:qFormat/>
    <w:pPr>
      <w:ind w:left="0" w:firstLine="3584"/>
      <w:jc w:val="center"/>
      <w:spacing w:before="280" w:after="280" w:line="240" w:lineRule="auto"/>
    </w:pPr>
    <w:rPr>
      <w:rFonts w:ascii="Times New Roman" w:hAnsi="Times New Roman" w:cs="Times New Roman"/>
    </w:rPr>
  </w:style>
  <w:style w:type="paragraph" w:styleId="1060" w:customStyle="1">
    <w:name w:val="xl26"/>
    <w:basedOn w:val="863"/>
    <w:next w:val="1061"/>
    <w:qFormat/>
    <w:pPr>
      <w:ind w:left="0" w:firstLine="20"/>
      <w:jc w:val="center"/>
      <w:spacing w:before="280" w:after="280" w:line="240" w:lineRule="auto"/>
      <w:shd w:val="clear" w:color="000000" w:fill="ffffff"/>
    </w:pPr>
    <w:rPr>
      <w:rFonts w:ascii="Times New Roman" w:hAnsi="Times New Roman" w:cs="Times New Roman"/>
    </w:rPr>
  </w:style>
  <w:style w:type="paragraph" w:styleId="1061" w:customStyle="1">
    <w:name w:val="Char1 Char Char"/>
    <w:basedOn w:val="863"/>
    <w:next w:val="901"/>
    <w:qFormat/>
    <w:pPr>
      <w:ind w:left="0" w:firstLine="2560"/>
      <w:spacing w:before="0" w:after="0" w:line="240" w:lineRule="auto"/>
    </w:pPr>
    <w:rPr>
      <w:rFonts w:ascii="Times New Roman" w:hAnsi="Times New Roman" w:cs="Times New Roman"/>
    </w:rPr>
  </w:style>
  <w:style w:type="paragraph" w:styleId="1062" w:customStyle="1">
    <w:name w:val="纯文本2"/>
    <w:basedOn w:val="863"/>
    <w:next w:val="1063"/>
    <w:qFormat/>
    <w:pPr>
      <w:ind w:left="0" w:firstLine="3584"/>
      <w:spacing w:before="0" w:after="0" w:line="240" w:lineRule="auto"/>
    </w:pPr>
    <w:rPr>
      <w:rFonts w:ascii="Times New Roman" w:hAnsi="Times New Roman" w:cs="Times New Roman"/>
    </w:rPr>
  </w:style>
  <w:style w:type="paragraph" w:styleId="1063" w:customStyle="1">
    <w:name w:val="xl69"/>
    <w:basedOn w:val="863"/>
    <w:next w:val="1064"/>
    <w:qFormat/>
    <w:pPr>
      <w:ind w:left="0" w:firstLine="3584"/>
      <w:spacing w:before="280" w:after="280" w:line="240" w:lineRule="auto"/>
    </w:pPr>
    <w:rPr>
      <w:rFonts w:ascii="Times New Roman" w:hAnsi="Times New Roman" w:cs="Times New Roman"/>
    </w:rPr>
  </w:style>
  <w:style w:type="paragraph" w:styleId="1064" w:customStyle="1">
    <w:name w:val="Char Char Char"/>
    <w:basedOn w:val="863"/>
    <w:next w:val="1065"/>
    <w:qFormat/>
    <w:pPr>
      <w:ind w:left="0" w:firstLine="2560"/>
      <w:spacing w:before="0" w:after="0" w:line="240" w:lineRule="auto"/>
    </w:pPr>
    <w:rPr>
      <w:rFonts w:ascii="Times New Roman" w:hAnsi="Times New Roman" w:cs="Times New Roman"/>
    </w:rPr>
  </w:style>
  <w:style w:type="paragraph" w:styleId="1065" w:customStyle="1">
    <w:name w:val="表格"/>
    <w:basedOn w:val="863"/>
    <w:next w:val="1060"/>
    <w:qFormat/>
    <w:pPr>
      <w:ind w:left="0" w:firstLine="2560"/>
      <w:spacing w:before="0" w:after="0" w:line="360" w:lineRule="auto"/>
    </w:pPr>
    <w:rPr>
      <w:rFonts w:ascii="Times New Roman" w:hAnsi="Times New Roman" w:cs="Times New Roman"/>
    </w:rPr>
  </w:style>
  <w:style w:type="paragraph" w:styleId="1066" w:customStyle="1">
    <w:name w:val="xl68"/>
    <w:basedOn w:val="863"/>
    <w:next w:val="1067"/>
    <w:qFormat/>
    <w:pPr>
      <w:ind w:left="100" w:firstLine="5220"/>
      <w:spacing w:before="280" w:after="280" w:line="240" w:lineRule="auto"/>
    </w:pPr>
    <w:rPr>
      <w:rFonts w:ascii="Times New Roman" w:hAnsi="Times New Roman" w:cs="Times New Roman"/>
    </w:rPr>
  </w:style>
  <w:style w:type="paragraph" w:styleId="1067" w:customStyle="1">
    <w:name w:val="Char1"/>
    <w:basedOn w:val="863"/>
    <w:next w:val="1068"/>
    <w:qFormat/>
    <w:pPr>
      <w:ind w:left="0" w:firstLine="2560"/>
      <w:spacing w:before="0" w:after="0" w:line="240" w:lineRule="auto"/>
    </w:pPr>
    <w:rPr>
      <w:rFonts w:ascii="Times New Roman" w:hAnsi="Times New Roman" w:cs="Times New Roman"/>
    </w:rPr>
  </w:style>
  <w:style w:type="paragraph" w:styleId="1068" w:customStyle="1">
    <w:name w:val="需求文档正文样式"/>
    <w:basedOn w:val="863"/>
    <w:next w:val="1069"/>
    <w:qFormat/>
    <w:pPr>
      <w:ind w:left="437" w:firstLine="2741"/>
      <w:spacing w:before="0" w:after="0" w:line="360" w:lineRule="auto"/>
    </w:pPr>
    <w:rPr>
      <w:rFonts w:ascii="Times New Roman" w:hAnsi="Times New Roman" w:cs="Times New Roman"/>
    </w:rPr>
  </w:style>
  <w:style w:type="paragraph" w:styleId="1069" w:customStyle="1">
    <w:name w:val="xl74"/>
    <w:basedOn w:val="863"/>
    <w:next w:val="1070"/>
    <w:qFormat/>
    <w:pPr>
      <w:ind w:left="0" w:firstLine="16"/>
      <w:jc w:val="center"/>
      <w:spacing w:before="280" w:after="280" w:line="240" w:lineRule="auto"/>
      <w:shd w:val="clear" w:color="000000" w:fill="538dd5"/>
    </w:pPr>
    <w:rPr>
      <w:rFonts w:ascii="Times New Roman" w:hAnsi="Times New Roman" w:cs="Times New Roman"/>
    </w:rPr>
  </w:style>
  <w:style w:type="paragraph" w:styleId="1070" w:customStyle="1">
    <w:name w:val="xl88"/>
    <w:basedOn w:val="863"/>
    <w:next w:val="1071"/>
    <w:qFormat/>
    <w:pPr>
      <w:ind w:left="0" w:firstLine="5120"/>
      <w:spacing w:before="280" w:after="280" w:line="240" w:lineRule="auto"/>
    </w:pPr>
    <w:rPr>
      <w:rFonts w:ascii="Times New Roman" w:hAnsi="Times New Roman" w:cs="Times New Roman"/>
    </w:rPr>
  </w:style>
  <w:style w:type="paragraph" w:styleId="1071" w:customStyle="1">
    <w:name w:val="xl70"/>
    <w:basedOn w:val="863"/>
    <w:next w:val="917"/>
    <w:qFormat/>
    <w:pPr>
      <w:ind w:left="0" w:firstLine="1024"/>
      <w:spacing w:before="280" w:after="280" w:line="240" w:lineRule="auto"/>
    </w:pPr>
    <w:rPr>
      <w:rFonts w:ascii="Times New Roman" w:hAnsi="Times New Roman" w:cs="Times New Roman"/>
    </w:rPr>
  </w:style>
  <w:style w:type="paragraph" w:styleId="1072" w:customStyle="1">
    <w:name w:val="文档标题5"/>
    <w:basedOn w:val="868"/>
    <w:next w:val="862"/>
    <w:qFormat/>
    <w:pPr>
      <w:ind w:left="992" w:firstLine="18"/>
      <w:spacing w:before="280" w:after="280" w:line="360" w:lineRule="auto"/>
      <w:outlineLvl w:val="4"/>
    </w:pPr>
  </w:style>
  <w:style w:type="paragraph" w:styleId="1073" w:customStyle="1">
    <w:name w:val="样式 加粗 居中"/>
    <w:basedOn w:val="863"/>
    <w:next w:val="1074"/>
    <w:qFormat/>
    <w:pPr>
      <w:ind w:left="0" w:firstLine="2560"/>
      <w:jc w:val="center"/>
      <w:spacing w:before="0" w:after="0" w:line="360" w:lineRule="auto"/>
    </w:pPr>
    <w:rPr>
      <w:rFonts w:ascii="Times New Roman" w:hAnsi="Times New Roman" w:cs="Times New Roman"/>
    </w:rPr>
  </w:style>
  <w:style w:type="paragraph" w:styleId="1074" w:customStyle="1">
    <w:name w:val="_Style 12"/>
    <w:next w:val="1075"/>
    <w:qFormat/>
    <w:pPr>
      <w:ind w:firstLine="14"/>
      <w:spacing w:line="360" w:lineRule="auto"/>
      <w:shd w:val="clear" w:color="000000" w:fill="000080"/>
    </w:pPr>
    <w:rPr>
      <w:rFonts w:ascii="Calibri" w:hAnsi="Calibri"/>
    </w:rPr>
  </w:style>
  <w:style w:type="paragraph" w:styleId="1075" w:customStyle="1">
    <w:name w:val="正文文本缩进1"/>
    <w:basedOn w:val="863"/>
    <w:next w:val="1076"/>
    <w:qFormat/>
    <w:pPr>
      <w:ind w:left="420" w:firstLine="3584"/>
      <w:spacing w:before="0" w:after="120" w:line="240" w:lineRule="auto"/>
    </w:pPr>
    <w:rPr>
      <w:rFonts w:ascii="Times New Roman" w:hAnsi="Times New Roman" w:cs="Times New Roman"/>
    </w:rPr>
  </w:style>
  <w:style w:type="paragraph" w:styleId="1076" w:customStyle="1">
    <w:name w:val="列表编号 31"/>
    <w:basedOn w:val="863"/>
    <w:next w:val="919"/>
    <w:qFormat/>
    <w:pPr>
      <w:ind w:left="1200" w:firstLine="2712"/>
      <w:spacing w:before="0" w:after="0" w:line="360" w:lineRule="auto"/>
    </w:pPr>
    <w:rPr>
      <w:rFonts w:ascii="Times New Roman" w:hAnsi="Times New Roman" w:cs="Times New Roman"/>
    </w:rPr>
  </w:style>
  <w:style w:type="paragraph" w:styleId="1077" w:customStyle="1">
    <w:name w:val="三号 居中"/>
    <w:basedOn w:val="863"/>
    <w:next w:val="1078"/>
    <w:qFormat/>
    <w:pPr>
      <w:ind w:left="0" w:firstLine="6144"/>
      <w:jc w:val="center"/>
      <w:spacing w:before="0" w:after="0" w:line="360" w:lineRule="auto"/>
    </w:pPr>
    <w:rPr>
      <w:rFonts w:ascii="Times New Roman" w:hAnsi="Times New Roman" w:cs="Times New Roman"/>
    </w:rPr>
  </w:style>
  <w:style w:type="paragraph" w:styleId="1078" w:customStyle="1">
    <w:name w:val="列出段落1"/>
    <w:basedOn w:val="863"/>
    <w:next w:val="1079"/>
    <w:qFormat/>
    <w:pPr>
      <w:ind w:left="420" w:firstLine="3748"/>
      <w:spacing w:before="0" w:after="0" w:line="240" w:lineRule="auto"/>
    </w:pPr>
    <w:rPr>
      <w:rFonts w:ascii="Times New Roman" w:hAnsi="Times New Roman" w:cs="Times New Roman"/>
    </w:rPr>
  </w:style>
  <w:style w:type="paragraph" w:styleId="1079" w:customStyle="1">
    <w:name w:val="Char Char Char Char Char Char1 Char Char Char1 Char Char Char"/>
    <w:basedOn w:val="863"/>
    <w:next w:val="1080"/>
    <w:qFormat/>
    <w:pPr>
      <w:ind w:left="0" w:firstLine="2560"/>
      <w:spacing w:before="0" w:after="0" w:line="240" w:lineRule="auto"/>
    </w:pPr>
    <w:rPr>
      <w:rFonts w:ascii="Times New Roman" w:hAnsi="Times New Roman" w:cs="Times New Roman"/>
    </w:rPr>
  </w:style>
  <w:style w:type="paragraph" w:styleId="1080" w:customStyle="1">
    <w:name w:val="Char Char Char Char Char Char1 Char Char Char1 Char"/>
    <w:basedOn w:val="863"/>
    <w:next w:val="1081"/>
    <w:qFormat/>
    <w:pPr>
      <w:ind w:left="0" w:firstLine="2560"/>
      <w:spacing w:before="0" w:after="0" w:line="240" w:lineRule="auto"/>
    </w:pPr>
    <w:rPr>
      <w:rFonts w:ascii="Times New Roman" w:hAnsi="Times New Roman" w:cs="Times New Roman"/>
    </w:rPr>
  </w:style>
  <w:style w:type="paragraph" w:styleId="1081" w:customStyle="1">
    <w:name w:val="正文符号4"/>
    <w:basedOn w:val="863"/>
    <w:next w:val="1073"/>
    <w:qFormat/>
    <w:pPr>
      <w:ind w:left="0" w:firstLine="5632"/>
      <w:spacing w:before="0" w:after="0" w:line="240" w:lineRule="auto"/>
    </w:pPr>
    <w:rPr>
      <w:rFonts w:ascii="Times New Roman" w:hAnsi="Times New Roman" w:cs="Times New Roman"/>
    </w:rPr>
  </w:style>
  <w:style w:type="paragraph" w:styleId="1082" w:customStyle="1">
    <w:name w:val="加粗（居中）"/>
    <w:next w:val="1083"/>
    <w:qFormat/>
    <w:pPr>
      <w:ind w:firstLine="2560"/>
    </w:pPr>
    <w:rPr>
      <w:rFonts w:ascii="Calibri" w:hAnsi="Calibri"/>
    </w:rPr>
  </w:style>
  <w:style w:type="paragraph" w:styleId="1083" w:customStyle="1">
    <w:name w:val="xl65"/>
    <w:basedOn w:val="863"/>
    <w:next w:val="1043"/>
    <w:qFormat/>
    <w:pPr>
      <w:ind w:left="0" w:firstLine="5120"/>
      <w:spacing w:before="280" w:after="280" w:line="240" w:lineRule="auto"/>
    </w:pPr>
    <w:rPr>
      <w:rFonts w:ascii="Times New Roman" w:hAnsi="Times New Roman" w:cs="Times New Roman"/>
    </w:rPr>
  </w:style>
  <w:style w:type="paragraph" w:styleId="1084" w:customStyle="1">
    <w:name w:val="WPSOffice手动目录 3"/>
    <w:qFormat/>
    <w:pPr>
      <w:ind w:left="400"/>
    </w:pPr>
  </w:style>
  <w:style w:type="paragraph" w:styleId="1085" w:customStyle="1">
    <w:name w:val="xl77"/>
    <w:basedOn w:val="863"/>
    <w:next w:val="1086"/>
    <w:qFormat/>
    <w:pPr>
      <w:ind w:left="0" w:firstLine="3584"/>
      <w:spacing w:before="280" w:after="280" w:line="240" w:lineRule="auto"/>
    </w:pPr>
    <w:rPr>
      <w:rFonts w:ascii="Times New Roman" w:hAnsi="Times New Roman" w:cs="Times New Roman"/>
    </w:rPr>
  </w:style>
  <w:style w:type="paragraph" w:styleId="1086" w:customStyle="1">
    <w:name w:val="Char Char Char1"/>
    <w:basedOn w:val="863"/>
    <w:next w:val="1087"/>
    <w:qFormat/>
    <w:pPr>
      <w:ind w:left="900" w:firstLine="2096"/>
      <w:spacing w:before="0" w:after="0" w:line="240" w:lineRule="auto"/>
    </w:pPr>
    <w:rPr>
      <w:rFonts w:ascii="Times New Roman" w:hAnsi="Times New Roman" w:cs="Times New Roman"/>
    </w:rPr>
  </w:style>
  <w:style w:type="paragraph" w:styleId="1087" w:customStyle="1">
    <w:name w:val="索引 21"/>
    <w:basedOn w:val="863"/>
    <w:next w:val="862"/>
    <w:qFormat/>
    <w:pPr>
      <w:ind w:left="200" w:firstLine="2560"/>
      <w:jc w:val="center"/>
      <w:spacing w:before="0" w:after="0" w:line="360" w:lineRule="auto"/>
    </w:pPr>
    <w:rPr>
      <w:rFonts w:ascii="Times New Roman" w:hAnsi="Times New Roman" w:cs="Times New Roman"/>
    </w:rPr>
  </w:style>
  <w:style w:type="paragraph" w:styleId="1088" w:customStyle="1">
    <w:name w:val="正文（首行缩进 2 字符）"/>
    <w:next w:val="1089"/>
    <w:qFormat/>
    <w:pPr>
      <w:ind w:left="480" w:firstLine="2784"/>
      <w:jc w:val="center"/>
      <w:spacing w:line="300" w:lineRule="auto"/>
    </w:pPr>
    <w:rPr>
      <w:rFonts w:ascii="Calibri" w:hAnsi="Calibri"/>
    </w:rPr>
  </w:style>
  <w:style w:type="paragraph" w:styleId="1089" w:customStyle="1">
    <w:name w:val="xl28"/>
    <w:basedOn w:val="863"/>
    <w:next w:val="1090"/>
    <w:qFormat/>
    <w:pPr>
      <w:ind w:left="0" w:firstLine="20"/>
      <w:spacing w:before="280" w:after="280" w:line="240" w:lineRule="auto"/>
      <w:shd w:val="clear" w:color="000000" w:fill="ffffff"/>
    </w:pPr>
    <w:rPr>
      <w:rFonts w:ascii="Times New Roman" w:hAnsi="Times New Roman" w:cs="Times New Roman"/>
    </w:rPr>
  </w:style>
  <w:style w:type="paragraph" w:styleId="1090" w:customStyle="1">
    <w:name w:val="HTML 预设格式1"/>
    <w:basedOn w:val="863"/>
    <w:next w:val="1091"/>
    <w:qFormat/>
    <w:pPr>
      <w:ind w:left="0" w:firstLine="3584"/>
      <w:spacing w:before="0" w:after="0" w:line="253" w:lineRule="atLeast"/>
    </w:pPr>
    <w:rPr>
      <w:rFonts w:ascii="Times New Roman" w:hAnsi="Times New Roman" w:cs="Times New Roman"/>
    </w:rPr>
  </w:style>
  <w:style w:type="paragraph" w:styleId="1091" w:customStyle="1">
    <w:name w:val="项目符号：一级"/>
    <w:basedOn w:val="863"/>
    <w:next w:val="862"/>
    <w:qFormat/>
    <w:pPr>
      <w:ind w:left="425" w:firstLine="1111"/>
      <w:spacing w:before="0" w:after="0" w:line="360" w:lineRule="auto"/>
    </w:pPr>
    <w:rPr>
      <w:rFonts w:ascii="Times New Roman" w:hAnsi="Times New Roman" w:cs="Times New Roman"/>
    </w:rPr>
  </w:style>
  <w:style w:type="paragraph" w:styleId="1092" w:customStyle="1">
    <w:name w:val="Default"/>
    <w:next w:val="897"/>
    <w:qFormat/>
    <w:pPr>
      <w:ind w:firstLine="5120"/>
      <w:widowControl w:val="off"/>
    </w:pPr>
    <w:rPr>
      <w:rFonts w:ascii="Calibri" w:hAnsi="Calibri"/>
    </w:rPr>
  </w:style>
  <w:style w:type="paragraph" w:styleId="1093" w:customStyle="1">
    <w:name w:val="xl84"/>
    <w:basedOn w:val="863"/>
    <w:next w:val="1094"/>
    <w:qFormat/>
    <w:pPr>
      <w:ind w:left="0" w:firstLine="2048"/>
      <w:jc w:val="center"/>
      <w:spacing w:before="280" w:after="280" w:line="240" w:lineRule="auto"/>
    </w:pPr>
    <w:rPr>
      <w:rFonts w:ascii="Times New Roman" w:hAnsi="Times New Roman" w:cs="Times New Roman"/>
    </w:rPr>
  </w:style>
  <w:style w:type="paragraph" w:styleId="1094" w:customStyle="1">
    <w:name w:val="2-2ji"/>
    <w:basedOn w:val="865"/>
    <w:next w:val="1095"/>
    <w:qFormat/>
    <w:pPr>
      <w:ind w:left="0" w:firstLine="24"/>
      <w:jc w:val="center"/>
      <w:spacing w:before="0" w:after="0" w:line="360" w:lineRule="auto"/>
      <w:outlineLvl w:val="1"/>
    </w:pPr>
  </w:style>
  <w:style w:type="paragraph" w:styleId="1095" w:customStyle="1">
    <w:name w:val="应答文本"/>
    <w:basedOn w:val="863"/>
    <w:next w:val="1096"/>
    <w:qFormat/>
    <w:pPr>
      <w:ind w:left="1296" w:firstLine="2112"/>
      <w:spacing w:before="0" w:after="0" w:line="460" w:lineRule="exact"/>
    </w:pPr>
    <w:rPr>
      <w:rFonts w:ascii="Times New Roman" w:hAnsi="Times New Roman" w:cs="Times New Roman"/>
    </w:rPr>
  </w:style>
  <w:style w:type="paragraph" w:styleId="1096" w:customStyle="1">
    <w:name w:val="引文目录1"/>
    <w:basedOn w:val="863"/>
    <w:next w:val="862"/>
    <w:qFormat/>
    <w:pPr>
      <w:ind w:left="420" w:firstLine="2560"/>
      <w:jc w:val="center"/>
      <w:spacing w:before="0" w:after="0" w:line="360" w:lineRule="auto"/>
    </w:pPr>
    <w:rPr>
      <w:rFonts w:ascii="Times New Roman" w:hAnsi="Times New Roman" w:cs="Times New Roman"/>
    </w:rPr>
  </w:style>
  <w:style w:type="paragraph" w:styleId="1097" w:customStyle="1">
    <w:name w:val="首行缩进"/>
    <w:basedOn w:val="862"/>
    <w:qFormat/>
    <w:pPr>
      <w:ind w:firstLine="480"/>
    </w:pPr>
    <w:rPr>
      <w:rFonts w:ascii="Times New Roman" w:hAnsi="Times New Roman" w:cs="Times New Roman"/>
      <w:lang w:val="zh-CN"/>
    </w:rPr>
  </w:style>
  <w:style w:type="paragraph" w:styleId="1098" w:customStyle="1">
    <w:name w:val="font9"/>
    <w:basedOn w:val="863"/>
    <w:next w:val="1099"/>
    <w:qFormat/>
    <w:pPr>
      <w:ind w:left="0" w:firstLine="7168"/>
      <w:spacing w:before="280" w:after="280" w:line="240" w:lineRule="auto"/>
    </w:pPr>
    <w:rPr>
      <w:rFonts w:ascii="Times New Roman" w:hAnsi="Times New Roman" w:cs="Times New Roman"/>
    </w:rPr>
  </w:style>
  <w:style w:type="paragraph" w:styleId="1099" w:customStyle="1">
    <w:name w:val="样式 标题 3 + (中文) 黑体 小四 非加粗 段前: 7.8 磅 段后: 0 磅 行距: 固定值 20 磅"/>
    <w:basedOn w:val="866"/>
    <w:next w:val="1100"/>
    <w:qFormat/>
    <w:pPr>
      <w:ind w:left="0"/>
      <w:spacing w:before="0" w:after="0" w:line="400" w:lineRule="exact"/>
      <w:outlineLvl w:val="2"/>
    </w:pPr>
  </w:style>
  <w:style w:type="paragraph" w:styleId="1100" w:customStyle="1">
    <w:name w:val="标书正文"/>
    <w:basedOn w:val="863"/>
    <w:next w:val="1101"/>
    <w:qFormat/>
    <w:pPr>
      <w:ind w:left="440" w:right="100" w:firstLine="2760"/>
      <w:spacing w:before="0" w:after="0" w:line="360" w:lineRule="auto"/>
    </w:pPr>
    <w:rPr>
      <w:rFonts w:ascii="Times New Roman" w:hAnsi="Times New Roman" w:cs="Times New Roman"/>
    </w:rPr>
  </w:style>
  <w:style w:type="paragraph" w:styleId="1101" w:customStyle="1">
    <w:name w:val="xl67"/>
    <w:basedOn w:val="863"/>
    <w:next w:val="1102"/>
    <w:qFormat/>
    <w:pPr>
      <w:ind w:left="0" w:firstLine="5120"/>
      <w:spacing w:before="280" w:after="280" w:line="240" w:lineRule="auto"/>
    </w:pPr>
    <w:rPr>
      <w:rFonts w:ascii="Times New Roman" w:hAnsi="Times New Roman" w:cs="Times New Roman"/>
    </w:rPr>
  </w:style>
  <w:style w:type="paragraph" w:styleId="1102" w:customStyle="1">
    <w:name w:val="索引 61"/>
    <w:basedOn w:val="863"/>
    <w:next w:val="862"/>
    <w:qFormat/>
    <w:pPr>
      <w:ind w:left="1000" w:firstLine="2560"/>
      <w:jc w:val="center"/>
      <w:spacing w:before="0" w:after="0" w:line="360" w:lineRule="auto"/>
    </w:pPr>
    <w:rPr>
      <w:rFonts w:ascii="Times New Roman" w:hAnsi="Times New Roman" w:cs="Times New Roman"/>
    </w:rPr>
  </w:style>
  <w:style w:type="paragraph" w:styleId="1103" w:customStyle="1">
    <w:name w:val="目录3"/>
    <w:basedOn w:val="863"/>
    <w:next w:val="862"/>
    <w:qFormat/>
    <w:pPr>
      <w:ind w:left="419" w:firstLine="5283"/>
      <w:spacing w:before="0" w:after="0" w:line="317" w:lineRule="atLeast"/>
    </w:pPr>
    <w:rPr>
      <w:rFonts w:ascii="Times New Roman" w:hAnsi="Times New Roman" w:cs="Times New Roman"/>
    </w:rPr>
  </w:style>
  <w:style w:type="paragraph" w:styleId="1104" w:customStyle="1">
    <w:name w:val="xl90"/>
    <w:basedOn w:val="863"/>
    <w:next w:val="1105"/>
    <w:qFormat/>
    <w:pPr>
      <w:ind w:left="0" w:firstLine="3584"/>
      <w:spacing w:before="280" w:after="280" w:line="240" w:lineRule="auto"/>
    </w:pPr>
    <w:rPr>
      <w:rFonts w:ascii="Times New Roman" w:hAnsi="Times New Roman" w:cs="Times New Roman"/>
    </w:rPr>
  </w:style>
  <w:style w:type="paragraph" w:styleId="1105" w:customStyle="1">
    <w:name w:val="列表框1"/>
    <w:next w:val="1096"/>
    <w:qFormat/>
    <w:pPr>
      <w:ind w:firstLine="2048"/>
      <w:spacing w:line="460" w:lineRule="exact"/>
    </w:pPr>
    <w:rPr>
      <w:rFonts w:ascii="Calibri" w:hAnsi="Calibri"/>
    </w:rPr>
  </w:style>
  <w:style w:type="paragraph" w:styleId="1106" w:customStyle="1">
    <w:name w:val="1ji"/>
    <w:basedOn w:val="864"/>
    <w:next w:val="1085"/>
    <w:qFormat/>
    <w:pPr>
      <w:ind w:left="0" w:firstLine="18"/>
      <w:jc w:val="center"/>
      <w:spacing w:before="0" w:after="0" w:line="240" w:lineRule="auto"/>
      <w:outlineLvl w:val="0"/>
    </w:pPr>
  </w:style>
  <w:style w:type="paragraph" w:styleId="1107" w:customStyle="1">
    <w:name w:val="索引 81"/>
    <w:basedOn w:val="863"/>
    <w:next w:val="862"/>
    <w:qFormat/>
    <w:pPr>
      <w:ind w:left="1400" w:firstLine="2560"/>
      <w:jc w:val="center"/>
      <w:spacing w:before="0" w:after="0" w:line="360" w:lineRule="auto"/>
    </w:pPr>
    <w:rPr>
      <w:rFonts w:ascii="Times New Roman" w:hAnsi="Times New Roman" w:cs="Times New Roman"/>
    </w:rPr>
  </w:style>
  <w:style w:type="paragraph" w:styleId="1108" w:customStyle="1">
    <w:name w:val="正文1"/>
    <w:basedOn w:val="862"/>
    <w:next w:val="862"/>
    <w:pPr>
      <w:spacing w:line="312" w:lineRule="atLeast"/>
    </w:pPr>
    <w:rPr>
      <w:rFonts w:ascii="楷体_GB2312" w:hAnsi="Times New Roman" w:eastAsia="楷体_GB2312" w:cs="Times New Roman"/>
      <w:sz w:val="24"/>
    </w:rPr>
  </w:style>
  <w:style w:type="paragraph" w:styleId="1109" w:customStyle="1">
    <w:name w:val="Char Char Char Char Char Char1 Char Char Char1 Char Char Char Char Char Char Char Char Char Char Char Char Char Char Char Char Char Char"/>
    <w:basedOn w:val="863"/>
    <w:next w:val="1110"/>
    <w:qFormat/>
    <w:pPr>
      <w:ind w:left="0" w:firstLine="2560"/>
      <w:spacing w:before="0" w:after="0" w:line="240" w:lineRule="auto"/>
    </w:pPr>
    <w:rPr>
      <w:rFonts w:ascii="Times New Roman" w:hAnsi="Times New Roman" w:cs="Times New Roman"/>
    </w:rPr>
  </w:style>
  <w:style w:type="paragraph" w:styleId="1110" w:customStyle="1">
    <w:name w:val="样式 加粗 居中11"/>
    <w:basedOn w:val="863"/>
    <w:next w:val="1111"/>
    <w:pPr>
      <w:ind w:left="0" w:firstLine="2560"/>
      <w:jc w:val="center"/>
      <w:spacing w:before="0" w:after="0" w:line="360" w:lineRule="auto"/>
    </w:pPr>
    <w:rPr>
      <w:rFonts w:ascii="Times New Roman" w:hAnsi="Times New Roman" w:cs="Times New Roman"/>
    </w:rPr>
  </w:style>
  <w:style w:type="paragraph" w:styleId="1111" w:customStyle="1">
    <w:name w:val="xl89"/>
    <w:basedOn w:val="863"/>
    <w:next w:val="1112"/>
    <w:qFormat/>
    <w:pPr>
      <w:ind w:left="0" w:firstLine="3584"/>
      <w:spacing w:before="280" w:after="280" w:line="240" w:lineRule="auto"/>
    </w:pPr>
    <w:rPr>
      <w:rFonts w:ascii="Times New Roman" w:hAnsi="Times New Roman" w:cs="Times New Roman"/>
    </w:rPr>
  </w:style>
  <w:style w:type="paragraph" w:styleId="1112" w:customStyle="1">
    <w:name w:val="Char Char Char Char Char Char1 Char Char Char Char Char Char1 Char Char Char Char Char Char Char Char Char"/>
    <w:basedOn w:val="863"/>
    <w:next w:val="1113"/>
    <w:qFormat/>
    <w:pPr>
      <w:ind w:left="0" w:firstLine="2560"/>
      <w:spacing w:before="0" w:after="0" w:line="240" w:lineRule="auto"/>
    </w:pPr>
    <w:rPr>
      <w:rFonts w:ascii="Times New Roman" w:hAnsi="Times New Roman" w:cs="Times New Roman"/>
    </w:rPr>
  </w:style>
  <w:style w:type="paragraph" w:styleId="1113" w:customStyle="1">
    <w:name w:val="文章附标题"/>
    <w:basedOn w:val="863"/>
    <w:next w:val="863"/>
    <w:qFormat/>
    <w:pPr>
      <w:ind w:left="0" w:firstLine="5120"/>
      <w:jc w:val="center"/>
      <w:spacing w:before="187" w:after="175" w:line="374" w:lineRule="atLeast"/>
    </w:pPr>
    <w:rPr>
      <w:rFonts w:ascii="Times New Roman" w:hAnsi="Times New Roman" w:cs="Times New Roman"/>
    </w:rPr>
  </w:style>
  <w:style w:type="paragraph" w:styleId="1114">
    <w:name w:val="Quote"/>
    <w:next w:val="862"/>
    <w:qFormat/>
    <w:pPr>
      <w:ind w:left="3680" w:right="864"/>
      <w:jc w:val="center"/>
      <w:spacing w:before="200" w:after="160"/>
    </w:pPr>
    <w:rPr>
      <w:rFonts w:ascii="Calibri" w:hAnsi="Calibri"/>
      <w:i/>
    </w:rPr>
  </w:style>
  <w:style w:type="paragraph" w:styleId="1115" w:customStyle="1">
    <w:name w:val="Default Paragraph Font Para Char Char Char Char Char Char"/>
    <w:basedOn w:val="863"/>
    <w:next w:val="1116"/>
    <w:qFormat/>
    <w:pPr>
      <w:ind w:left="0" w:firstLine="3584"/>
      <w:spacing w:before="0" w:after="160" w:line="240" w:lineRule="exact"/>
    </w:pPr>
    <w:rPr>
      <w:rFonts w:ascii="Times New Roman" w:hAnsi="Times New Roman" w:cs="Times New Roman"/>
    </w:rPr>
  </w:style>
  <w:style w:type="paragraph" w:styleId="1116" w:customStyle="1">
    <w:name w:val="xl23"/>
    <w:basedOn w:val="863"/>
    <w:next w:val="899"/>
    <w:qFormat/>
    <w:pPr>
      <w:ind w:left="0" w:firstLine="20"/>
      <w:spacing w:before="280" w:after="280" w:line="240" w:lineRule="auto"/>
      <w:shd w:val="clear" w:color="000000" w:fill="ffffff"/>
    </w:pPr>
    <w:rPr>
      <w:rFonts w:ascii="Times New Roman" w:hAnsi="Times New Roman" w:cs="Times New Roman"/>
    </w:rPr>
  </w:style>
  <w:style w:type="paragraph" w:styleId="1117" w:customStyle="1">
    <w:name w:val="列出段落11"/>
    <w:basedOn w:val="863"/>
    <w:next w:val="1118"/>
    <w:qFormat/>
    <w:pPr>
      <w:ind w:left="420" w:firstLine="3748"/>
      <w:spacing w:before="0" w:after="0" w:line="240" w:lineRule="auto"/>
    </w:pPr>
    <w:rPr>
      <w:rFonts w:ascii="Times New Roman" w:hAnsi="Times New Roman" w:cs="Times New Roman"/>
    </w:rPr>
  </w:style>
  <w:style w:type="paragraph" w:styleId="1118" w:customStyle="1">
    <w:name w:val="样式 标题 2 + (西文) 宋体 非加粗 居中"/>
    <w:basedOn w:val="865"/>
    <w:next w:val="1119"/>
    <w:qFormat/>
    <w:pPr>
      <w:ind w:left="0" w:firstLine="24"/>
      <w:jc w:val="center"/>
      <w:spacing w:line="412" w:lineRule="auto"/>
      <w:outlineLvl w:val="1"/>
    </w:pPr>
  </w:style>
  <w:style w:type="paragraph" w:styleId="1119" w:customStyle="1">
    <w:name w:val="页脚 Char Char"/>
    <w:basedOn w:val="863"/>
    <w:next w:val="1120"/>
    <w:qFormat/>
    <w:pPr>
      <w:ind w:left="0" w:firstLine="5120"/>
      <w:spacing w:before="0" w:after="0" w:line="240" w:lineRule="auto"/>
    </w:pPr>
    <w:rPr>
      <w:rFonts w:ascii="Times New Roman" w:hAnsi="Times New Roman" w:cs="Times New Roman"/>
    </w:rPr>
  </w:style>
  <w:style w:type="paragraph" w:styleId="1120" w:customStyle="1">
    <w:name w:val="样式 标题 1 + 段前: 16 磅 段后: 16 磅"/>
    <w:basedOn w:val="864"/>
    <w:next w:val="1121"/>
    <w:qFormat/>
    <w:pPr>
      <w:ind w:left="0" w:firstLine="18"/>
      <w:jc w:val="center"/>
      <w:spacing w:before="120" w:after="0" w:line="360" w:lineRule="auto"/>
      <w:outlineLvl w:val="0"/>
    </w:pPr>
  </w:style>
  <w:style w:type="paragraph" w:styleId="1121" w:customStyle="1">
    <w:name w:val="Char1 Char Char Char Char Char Char"/>
    <w:basedOn w:val="863"/>
    <w:next w:val="1122"/>
    <w:qFormat/>
    <w:pPr>
      <w:ind w:left="0" w:firstLine="2560"/>
      <w:spacing w:before="0" w:after="0" w:line="240" w:lineRule="auto"/>
    </w:pPr>
    <w:rPr>
      <w:rFonts w:ascii="Times New Roman" w:hAnsi="Times New Roman" w:cs="Times New Roman"/>
    </w:rPr>
  </w:style>
  <w:style w:type="paragraph" w:styleId="1122" w:customStyle="1">
    <w:name w:val="文档标题4"/>
    <w:basedOn w:val="867"/>
    <w:next w:val="862"/>
    <w:qFormat/>
    <w:pPr>
      <w:ind w:left="851" w:firstLine="30"/>
      <w:spacing w:after="280" w:line="360" w:lineRule="auto"/>
      <w:outlineLvl w:val="3"/>
    </w:pPr>
  </w:style>
  <w:style w:type="paragraph" w:styleId="1123" w:customStyle="1">
    <w:name w:val="font0"/>
    <w:basedOn w:val="863"/>
    <w:next w:val="1098"/>
    <w:qFormat/>
    <w:pPr>
      <w:ind w:left="0" w:firstLine="1024"/>
      <w:spacing w:before="280" w:after="280" w:line="240" w:lineRule="auto"/>
    </w:pPr>
    <w:rPr>
      <w:rFonts w:ascii="Times New Roman" w:hAnsi="Times New Roman" w:cs="Times New Roman"/>
    </w:rPr>
  </w:style>
  <w:style w:type="paragraph" w:styleId="1124" w:customStyle="1">
    <w:name w:val="CM5"/>
    <w:basedOn w:val="863"/>
    <w:next w:val="862"/>
    <w:qFormat/>
    <w:pPr>
      <w:ind w:left="200" w:firstLine="2760"/>
      <w:spacing w:before="0" w:after="0" w:line="400" w:lineRule="atLeast"/>
    </w:pPr>
    <w:rPr>
      <w:rFonts w:ascii="Times New Roman" w:hAnsi="Times New Roman" w:cs="Times New Roman"/>
    </w:rPr>
  </w:style>
  <w:style w:type="paragraph" w:styleId="1125" w:customStyle="1">
    <w:name w:val="Pa0"/>
    <w:basedOn w:val="863"/>
    <w:next w:val="862"/>
    <w:qFormat/>
    <w:pPr>
      <w:ind w:left="0" w:firstLine="4608"/>
      <w:spacing w:before="0" w:after="0" w:line="241" w:lineRule="atLeast"/>
    </w:pPr>
    <w:rPr>
      <w:rFonts w:ascii="Times New Roman" w:hAnsi="Times New Roman" w:cs="Times New Roman"/>
    </w:rPr>
  </w:style>
  <w:style w:type="paragraph" w:styleId="1126" w:customStyle="1">
    <w:name w:val="招标文件》"/>
    <w:basedOn w:val="863"/>
    <w:next w:val="1062"/>
    <w:qFormat/>
    <w:pPr>
      <w:ind w:left="420" w:firstLine="2140"/>
      <w:spacing w:before="120" w:after="120" w:line="300" w:lineRule="auto"/>
    </w:pPr>
    <w:rPr>
      <w:rFonts w:ascii="Times New Roman" w:hAnsi="Times New Roman" w:cs="Times New Roman"/>
    </w:rPr>
  </w:style>
  <w:style w:type="paragraph" w:styleId="1127" w:customStyle="1">
    <w:name w:val="段"/>
    <w:next w:val="862"/>
    <w:qFormat/>
    <w:pPr>
      <w:ind w:firstLine="200"/>
      <w:jc w:val="both"/>
      <w:spacing w:line="360" w:lineRule="auto"/>
    </w:pPr>
    <w:rPr>
      <w:sz w:val="24"/>
      <w:szCs w:val="22"/>
    </w:rPr>
  </w:style>
  <w:style w:type="paragraph" w:styleId="1128" w:customStyle="1">
    <w:name w:val="标书_正文"/>
    <w:basedOn w:val="863"/>
    <w:next w:val="1129"/>
    <w:qFormat/>
    <w:pPr>
      <w:ind w:left="420" w:firstLine="1188"/>
      <w:spacing w:before="0" w:after="0" w:line="360" w:lineRule="auto"/>
    </w:pPr>
    <w:rPr>
      <w:rFonts w:ascii="Times New Roman" w:hAnsi="Times New Roman" w:cs="Times New Roman"/>
    </w:rPr>
  </w:style>
  <w:style w:type="paragraph" w:styleId="1129" w:customStyle="1">
    <w:name w:val="样式 标题 2 + Times New Roman 四号 非加粗 段前: 5 磅 段后: 0 磅 行距: 固定值 20..."/>
    <w:basedOn w:val="865"/>
    <w:next w:val="1077"/>
    <w:qFormat/>
    <w:pPr>
      <w:ind w:left="0" w:firstLine="24"/>
      <w:spacing w:before="100" w:after="0" w:line="400" w:lineRule="exact"/>
      <w:outlineLvl w:val="1"/>
    </w:pPr>
  </w:style>
  <w:style w:type="paragraph" w:styleId="1130" w:customStyle="1">
    <w:name w:val="图片0"/>
    <w:basedOn w:val="863"/>
    <w:next w:val="910"/>
    <w:qFormat/>
    <w:pPr>
      <w:ind w:left="-161" w:firstLine="1187"/>
      <w:spacing w:before="0" w:after="0" w:line="276" w:lineRule="auto"/>
    </w:pPr>
    <w:rPr>
      <w:rFonts w:ascii="Times New Roman" w:hAnsi="Times New Roman" w:cs="Times New Roman"/>
    </w:rPr>
  </w:style>
  <w:style w:type="paragraph" w:styleId="1131" w:customStyle="1">
    <w:name w:val="Char Char Char2 Char Char Char2 Char"/>
    <w:basedOn w:val="863"/>
    <w:next w:val="1103"/>
    <w:qFormat/>
    <w:pPr>
      <w:ind w:left="560" w:firstLine="3632"/>
      <w:spacing w:before="0" w:after="160" w:line="240" w:lineRule="exact"/>
    </w:pPr>
    <w:rPr>
      <w:rFonts w:ascii="Times New Roman" w:hAnsi="Times New Roman" w:cs="Times New Roman"/>
    </w:rPr>
  </w:style>
  <w:style w:type="paragraph" w:styleId="1132" w:customStyle="1">
    <w:name w:val="Char Char Char Char"/>
    <w:next w:val="1133"/>
    <w:qFormat/>
    <w:pPr>
      <w:ind w:firstLine="10"/>
      <w:spacing w:line="360" w:lineRule="auto"/>
      <w:shd w:val="clear" w:color="000000" w:fill="000080"/>
    </w:pPr>
    <w:rPr>
      <w:rFonts w:ascii="Calibri" w:hAnsi="Calibri"/>
    </w:rPr>
  </w:style>
  <w:style w:type="paragraph" w:styleId="1133" w:customStyle="1">
    <w:name w:val="杨昂超式样黑体主"/>
    <w:basedOn w:val="863"/>
    <w:next w:val="1134"/>
    <w:qFormat/>
    <w:pPr>
      <w:ind w:left="0" w:firstLine="4608"/>
      <w:spacing w:before="0" w:after="0" w:line="240" w:lineRule="auto"/>
    </w:pPr>
    <w:rPr>
      <w:rFonts w:ascii="Times New Roman" w:hAnsi="Times New Roman" w:cs="Times New Roman"/>
    </w:rPr>
  </w:style>
  <w:style w:type="paragraph" w:styleId="1134" w:customStyle="1">
    <w:name w:val="Char Char Char Char Char Char1 Char Char Char Char Char Char Char Char Char Char"/>
    <w:basedOn w:val="863"/>
    <w:next w:val="1135"/>
    <w:qFormat/>
    <w:pPr>
      <w:ind w:left="0" w:firstLine="2560"/>
      <w:spacing w:before="0" w:after="0" w:line="240" w:lineRule="auto"/>
    </w:pPr>
    <w:rPr>
      <w:rFonts w:ascii="Times New Roman" w:hAnsi="Times New Roman" w:cs="Times New Roman"/>
    </w:rPr>
  </w:style>
  <w:style w:type="paragraph" w:styleId="1135" w:customStyle="1">
    <w:name w:val="目录1"/>
    <w:basedOn w:val="863"/>
    <w:next w:val="862"/>
    <w:qFormat/>
    <w:pPr>
      <w:ind w:left="0" w:firstLine="7168"/>
      <w:spacing w:before="0" w:after="136" w:line="289" w:lineRule="atLeast"/>
    </w:pPr>
    <w:rPr>
      <w:rFonts w:ascii="Times New Roman" w:hAnsi="Times New Roman" w:cs="Times New Roman"/>
    </w:rPr>
  </w:style>
  <w:style w:type="paragraph" w:styleId="1136" w:customStyle="1">
    <w:name w:val="文档结构图1"/>
    <w:basedOn w:val="863"/>
    <w:next w:val="1137"/>
    <w:qFormat/>
    <w:pPr>
      <w:ind w:left="200" w:firstLine="2248"/>
      <w:spacing w:before="0" w:after="0" w:line="360" w:lineRule="auto"/>
    </w:pPr>
    <w:rPr>
      <w:rFonts w:ascii="Times New Roman" w:hAnsi="Times New Roman" w:cs="Times New Roman"/>
    </w:rPr>
  </w:style>
  <w:style w:type="paragraph" w:styleId="1137" w:customStyle="1">
    <w:name w:val="2ji"/>
    <w:basedOn w:val="865"/>
    <w:next w:val="905"/>
    <w:qFormat/>
    <w:pPr>
      <w:ind w:left="0" w:firstLine="24"/>
      <w:spacing w:before="0" w:after="0" w:line="360" w:lineRule="auto"/>
      <w:outlineLvl w:val="1"/>
    </w:pPr>
  </w:style>
  <w:style w:type="paragraph" w:styleId="1138" w:customStyle="1">
    <w:name w:val="xl91"/>
    <w:basedOn w:val="863"/>
    <w:next w:val="1059"/>
    <w:qFormat/>
    <w:pPr>
      <w:ind w:left="0" w:firstLine="3584"/>
      <w:spacing w:before="280" w:after="280" w:line="240" w:lineRule="auto"/>
    </w:pPr>
    <w:rPr>
      <w:rFonts w:ascii="Times New Roman" w:hAnsi="Times New Roman" w:cs="Times New Roman"/>
    </w:rPr>
  </w:style>
  <w:style w:type="paragraph" w:styleId="1139" w:customStyle="1">
    <w:name w:val="Text Body"/>
    <w:basedOn w:val="863"/>
    <w:next w:val="1140"/>
    <w:qFormat/>
    <w:pPr>
      <w:ind w:left="0" w:firstLine="4096"/>
      <w:spacing w:before="0" w:after="120" w:line="240" w:lineRule="auto"/>
    </w:pPr>
    <w:rPr>
      <w:rFonts w:ascii="Times New Roman" w:hAnsi="Times New Roman" w:cs="Times New Roman"/>
    </w:rPr>
  </w:style>
  <w:style w:type="paragraph" w:styleId="1140" w:customStyle="1">
    <w:name w:val="项目符1"/>
    <w:basedOn w:val="863"/>
    <w:next w:val="1141"/>
    <w:qFormat/>
    <w:pPr>
      <w:ind w:left="1365" w:right="100" w:firstLine="2728"/>
      <w:spacing w:before="78" w:after="78" w:line="300" w:lineRule="auto"/>
    </w:pPr>
    <w:rPr>
      <w:rFonts w:ascii="Times New Roman" w:hAnsi="Times New Roman" w:cs="Times New Roman"/>
    </w:rPr>
  </w:style>
  <w:style w:type="paragraph" w:styleId="1141" w:customStyle="1">
    <w:name w:val="引文目录标题1"/>
    <w:basedOn w:val="863"/>
    <w:next w:val="862"/>
    <w:qFormat/>
    <w:pPr>
      <w:ind w:left="0" w:firstLine="4608"/>
      <w:jc w:val="center"/>
      <w:spacing w:before="120" w:after="0" w:line="360" w:lineRule="auto"/>
    </w:pPr>
    <w:rPr>
      <w:rFonts w:ascii="Times New Roman" w:hAnsi="Times New Roman" w:cs="Times New Roman"/>
    </w:rPr>
  </w:style>
  <w:style w:type="paragraph" w:styleId="1142" w:customStyle="1">
    <w:name w:val="样式 标题 3 + (西文) 黑体 (中文) 黑体 (符号) 宋体 小四 段前: 5 磅 段后: 5 磅 行距: 1..."/>
    <w:basedOn w:val="866"/>
    <w:next w:val="1143"/>
    <w:qFormat/>
    <w:pPr>
      <w:ind w:left="1429" w:firstLine="18"/>
      <w:spacing w:before="100" w:after="100" w:line="360" w:lineRule="auto"/>
      <w:outlineLvl w:val="2"/>
    </w:pPr>
  </w:style>
  <w:style w:type="paragraph" w:styleId="1143" w:customStyle="1">
    <w:name w:val="xl22"/>
    <w:basedOn w:val="863"/>
    <w:next w:val="1144"/>
    <w:qFormat/>
    <w:pPr>
      <w:ind w:left="0" w:firstLine="20"/>
      <w:jc w:val="right"/>
      <w:spacing w:before="280" w:after="280" w:line="240" w:lineRule="auto"/>
      <w:shd w:val="clear" w:color="000000" w:fill="ffffff"/>
    </w:pPr>
    <w:rPr>
      <w:rFonts w:ascii="Times New Roman" w:hAnsi="Times New Roman" w:cs="Times New Roman"/>
    </w:rPr>
  </w:style>
  <w:style w:type="paragraph" w:styleId="1144" w:customStyle="1">
    <w:name w:val="自定义一"/>
    <w:basedOn w:val="863"/>
    <w:next w:val="862"/>
    <w:qFormat/>
    <w:pPr>
      <w:ind w:left="0"/>
      <w:spacing w:before="0" w:after="0" w:line="360" w:lineRule="auto"/>
    </w:pPr>
    <w:rPr>
      <w:rFonts w:ascii="Times New Roman" w:hAnsi="Times New Roman" w:cs="Times New Roman"/>
    </w:rPr>
  </w:style>
  <w:style w:type="paragraph" w:styleId="1145" w:customStyle="1">
    <w:name w:val="xl78"/>
    <w:basedOn w:val="863"/>
    <w:next w:val="1146"/>
    <w:qFormat/>
    <w:pPr>
      <w:ind w:left="0" w:firstLine="3584"/>
      <w:jc w:val="center"/>
      <w:spacing w:before="280" w:after="280" w:line="240" w:lineRule="auto"/>
    </w:pPr>
    <w:rPr>
      <w:rFonts w:ascii="Times New Roman" w:hAnsi="Times New Roman" w:cs="Times New Roman"/>
    </w:rPr>
  </w:style>
  <w:style w:type="paragraph" w:styleId="1146" w:customStyle="1">
    <w:name w:val="段落正文"/>
    <w:next w:val="1088"/>
    <w:qFormat/>
    <w:pPr>
      <w:ind w:firstLine="4608"/>
      <w:jc w:val="center"/>
      <w:spacing w:line="360" w:lineRule="auto"/>
    </w:pPr>
    <w:rPr>
      <w:rFonts w:ascii="Calibri" w:hAnsi="Calibri"/>
    </w:rPr>
  </w:style>
  <w:style w:type="paragraph" w:styleId="1147" w:customStyle="1">
    <w:name w:val="_Style 169"/>
    <w:next w:val="862"/>
    <w:qFormat/>
    <w:pPr>
      <w:ind w:left="2560"/>
    </w:pPr>
    <w:rPr>
      <w:rFonts w:ascii="Calibri" w:hAnsi="Calibri"/>
    </w:rPr>
  </w:style>
  <w:style w:type="paragraph" w:styleId="1148" w:customStyle="1">
    <w:name w:val="样式 小四 行距: 1.5 倍行距 首行缩进:  2 字符"/>
    <w:basedOn w:val="863"/>
    <w:next w:val="1093"/>
    <w:qFormat/>
    <w:pPr>
      <w:ind w:left="480" w:firstLine="2784"/>
      <w:spacing w:before="0" w:after="0" w:line="360" w:lineRule="auto"/>
    </w:pPr>
    <w:rPr>
      <w:rFonts w:ascii="Times New Roman" w:hAnsi="Times New Roman" w:cs="Times New Roman"/>
    </w:rPr>
  </w:style>
  <w:style w:type="paragraph" w:styleId="1149" w:customStyle="1">
    <w:name w:val="小节标题"/>
    <w:basedOn w:val="863"/>
    <w:next w:val="862"/>
    <w:qFormat/>
    <w:pPr>
      <w:ind w:left="0" w:firstLine="7168"/>
      <w:spacing w:before="175" w:after="102" w:line="351" w:lineRule="atLeast"/>
    </w:pPr>
    <w:rPr>
      <w:rFonts w:ascii="Times New Roman" w:hAnsi="Times New Roman" w:cs="Times New Roman"/>
    </w:rPr>
  </w:style>
  <w:style w:type="paragraph" w:styleId="1150" w:customStyle="1">
    <w:name w:val="TOC 标题2"/>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1" w:customStyle="1">
    <w:name w:val="表格文字（两侧对齐）"/>
    <w:basedOn w:val="863"/>
    <w:next w:val="1152"/>
    <w:pPr>
      <w:ind w:left="0" w:firstLine="3584"/>
      <w:spacing w:before="0" w:after="0" w:line="240" w:lineRule="auto"/>
    </w:pPr>
    <w:rPr>
      <w:rFonts w:ascii="Times New Roman" w:hAnsi="Times New Roman" w:cs="Times New Roman"/>
    </w:rPr>
  </w:style>
  <w:style w:type="paragraph" w:styleId="1152" w:customStyle="1">
    <w:name w:val="Char"/>
    <w:basedOn w:val="863"/>
    <w:next w:val="1131"/>
    <w:qFormat/>
    <w:pPr>
      <w:ind w:left="900" w:firstLine="2608"/>
      <w:spacing w:before="0" w:after="0" w:line="240" w:lineRule="auto"/>
    </w:pPr>
    <w:rPr>
      <w:rFonts w:ascii="Times New Roman" w:hAnsi="Times New Roman" w:cs="Times New Roman"/>
    </w:rPr>
  </w:style>
  <w:style w:type="paragraph" w:styleId="1153" w:customStyle="1">
    <w:name w:val="xl86"/>
    <w:basedOn w:val="863"/>
    <w:next w:val="1154"/>
    <w:qFormat/>
    <w:pPr>
      <w:ind w:left="0" w:firstLine="5120"/>
      <w:spacing w:before="280" w:after="280" w:line="240" w:lineRule="auto"/>
    </w:pPr>
    <w:rPr>
      <w:rFonts w:ascii="Times New Roman" w:hAnsi="Times New Roman" w:cs="Times New Roman"/>
    </w:rPr>
  </w:style>
  <w:style w:type="paragraph" w:styleId="1154" w:customStyle="1">
    <w:name w:val="索引 71"/>
    <w:basedOn w:val="863"/>
    <w:next w:val="862"/>
    <w:qFormat/>
    <w:pPr>
      <w:ind w:left="1200" w:firstLine="2560"/>
      <w:jc w:val="center"/>
      <w:spacing w:before="0" w:after="0" w:line="360" w:lineRule="auto"/>
    </w:pPr>
    <w:rPr>
      <w:rFonts w:ascii="Times New Roman" w:hAnsi="Times New Roman" w:cs="Times New Roman"/>
    </w:rPr>
  </w:style>
  <w:style w:type="paragraph" w:styleId="1155" w:customStyle="1">
    <w:name w:val="111"/>
    <w:next w:val="1156"/>
    <w:pPr>
      <w:ind w:left="480" w:firstLine="4320"/>
      <w:spacing w:line="440" w:lineRule="exact"/>
    </w:pPr>
    <w:rPr>
      <w:rFonts w:ascii="Calibri" w:hAnsi="Calibri"/>
    </w:rPr>
  </w:style>
  <w:style w:type="paragraph" w:styleId="1156" w:customStyle="1">
    <w:name w:val="4"/>
    <w:basedOn w:val="863"/>
    <w:next w:val="875"/>
    <w:qFormat/>
    <w:pPr>
      <w:ind w:left="409" w:firstLine="3737"/>
      <w:spacing w:before="0" w:after="0" w:line="420" w:lineRule="exact"/>
    </w:pPr>
    <w:rPr>
      <w:rFonts w:ascii="Times New Roman" w:hAnsi="Times New Roman" w:cs="Times New Roman"/>
    </w:rPr>
  </w:style>
  <w:style w:type="paragraph" w:styleId="1157" w:customStyle="1">
    <w:name w:val="Char Char Char Char Char Char1 Char Char Char1 Char Char Char Char Char Char"/>
    <w:basedOn w:val="863"/>
    <w:next w:val="1142"/>
    <w:qFormat/>
    <w:pPr>
      <w:ind w:left="0" w:firstLine="2560"/>
      <w:spacing w:before="0" w:after="0" w:line="240" w:lineRule="auto"/>
    </w:pPr>
    <w:rPr>
      <w:rFonts w:ascii="Times New Roman" w:hAnsi="Times New Roman" w:cs="Times New Roman"/>
    </w:rPr>
  </w:style>
  <w:style w:type="paragraph" w:styleId="1158" w:customStyle="1">
    <w:name w:val="Char Char Char Char Char Char1 Char Char Char Char Char Char1 Char Char Char"/>
    <w:basedOn w:val="863"/>
    <w:next w:val="1159"/>
    <w:pPr>
      <w:ind w:left="0" w:firstLine="2560"/>
      <w:spacing w:before="0" w:after="0" w:line="240" w:lineRule="auto"/>
    </w:pPr>
    <w:rPr>
      <w:rFonts w:ascii="Times New Roman" w:hAnsi="Times New Roman" w:cs="Times New Roman"/>
    </w:rPr>
  </w:style>
  <w:style w:type="paragraph" w:styleId="1159" w:customStyle="1">
    <w:name w:val="正文符号1"/>
    <w:basedOn w:val="863"/>
    <w:next w:val="1160"/>
    <w:pPr>
      <w:ind w:left="987" w:firstLine="5724"/>
      <w:spacing w:before="0" w:after="0" w:line="240" w:lineRule="auto"/>
    </w:pPr>
    <w:rPr>
      <w:rFonts w:ascii="Times New Roman" w:hAnsi="Times New Roman" w:cs="Times New Roman"/>
    </w:rPr>
  </w:style>
  <w:style w:type="paragraph" w:styleId="1160" w:customStyle="1">
    <w:name w:val="索引 31"/>
    <w:basedOn w:val="863"/>
    <w:next w:val="862"/>
    <w:qFormat/>
    <w:pPr>
      <w:ind w:left="400" w:firstLine="2560"/>
      <w:jc w:val="center"/>
      <w:spacing w:before="0" w:after="0" w:line="360" w:lineRule="auto"/>
    </w:pPr>
    <w:rPr>
      <w:rFonts w:ascii="Times New Roman" w:hAnsi="Times New Roman" w:cs="Times New Roman"/>
    </w:rPr>
  </w:style>
  <w:style w:type="paragraph" w:styleId="1161" w:customStyle="1">
    <w:name w:val="目录4"/>
    <w:basedOn w:val="863"/>
    <w:next w:val="862"/>
    <w:qFormat/>
    <w:pPr>
      <w:ind w:left="629" w:firstLine="5237"/>
      <w:spacing w:before="0" w:after="0" w:line="317" w:lineRule="atLeast"/>
    </w:pPr>
    <w:rPr>
      <w:rFonts w:ascii="Times New Roman" w:hAnsi="Times New Roman" w:cs="Times New Roman"/>
    </w:rPr>
  </w:style>
  <w:style w:type="paragraph" w:styleId="1162" w:customStyle="1">
    <w:name w:val="p15"/>
    <w:basedOn w:val="862"/>
    <w:qFormat/>
    <w:pPr>
      <w:ind w:left="0"/>
    </w:pPr>
    <w:rPr>
      <w:rFonts w:ascii="宋体" w:hAnsi="宋体"/>
      <w:sz w:val="28"/>
      <w:szCs w:val="28"/>
    </w:rPr>
  </w:style>
  <w:style w:type="paragraph" w:styleId="1163" w:customStyle="1">
    <w:name w:val="四号 居中"/>
    <w:basedOn w:val="863"/>
    <w:next w:val="1157"/>
    <w:qFormat/>
    <w:pPr>
      <w:ind w:left="0" w:firstLine="6144"/>
      <w:jc w:val="center"/>
      <w:spacing w:before="0" w:after="0" w:line="360" w:lineRule="auto"/>
    </w:pPr>
    <w:rPr>
      <w:rFonts w:ascii="Times New Roman" w:hAnsi="Times New Roman" w:cs="Times New Roman"/>
    </w:rPr>
  </w:style>
  <w:style w:type="paragraph" w:styleId="1164" w:customStyle="1">
    <w:name w:val="p0"/>
    <w:next w:val="862"/>
    <w:qFormat/>
    <w:pPr>
      <w:ind w:firstLine="2048"/>
      <w:spacing w:line="360" w:lineRule="auto"/>
    </w:pPr>
    <w:rPr>
      <w:rFonts w:ascii="Calibri" w:hAnsi="Calibri"/>
    </w:rPr>
  </w:style>
  <w:style w:type="paragraph" w:styleId="1165" w:customStyle="1">
    <w:name w:val="列表编号 21"/>
    <w:basedOn w:val="863"/>
    <w:next w:val="1166"/>
    <w:qFormat/>
    <w:pPr>
      <w:ind w:left="0" w:firstLine="2560"/>
      <w:spacing w:before="0" w:after="0" w:line="360" w:lineRule="auto"/>
    </w:pPr>
    <w:rPr>
      <w:rFonts w:ascii="Times New Roman" w:hAnsi="Times New Roman" w:cs="Times New Roman"/>
    </w:rPr>
  </w:style>
  <w:style w:type="paragraph" w:styleId="1166" w:customStyle="1">
    <w:name w:val="正文文本 21"/>
    <w:basedOn w:val="863"/>
    <w:next w:val="1047"/>
    <w:qFormat/>
    <w:pPr>
      <w:ind w:left="0" w:firstLine="2560"/>
      <w:jc w:val="center"/>
      <w:spacing w:before="0" w:after="120" w:line="480" w:lineRule="auto"/>
    </w:pPr>
    <w:rPr>
      <w:rFonts w:ascii="Times New Roman" w:hAnsi="Times New Roman" w:cs="Times New Roman"/>
    </w:rPr>
  </w:style>
  <w:style w:type="paragraph" w:styleId="1167" w:customStyle="1">
    <w:name w:val="a2"/>
    <w:basedOn w:val="863"/>
    <w:next w:val="902"/>
    <w:qFormat/>
    <w:pPr>
      <w:ind w:left="0" w:firstLine="1024"/>
      <w:spacing w:before="280" w:after="280" w:line="240" w:lineRule="auto"/>
    </w:pPr>
    <w:rPr>
      <w:rFonts w:ascii="Times New Roman" w:hAnsi="Times New Roman" w:cs="Times New Roman"/>
    </w:rPr>
  </w:style>
  <w:style w:type="paragraph" w:styleId="1168" w:customStyle="1">
    <w:name w:val="font8"/>
    <w:basedOn w:val="863"/>
    <w:next w:val="1092"/>
    <w:qFormat/>
    <w:pPr>
      <w:ind w:left="0" w:firstLine="2048"/>
      <w:spacing w:before="280" w:after="280" w:line="240" w:lineRule="auto"/>
    </w:pPr>
    <w:rPr>
      <w:rFonts w:ascii="Times New Roman" w:hAnsi="Times New Roman" w:cs="Times New Roman"/>
    </w:rPr>
  </w:style>
  <w:style w:type="paragraph" w:styleId="1169" w:customStyle="1">
    <w:name w:val="Char Char Char Char Char Char1 Char Char Char Char Char Char1 Char Char Char Char Char Char Char"/>
    <w:basedOn w:val="863"/>
    <w:next w:val="1170"/>
    <w:qFormat/>
    <w:pPr>
      <w:ind w:left="0" w:firstLine="2560"/>
      <w:spacing w:before="0" w:after="0" w:line="240" w:lineRule="auto"/>
    </w:pPr>
    <w:rPr>
      <w:rFonts w:ascii="Times New Roman" w:hAnsi="Times New Roman" w:cs="Times New Roman"/>
    </w:rPr>
  </w:style>
  <w:style w:type="paragraph" w:styleId="1170" w:customStyle="1">
    <w:name w:val="xl87"/>
    <w:basedOn w:val="863"/>
    <w:next w:val="1126"/>
    <w:qFormat/>
    <w:pPr>
      <w:ind w:left="0" w:firstLine="5120"/>
      <w:spacing w:before="280" w:after="280" w:line="240" w:lineRule="auto"/>
    </w:pPr>
    <w:rPr>
      <w:rFonts w:ascii="Times New Roman" w:hAnsi="Times New Roman" w:cs="Times New Roman"/>
    </w:rPr>
  </w:style>
  <w:style w:type="paragraph" w:styleId="1171" w:customStyle="1">
    <w:name w:val="444"/>
    <w:basedOn w:val="863"/>
    <w:next w:val="884"/>
    <w:qFormat/>
    <w:pPr>
      <w:ind w:left="0" w:firstLine="4608"/>
      <w:jc w:val="center"/>
      <w:spacing w:before="0" w:after="0" w:line="312" w:lineRule="atLeast"/>
    </w:pPr>
    <w:rPr>
      <w:rFonts w:ascii="Times New Roman" w:hAnsi="Times New Roman" w:cs="Times New Roman"/>
    </w:rPr>
  </w:style>
  <w:style w:type="paragraph" w:styleId="1172" w:customStyle="1">
    <w:name w:val="表格文字图表文字"/>
    <w:basedOn w:val="863"/>
    <w:next w:val="1173"/>
    <w:qFormat/>
    <w:pPr>
      <w:ind w:left="0" w:firstLine="3584"/>
      <w:jc w:val="center"/>
      <w:spacing w:before="0" w:after="0" w:line="240" w:lineRule="auto"/>
    </w:pPr>
    <w:rPr>
      <w:rFonts w:ascii="Times New Roman" w:hAnsi="Times New Roman" w:cs="Times New Roman"/>
    </w:rPr>
  </w:style>
  <w:style w:type="paragraph" w:styleId="1173" w:customStyle="1">
    <w:name w:val="样式 目录 3 + 左侧:  2 字符1"/>
    <w:next w:val="1174"/>
    <w:qFormat/>
    <w:pPr>
      <w:ind w:left="960" w:firstLine="5120"/>
      <w:spacing w:line="360" w:lineRule="auto"/>
      <w:widowControl w:val="off"/>
    </w:pPr>
    <w:rPr>
      <w:rFonts w:ascii="Calibri" w:hAnsi="Calibri"/>
    </w:rPr>
  </w:style>
  <w:style w:type="paragraph" w:styleId="1174" w:customStyle="1">
    <w:name w:val="文档正文"/>
    <w:basedOn w:val="863"/>
    <w:next w:val="1175"/>
    <w:qFormat/>
    <w:pPr>
      <w:ind w:left="567" w:firstLine="3639"/>
      <w:spacing w:before="0" w:after="0" w:line="480" w:lineRule="atLeast"/>
    </w:pPr>
    <w:rPr>
      <w:rFonts w:ascii="Times New Roman" w:hAnsi="Times New Roman" w:cs="Times New Roman"/>
    </w:rPr>
  </w:style>
  <w:style w:type="paragraph" w:styleId="1175" w:customStyle="1">
    <w:name w:val="列表框2"/>
    <w:next w:val="1176"/>
    <w:qFormat/>
    <w:pPr>
      <w:ind w:firstLine="2048"/>
      <w:spacing w:line="460" w:lineRule="exact"/>
    </w:pPr>
    <w:rPr>
      <w:rFonts w:ascii="Calibri" w:hAnsi="Calibri"/>
    </w:rPr>
  </w:style>
  <w:style w:type="paragraph" w:styleId="1176" w:customStyle="1">
    <w:name w:val="font10"/>
    <w:basedOn w:val="863"/>
    <w:next w:val="895"/>
    <w:qFormat/>
    <w:pPr>
      <w:ind w:left="0" w:firstLine="3584"/>
      <w:spacing w:before="280" w:after="280" w:line="240" w:lineRule="auto"/>
    </w:pPr>
    <w:rPr>
      <w:rFonts w:ascii="Times New Roman" w:hAnsi="Times New Roman" w:cs="Times New Roman"/>
    </w:rPr>
  </w:style>
  <w:style w:type="paragraph" w:styleId="1177" w:customStyle="1">
    <w:name w:val="纯文本1"/>
    <w:basedOn w:val="863"/>
    <w:next w:val="907"/>
    <w:qFormat/>
    <w:pPr>
      <w:ind w:left="0" w:firstLine="3584"/>
      <w:spacing w:before="0" w:after="0" w:line="240" w:lineRule="auto"/>
    </w:pPr>
    <w:rPr>
      <w:rFonts w:ascii="Times New Roman" w:hAnsi="Times New Roman" w:cs="Times New Roman"/>
    </w:rPr>
  </w:style>
  <w:style w:type="paragraph" w:styleId="1178" w:customStyle="1">
    <w:name w:val="索引 91"/>
    <w:basedOn w:val="863"/>
    <w:next w:val="862"/>
    <w:qFormat/>
    <w:pPr>
      <w:ind w:left="1600" w:firstLine="2560"/>
      <w:jc w:val="center"/>
      <w:spacing w:before="0" w:after="0" w:line="360" w:lineRule="auto"/>
    </w:pPr>
    <w:rPr>
      <w:rFonts w:ascii="Times New Roman" w:hAnsi="Times New Roman" w:cs="Times New Roman"/>
    </w:rPr>
  </w:style>
  <w:style w:type="paragraph" w:styleId="1179" w:customStyle="1">
    <w:name w:val="xl79"/>
    <w:basedOn w:val="863"/>
    <w:next w:val="1155"/>
    <w:qFormat/>
    <w:pPr>
      <w:ind w:left="0" w:firstLine="3584"/>
      <w:jc w:val="center"/>
      <w:spacing w:before="280" w:after="280" w:line="240" w:lineRule="auto"/>
    </w:pPr>
    <w:rPr>
      <w:rFonts w:ascii="Times New Roman" w:hAnsi="Times New Roman" w:cs="Times New Roman"/>
    </w:rPr>
  </w:style>
  <w:style w:type="paragraph" w:styleId="1180" w:customStyle="1">
    <w:name w:val="表格文字（4号居中）"/>
    <w:next w:val="1181"/>
    <w:qFormat/>
    <w:pPr>
      <w:ind w:firstLine="2560"/>
      <w:jc w:val="center"/>
    </w:pPr>
    <w:rPr>
      <w:rFonts w:ascii="Calibri" w:hAnsi="Calibri"/>
    </w:rPr>
  </w:style>
  <w:style w:type="paragraph" w:styleId="1181" w:customStyle="1">
    <w:name w:val="!方块加粗"/>
    <w:basedOn w:val="863"/>
    <w:next w:val="1148"/>
    <w:qFormat/>
    <w:pPr>
      <w:ind w:left="600" w:firstLine="5212"/>
      <w:spacing w:before="0" w:after="0" w:line="360" w:lineRule="auto"/>
    </w:pPr>
    <w:rPr>
      <w:rFonts w:ascii="Times New Roman" w:hAnsi="Times New Roman" w:cs="Times New Roman"/>
    </w:rPr>
  </w:style>
  <w:style w:type="paragraph" w:styleId="1182" w:customStyle="1">
    <w:name w:val="xl75"/>
    <w:basedOn w:val="863"/>
    <w:next w:val="908"/>
    <w:qFormat/>
    <w:pPr>
      <w:ind w:left="0" w:firstLine="3584"/>
      <w:jc w:val="center"/>
      <w:spacing w:before="280" w:after="280" w:line="240" w:lineRule="auto"/>
    </w:pPr>
    <w:rPr>
      <w:rFonts w:ascii="Times New Roman" w:hAnsi="Times New Roman" w:cs="Times New Roman"/>
    </w:rPr>
  </w:style>
  <w:style w:type="paragraph" w:styleId="1183" w:customStyle="1">
    <w:name w:val="xl81"/>
    <w:basedOn w:val="863"/>
    <w:next w:val="1184"/>
    <w:qFormat/>
    <w:pPr>
      <w:ind w:left="0" w:firstLine="5120"/>
      <w:spacing w:before="280" w:after="280" w:line="240" w:lineRule="auto"/>
    </w:pPr>
    <w:rPr>
      <w:rFonts w:ascii="Times New Roman" w:hAnsi="Times New Roman" w:cs="Times New Roman"/>
    </w:rPr>
  </w:style>
  <w:style w:type="paragraph" w:styleId="1184" w:customStyle="1">
    <w:name w:val="xl25"/>
    <w:basedOn w:val="863"/>
    <w:next w:val="1185"/>
    <w:qFormat/>
    <w:pPr>
      <w:ind w:left="0" w:firstLine="14"/>
      <w:spacing w:before="280" w:after="280" w:line="240" w:lineRule="auto"/>
      <w:shd w:val="clear" w:color="000000" w:fill="ffffff"/>
    </w:pPr>
    <w:rPr>
      <w:rFonts w:ascii="Times New Roman" w:hAnsi="Times New Roman" w:cs="Times New Roman"/>
    </w:rPr>
  </w:style>
  <w:style w:type="paragraph" w:styleId="1185" w:customStyle="1">
    <w:name w:val="普通(网站)1"/>
    <w:basedOn w:val="863"/>
    <w:next w:val="1186"/>
    <w:qFormat/>
    <w:pPr>
      <w:ind w:left="200" w:firstLine="1224"/>
      <w:spacing w:before="280" w:after="280" w:line="240" w:lineRule="auto"/>
    </w:pPr>
    <w:rPr>
      <w:rFonts w:ascii="Times New Roman" w:hAnsi="Times New Roman" w:cs="Times New Roman"/>
    </w:rPr>
  </w:style>
  <w:style w:type="paragraph" w:styleId="1186" w:customStyle="1">
    <w:name w:val="xl27"/>
    <w:basedOn w:val="863"/>
    <w:next w:val="1172"/>
    <w:qFormat/>
    <w:pPr>
      <w:ind w:left="0" w:firstLine="20"/>
      <w:spacing w:before="280" w:after="280" w:line="240" w:lineRule="auto"/>
      <w:shd w:val="clear" w:color="000000" w:fill="ffffff"/>
    </w:pPr>
    <w:rPr>
      <w:rFonts w:ascii="Times New Roman" w:hAnsi="Times New Roman" w:cs="Times New Roman"/>
    </w:rPr>
  </w:style>
  <w:style w:type="paragraph" w:styleId="1187" w:customStyle="1">
    <w:name w:val="H 4"/>
    <w:basedOn w:val="867"/>
    <w:next w:val="1188"/>
    <w:qFormat/>
    <w:pPr>
      <w:ind w:left="426" w:firstLine="24"/>
      <w:spacing w:before="0" w:after="0" w:line="360" w:lineRule="auto"/>
      <w:outlineLvl w:val="3"/>
    </w:pPr>
  </w:style>
  <w:style w:type="paragraph" w:styleId="1188" w:customStyle="1">
    <w:name w:val="xl82"/>
    <w:basedOn w:val="863"/>
    <w:next w:val="1183"/>
    <w:qFormat/>
    <w:pPr>
      <w:ind w:left="0" w:firstLine="5120"/>
      <w:spacing w:before="280" w:after="280" w:line="240" w:lineRule="auto"/>
    </w:pPr>
    <w:rPr>
      <w:rFonts w:ascii="Times New Roman" w:hAnsi="Times New Roman" w:cs="Times New Roman"/>
    </w:rPr>
  </w:style>
  <w:style w:type="paragraph" w:styleId="1189" w:customStyle="1">
    <w:name w:val="Char Char Char Char Char Char Char Char"/>
    <w:next w:val="1190"/>
    <w:qFormat/>
    <w:pPr>
      <w:ind w:firstLine="14"/>
      <w:jc w:val="both"/>
      <w:shd w:val="clear" w:color="000000" w:fill="000080"/>
      <w:widowControl w:val="off"/>
    </w:pPr>
    <w:rPr>
      <w:rFonts w:ascii="Calibri" w:hAnsi="Calibri"/>
    </w:rPr>
  </w:style>
  <w:style w:type="paragraph" w:styleId="1190" w:customStyle="1">
    <w:name w:val="Char Char Char Char Char Char1 Char Char Char1 Char Char Char Char Char Char Char Char Char Char Char Char Char Char Char"/>
    <w:basedOn w:val="863"/>
    <w:next w:val="1191"/>
    <w:qFormat/>
    <w:pPr>
      <w:ind w:left="0" w:firstLine="2560"/>
      <w:spacing w:before="0" w:after="0" w:line="240" w:lineRule="auto"/>
    </w:pPr>
    <w:rPr>
      <w:rFonts w:ascii="Times New Roman" w:hAnsi="Times New Roman" w:cs="Times New Roman"/>
    </w:rPr>
  </w:style>
  <w:style w:type="paragraph" w:styleId="1191" w:customStyle="1">
    <w:name w:val="样式1"/>
    <w:basedOn w:val="863"/>
    <w:next w:val="1192"/>
    <w:qFormat/>
    <w:pPr>
      <w:ind w:left="0" w:firstLine="1536"/>
      <w:spacing w:before="120" w:after="120" w:line="300" w:lineRule="auto"/>
    </w:pPr>
    <w:rPr>
      <w:rFonts w:ascii="Times New Roman" w:hAnsi="Times New Roman" w:cs="Times New Roman"/>
    </w:rPr>
  </w:style>
  <w:style w:type="paragraph" w:styleId="1192" w:customStyle="1">
    <w:name w:val="索引 41"/>
    <w:basedOn w:val="863"/>
    <w:next w:val="862"/>
    <w:qFormat/>
    <w:pPr>
      <w:ind w:left="600" w:firstLine="2560"/>
      <w:jc w:val="center"/>
      <w:spacing w:before="0" w:after="0" w:line="360" w:lineRule="auto"/>
    </w:pPr>
    <w:rPr>
      <w:rFonts w:ascii="Times New Roman" w:hAnsi="Times New Roman" w:cs="Times New Roman"/>
    </w:rPr>
  </w:style>
  <w:style w:type="paragraph" w:styleId="1193" w:customStyle="1">
    <w:name w:val="自定义二"/>
    <w:basedOn w:val="863"/>
    <w:next w:val="862"/>
    <w:qFormat/>
    <w:pPr>
      <w:ind w:left="0" w:firstLine="14"/>
      <w:spacing w:before="0" w:after="0" w:line="360" w:lineRule="auto"/>
      <w:outlineLvl w:val="1"/>
    </w:pPr>
    <w:rPr>
      <w:rFonts w:ascii="Times New Roman" w:hAnsi="Times New Roman" w:cs="Times New Roman"/>
    </w:rPr>
  </w:style>
  <w:style w:type="paragraph" w:styleId="1194" w:customStyle="1">
    <w:name w:val="Bullet"/>
    <w:next w:val="1132"/>
    <w:qFormat/>
    <w:pPr>
      <w:ind w:left="567" w:right="2835" w:firstLine="3584"/>
      <w:spacing w:after="60"/>
    </w:pPr>
    <w:rPr>
      <w:rFonts w:ascii="Calibri" w:hAnsi="Calibri"/>
    </w:rPr>
  </w:style>
  <w:style w:type="paragraph" w:styleId="1195" w:customStyle="1">
    <w:name w:val="Char Char Char Char Char Char1"/>
    <w:basedOn w:val="863"/>
    <w:next w:val="1196"/>
    <w:qFormat/>
    <w:pPr>
      <w:ind w:left="0" w:firstLine="2560"/>
      <w:spacing w:before="0" w:after="0" w:line="240" w:lineRule="auto"/>
    </w:pPr>
    <w:rPr>
      <w:rFonts w:ascii="Times New Roman" w:hAnsi="Times New Roman" w:cs="Times New Roman"/>
    </w:rPr>
  </w:style>
  <w:style w:type="paragraph" w:styleId="1196" w:customStyle="1">
    <w:name w:val="正文缩进2"/>
    <w:basedOn w:val="863"/>
    <w:next w:val="1197"/>
    <w:qFormat/>
    <w:pPr>
      <w:ind w:left="420" w:firstLine="1188"/>
      <w:spacing w:before="0" w:after="0" w:line="240" w:lineRule="auto"/>
    </w:pPr>
    <w:rPr>
      <w:rFonts w:ascii="Times New Roman" w:hAnsi="Times New Roman" w:cs="Times New Roman"/>
    </w:rPr>
  </w:style>
  <w:style w:type="paragraph" w:styleId="1197" w:customStyle="1">
    <w:name w:val="列出段落2"/>
    <w:basedOn w:val="863"/>
    <w:next w:val="1198"/>
    <w:qFormat/>
    <w:pPr>
      <w:ind w:left="420" w:firstLine="3748"/>
      <w:spacing w:before="0" w:after="0" w:line="240" w:lineRule="auto"/>
    </w:pPr>
    <w:rPr>
      <w:rFonts w:ascii="Times New Roman" w:hAnsi="Times New Roman" w:cs="Times New Roman"/>
    </w:rPr>
  </w:style>
  <w:style w:type="paragraph" w:styleId="1198" w:customStyle="1">
    <w:name w:val="正文文本缩进 31"/>
    <w:basedOn w:val="863"/>
    <w:next w:val="1199"/>
    <w:qFormat/>
    <w:pPr>
      <w:ind w:left="1200" w:firstLine="1248"/>
      <w:spacing w:before="120" w:after="0" w:line="22" w:lineRule="atLeast"/>
    </w:pPr>
    <w:rPr>
      <w:rFonts w:ascii="Times New Roman" w:hAnsi="Times New Roman" w:cs="Times New Roman"/>
    </w:rPr>
  </w:style>
  <w:style w:type="paragraph" w:styleId="1199" w:customStyle="1">
    <w:name w:val="样式 正文首行缩进 + 首行缩进:  2 字符5"/>
    <w:next w:val="1200"/>
    <w:qFormat/>
    <w:pPr>
      <w:ind w:left="200" w:firstLine="3784"/>
      <w:spacing w:line="300" w:lineRule="auto"/>
    </w:pPr>
    <w:rPr>
      <w:rFonts w:ascii="Calibri" w:hAnsi="Calibri"/>
    </w:rPr>
  </w:style>
  <w:style w:type="paragraph" w:styleId="1200" w:customStyle="1">
    <w:name w:val="Char2"/>
    <w:basedOn w:val="863"/>
    <w:next w:val="1194"/>
    <w:qFormat/>
    <w:pPr>
      <w:ind w:left="0" w:firstLine="3584"/>
      <w:spacing w:before="0" w:after="160" w:line="240" w:lineRule="exact"/>
    </w:pPr>
    <w:rPr>
      <w:rFonts w:ascii="Times New Roman" w:hAnsi="Times New Roman" w:cs="Times New Roman"/>
    </w:rPr>
  </w:style>
  <w:style w:type="paragraph" w:styleId="1201" w:customStyle="1">
    <w:name w:val="WPSOffice手动目录 1"/>
    <w:qFormat/>
  </w:style>
  <w:style w:type="paragraph" w:styleId="1202" w:customStyle="1">
    <w:name w:val="纯文本4"/>
    <w:basedOn w:val="862"/>
    <w:qFormat/>
    <w:pPr>
      <w:ind w:left="0"/>
      <w:widowControl w:val="off"/>
    </w:pPr>
    <w:rPr>
      <w:rFonts w:ascii="宋体" w:hAnsi="Courier New" w:eastAsia="楷体_GB2312" w:cs="Times New Roman"/>
      <w:sz w:val="26"/>
    </w:rPr>
  </w:style>
  <w:style w:type="paragraph" w:styleId="1203" w:customStyle="1">
    <w:name w:val="Char Char Char Char Char Char Char Char Char Char Char Char Char Char Char Char"/>
    <w:basedOn w:val="863"/>
    <w:next w:val="1204"/>
    <w:qFormat/>
    <w:pPr>
      <w:ind w:left="682" w:firstLine="1224"/>
      <w:spacing w:before="0" w:after="0" w:line="360" w:lineRule="auto"/>
    </w:pPr>
    <w:rPr>
      <w:rFonts w:ascii="Times New Roman" w:hAnsi="Times New Roman" w:cs="Times New Roman"/>
    </w:rPr>
  </w:style>
  <w:style w:type="paragraph" w:styleId="1204" w:customStyle="1">
    <w:name w:val="列表编号 51"/>
    <w:basedOn w:val="863"/>
    <w:next w:val="1205"/>
    <w:qFormat/>
    <w:pPr>
      <w:ind w:left="900" w:firstLine="2652"/>
      <w:spacing w:before="0" w:after="0" w:line="360" w:lineRule="auto"/>
    </w:pPr>
    <w:rPr>
      <w:rFonts w:ascii="Times New Roman" w:hAnsi="Times New Roman" w:cs="Times New Roman"/>
    </w:rPr>
  </w:style>
  <w:style w:type="paragraph" w:styleId="1205" w:customStyle="1">
    <w:name w:val="样式 标题 1 + 黑体 (符号) 宋体 三号 段前: 7.8 磅 段后: 7.8 磅 行距: 1.5 倍行距"/>
    <w:basedOn w:val="864"/>
    <w:next w:val="1206"/>
    <w:qFormat/>
    <w:pPr>
      <w:ind w:left="432" w:firstLine="18"/>
      <w:spacing w:before="40" w:after="40" w:line="360" w:lineRule="auto"/>
      <w:outlineLvl w:val="0"/>
    </w:pPr>
  </w:style>
  <w:style w:type="paragraph" w:styleId="1206" w:customStyle="1">
    <w:name w:val="表格用"/>
    <w:basedOn w:val="863"/>
    <w:next w:val="1163"/>
    <w:qFormat/>
    <w:pPr>
      <w:ind w:left="0" w:firstLine="1024"/>
      <w:spacing w:before="0" w:after="0" w:line="360" w:lineRule="auto"/>
    </w:pPr>
    <w:rPr>
      <w:rFonts w:ascii="Times New Roman" w:hAnsi="Times New Roman" w:cs="Times New Roman"/>
    </w:rPr>
  </w:style>
  <w:style w:type="paragraph" w:styleId="1207" w:customStyle="1">
    <w:name w:val="xl71"/>
    <w:basedOn w:val="863"/>
    <w:next w:val="1208"/>
    <w:qFormat/>
    <w:pPr>
      <w:ind w:left="0" w:firstLine="1536"/>
      <w:spacing w:before="280" w:after="280" w:line="240" w:lineRule="auto"/>
    </w:pPr>
    <w:rPr>
      <w:rFonts w:ascii="Times New Roman" w:hAnsi="Times New Roman" w:cs="Times New Roman"/>
    </w:rPr>
  </w:style>
  <w:style w:type="paragraph" w:styleId="1208" w:customStyle="1">
    <w:name w:val="正文文本 31"/>
    <w:basedOn w:val="863"/>
    <w:next w:val="1209"/>
    <w:qFormat/>
    <w:pPr>
      <w:ind w:left="0" w:firstLine="3584"/>
      <w:jc w:val="center"/>
      <w:spacing w:before="0" w:after="120" w:line="360" w:lineRule="auto"/>
    </w:pPr>
    <w:rPr>
      <w:rFonts w:ascii="Times New Roman" w:hAnsi="Times New Roman" w:cs="Times New Roman"/>
    </w:rPr>
  </w:style>
  <w:style w:type="paragraph" w:styleId="1209" w:customStyle="1">
    <w:name w:val="列出段落111"/>
    <w:basedOn w:val="863"/>
    <w:next w:val="1145"/>
    <w:qFormat/>
    <w:pPr>
      <w:ind w:left="420" w:firstLine="3748"/>
      <w:spacing w:before="0" w:after="0" w:line="240" w:lineRule="auto"/>
    </w:pPr>
    <w:rPr>
      <w:rFonts w:ascii="Times New Roman" w:hAnsi="Times New Roman" w:cs="Times New Roman"/>
    </w:rPr>
  </w:style>
  <w:style w:type="paragraph" w:styleId="1210" w:customStyle="1">
    <w:name w:val="修订1"/>
    <w:qFormat/>
    <w:rPr>
      <w:rFonts w:ascii="Calibri" w:hAnsi="Calibri"/>
    </w:rPr>
  </w:style>
  <w:style w:type="paragraph" w:styleId="1211" w:customStyle="1">
    <w:name w:val="正文文本缩进 21"/>
    <w:basedOn w:val="863"/>
    <w:next w:val="1151"/>
    <w:qFormat/>
    <w:pPr>
      <w:ind w:left="480" w:firstLine="4832"/>
      <w:spacing w:before="0" w:after="0" w:line="240" w:lineRule="auto"/>
    </w:pPr>
    <w:rPr>
      <w:rFonts w:ascii="Times New Roman" w:hAnsi="Times New Roman" w:cs="Times New Roman"/>
    </w:rPr>
  </w:style>
  <w:style w:type="paragraph" w:styleId="1212" w:customStyle="1">
    <w:name w:val="Char Char4 Char Char"/>
    <w:basedOn w:val="863"/>
    <w:next w:val="1161"/>
    <w:qFormat/>
    <w:pPr>
      <w:ind w:left="0" w:firstLine="2560"/>
      <w:spacing w:before="0" w:after="0" w:line="240" w:lineRule="auto"/>
    </w:pPr>
    <w:rPr>
      <w:rFonts w:ascii="Times New Roman" w:hAnsi="Times New Roman" w:cs="Times New Roman"/>
    </w:rPr>
  </w:style>
  <w:style w:type="paragraph" w:styleId="1213" w:customStyle="1">
    <w:name w:val="样式"/>
    <w:next w:val="862"/>
    <w:qFormat/>
    <w:pPr>
      <w:ind w:firstLine="3584"/>
      <w:widowControl w:val="off"/>
    </w:pPr>
    <w:rPr>
      <w:rFonts w:ascii="Calibri" w:hAnsi="Calibri"/>
    </w:rPr>
  </w:style>
  <w:style w:type="paragraph" w:styleId="1214" w:customStyle="1">
    <w:name w:val="TOC 标题1"/>
    <w:basedOn w:val="864"/>
    <w:next w:val="862"/>
    <w:qFormat/>
    <w:pPr>
      <w:ind w:left="0" w:firstLine="6144"/>
      <w:spacing w:before="480" w:after="0" w:line="276" w:lineRule="auto"/>
    </w:pPr>
    <w:rPr>
      <w:b/>
      <w:sz w:val="30"/>
    </w:rPr>
  </w:style>
  <w:style w:type="paragraph" w:styleId="1215" w:customStyle="1">
    <w:name w:val="纯文本3"/>
    <w:basedOn w:val="862"/>
    <w:qFormat/>
    <w:rPr>
      <w:rFonts w:ascii="宋体" w:hAnsi="Courier New" w:cs="Times New Roman"/>
    </w:rPr>
  </w:style>
  <w:style w:type="paragraph" w:styleId="1216" w:customStyle="1">
    <w:name w:val="afont"/>
    <w:basedOn w:val="863"/>
    <w:next w:val="888"/>
    <w:qFormat/>
    <w:pPr>
      <w:ind w:left="0" w:firstLine="2048"/>
      <w:spacing w:before="100" w:after="100" w:line="285" w:lineRule="atLeast"/>
    </w:pPr>
    <w:rPr>
      <w:rFonts w:ascii="Times New Roman" w:hAnsi="Times New Roman" w:cs="Times New Roman"/>
    </w:rPr>
  </w:style>
  <w:style w:type="paragraph" w:styleId="1217" w:customStyle="1">
    <w:name w:val="xl85"/>
    <w:basedOn w:val="863"/>
    <w:next w:val="1218"/>
    <w:qFormat/>
    <w:pPr>
      <w:ind w:left="0" w:firstLine="2048"/>
      <w:jc w:val="center"/>
      <w:spacing w:before="280" w:after="280" w:line="240" w:lineRule="auto"/>
    </w:pPr>
    <w:rPr>
      <w:rFonts w:ascii="Times New Roman" w:hAnsi="Times New Roman" w:cs="Times New Roman"/>
    </w:rPr>
  </w:style>
  <w:style w:type="paragraph" w:styleId="1218" w:customStyle="1">
    <w:name w:val="文章总标题"/>
    <w:basedOn w:val="863"/>
    <w:next w:val="1219"/>
    <w:qFormat/>
    <w:pPr>
      <w:ind w:left="0" w:firstLine="7168"/>
      <w:jc w:val="center"/>
      <w:spacing w:before="566" w:after="544" w:line="566" w:lineRule="atLeast"/>
    </w:pPr>
    <w:rPr>
      <w:rFonts w:ascii="Times New Roman" w:hAnsi="Times New Roman" w:cs="Times New Roman"/>
    </w:rPr>
  </w:style>
  <w:style w:type="paragraph" w:styleId="1219" w:customStyle="1">
    <w:name w:val="样式 首行缩进:  2 字符"/>
    <w:basedOn w:val="863"/>
    <w:next w:val="1182"/>
    <w:qFormat/>
    <w:pPr>
      <w:ind w:left="200" w:firstLine="1224"/>
      <w:spacing w:before="0" w:after="0" w:line="400" w:lineRule="exact"/>
    </w:pPr>
    <w:rPr>
      <w:rFonts w:ascii="Times New Roman" w:hAnsi="Times New Roman" w:cs="Times New Roman"/>
    </w:rPr>
  </w:style>
  <w:style w:type="paragraph" w:styleId="1220" w:customStyle="1">
    <w:name w:val="二级条标题"/>
    <w:basedOn w:val="863"/>
    <w:next w:val="862"/>
    <w:qFormat/>
    <w:pPr>
      <w:ind w:left="0" w:firstLine="8"/>
      <w:spacing w:before="0" w:after="0" w:line="240" w:lineRule="auto"/>
      <w:outlineLvl w:val="3"/>
    </w:pPr>
    <w:rPr>
      <w:rFonts w:ascii="Times New Roman" w:hAnsi="Times New Roman" w:cs="Times New Roman"/>
    </w:rPr>
  </w:style>
  <w:style w:type="paragraph" w:styleId="1221" w:customStyle="1">
    <w:name w:val="Plain Text*"/>
    <w:basedOn w:val="862"/>
    <w:qFormat/>
    <w:pPr>
      <w:ind w:left="0"/>
      <w:jc w:val="left"/>
    </w:pPr>
    <w:rPr>
      <w:rFonts w:ascii="宋体" w:hAnsi="宋体" w:eastAsia="楷体_GB2312" w:cs="Courier New"/>
      <w:sz w:val="26"/>
      <w:lang w:val="zh-CN"/>
    </w:rPr>
  </w:style>
  <w:style w:type="paragraph" w:styleId="1222" w:customStyle="1">
    <w:name w:val="样式 加粗 居中2"/>
    <w:basedOn w:val="863"/>
    <w:next w:val="1074"/>
    <w:qFormat/>
    <w:pPr>
      <w:ind w:left="0" w:firstLine="2560"/>
      <w:jc w:val="center"/>
      <w:spacing w:before="0" w:after="0" w:line="360" w:lineRule="auto"/>
    </w:pPr>
    <w:rPr>
      <w:rFonts w:ascii="Times New Roman" w:hAnsi="Times New Roman" w:cs="Times New Roman"/>
    </w:rPr>
  </w:style>
  <w:style w:type="paragraph" w:styleId="1223" w:customStyle="1">
    <w:name w:val="标准文本"/>
    <w:basedOn w:val="863"/>
    <w:next w:val="1177"/>
    <w:qFormat/>
    <w:pPr>
      <w:ind w:left="480" w:firstLine="2784"/>
      <w:spacing w:before="0" w:after="0" w:line="360" w:lineRule="auto"/>
    </w:pPr>
    <w:rPr>
      <w:rFonts w:ascii="Times New Roman" w:hAnsi="Times New Roman" w:cs="Times New Roman"/>
    </w:rPr>
  </w:style>
  <w:style w:type="paragraph" w:styleId="1224" w:customStyle="1">
    <w:name w:val="font5"/>
    <w:basedOn w:val="863"/>
    <w:next w:val="1225"/>
    <w:qFormat/>
    <w:pPr>
      <w:ind w:left="0" w:firstLine="5120"/>
      <w:spacing w:before="280" w:after="280" w:line="240" w:lineRule="auto"/>
    </w:pPr>
    <w:rPr>
      <w:rFonts w:ascii="Times New Roman" w:hAnsi="Times New Roman" w:cs="Times New Roman"/>
    </w:rPr>
  </w:style>
  <w:style w:type="paragraph" w:styleId="1225" w:customStyle="1">
    <w:name w:val="索引标题1"/>
    <w:basedOn w:val="863"/>
    <w:next w:val="1104"/>
    <w:qFormat/>
    <w:pPr>
      <w:ind w:left="0" w:firstLine="4608"/>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Char Char Char Char"/>
    <w:basedOn w:val="863"/>
    <w:next w:val="1227"/>
    <w:qFormat/>
    <w:pPr>
      <w:ind w:left="0" w:firstLine="2560"/>
      <w:spacing w:before="0" w:after="0" w:line="240" w:lineRule="auto"/>
    </w:pPr>
    <w:rPr>
      <w:rFonts w:ascii="Times New Roman" w:hAnsi="Times New Roman" w:cs="Times New Roman"/>
    </w:rPr>
  </w:style>
  <w:style w:type="paragraph" w:styleId="1227" w:customStyle="1">
    <w:name w:val="1正文"/>
    <w:basedOn w:val="863"/>
    <w:next w:val="1228"/>
    <w:qFormat/>
    <w:pPr>
      <w:ind w:left="480" w:firstLine="2784"/>
      <w:spacing w:before="0" w:after="0" w:line="300" w:lineRule="auto"/>
    </w:pPr>
    <w:rPr>
      <w:rFonts w:ascii="Times New Roman" w:hAnsi="Times New Roman" w:cs="Times New Roman"/>
    </w:rPr>
  </w:style>
  <w:style w:type="paragraph" w:styleId="1228" w:customStyle="1">
    <w:name w:val="目录2"/>
    <w:basedOn w:val="863"/>
    <w:next w:val="862"/>
    <w:qFormat/>
    <w:pPr>
      <w:ind w:left="209" w:firstLine="5329"/>
      <w:spacing w:before="0" w:after="0" w:line="317" w:lineRule="atLeast"/>
    </w:pPr>
    <w:rPr>
      <w:rFonts w:ascii="Times New Roman" w:hAnsi="Times New Roman" w:cs="Times New Roman"/>
    </w:rPr>
  </w:style>
  <w:style w:type="paragraph" w:styleId="1229" w:customStyle="1">
    <w:name w:val="图表目录1"/>
    <w:basedOn w:val="863"/>
    <w:next w:val="862"/>
    <w:qFormat/>
    <w:pPr>
      <w:ind w:left="200" w:firstLine="2616"/>
      <w:jc w:val="center"/>
      <w:spacing w:before="0" w:after="0" w:line="360" w:lineRule="auto"/>
    </w:pPr>
    <w:rPr>
      <w:rFonts w:ascii="Times New Roman" w:hAnsi="Times New Roman" w:cs="Times New Roman"/>
    </w:rPr>
  </w:style>
  <w:style w:type="paragraph" w:styleId="1230" w:customStyle="1">
    <w:name w:val="xl63"/>
    <w:basedOn w:val="863"/>
    <w:next w:val="1180"/>
    <w:qFormat/>
    <w:pPr>
      <w:ind w:left="0" w:firstLine="5120"/>
      <w:spacing w:before="280" w:after="280" w:line="240" w:lineRule="auto"/>
    </w:pPr>
    <w:rPr>
      <w:rFonts w:ascii="Times New Roman" w:hAnsi="Times New Roman" w:cs="Times New Roman"/>
    </w:rPr>
  </w:style>
  <w:style w:type="paragraph" w:styleId="1231">
    <w:name w:val="List Paragraph"/>
    <w:basedOn w:val="862"/>
    <w:next w:val="1138"/>
    <w:qFormat/>
    <w:pPr>
      <w:ind w:left="420" w:firstLine="3748"/>
    </w:pPr>
    <w:rPr>
      <w:rFonts w:ascii="Times New Roman" w:hAnsi="Times New Roman" w:cs="Times New Roman"/>
    </w:rPr>
  </w:style>
  <w:style w:type="paragraph" w:styleId="1232" w:customStyle="1">
    <w:name w:val="xl73"/>
    <w:basedOn w:val="863"/>
    <w:next w:val="1233"/>
    <w:qFormat/>
    <w:pPr>
      <w:ind w:left="0" w:firstLine="3584"/>
      <w:spacing w:before="280" w:after="280" w:line="240" w:lineRule="auto"/>
    </w:pPr>
    <w:rPr>
      <w:rFonts w:ascii="Times New Roman" w:hAnsi="Times New Roman" w:cs="Times New Roman"/>
    </w:rPr>
  </w:style>
  <w:style w:type="paragraph" w:styleId="1233" w:customStyle="1">
    <w:name w:val="xl80"/>
    <w:basedOn w:val="863"/>
    <w:next w:val="1234"/>
    <w:qFormat/>
    <w:pPr>
      <w:ind w:left="0" w:firstLine="3584"/>
      <w:jc w:val="center"/>
      <w:spacing w:before="280" w:after="280" w:line="240" w:lineRule="auto"/>
    </w:pPr>
    <w:rPr>
      <w:rFonts w:ascii="Times New Roman" w:hAnsi="Times New Roman" w:cs="Times New Roman"/>
    </w:rPr>
  </w:style>
  <w:style w:type="paragraph" w:styleId="1234" w:customStyle="1">
    <w:name w:val="样式2"/>
    <w:basedOn w:val="868"/>
    <w:next w:val="1235"/>
    <w:qFormat/>
    <w:pPr>
      <w:ind w:left="1134" w:firstLine="18"/>
      <w:spacing w:before="0" w:after="0" w:line="360" w:lineRule="auto"/>
      <w:outlineLvl w:val="4"/>
    </w:pPr>
  </w:style>
  <w:style w:type="paragraph" w:styleId="1235" w:customStyle="1">
    <w:name w:val="日期1"/>
    <w:basedOn w:val="863"/>
    <w:next w:val="862"/>
    <w:qFormat/>
    <w:pPr>
      <w:ind w:left="100" w:firstLine="6144"/>
      <w:spacing w:before="0" w:after="0" w:line="240" w:lineRule="auto"/>
    </w:pPr>
    <w:rPr>
      <w:rFonts w:ascii="Times New Roman" w:hAnsi="Times New Roman" w:cs="Times New Roman"/>
    </w:rPr>
  </w:style>
  <w:style w:type="paragraph" w:styleId="1236" w:customStyle="1">
    <w:name w:val="图1"/>
    <w:basedOn w:val="863"/>
    <w:next w:val="862"/>
    <w:qFormat/>
    <w:pPr>
      <w:ind w:left="1105" w:firstLine="2580"/>
      <w:jc w:val="center"/>
      <w:spacing w:before="0" w:after="0" w:line="360" w:lineRule="auto"/>
    </w:pPr>
    <w:rPr>
      <w:rFonts w:ascii="Times New Roman" w:hAnsi="Times New Roman" w:cs="Times New Roman"/>
    </w:rPr>
  </w:style>
  <w:style w:type="paragraph" w:styleId="1237" w:customStyle="1">
    <w:name w:val="Char Char Char Char Char Char1 Char Char Char1 Char Char Char Char Char Char Char Char Char Char Char Char"/>
    <w:basedOn w:val="863"/>
    <w:next w:val="1217"/>
    <w:qFormat/>
    <w:pPr>
      <w:ind w:left="0" w:firstLine="2560"/>
      <w:spacing w:before="0" w:after="0" w:line="240" w:lineRule="auto"/>
    </w:pPr>
    <w:rPr>
      <w:rFonts w:ascii="Times New Roman" w:hAnsi="Times New Roman" w:cs="Times New Roman"/>
    </w:rPr>
  </w:style>
  <w:style w:type="paragraph" w:styleId="1238" w:customStyle="1">
    <w:name w:val="Char Char Char Char Char Char Char"/>
    <w:basedOn w:val="863"/>
    <w:next w:val="1123"/>
    <w:qFormat/>
    <w:pPr>
      <w:ind w:left="200" w:firstLine="4808"/>
      <w:spacing w:before="0" w:after="0" w:line="360" w:lineRule="auto"/>
    </w:pPr>
    <w:rPr>
      <w:rFonts w:ascii="Times New Roman" w:hAnsi="Times New Roman" w:cs="Times New Roman"/>
    </w:rPr>
  </w:style>
  <w:style w:type="paragraph" w:styleId="1239" w:customStyle="1">
    <w:name w:val="Char Char Char Char Char Char Char Char Char Char Char Char Char Char Char"/>
    <w:basedOn w:val="863"/>
    <w:next w:val="1214"/>
    <w:qFormat/>
    <w:pPr>
      <w:ind w:left="0" w:firstLine="3584"/>
      <w:jc w:val="center"/>
      <w:spacing w:before="0" w:after="0" w:line="400" w:lineRule="exact"/>
    </w:pPr>
    <w:rPr>
      <w:rFonts w:ascii="Times New Roman" w:hAnsi="Times New Roman" w:cs="Times New Roman"/>
    </w:rPr>
  </w:style>
  <w:style w:type="paragraph" w:styleId="1240">
    <w:name w:val="Intense Quote"/>
    <w:next w:val="862"/>
    <w:qFormat/>
    <w:pPr>
      <w:ind w:left="3766" w:right="950"/>
      <w:jc w:val="center"/>
      <w:spacing w:before="360" w:after="360"/>
    </w:pPr>
    <w:rPr>
      <w:rFonts w:ascii="Calibri" w:hAnsi="Calibri"/>
      <w:i/>
    </w:rPr>
  </w:style>
  <w:style w:type="paragraph" w:styleId="1241" w:customStyle="1">
    <w:name w:val="索引 51"/>
    <w:basedOn w:val="863"/>
    <w:next w:val="862"/>
    <w:qFormat/>
    <w:pPr>
      <w:ind w:left="800" w:firstLine="2560"/>
      <w:jc w:val="center"/>
      <w:spacing w:before="0" w:after="0" w:line="360" w:lineRule="auto"/>
    </w:pPr>
    <w:rPr>
      <w:rFonts w:ascii="Times New Roman" w:hAnsi="Times New Roman" w:cs="Times New Roman"/>
    </w:rPr>
  </w:style>
  <w:style w:type="paragraph" w:styleId="1242" w:customStyle="1">
    <w:name w:val="图表"/>
    <w:basedOn w:val="863"/>
    <w:next w:val="1243"/>
    <w:qFormat/>
    <w:pPr>
      <w:ind w:left="0" w:firstLine="2048"/>
      <w:jc w:val="center"/>
      <w:spacing w:before="0" w:after="0" w:line="240" w:lineRule="auto"/>
    </w:pPr>
    <w:rPr>
      <w:rFonts w:ascii="Times New Roman" w:hAnsi="Times New Roman" w:cs="Times New Roman"/>
    </w:rPr>
  </w:style>
  <w:style w:type="paragraph" w:styleId="1243" w:customStyle="1">
    <w:name w:val="reader-word-layer"/>
    <w:basedOn w:val="863"/>
    <w:next w:val="1244"/>
    <w:qFormat/>
    <w:pPr>
      <w:ind w:left="0" w:firstLine="1024"/>
      <w:spacing w:before="280" w:after="280" w:line="240" w:lineRule="auto"/>
    </w:pPr>
    <w:rPr>
      <w:rFonts w:ascii="Times New Roman" w:hAnsi="Times New Roman" w:cs="Times New Roman"/>
    </w:rPr>
  </w:style>
  <w:style w:type="paragraph" w:styleId="1244" w:customStyle="1">
    <w:name w:val="样式 加粗 居中1"/>
    <w:next w:val="1083"/>
    <w:qFormat/>
    <w:pPr>
      <w:ind w:firstLine="2560"/>
      <w:jc w:val="center"/>
    </w:pPr>
    <w:rPr>
      <w:rFonts w:ascii="Calibri" w:hAnsi="Calibri"/>
    </w:rPr>
  </w:style>
  <w:style w:type="paragraph" w:styleId="1245" w:customStyle="1">
    <w:name w:val="修订2"/>
    <w:qFormat/>
    <w:rPr>
      <w:rFonts w:ascii="Calibri" w:hAnsi="Calibri"/>
    </w:rPr>
  </w:style>
  <w:style w:type="paragraph" w:styleId="1246" w:customStyle="1">
    <w:name w:val="Body"/>
    <w:next w:val="1178"/>
    <w:qFormat/>
    <w:pPr>
      <w:ind w:left="567" w:right="2835" w:firstLine="3584"/>
      <w:spacing w:after="60"/>
    </w:pPr>
    <w:rPr>
      <w:rFonts w:ascii="Calibri" w:hAnsi="Calibri"/>
    </w:rPr>
  </w:style>
  <w:style w:type="paragraph" w:styleId="1247" w:customStyle="1">
    <w:name w:val="font6"/>
    <w:basedOn w:val="863"/>
    <w:next w:val="1248"/>
    <w:qFormat/>
    <w:pPr>
      <w:ind w:left="0" w:firstLine="5120"/>
      <w:spacing w:before="280" w:after="280" w:line="240" w:lineRule="auto"/>
    </w:pPr>
    <w:rPr>
      <w:rFonts w:ascii="Times New Roman" w:hAnsi="Times New Roman" w:cs="Times New Roman"/>
    </w:rPr>
  </w:style>
  <w:style w:type="paragraph" w:styleId="1248" w:customStyle="1">
    <w:name w:val="正文首行缩进 21"/>
    <w:basedOn w:val="875"/>
    <w:next w:val="1246"/>
    <w:qFormat/>
    <w:pPr>
      <w:ind w:left="200" w:firstLine="3784"/>
      <w:jc w:val="center"/>
      <w:spacing w:after="120" w:line="360" w:lineRule="auto"/>
    </w:pPr>
    <w:rPr>
      <w:rFonts w:ascii="Calibri" w:hAnsi="Calibri"/>
    </w:rPr>
  </w:style>
  <w:style w:type="paragraph" w:styleId="1249" w:customStyle="1">
    <w:name w:val="Char Char"/>
    <w:next w:val="1242"/>
    <w:qFormat/>
    <w:pPr>
      <w:ind w:firstLine="14"/>
      <w:spacing w:line="360" w:lineRule="auto"/>
      <w:shd w:val="clear" w:color="000000" w:fill="000080"/>
    </w:pPr>
    <w:rPr>
      <w:rFonts w:ascii="Calibri" w:hAnsi="Calibri"/>
    </w:rPr>
  </w:style>
  <w:style w:type="paragraph" w:styleId="1250" w:customStyle="1">
    <w:name w:val="正文_0_0"/>
    <w:next w:val="1082"/>
    <w:qFormat/>
    <w:pPr>
      <w:ind w:firstLine="3584"/>
      <w:jc w:val="both"/>
      <w:widowControl w:val="off"/>
    </w:pPr>
    <w:rPr>
      <w:rFonts w:ascii="Calibri" w:hAnsi="Calibri"/>
    </w:rPr>
  </w:style>
  <w:style w:type="paragraph" w:styleId="1251" w:customStyle="1">
    <w:name w:val="font7"/>
    <w:basedOn w:val="86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1"/>
    <w:basedOn w:val="863"/>
    <w:next w:val="1253"/>
    <w:qFormat/>
    <w:pPr>
      <w:ind w:left="0" w:firstLine="2560"/>
      <w:spacing w:before="0" w:after="0" w:line="240" w:lineRule="auto"/>
    </w:pPr>
    <w:rPr>
      <w:rFonts w:ascii="Times New Roman" w:hAnsi="Times New Roman" w:cs="Times New Roman"/>
    </w:rPr>
  </w:style>
  <w:style w:type="paragraph" w:styleId="1253" w:customStyle="1">
    <w:name w:val="xl64"/>
    <w:basedOn w:val="863"/>
    <w:next w:val="1220"/>
    <w:qFormat/>
    <w:pPr>
      <w:ind w:left="0" w:firstLine="3584"/>
      <w:spacing w:before="280" w:after="280" w:line="240" w:lineRule="auto"/>
    </w:pPr>
    <w:rPr>
      <w:rFonts w:ascii="Times New Roman" w:hAnsi="Times New Roman" w:cs="Times New Roman"/>
    </w:rPr>
  </w:style>
  <w:style w:type="paragraph" w:styleId="1254" w:customStyle="1">
    <w:name w:val="style16"/>
    <w:basedOn w:val="863"/>
    <w:next w:val="1247"/>
    <w:qFormat/>
    <w:pPr>
      <w:ind w:left="0" w:firstLine="2048"/>
      <w:spacing w:before="280" w:after="280" w:line="240" w:lineRule="auto"/>
    </w:pPr>
    <w:rPr>
      <w:rFonts w:ascii="Times New Roman" w:hAnsi="Times New Roman" w:cs="Times New Roman"/>
    </w:rPr>
  </w:style>
  <w:style w:type="paragraph" w:styleId="1255" w:customStyle="1">
    <w:name w:val="索引 11"/>
    <w:basedOn w:val="863"/>
    <w:next w:val="862"/>
    <w:qFormat/>
    <w:pPr>
      <w:ind w:left="0" w:firstLine="3584"/>
      <w:spacing w:before="0" w:after="0" w:line="240" w:lineRule="auto"/>
    </w:pPr>
    <w:rPr>
      <w:rFonts w:ascii="Times New Roman" w:hAnsi="Times New Roman" w:cs="Times New Roman"/>
    </w:rPr>
  </w:style>
  <w:style w:type="paragraph" w:styleId="1256" w:customStyle="1">
    <w:name w:val="H 3"/>
    <w:basedOn w:val="866"/>
    <w:next w:val="1257"/>
    <w:qFormat/>
    <w:pPr>
      <w:ind w:left="1429" w:firstLine="18"/>
      <w:spacing w:before="0" w:after="0" w:line="360" w:lineRule="auto"/>
      <w:outlineLvl w:val="2"/>
    </w:pPr>
  </w:style>
  <w:style w:type="paragraph" w:styleId="1257" w:customStyle="1">
    <w:name w:val="xl83"/>
    <w:basedOn w:val="863"/>
    <w:next w:val="1238"/>
    <w:qFormat/>
    <w:pPr>
      <w:ind w:left="0" w:firstLine="5120"/>
      <w:spacing w:before="280" w:after="280" w:line="240" w:lineRule="auto"/>
    </w:pPr>
    <w:rPr>
      <w:rFonts w:ascii="Times New Roman" w:hAnsi="Times New Roman" w:cs="Times New Roman"/>
    </w:rPr>
  </w:style>
  <w:style w:type="paragraph" w:styleId="1258" w:customStyle="1">
    <w:name w:val="表格文字（居中）"/>
    <w:basedOn w:val="863"/>
    <w:next w:val="1254"/>
    <w:qFormat/>
    <w:pPr>
      <w:ind w:left="0" w:firstLine="2560"/>
      <w:jc w:val="center"/>
      <w:spacing w:before="0" w:after="0" w:line="360" w:lineRule="auto"/>
    </w:pPr>
    <w:rPr>
      <w:rFonts w:ascii="Times New Roman" w:hAnsi="Times New Roman" w:cs="Times New Roman"/>
    </w:rPr>
  </w:style>
  <w:style w:type="paragraph" w:styleId="1259" w:customStyle="1">
    <w:name w:val="正文首行缩进两字符"/>
    <w:basedOn w:val="863"/>
    <w:next w:val="1241"/>
    <w:qFormat/>
    <w:pPr>
      <w:ind w:left="200" w:firstLine="3784"/>
      <w:spacing w:before="0" w:after="0" w:line="360" w:lineRule="auto"/>
    </w:pPr>
    <w:rPr>
      <w:rFonts w:ascii="Times New Roman" w:hAnsi="Times New Roman" w:cs="Times New Roman"/>
    </w:rPr>
  </w:style>
  <w:style w:type="paragraph" w:styleId="1260" w:customStyle="1">
    <w:name w:val="1"/>
    <w:basedOn w:val="863"/>
    <w:next w:val="896"/>
    <w:qFormat/>
    <w:pPr>
      <w:ind w:left="0" w:firstLine="2048"/>
      <w:spacing w:before="0" w:after="0" w:line="240" w:lineRule="auto"/>
    </w:pPr>
    <w:rPr>
      <w:rFonts w:ascii="Times New Roman" w:hAnsi="Times New Roman" w:cs="Times New Roman"/>
    </w:rPr>
  </w:style>
  <w:style w:type="paragraph" w:styleId="1261" w:customStyle="1">
    <w:name w:val="_Style 398"/>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2" w:customStyle="1">
    <w:name w:val="Table Paragraph"/>
    <w:basedOn w:val="862"/>
    <w:uiPriority w:val="1"/>
    <w:qFormat/>
    <w:rPr>
      <w:rFonts w:ascii="宋体" w:hAnsi="宋体"/>
      <w:lang w:val="zh-CN" w:bidi="zh-CN"/>
    </w:rPr>
  </w:style>
  <w:style w:type="paragraph" w:styleId="1263" w:customStyle="1">
    <w:name w:val="_Style 400"/>
    <w:qFormat/>
    <w:rPr>
      <w:rFonts w:ascii="Calibri" w:hAnsi="Calibri"/>
    </w:rPr>
  </w:style>
  <w:style w:type="paragraph" w:styleId="1264" w:customStyle="1">
    <w:name w:val="Style1"/>
    <w:basedOn w:val="862"/>
    <w:qFormat/>
    <w:pPr>
      <w:ind w:left="0"/>
      <w:tabs>
        <w:tab w:val="left" w:pos="-720" w:leader="none"/>
      </w:tabs>
    </w:pPr>
    <w:rPr>
      <w:rFonts w:ascii="Times New Roman" w:hAnsi="Times New Roman" w:cs="Times New Roman"/>
      <w:spacing w:val="-3"/>
      <w:sz w:val="24"/>
      <w:szCs w:val="24"/>
      <w:lang w:val="en-AU" w:eastAsia="en-US"/>
    </w:rPr>
  </w:style>
  <w:style w:type="paragraph" w:styleId="1265" w:customStyle="1">
    <w:name w:val="msolistparagraph"/>
    <w:basedOn w:val="863"/>
    <w:next w:val="1130"/>
    <w:qFormat/>
    <w:pPr>
      <w:ind w:left="420" w:firstLine="3748"/>
      <w:spacing w:before="0" w:after="0" w:line="240" w:lineRule="auto"/>
    </w:pPr>
    <w:rPr>
      <w:rFonts w:ascii="Times New Roman" w:hAnsi="Times New Roman" w:cs="Times New Roman"/>
    </w:rPr>
  </w:style>
  <w:style w:type="paragraph" w:styleId="1266" w:customStyle="1">
    <w:name w:val="Char1 Char Char Char"/>
    <w:basedOn w:val="863"/>
    <w:next w:val="1267"/>
    <w:qFormat/>
    <w:pPr>
      <w:ind w:left="0" w:firstLine="2560"/>
      <w:spacing w:before="0" w:after="0" w:line="240" w:lineRule="auto"/>
    </w:pPr>
    <w:rPr>
      <w:rFonts w:ascii="Times New Roman" w:hAnsi="Times New Roman" w:cs="Times New Roman"/>
    </w:rPr>
  </w:style>
  <w:style w:type="paragraph" w:styleId="1267" w:customStyle="1">
    <w:name w:val="xl24"/>
    <w:basedOn w:val="863"/>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68" w:customStyle="1">
    <w:name w:val="表格文字"/>
    <w:next w:val="1226"/>
    <w:qFormat/>
    <w:pPr>
      <w:ind w:firstLine="3584"/>
    </w:pPr>
    <w:rPr>
      <w:rFonts w:ascii="Calibri" w:hAnsi="Calibri"/>
    </w:rPr>
  </w:style>
  <w:style w:type="paragraph" w:styleId="1269" w:customStyle="1">
    <w:name w:val="xl72"/>
    <w:basedOn w:val="863"/>
    <w:next w:val="1125"/>
    <w:qFormat/>
    <w:pPr>
      <w:ind w:left="0" w:firstLine="3584"/>
      <w:spacing w:before="280" w:after="280" w:line="240" w:lineRule="auto"/>
    </w:pPr>
    <w:rPr>
      <w:rFonts w:ascii="Times New Roman" w:hAnsi="Times New Roman" w:cs="Times New Roman"/>
    </w:rPr>
  </w:style>
  <w:style w:type="paragraph" w:styleId="1270" w:customStyle="1">
    <w:name w:val="插图"/>
    <w:next w:val="862"/>
    <w:qFormat/>
    <w:pPr>
      <w:ind w:firstLine="4608"/>
      <w:jc w:val="center"/>
    </w:pPr>
    <w:rPr>
      <w:rFonts w:ascii="Calibri" w:hAnsi="Calibri"/>
    </w:rPr>
  </w:style>
  <w:style w:type="paragraph" w:styleId="1271" w:customStyle="1">
    <w:name w:val="列出段落3"/>
    <w:basedOn w:val="863"/>
    <w:next w:val="1165"/>
    <w:qFormat/>
    <w:pPr>
      <w:ind w:left="420" w:firstLine="3748"/>
      <w:spacing w:before="0" w:after="0" w:line="240" w:lineRule="auto"/>
    </w:pPr>
    <w:rPr>
      <w:rFonts w:ascii="Times New Roman" w:hAnsi="Times New Roman" w:cs="Times New Roman"/>
    </w:rPr>
  </w:style>
  <w:style w:type="paragraph" w:styleId="1272" w:customStyle="1">
    <w:name w:val="目录标题"/>
    <w:basedOn w:val="863"/>
    <w:next w:val="862"/>
    <w:qFormat/>
    <w:pPr>
      <w:ind w:left="419" w:firstLine="7331"/>
      <w:jc w:val="center"/>
      <w:spacing w:before="566" w:after="544" w:line="566" w:lineRule="atLeast"/>
    </w:pPr>
    <w:rPr>
      <w:rFonts w:ascii="Times New Roman" w:hAnsi="Times New Roman" w:cs="Times New Roman"/>
    </w:rPr>
  </w:style>
  <w:style w:type="paragraph" w:styleId="1273" w:customStyle="1">
    <w:name w:val="默认段落字体 Para Char Char Char Char Char Char Char Char Char1 Char Char Char Char"/>
    <w:basedOn w:val="863"/>
    <w:next w:val="1168"/>
    <w:qFormat/>
    <w:pPr>
      <w:ind w:left="0" w:firstLine="2560"/>
      <w:spacing w:before="0" w:after="0" w:line="240" w:lineRule="auto"/>
    </w:pPr>
    <w:rPr>
      <w:rFonts w:ascii="Times New Roman" w:hAnsi="Times New Roman" w:cs="Times New Roman"/>
    </w:rPr>
  </w:style>
  <w:style w:type="paragraph" w:styleId="1274" w:customStyle="1">
    <w:name w:val="WPSOffice手动目录 2"/>
    <w:qFormat/>
    <w:pPr>
      <w:ind w:left="200"/>
    </w:pPr>
  </w:style>
  <w:style w:type="paragraph" w:styleId="1275" w:customStyle="1">
    <w:name w:val="表内文字"/>
    <w:basedOn w:val="863"/>
    <w:next w:val="904"/>
    <w:qFormat/>
    <w:pPr>
      <w:ind w:left="0" w:firstLine="7680"/>
      <w:jc w:val="center"/>
      <w:spacing w:before="50" w:after="50" w:line="240" w:lineRule="auto"/>
    </w:pPr>
    <w:rPr>
      <w:rFonts w:ascii="Times New Roman" w:hAnsi="Times New Roman" w:cs="Times New Roman"/>
    </w:rPr>
  </w:style>
  <w:style w:type="paragraph" w:styleId="1276" w:customStyle="1">
    <w:name w:val="xl66"/>
    <w:basedOn w:val="863"/>
    <w:next w:val="1258"/>
    <w:qFormat/>
    <w:pPr>
      <w:ind w:left="0" w:firstLine="3584"/>
      <w:spacing w:before="280" w:after="280" w:line="240" w:lineRule="auto"/>
    </w:pPr>
    <w:rPr>
      <w:rFonts w:ascii="Times New Roman" w:hAnsi="Times New Roman" w:cs="Times New Roman"/>
    </w:rPr>
  </w:style>
  <w:style w:type="paragraph" w:styleId="1277" w:customStyle="1">
    <w:name w:val="*正文"/>
    <w:basedOn w:val="862"/>
    <w:qFormat/>
    <w:pPr>
      <w:ind w:left="0" w:firstLine="200"/>
      <w:spacing w:line="360" w:lineRule="auto"/>
    </w:pPr>
    <w:rPr>
      <w:rFonts w:ascii="仿宋_GB2312" w:hAnsi="Times New Roman" w:eastAsia="仿宋_GB2312" w:cs="Times New Roman"/>
      <w:sz w:val="24"/>
      <w:szCs w:val="28"/>
    </w:rPr>
  </w:style>
  <w:style w:type="paragraph" w:styleId="1278" w:customStyle="1">
    <w:name w:val="0"/>
    <w:basedOn w:val="863"/>
    <w:next w:val="1171"/>
    <w:qFormat/>
    <w:pPr>
      <w:ind w:left="0" w:firstLine="2815"/>
      <w:spacing w:before="0" w:after="0" w:line="360" w:lineRule="auto"/>
    </w:pPr>
    <w:rPr>
      <w:rFonts w:ascii="Times New Roman" w:hAnsi="Times New Roman" w:cs="Times New Roman"/>
    </w:rPr>
  </w:style>
  <w:style w:type="table" w:styleId="1279" w:customStyle="1">
    <w:name w:val="网格型1"/>
    <w:basedOn w:val="87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0" w:customStyle="1">
    <w:name w:val="font61"/>
    <w:qFormat/>
    <w:rPr>
      <w:rFonts w:hint="default" w:ascii="Times New Roman" w:hAnsi="Times New Roman" w:cs="Times New Roman"/>
      <w:b/>
      <w:bCs/>
      <w:color w:val="000000"/>
      <w:sz w:val="24"/>
      <w:szCs w:val="24"/>
      <w:u w:val="none"/>
    </w:rPr>
  </w:style>
  <w:style w:type="paragraph" w:styleId="1281" w:customStyle="1">
    <w:name w:val="正文文本首行缩进 21"/>
    <w:basedOn w:val="875"/>
    <w:qFormat/>
    <w:pPr>
      <w:ind w:firstLine="420"/>
      <w:tabs>
        <w:tab w:val="left" w:pos="2730" w:leader="none"/>
      </w:tabs>
    </w:pPr>
  </w:style>
  <w:style w:type="paragraph" w:styleId="1282" w:customStyle="1">
    <w:name w:val="段3"/>
    <w:next w:val="862"/>
    <w:qFormat/>
    <w:pPr>
      <w:ind w:firstLine="200"/>
      <w:jc w:val="both"/>
    </w:pPr>
    <w:rPr>
      <w:rFonts w:hAnsi="Times New Roman" w:cs="Times New Roman"/>
      <w:sz w:val="21"/>
      <w:szCs w:val="22"/>
    </w:rPr>
  </w:style>
  <w:style w:type="paragraph" w:styleId="1283">
    <w:name w:val="Salutation"/>
    <w:basedOn w:val="862"/>
    <w:next w:val="862"/>
    <w:link w:val="1284"/>
    <w:uiPriority w:val="99"/>
    <w:qFormat/>
  </w:style>
  <w:style w:type="character" w:styleId="1284" w:customStyle="1">
    <w:name w:val="称呼 字符"/>
    <w:basedOn w:val="872"/>
    <w:link w:val="1283"/>
    <w:uiPriority w:val="99"/>
    <w:rPr>
      <w:rFonts w:ascii="Calibri" w:hAnsi="Calibri"/>
    </w:rPr>
  </w:style>
  <w:style w:type="character" w:styleId="1285" w:customStyle="1">
    <w:name w:val="正文文本缩进 字符"/>
    <w:basedOn w:val="872"/>
    <w:link w:val="875"/>
    <w:uiPriority w:val="99"/>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74F81A4-B01D-4FE8-8889-81AD7F0EDAB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11</cp:revision>
  <dcterms:created xsi:type="dcterms:W3CDTF">2026-10-29T03:15:00Z</dcterms:created>
  <dcterms:modified xsi:type="dcterms:W3CDTF">2026-10-30T01:10:05Z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