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年电化学分析仪器采购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JSZC-320100-JCEC-G2026-0348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06"/>
            <w:rFonts w:ascii="SimSun" w:hAnsi="SimSun" w:eastAsia="SimSun" w:cs="SimSun"/>
            <w:color w:val="0000ee"/>
            <w:sz w:val="21"/>
            <w:u w:val="single"/>
          </w:rPr>
          <w:t xml:space="preserve">第一章</w:t>
        </w:r>
        <w:r>
          <w:rPr>
            <w:rStyle w:val="806"/>
            <w:rFonts w:ascii="Times New Roman" w:hAnsi="Times New Roman" w:eastAsia="Times New Roman" w:cs="Times New Roman"/>
            <w:color w:val="0000ee"/>
            <w:sz w:val="21"/>
            <w:highlight w:val="white"/>
            <w:u w:val="none"/>
          </w:rPr>
          <w:t xml:space="preserve">  </w:t>
        </w:r>
        <w:r>
          <w:rPr>
            <w:rStyle w:val="806"/>
            <w:rFonts w:ascii="SimSun" w:hAnsi="SimSun" w:eastAsia="SimSun" w:cs="SimSun"/>
            <w:color w:val="0000ee"/>
            <w:sz w:val="21"/>
            <w:u w:val="single"/>
          </w:rPr>
          <w:t xml:space="preserve">招标公告</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06"/>
            <w:rFonts w:ascii="SimSun" w:hAnsi="SimSun" w:eastAsia="SimSun" w:cs="SimSun"/>
            <w:color w:val="0000ee"/>
            <w:sz w:val="21"/>
            <w:u w:val="single"/>
          </w:rPr>
          <w:t xml:space="preserve">第二章</w:t>
        </w:r>
        <w:r>
          <w:rPr>
            <w:rStyle w:val="806"/>
            <w:rFonts w:ascii="Times New Roman" w:hAnsi="Times New Roman" w:eastAsia="Times New Roman" w:cs="Times New Roman"/>
            <w:color w:val="0000ee"/>
            <w:sz w:val="21"/>
            <w:u w:val="none"/>
          </w:rPr>
          <w:t xml:space="preserve"> </w:t>
        </w:r>
        <w:r>
          <w:rPr>
            <w:rStyle w:val="806"/>
            <w:rFonts w:ascii="SimSun" w:hAnsi="SimSun" w:eastAsia="SimSun" w:cs="SimSun"/>
            <w:color w:val="0000ee"/>
            <w:sz w:val="21"/>
            <w:u w:val="none"/>
          </w:rPr>
          <w:t xml:space="preserve"> </w:t>
        </w:r>
        <w:r>
          <w:rPr>
            <w:rStyle w:val="806"/>
            <w:rFonts w:ascii="SimSun" w:hAnsi="SimSun" w:eastAsia="SimSun" w:cs="SimSun"/>
            <w:color w:val="0000ee"/>
            <w:sz w:val="21"/>
            <w:u w:val="single"/>
          </w:rPr>
          <w:t xml:space="preserve">投标人须知</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06"/>
            <w:rFonts w:ascii="SimSun" w:hAnsi="SimSun" w:eastAsia="SimSun" w:cs="SimSun"/>
            <w:color w:val="0000ee"/>
            <w:sz w:val="21"/>
            <w:u w:val="single"/>
          </w:rPr>
          <w:t xml:space="preserve">第三章评标标准</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06"/>
            <w:rFonts w:ascii="SimSun" w:hAnsi="SimSun" w:eastAsia="SimSun" w:cs="SimSun"/>
            <w:color w:val="0000ee"/>
            <w:sz w:val="21"/>
            <w:u w:val="single"/>
          </w:rPr>
          <w:t xml:space="preserve">第四章</w:t>
        </w:r>
        <w:r>
          <w:rPr>
            <w:rStyle w:val="806"/>
            <w:rFonts w:ascii="Times New Roman" w:hAnsi="Times New Roman" w:eastAsia="Times New Roman" w:cs="Times New Roman"/>
            <w:color w:val="0000ee"/>
            <w:sz w:val="21"/>
            <w:u w:val="none"/>
          </w:rPr>
          <w:t xml:space="preserve"> </w:t>
        </w:r>
        <w:r>
          <w:rPr>
            <w:rStyle w:val="806"/>
            <w:rFonts w:ascii="SimSun" w:hAnsi="SimSun" w:eastAsia="SimSun" w:cs="SimSun"/>
            <w:color w:val="0000ee"/>
            <w:sz w:val="21"/>
            <w:u w:val="none"/>
          </w:rPr>
          <w:t xml:space="preserve"> </w:t>
        </w:r>
        <w:r>
          <w:rPr>
            <w:rStyle w:val="806"/>
            <w:rFonts w:ascii="SimSun" w:hAnsi="SimSun" w:eastAsia="SimSun" w:cs="SimSun"/>
            <w:color w:val="0000ee"/>
            <w:sz w:val="21"/>
            <w:u w:val="single"/>
          </w:rPr>
          <w:t xml:space="preserve">采购需求</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06"/>
            <w:rFonts w:ascii="SimSun" w:hAnsi="SimSun" w:eastAsia="SimSun" w:cs="SimSun"/>
            <w:color w:val="0000ee"/>
            <w:sz w:val="21"/>
            <w:u w:val="single"/>
          </w:rPr>
          <w:t xml:space="preserve">第五章合同主要条款及格式</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06"/>
            <w:rFonts w:ascii="SimSun" w:hAnsi="SimSun" w:eastAsia="SimSun" w:cs="SimSun"/>
            <w:color w:val="0000ee"/>
            <w:sz w:val="21"/>
            <w:u w:val="single"/>
          </w:rPr>
          <w:t xml:space="preserve">第六章</w:t>
        </w:r>
        <w:r>
          <w:rPr>
            <w:rStyle w:val="806"/>
            <w:rFonts w:ascii="Times New Roman" w:hAnsi="Times New Roman" w:eastAsia="Times New Roman" w:cs="Times New Roman"/>
            <w:color w:val="0000ee"/>
            <w:sz w:val="21"/>
            <w:u w:val="none"/>
          </w:rPr>
          <w:t xml:space="preserve"> </w:t>
        </w:r>
        <w:r>
          <w:rPr>
            <w:rStyle w:val="806"/>
            <w:rFonts w:ascii="SimSun" w:hAnsi="SimSun" w:eastAsia="SimSun" w:cs="SimSun"/>
            <w:color w:val="0000ee"/>
            <w:sz w:val="21"/>
            <w:u w:val="none"/>
          </w:rPr>
          <w:t xml:space="preserve"> </w:t>
        </w:r>
        <w:r>
          <w:rPr>
            <w:rStyle w:val="806"/>
            <w:rFonts w:ascii="SimSun" w:hAnsi="SimSun" w:eastAsia="SimSun" w:cs="SimSun"/>
            <w:color w:val="0000ee"/>
            <w:sz w:val="21"/>
            <w:u w:val="single"/>
          </w:rPr>
          <w:t xml:space="preserve">投标文件格式及附件</w:t>
        </w:r>
        <w:r>
          <w:rPr>
            <w:rStyle w:val="806"/>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年电化学分析仪器采购项目的潜在投标人应在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r>
      <w:r>
        <w:rPr>
          <w:rFonts w:ascii="SimSun" w:hAnsi="SimSun" w:eastAsia="SimSun" w:cs="SimSun"/>
          <w:color w:val="000000"/>
          <w:spacing w:val="8"/>
          <w:sz w:val="21"/>
        </w:rPr>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日14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
        <w:rPr>
          <w:rFonts w:ascii="Times New Roman" w:hAnsi="Times New Roman" w:eastAsia="Times New Roman" w:cs="Times New Roman"/>
          <w:color w:val="000000"/>
          <w:spacing w:val="8"/>
          <w:sz w:val="21"/>
        </w:rPr>
      </w:r>
      <w:r>
        <w:rPr>
          <w:rFonts w:ascii="SimSun" w:hAnsi="SimSun" w:eastAsia="SimSun" w:cs="SimSun"/>
          <w:color w:val="000000"/>
          <w:spacing w:val="8"/>
          <w:sz w:val="21"/>
        </w:rPr>
        <w:t xml:space="preserve">（北京时间）前递交投标文件。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JSZC-320100-JCEC-G2026-0348</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年电化学分析仪器采购项目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151.8</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151.8</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4"/>
        <w:gridCol w:w="1237"/>
        <w:gridCol w:w="396"/>
        <w:gridCol w:w="396"/>
        <w:gridCol w:w="785"/>
        <w:gridCol w:w="910"/>
        <w:gridCol w:w="2007"/>
        <w:gridCol w:w="2089"/>
        <w:gridCol w:w="1151"/>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液态有机溶剂配气系统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熔体流动速率仪口模专用塞规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旋光管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省级或省级以上技术机构（需检定证书）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PM2.5/PM10颗粒物监测仪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血液透析机检测仪（流量探头）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亚低温治疗仪校准装置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振动分析仪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单管式化学发光分析仪模拟化学发光标准器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平面测温探头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无线PCR温度校准器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无线离心机检测装置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16.90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SimSun" w:hAnsi="SimSun" w:eastAsia="SimSun" w:cs="SimSun"/>
          <w:color w:val="000000"/>
          <w:spacing w:val="8"/>
          <w:sz w:val="21"/>
        </w:rPr>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日14</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w:t>
      </w:r>
      <w:r/>
      <w:r>
        <w:rPr>
          <w:rFonts w:ascii="SimSun" w:hAnsi="SimSun" w:eastAsia="SimSun" w:cs="SimSun"/>
          <w:color w:val="000000"/>
          <w:spacing w:val="8"/>
          <w:sz w:val="21"/>
        </w:rPr>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46"/>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46"/>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8"/>
        <w:gridCol w:w="3202"/>
        <w:gridCol w:w="857"/>
        <w:gridCol w:w="1440"/>
        <w:gridCol w:w="16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液态有机溶剂配气系统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配制不同浓度乙醇、甲醇等可燃气体，配置一氯甲烷、二氯甲烷、苯等VOC气体，解决特殊行业用气体测试仪的校准需要。</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1132-2017 《热式气体质量流量计检定规程》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1.适用类型：常温下是液态溶剂的标准气体配制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稀释气体：氮气或者空气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配气原理：质量流量混合法原理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溶剂通道数</w:t>
            </w:r>
            <w:r>
              <w:rPr>
                <w:rFonts w:ascii="Times New Roman" w:hAnsi="Times New Roman" w:eastAsia="Times New Roman" w:cs="Times New Roman"/>
                <w:color w:val="000000"/>
                <w:sz w:val="24"/>
              </w:rPr>
              <w:tab/>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通道（可以同时配制多种液态溶剂）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流量范围：稀释气流量：</w:t>
            </w:r>
            <w:r>
              <w:rPr>
                <w:rFonts w:ascii="Times New Roman" w:hAnsi="Times New Roman" w:eastAsia="Times New Roman" w:cs="Times New Roman"/>
                <w:color w:val="000000"/>
                <w:sz w:val="24"/>
              </w:rPr>
              <w:t xml:space="preserve">0~5000mL/min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载气气流量：</w:t>
            </w:r>
            <w:r>
              <w:rPr>
                <w:rFonts w:ascii="Times New Roman" w:hAnsi="Times New Roman" w:eastAsia="Times New Roman" w:cs="Times New Roman"/>
                <w:color w:val="000000"/>
                <w:sz w:val="24"/>
              </w:rPr>
              <w:t xml:space="preserve">0~200mL/min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浓度范围：</w:t>
            </w:r>
            <w:r>
              <w:rPr>
                <w:rFonts w:ascii="Times New Roman" w:hAnsi="Times New Roman" w:eastAsia="Times New Roman" w:cs="Times New Roman"/>
                <w:color w:val="000000"/>
                <w:sz w:val="24"/>
              </w:rPr>
              <w:t xml:space="preserve">10ppb~1000ppm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流量精度：</w:t>
            </w:r>
            <w:r>
              <w:rPr>
                <w:rFonts w:ascii="Times New Roman" w:hAnsi="Times New Roman" w:eastAsia="Times New Roman" w:cs="Times New Roman"/>
                <w:color w:val="000000"/>
                <w:sz w:val="24"/>
              </w:rPr>
              <w:t xml:space="preserve">±1.0%FS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配气精度：</w:t>
            </w:r>
            <w:r>
              <w:rPr>
                <w:rFonts w:ascii="Times New Roman" w:hAnsi="Times New Roman" w:eastAsia="Times New Roman" w:cs="Times New Roman"/>
                <w:color w:val="000000"/>
                <w:sz w:val="24"/>
              </w:rPr>
              <w:t xml:space="preserve">±2.0%FS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稀释倍数：标配</w:t>
            </w:r>
            <w:r>
              <w:rPr>
                <w:rFonts w:ascii="Times New Roman" w:hAnsi="Times New Roman" w:eastAsia="Times New Roman" w:cs="Times New Roman"/>
                <w:color w:val="000000"/>
                <w:sz w:val="24"/>
              </w:rPr>
              <w:t xml:space="preserve"> 1000:1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输入压力：</w:t>
            </w:r>
            <w:r>
              <w:rPr>
                <w:rFonts w:ascii="Times New Roman" w:hAnsi="Times New Roman" w:eastAsia="Times New Roman" w:cs="Times New Roman"/>
                <w:color w:val="000000"/>
                <w:sz w:val="24"/>
              </w:rPr>
              <w:t xml:space="preserve">(0.2~0.5)MPa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汽化温度：</w:t>
            </w:r>
            <w:r>
              <w:rPr>
                <w:rFonts w:ascii="Times New Roman" w:hAnsi="Times New Roman" w:eastAsia="Times New Roman" w:cs="Times New Roman"/>
                <w:color w:val="000000"/>
                <w:sz w:val="24"/>
              </w:rPr>
              <w:t xml:space="preserve">0~300℃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使用温度：（</w:t>
            </w:r>
            <w:r>
              <w:rPr>
                <w:rFonts w:ascii="Times New Roman" w:hAnsi="Times New Roman" w:eastAsia="Times New Roman" w:cs="Times New Roman"/>
                <w:color w:val="000000"/>
                <w:sz w:val="24"/>
              </w:rPr>
              <w:t xml:space="preserve">-10~70)℃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湿度范围</w:t>
            </w:r>
            <w:r>
              <w:rPr>
                <w:rFonts w:ascii="Times New Roman" w:hAnsi="Times New Roman" w:eastAsia="Times New Roman" w:cs="Times New Roman"/>
                <w:color w:val="000000"/>
                <w:sz w:val="24"/>
              </w:rPr>
              <w:tab/>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 85%RH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96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1.液态有机溶剂配气系统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2.不锈钢减压阀 10 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自验收通过之日起1年内免费质保。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送货上楼</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4"/>
        <w:gridCol w:w="3200"/>
        <w:gridCol w:w="853"/>
        <w:gridCol w:w="1440"/>
        <w:gridCol w:w="169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熔体流动速率仪口模专用塞规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用于熔体流动速率仪的检定校准工作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878-2025《熔体流动速率仪检定规程》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1.规格1.050mm±0.005mm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2.规格2.095mm±0.005mm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1.熔体流动速率仪口模专用塞规1套（2支）</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8"/>
        <w:gridCol w:w="3202"/>
        <w:gridCol w:w="857"/>
        <w:gridCol w:w="1440"/>
        <w:gridCol w:w="16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旋光管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主要用于目视旋光仪及目视旋光糖量计、自动旋光仪及自动旋光糖量计的日常检定校准工作。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JJG536-2015《旋光仪及旋光糖量计》、JJG864-1994《旋光标准石英管》</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旋光度、糖度(589.4400 nm)名义值：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＋5°(＋15°Z)、-5°(-15°Z）、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＋17°(＋50°Z)、-17°(-50°Z)、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＋34°(＋100°Z)、-34°(-100°Z)；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扩展不确定度：≤0.004°（</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标准值与名义值之差不超过±1°（±3°Z）；</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方向误差：不超过±0.003°。</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旋光管1套（包含6支）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包装盒1件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省级或省级以上技术机构（需检定证书）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1"/>
        <w:gridCol w:w="3170"/>
        <w:gridCol w:w="878"/>
        <w:gridCol w:w="1448"/>
        <w:gridCol w:w="16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PM2.5/PM10颗粒物监测仪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用于扬尘在线监测设备和微型空气监测站的的现场校准工作。</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1659-2017《PM</w:t>
            </w:r>
            <w:r>
              <w:rPr>
                <w:rFonts w:ascii="SimSun" w:hAnsi="SimSun" w:eastAsia="SimSun" w:cs="SimSun"/>
                <w:color w:val="000000"/>
                <w:sz w:val="24"/>
                <w:vertAlign w:val="subscript"/>
              </w:rPr>
              <w:t xml:space="preserve">2.5</w:t>
            </w:r>
            <w:r>
              <w:rPr>
                <w:rFonts w:ascii="SimSun" w:hAnsi="SimSun" w:eastAsia="SimSun" w:cs="SimSun"/>
                <w:color w:val="000000"/>
                <w:sz w:val="24"/>
              </w:rPr>
              <w:t xml:space="preserve">质量浓度测量仪校准规范》</w:t>
            </w:r>
            <w:r/>
          </w:p>
        </w:tc>
      </w:tr>
      <w:tr>
        <w:trPr>
          <w:trHeight w:val="3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536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★1、分析方法：β射线吸收法或β射线吸收法加光散射法双检测技术。（提供适用性检测报告作为证明材料）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2、PM</w:t>
            </w:r>
            <w:r>
              <w:rPr>
                <w:rFonts w:ascii="SimSun" w:hAnsi="SimSun" w:eastAsia="SimSun" w:cs="SimSun"/>
                <w:color w:val="000000"/>
                <w:sz w:val="18"/>
                <w:vertAlign w:val="subscript"/>
              </w:rPr>
              <w:t xml:space="preserve">2.5</w:t>
            </w:r>
            <w:r>
              <w:rPr>
                <w:rFonts w:ascii="SimSun" w:hAnsi="SimSun" w:eastAsia="SimSun" w:cs="SimSun"/>
                <w:color w:val="000000"/>
                <w:sz w:val="18"/>
              </w:rPr>
              <w:t xml:space="preserve">切割器：50%切割粒径（Da50）：2.5±0.1 μm；捕集效率的几何标准偏差：бg=1.2±0.1。（提供适用性检测报告中的数据作为证明材料）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3、β射线源：符合环保部门对含放射源设备使用的相关豁免管理要求，具有主管部门出具的豁免备案证明。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4、检测器：闪烁光电倍增管。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5、测量范围：0</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1000 μg/m</w:t>
            </w:r>
            <w:r>
              <w:rPr>
                <w:rFonts w:ascii="SimSun" w:hAnsi="SimSun" w:eastAsia="SimSun" w:cs="SimSun"/>
                <w:color w:val="000000"/>
                <w:sz w:val="18"/>
                <w:vertAlign w:val="superscript"/>
              </w:rPr>
              <w:t xml:space="preserve">3</w:t>
            </w:r>
            <w:r>
              <w:rPr>
                <w:rFonts w:ascii="SimSun" w:hAnsi="SimSun" w:eastAsia="SimSun" w:cs="SimSun"/>
                <w:color w:val="000000"/>
                <w:sz w:val="18"/>
              </w:rPr>
              <w:t xml:space="preserve">或0</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10000 μg/m</w:t>
            </w:r>
            <w:r>
              <w:rPr>
                <w:rFonts w:ascii="SimSun" w:hAnsi="SimSun" w:eastAsia="SimSun" w:cs="SimSun"/>
                <w:color w:val="000000"/>
                <w:sz w:val="18"/>
                <w:vertAlign w:val="superscript"/>
              </w:rPr>
              <w:t xml:space="preserve">3</w:t>
            </w:r>
            <w:r>
              <w:rPr>
                <w:rFonts w:ascii="SimSun" w:hAnsi="SimSun" w:eastAsia="SimSun" w:cs="SimSun"/>
                <w:color w:val="000000"/>
                <w:sz w:val="1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6、最小显示单位：0.1 μg/m3。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7、采样流量：16.67 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8、流量测试：平均流量偏差≤± 0.5%；流量相对标准偏差≤ 0.5%；平均流量示值误差≤0.5%。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9、采样滤纸带：每卷可采斑点数不少于1500个，支持超过1年使用时间。（提供仪器彩页或说明书描述作为证明材料）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10、采用同位采样测量结构，采样和测量区域位于同一位置。（提供适用性检测报告作为证明材料）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11、检出限：≤ 1.2μg/m</w:t>
            </w:r>
            <w:r>
              <w:rPr>
                <w:rFonts w:ascii="SimSun" w:hAnsi="SimSun" w:eastAsia="SimSun" w:cs="SimSun"/>
                <w:color w:val="000000"/>
                <w:sz w:val="18"/>
                <w:vertAlign w:val="superscript"/>
              </w:rPr>
              <w:t xml:space="preserve">3</w:t>
            </w:r>
            <w:r>
              <w:rPr>
                <w:rFonts w:ascii="SimSun" w:hAnsi="SimSun" w:eastAsia="SimSun" w:cs="SimSun"/>
                <w:color w:val="000000"/>
                <w:sz w:val="18"/>
              </w:rPr>
              <w:t xml:space="preserve">（24h）。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12、校准膜示值误差：≤±1.2%。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13、数据输出速率：每1秒。（提供仪器彩页或说明书描述作为证明材料）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14、长期平均值：60-3600 秒。（提供仪器彩页或说明书描述作为证明材料）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15、平行性：≤8%。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16、数据记录存储器的容量：不小于16G。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17、操作界面：彩色触摸屏显示，具有中英文两种可切换的操作界面，具有远程操作软件可进行远程控制。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18、外部连接端口： 至少1个 RS-232/485 端口、至少3个USB 端口、至少1 个以太网端口，至少6 个模拟电流输出。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19、通信协议：支持Streaming、MODBUS、VNC 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20、安全性：具有CE-LVD 和CE-EMC安全认证。（提供认证证书或报告作为证明材料）</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02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1、PM2.5和PM10颗粒物监测仪主机1台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2、配置PM2.5和PM10切割器各1套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3、采样泵1个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4、室外温湿度计1个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5、采样滤纸带3卷</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3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省级及省级以上技术机构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自验收通过之日起1年内免费质保。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3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送货上楼</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8"/>
        <w:gridCol w:w="3202"/>
        <w:gridCol w:w="857"/>
        <w:gridCol w:w="1440"/>
        <w:gridCol w:w="16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血液透析机检测仪（流量探头）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用于医疗机构血液透析机流量参数的检测。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1353-2024 《血液透析装置校准规范》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1、制造厂家通过ISO9001质量体系认证，测量软件为全中文界面，符合JJF 1353-2024《血液透析装置校准规范》血液流量测量，符合YY 0054-2010 《血液透析设备》血液流量测量；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2、集成无线通信协议栈，支持单台控制显示器连接大于等于四台测量主机，控制显示器具有双TF卡升级功能，可自行对主机和屏幕进行固件升级；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3、可跟换接口设计，适配透析机血流量接口，满足不同的测量需求；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4、血液流量：测量范围：(50～300)mL/min 最大允许误差：±3%；</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1.血液透析机检测仪（流量探头）主机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2.手控盒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3.流量接口  6套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6"/>
        <w:gridCol w:w="3189"/>
        <w:gridCol w:w="865"/>
        <w:gridCol w:w="1442"/>
        <w:gridCol w:w="169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亚低温治疗仪校准装置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该设备是用于医疗机构亚低温类设备的检测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2154-2024》亚低温治疗仪校准规范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54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温度测量范围:(0～50)℃，最大允许误差: ±0.3℃。</w:t>
            </w:r>
            <w:r/>
          </w:p>
          <w:p>
            <w:pPr>
              <w:ind w:left="480" w:right="0" w:hanging="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恒温设备：温度范围覆盖(5～50)℃，温度均匀性不超过 0.02℃，温度波动性不超过 0.02 ℃/10 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标准温度计：测量范围:(0～50)℃，最大允许误差:</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±0.05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0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1.亚低温治疗仪校准装置1套；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2.适配电源线1套。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
        <w:gridCol w:w="8826"/>
        <w:gridCol w:w="83"/>
        <w:gridCol w:w="126"/>
        <w:gridCol w:w="14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主要用于检测医院等单位所使用的生物安全柜和洁净工作台等装置的振动。</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《JJF1815-2020II级生物安全柜校准规范》、《JJF 2053-2023洁净工作台性能参数校准规范》、《YY0569-2011II级生物安全柜》和《 YY/T1539-2017医用洁净工作台》</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1.振幅范围：1mm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2.精度：优于2.5μm</w:t>
            </w:r>
            <w:r>
              <w:rPr>
                <w:rFonts w:ascii="SimSun" w:hAnsi="SimSun" w:eastAsia="SimSun" w:cs="SimSun"/>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3.带宽：1Hz～10kHz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1.振动分析仪主机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2.振动传感器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3.传感器连接线2个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4.磁吸底座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5.手提箱2个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8"/>
        <w:gridCol w:w="2988"/>
        <w:gridCol w:w="998"/>
        <w:gridCol w:w="1502"/>
        <w:gridCol w:w="172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单管式化学发光分析仪模拟化学发光标准器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用于校准单管式化学发光分析仪</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2205-2025 《单管式化学发光分析仪校准规范》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1.符合JJF 2205-2025 《单管式化学发光分析仪校准规范》要求。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标准器主要包括氚光源模组以及光谱中性滤光片两个部分，出射光中心波长为450 nm，光谱中性滤光片选取450 nm处透射比标称值在[1%,50%]范围内的5片滤光片（</w:t>
            </w:r>
            <w:r>
              <w:rPr>
                <w:rFonts w:ascii="SimSun" w:hAnsi="SimSun" w:eastAsia="SimSun" w:cs="SimSun"/>
                <w:i/>
                <w:color w:val="000000"/>
                <w:sz w:val="24"/>
              </w:rPr>
              <w:t xml:space="preserve">U</w:t>
            </w:r>
            <w:r>
              <w:rPr>
                <w:rFonts w:ascii="SimSun" w:hAnsi="SimSun" w:eastAsia="SimSun" w:cs="SimSun"/>
                <w:color w:val="000000"/>
                <w:sz w:val="24"/>
                <w:vertAlign w:val="subscript"/>
              </w:rPr>
              <w:t xml:space="preserve">r</w:t>
            </w:r>
            <w:r>
              <w:rPr>
                <w:rFonts w:ascii="SimSun" w:hAnsi="SimSun" w:eastAsia="SimSun" w:cs="SimSun"/>
                <w:color w:val="000000"/>
                <w:sz w:val="24"/>
              </w:rPr>
              <w:t xml:space="preserve">≤3%，</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标准器尺寸小巧，直径不大于9mm，可适配大部分的被检设备，配备10mm和12mm两种不同的管径的适配套。</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单管式化学发光分析仪模拟化学发光标准器1套（包含：氚光源1个；光谱中性滤光片5个）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9"/>
        <w:gridCol w:w="2945"/>
        <w:gridCol w:w="1030"/>
        <w:gridCol w:w="1515"/>
        <w:gridCol w:w="173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平面测温探头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用于真空干燥箱温度参数的校准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JJF（京）77-2021 《真空干燥箱校准规范》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温度测量范围：（-40～140）℃；通道数：1个；分辨率：0.01℃；MPE:±0.1℃；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温度传感器类型：PT1000；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支持多探头无线组网和数据无线实时传输；传输距离不小于100m（空旷环境）；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数据采样间隔： 默认1秒，可设置；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单个探头数据存储量： ≥100,000 组；支持原始数据导出Excel文件；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探头供电方式：电池供电，可更换；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温度探头（含主机）整体可在（-40～140）℃环境下工作；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探头主机尺寸不大于32mm（直径）×20mm（高），便于内置于被测设备内部工作；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配置与测温装置配套使用的无线数据处理终端，采用Android操作系统；不小于7寸触控屏，分辨率不小于1080×720，支持5G功能，具备测量数据实时传输到云端服务器功能，支持电脑和手机远程查看实时数据和历史管理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软件支持无线实时数据采集；支持数据实时显示、数据分析、报告输出；支持远程升级和维护。</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823"/>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numPr>
                <w:ilvl w:val="0"/>
                <w:numId w:val="2"/>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平面测温探头4台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0"/>
        <w:gridCol w:w="2950"/>
        <w:gridCol w:w="1026"/>
        <w:gridCol w:w="1515"/>
        <w:gridCol w:w="173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无线PCR温度校准器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用于校准聚合酶链反应分析仪温度参数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1527-2015《聚合酶链反应分析仪校准规范》 </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组合式无线PCR仪温度校准器：适配16/32/48/60/64/144孔PCR仪，探头板厚度不超2mm，长宽不大于77mm×18mm，单个测温仪配置6个BLOCK测温探头，且支持1路热盖测温；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测温范围：0～120℃，温度的分辨率0.01℃，精度优于±0.1℃；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无线组合式PCR温度校准器的单组测温板可独立工作，均支持无线实时数据传输，可通过ZigBee通讯无线组网，且支持多个测温板组合同时对同一台或几台被测仪器测试，支持3组测温板同时测试一台48孔PCR加热模组；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所有探头内置电池，无需插电工作，连续工作时长不低于200小时；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数据采集速度支持每秒1-10次可调，以准确反应PCR反应升降温速度；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支持离线数据采集和数据导出，存储量不少于30000组；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支持手机APP启动、停止，实时查看、EXCEL和EXDAT数据导出；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软件支持2D/3D温场热成像图实时播放及回放；支持96孔温度数据仿真和导出；</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81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无线PCR温度校准器6台（每台含6个测温探头、1个热盖测温探头）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无线接收器 1只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专用测试分析软件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5"/>
        <w:gridCol w:w="3136"/>
        <w:gridCol w:w="900"/>
        <w:gridCol w:w="1457"/>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无线离心机检测装置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用于离心机转速参数的测量。</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2004-2022 《医用离心机校准规范》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转速测量方法：采用非接触激光多普勒测振法无需任何传感器接触被测设备；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测量范围：（20～50000） r/min，分辨率0.001 r/min；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测量精度： （20～10000）r/min时，优于0.2级；≥10000 r/min，优于0.1级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计时误差：优于±0.1s；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光学瞄准：支持；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无线测试距离：（200～1000）mm；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支持在同一终端实时观察和记录激光测振法和光电式转速测量数据；支持实时时域、频域、历史转速图表显示；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操作系统：Android；系统内存不小于3GB，内部存储不小于32GB；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通讯方式：无线通讯；支持通过WiFi、4G蜂窝网络数据上云和远程操控，支持远程升级和维护。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人机交互：液晶触摸屏（分辨率不低于720×1440），不大于6寸，方便操作；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一体式无线工作，工作时无需电脑，无需接插任何数据线；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供电方式：内置电池，可充电。</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00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智能转速仪    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光电式转速仪  2台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46"/>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6"/>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egoe UI Symbol">
    <w:panose1 w:val="020B0502040204020203"/>
  </w:font>
  <w:font w:name="Cambria Math">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2026-09-11T04:29:28Z</dcterms:created>
  <dcterms:modified xsi:type="dcterms:W3CDTF">2026-09-11T06:40:12Z</dcterms:modified>
</cp:coreProperties>
</file>